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16,131,266.73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w:t>
            </w:r>
            <w:r>
              <w:rPr>
                <w:rFonts w:eastAsiaTheme="minorEastAsia"/>
                <w:color w:val="000000" w:themeColor="text1"/>
                <w:kern w:val="0"/>
              </w:rPr>
              <w:t>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w:t>
            </w:r>
            <w:r>
              <w:rPr>
                <w:rFonts w:eastAsiaTheme="minorEastAsia"/>
                <w:color w:val="000000" w:themeColor="text1"/>
                <w:kern w:val="0"/>
              </w:rPr>
              <w:lastRenderedPageBreak/>
              <w:t>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500</w:t>
            </w:r>
            <w:r w:rsidRPr="00FF6B9A">
              <w:rPr>
                <w:rFonts w:eastAsiaTheme="minorEastAsia"/>
                <w:color w:val="000000" w:themeColor="text1"/>
                <w:kern w:val="0"/>
              </w:rPr>
              <w:t>指数收益率</w:t>
            </w:r>
            <w:r w:rsidRPr="00FF6B9A">
              <w:rPr>
                <w:rFonts w:eastAsiaTheme="minorEastAsia"/>
                <w:color w:val="000000" w:themeColor="text1"/>
                <w:kern w:val="0"/>
              </w:rPr>
              <w:t>×95%+</w:t>
            </w:r>
            <w:r w:rsidRPr="00FF6B9A">
              <w:rPr>
                <w:rFonts w:eastAsiaTheme="minorEastAsia"/>
                <w:color w:val="000000" w:themeColor="text1"/>
                <w:kern w:val="0"/>
              </w:rPr>
              <w:t>银行活期存款利率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000D1D" w:rsidRDefault="00B55D45">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55D45" w:rsidRPr="00FF6B9A" w:rsidTr="00B55D4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B55D45" w:rsidRPr="00FF6B9A" w:rsidTr="00B55D4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-2,139,495.61</w:t>
            </w:r>
          </w:p>
        </w:tc>
      </w:tr>
      <w:tr w:rsidR="00B55D45" w:rsidRPr="00FF6B9A" w:rsidTr="00B55D4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-1,410,173.15</w:t>
            </w:r>
          </w:p>
        </w:tc>
      </w:tr>
      <w:tr w:rsidR="00B55D45" w:rsidRPr="00FF6B9A" w:rsidTr="00B55D4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-0.0867</w:t>
            </w:r>
          </w:p>
        </w:tc>
      </w:tr>
      <w:tr w:rsidR="00B55D45" w:rsidRPr="00FF6B9A" w:rsidTr="00B55D4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17,550,071.47</w:t>
            </w:r>
          </w:p>
        </w:tc>
      </w:tr>
      <w:tr w:rsidR="00B55D45" w:rsidRPr="00FF6B9A" w:rsidTr="00B55D4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1.0880</w:t>
            </w:r>
          </w:p>
        </w:tc>
      </w:tr>
    </w:tbl>
    <w:p w:rsidR="00000D1D" w:rsidRDefault="00B55D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00D1D">
        <w:tc>
          <w:tcPr>
            <w:tcW w:w="1395" w:type="dxa"/>
            <w:vAlign w:val="center"/>
          </w:tcPr>
          <w:p w:rsidR="00000D1D" w:rsidRDefault="00B55D45">
            <w:pPr>
              <w:jc w:val="left"/>
            </w:pPr>
            <w:r>
              <w:rPr>
                <w:rFonts w:eastAsiaTheme="minorEastAsia"/>
                <w:color w:val="000000" w:themeColor="text1"/>
                <w:kern w:val="0"/>
              </w:rPr>
              <w:t>过去三个月</w:t>
            </w:r>
          </w:p>
        </w:tc>
        <w:tc>
          <w:tcPr>
            <w:tcW w:w="1092" w:type="dxa"/>
            <w:vAlign w:val="center"/>
          </w:tcPr>
          <w:p w:rsidR="00000D1D" w:rsidRDefault="00B55D45">
            <w:pPr>
              <w:jc w:val="center"/>
            </w:pPr>
            <w:r>
              <w:rPr>
                <w:rFonts w:eastAsiaTheme="minorEastAsia"/>
                <w:color w:val="000000" w:themeColor="text1"/>
                <w:kern w:val="0"/>
              </w:rPr>
              <w:t>-7.25%</w:t>
            </w:r>
          </w:p>
        </w:tc>
        <w:tc>
          <w:tcPr>
            <w:tcW w:w="1161" w:type="dxa"/>
            <w:vAlign w:val="center"/>
          </w:tcPr>
          <w:p w:rsidR="00000D1D" w:rsidRDefault="00B55D45">
            <w:pPr>
              <w:jc w:val="center"/>
            </w:pPr>
            <w:r>
              <w:rPr>
                <w:rFonts w:eastAsiaTheme="minorEastAsia"/>
                <w:color w:val="000000" w:themeColor="text1"/>
                <w:kern w:val="0"/>
              </w:rPr>
              <w:t>1.88%</w:t>
            </w:r>
          </w:p>
        </w:tc>
        <w:tc>
          <w:tcPr>
            <w:tcW w:w="1181" w:type="dxa"/>
            <w:vAlign w:val="center"/>
          </w:tcPr>
          <w:p w:rsidR="00000D1D" w:rsidRDefault="00B55D45">
            <w:pPr>
              <w:jc w:val="center"/>
            </w:pPr>
            <w:r>
              <w:rPr>
                <w:rFonts w:eastAsiaTheme="minorEastAsia"/>
                <w:color w:val="000000" w:themeColor="text1"/>
                <w:kern w:val="0"/>
              </w:rPr>
              <w:t>-2.50%</w:t>
            </w:r>
          </w:p>
        </w:tc>
        <w:tc>
          <w:tcPr>
            <w:tcW w:w="1188" w:type="dxa"/>
            <w:vAlign w:val="center"/>
          </w:tcPr>
          <w:p w:rsidR="00000D1D" w:rsidRDefault="00B55D45">
            <w:pPr>
              <w:jc w:val="center"/>
            </w:pPr>
            <w:r>
              <w:rPr>
                <w:rFonts w:eastAsiaTheme="minorEastAsia"/>
                <w:color w:val="000000" w:themeColor="text1"/>
                <w:kern w:val="0"/>
              </w:rPr>
              <w:t>1.88%</w:t>
            </w:r>
          </w:p>
        </w:tc>
        <w:tc>
          <w:tcPr>
            <w:tcW w:w="1199" w:type="dxa"/>
            <w:vAlign w:val="center"/>
          </w:tcPr>
          <w:p w:rsidR="00000D1D" w:rsidRDefault="00B55D45">
            <w:pPr>
              <w:jc w:val="center"/>
            </w:pPr>
            <w:r>
              <w:rPr>
                <w:rFonts w:eastAsiaTheme="minorEastAsia"/>
                <w:color w:val="000000" w:themeColor="text1"/>
                <w:kern w:val="0"/>
              </w:rPr>
              <w:t>-4.75%</w:t>
            </w:r>
          </w:p>
        </w:tc>
        <w:tc>
          <w:tcPr>
            <w:tcW w:w="1204" w:type="dxa"/>
            <w:vAlign w:val="center"/>
          </w:tcPr>
          <w:p w:rsidR="00000D1D" w:rsidRDefault="00B55D45">
            <w:pPr>
              <w:jc w:val="center"/>
            </w:pPr>
            <w:r>
              <w:rPr>
                <w:rFonts w:eastAsiaTheme="minorEastAsia"/>
                <w:color w:val="000000" w:themeColor="text1"/>
                <w:kern w:val="0"/>
              </w:rPr>
              <w:t>0.00%</w:t>
            </w:r>
          </w:p>
        </w:tc>
      </w:tr>
      <w:tr w:rsidR="00000D1D">
        <w:tc>
          <w:tcPr>
            <w:tcW w:w="1395" w:type="dxa"/>
            <w:vAlign w:val="center"/>
          </w:tcPr>
          <w:p w:rsidR="00000D1D" w:rsidRDefault="00B55D45">
            <w:pPr>
              <w:jc w:val="left"/>
            </w:pPr>
            <w:r>
              <w:rPr>
                <w:rFonts w:eastAsiaTheme="minorEastAsia"/>
                <w:color w:val="000000" w:themeColor="text1"/>
                <w:kern w:val="0"/>
              </w:rPr>
              <w:t>过去六个月</w:t>
            </w:r>
          </w:p>
        </w:tc>
        <w:tc>
          <w:tcPr>
            <w:tcW w:w="1092" w:type="dxa"/>
            <w:vAlign w:val="center"/>
          </w:tcPr>
          <w:p w:rsidR="00000D1D" w:rsidRDefault="00B55D45">
            <w:pPr>
              <w:jc w:val="center"/>
            </w:pPr>
            <w:r>
              <w:rPr>
                <w:rFonts w:eastAsiaTheme="minorEastAsia"/>
                <w:color w:val="000000" w:themeColor="text1"/>
                <w:kern w:val="0"/>
              </w:rPr>
              <w:t>-11.98%</w:t>
            </w:r>
          </w:p>
        </w:tc>
        <w:tc>
          <w:tcPr>
            <w:tcW w:w="1161" w:type="dxa"/>
            <w:vAlign w:val="center"/>
          </w:tcPr>
          <w:p w:rsidR="00000D1D" w:rsidRDefault="00B55D45">
            <w:pPr>
              <w:jc w:val="center"/>
            </w:pPr>
            <w:r>
              <w:rPr>
                <w:rFonts w:eastAsiaTheme="minorEastAsia"/>
                <w:color w:val="000000" w:themeColor="text1"/>
                <w:kern w:val="0"/>
              </w:rPr>
              <w:t>1.46%</w:t>
            </w:r>
          </w:p>
        </w:tc>
        <w:tc>
          <w:tcPr>
            <w:tcW w:w="1181" w:type="dxa"/>
            <w:vAlign w:val="center"/>
          </w:tcPr>
          <w:p w:rsidR="00000D1D" w:rsidRDefault="00B55D45">
            <w:pPr>
              <w:jc w:val="center"/>
            </w:pPr>
            <w:r>
              <w:rPr>
                <w:rFonts w:eastAsiaTheme="minorEastAsia"/>
                <w:color w:val="000000" w:themeColor="text1"/>
                <w:kern w:val="0"/>
              </w:rPr>
              <w:t>-6.75%</w:t>
            </w:r>
          </w:p>
        </w:tc>
        <w:tc>
          <w:tcPr>
            <w:tcW w:w="1188" w:type="dxa"/>
            <w:vAlign w:val="center"/>
          </w:tcPr>
          <w:p w:rsidR="00000D1D" w:rsidRDefault="00B55D45">
            <w:pPr>
              <w:jc w:val="center"/>
            </w:pPr>
            <w:r>
              <w:rPr>
                <w:rFonts w:eastAsiaTheme="minorEastAsia"/>
                <w:color w:val="000000" w:themeColor="text1"/>
                <w:kern w:val="0"/>
              </w:rPr>
              <w:t>1.43%</w:t>
            </w:r>
          </w:p>
        </w:tc>
        <w:tc>
          <w:tcPr>
            <w:tcW w:w="1199" w:type="dxa"/>
            <w:vAlign w:val="center"/>
          </w:tcPr>
          <w:p w:rsidR="00000D1D" w:rsidRDefault="00B55D45">
            <w:pPr>
              <w:jc w:val="center"/>
            </w:pPr>
            <w:r>
              <w:rPr>
                <w:rFonts w:eastAsiaTheme="minorEastAsia"/>
                <w:color w:val="000000" w:themeColor="text1"/>
                <w:kern w:val="0"/>
              </w:rPr>
              <w:t>-5.23%</w:t>
            </w:r>
          </w:p>
        </w:tc>
        <w:tc>
          <w:tcPr>
            <w:tcW w:w="1204" w:type="dxa"/>
            <w:vAlign w:val="center"/>
          </w:tcPr>
          <w:p w:rsidR="00000D1D" w:rsidRDefault="00B55D45">
            <w:pPr>
              <w:jc w:val="center"/>
            </w:pPr>
            <w:r>
              <w:rPr>
                <w:rFonts w:eastAsiaTheme="minorEastAsia"/>
                <w:color w:val="000000" w:themeColor="text1"/>
                <w:kern w:val="0"/>
              </w:rPr>
              <w:t>0.03%</w:t>
            </w:r>
          </w:p>
        </w:tc>
      </w:tr>
      <w:tr w:rsidR="00000D1D">
        <w:tc>
          <w:tcPr>
            <w:tcW w:w="1395" w:type="dxa"/>
            <w:vAlign w:val="center"/>
          </w:tcPr>
          <w:p w:rsidR="00000D1D" w:rsidRDefault="00B55D45">
            <w:pPr>
              <w:jc w:val="left"/>
            </w:pPr>
            <w:r>
              <w:rPr>
                <w:rFonts w:eastAsiaTheme="minorEastAsia"/>
                <w:color w:val="000000" w:themeColor="text1"/>
                <w:kern w:val="0"/>
              </w:rPr>
              <w:t>过去一年</w:t>
            </w:r>
          </w:p>
        </w:tc>
        <w:tc>
          <w:tcPr>
            <w:tcW w:w="1092" w:type="dxa"/>
            <w:vAlign w:val="center"/>
          </w:tcPr>
          <w:p w:rsidR="00000D1D" w:rsidRDefault="00B55D45">
            <w:pPr>
              <w:jc w:val="center"/>
            </w:pPr>
            <w:r>
              <w:rPr>
                <w:rFonts w:eastAsiaTheme="minorEastAsia"/>
                <w:color w:val="000000" w:themeColor="text1"/>
                <w:kern w:val="0"/>
              </w:rPr>
              <w:t>-18.30%</w:t>
            </w:r>
          </w:p>
        </w:tc>
        <w:tc>
          <w:tcPr>
            <w:tcW w:w="1161" w:type="dxa"/>
            <w:vAlign w:val="center"/>
          </w:tcPr>
          <w:p w:rsidR="00000D1D" w:rsidRDefault="00B55D45">
            <w:pPr>
              <w:jc w:val="center"/>
            </w:pPr>
            <w:r>
              <w:rPr>
                <w:rFonts w:eastAsiaTheme="minorEastAsia"/>
                <w:color w:val="000000" w:themeColor="text1"/>
                <w:kern w:val="0"/>
              </w:rPr>
              <w:t>1.17%</w:t>
            </w:r>
          </w:p>
        </w:tc>
        <w:tc>
          <w:tcPr>
            <w:tcW w:w="1181" w:type="dxa"/>
            <w:vAlign w:val="center"/>
          </w:tcPr>
          <w:p w:rsidR="00000D1D" w:rsidRDefault="00B55D45">
            <w:pPr>
              <w:jc w:val="center"/>
            </w:pPr>
            <w:r>
              <w:rPr>
                <w:rFonts w:eastAsiaTheme="minorEastAsia"/>
                <w:color w:val="000000" w:themeColor="text1"/>
                <w:kern w:val="0"/>
              </w:rPr>
              <w:t>-15.77%</w:t>
            </w:r>
          </w:p>
        </w:tc>
        <w:tc>
          <w:tcPr>
            <w:tcW w:w="1188" w:type="dxa"/>
            <w:vAlign w:val="center"/>
          </w:tcPr>
          <w:p w:rsidR="00000D1D" w:rsidRDefault="00B55D45">
            <w:pPr>
              <w:jc w:val="center"/>
            </w:pPr>
            <w:r>
              <w:rPr>
                <w:rFonts w:eastAsiaTheme="minorEastAsia"/>
                <w:color w:val="000000" w:themeColor="text1"/>
                <w:kern w:val="0"/>
              </w:rPr>
              <w:t>1.15%</w:t>
            </w:r>
          </w:p>
        </w:tc>
        <w:tc>
          <w:tcPr>
            <w:tcW w:w="1199" w:type="dxa"/>
            <w:vAlign w:val="center"/>
          </w:tcPr>
          <w:p w:rsidR="00000D1D" w:rsidRDefault="00B55D45">
            <w:pPr>
              <w:jc w:val="center"/>
            </w:pPr>
            <w:r>
              <w:rPr>
                <w:rFonts w:eastAsiaTheme="minorEastAsia"/>
                <w:color w:val="000000" w:themeColor="text1"/>
                <w:kern w:val="0"/>
              </w:rPr>
              <w:t>-2.53%</w:t>
            </w:r>
          </w:p>
        </w:tc>
        <w:tc>
          <w:tcPr>
            <w:tcW w:w="1204" w:type="dxa"/>
            <w:vAlign w:val="center"/>
          </w:tcPr>
          <w:p w:rsidR="00000D1D" w:rsidRDefault="00B55D45">
            <w:pPr>
              <w:jc w:val="center"/>
            </w:pPr>
            <w:r>
              <w:rPr>
                <w:rFonts w:eastAsiaTheme="minorEastAsia"/>
                <w:color w:val="000000" w:themeColor="text1"/>
                <w:kern w:val="0"/>
              </w:rPr>
              <w:t>0.02%</w:t>
            </w:r>
          </w:p>
        </w:tc>
      </w:tr>
      <w:tr w:rsidR="00000D1D">
        <w:tc>
          <w:tcPr>
            <w:tcW w:w="1395" w:type="dxa"/>
            <w:vAlign w:val="center"/>
          </w:tcPr>
          <w:p w:rsidR="00000D1D" w:rsidRDefault="00B55D45">
            <w:pPr>
              <w:jc w:val="left"/>
            </w:pPr>
            <w:r>
              <w:rPr>
                <w:rFonts w:eastAsiaTheme="minorEastAsia"/>
                <w:color w:val="000000" w:themeColor="text1"/>
                <w:kern w:val="0"/>
              </w:rPr>
              <w:t>过去三年</w:t>
            </w:r>
          </w:p>
        </w:tc>
        <w:tc>
          <w:tcPr>
            <w:tcW w:w="1092" w:type="dxa"/>
            <w:vAlign w:val="center"/>
          </w:tcPr>
          <w:p w:rsidR="00000D1D" w:rsidRDefault="00B55D45">
            <w:pPr>
              <w:jc w:val="center"/>
            </w:pPr>
            <w:r>
              <w:rPr>
                <w:rFonts w:eastAsiaTheme="minorEastAsia"/>
                <w:color w:val="000000" w:themeColor="text1"/>
                <w:kern w:val="0"/>
              </w:rPr>
              <w:t>-16.96%</w:t>
            </w:r>
          </w:p>
        </w:tc>
        <w:tc>
          <w:tcPr>
            <w:tcW w:w="1161" w:type="dxa"/>
            <w:vAlign w:val="center"/>
          </w:tcPr>
          <w:p w:rsidR="00000D1D" w:rsidRDefault="00B55D45">
            <w:pPr>
              <w:jc w:val="center"/>
            </w:pPr>
            <w:r>
              <w:rPr>
                <w:rFonts w:eastAsiaTheme="minorEastAsia"/>
                <w:color w:val="000000" w:themeColor="text1"/>
                <w:kern w:val="0"/>
              </w:rPr>
              <w:t>1.14%</w:t>
            </w:r>
          </w:p>
        </w:tc>
        <w:tc>
          <w:tcPr>
            <w:tcW w:w="1181" w:type="dxa"/>
            <w:vAlign w:val="center"/>
          </w:tcPr>
          <w:p w:rsidR="00000D1D" w:rsidRDefault="00B55D45">
            <w:pPr>
              <w:jc w:val="center"/>
            </w:pPr>
            <w:r>
              <w:rPr>
                <w:rFonts w:eastAsiaTheme="minorEastAsia"/>
                <w:color w:val="000000" w:themeColor="text1"/>
                <w:kern w:val="0"/>
              </w:rPr>
              <w:t>-21.63%</w:t>
            </w:r>
          </w:p>
        </w:tc>
        <w:tc>
          <w:tcPr>
            <w:tcW w:w="1188" w:type="dxa"/>
            <w:vAlign w:val="center"/>
          </w:tcPr>
          <w:p w:rsidR="00000D1D" w:rsidRDefault="00B55D45">
            <w:pPr>
              <w:jc w:val="center"/>
            </w:pPr>
            <w:r>
              <w:rPr>
                <w:rFonts w:eastAsiaTheme="minorEastAsia"/>
                <w:color w:val="000000" w:themeColor="text1"/>
                <w:kern w:val="0"/>
              </w:rPr>
              <w:t>0.90%</w:t>
            </w:r>
          </w:p>
        </w:tc>
        <w:tc>
          <w:tcPr>
            <w:tcW w:w="1199" w:type="dxa"/>
            <w:vAlign w:val="center"/>
          </w:tcPr>
          <w:p w:rsidR="00000D1D" w:rsidRDefault="00B55D45">
            <w:pPr>
              <w:jc w:val="center"/>
            </w:pPr>
            <w:r>
              <w:rPr>
                <w:rFonts w:eastAsiaTheme="minorEastAsia"/>
                <w:color w:val="000000" w:themeColor="text1"/>
                <w:kern w:val="0"/>
              </w:rPr>
              <w:t>4.67%</w:t>
            </w:r>
          </w:p>
        </w:tc>
        <w:tc>
          <w:tcPr>
            <w:tcW w:w="1204" w:type="dxa"/>
            <w:vAlign w:val="center"/>
          </w:tcPr>
          <w:p w:rsidR="00000D1D" w:rsidRDefault="00B55D45">
            <w:pPr>
              <w:jc w:val="center"/>
            </w:pPr>
            <w:r>
              <w:rPr>
                <w:rFonts w:eastAsiaTheme="minorEastAsia"/>
                <w:color w:val="000000" w:themeColor="text1"/>
                <w:kern w:val="0"/>
              </w:rPr>
              <w:t>0.24%</w:t>
            </w:r>
          </w:p>
        </w:tc>
      </w:tr>
      <w:tr w:rsidR="00000D1D">
        <w:tc>
          <w:tcPr>
            <w:tcW w:w="1395" w:type="dxa"/>
            <w:vAlign w:val="center"/>
          </w:tcPr>
          <w:p w:rsidR="00000D1D" w:rsidRDefault="00B55D45">
            <w:pPr>
              <w:jc w:val="left"/>
            </w:pPr>
            <w:r>
              <w:rPr>
                <w:rFonts w:eastAsiaTheme="minorEastAsia"/>
                <w:color w:val="000000" w:themeColor="text1"/>
                <w:kern w:val="0"/>
              </w:rPr>
              <w:t>过去五年</w:t>
            </w:r>
          </w:p>
        </w:tc>
        <w:tc>
          <w:tcPr>
            <w:tcW w:w="1092" w:type="dxa"/>
            <w:vAlign w:val="center"/>
          </w:tcPr>
          <w:p w:rsidR="00000D1D" w:rsidRDefault="00B55D45">
            <w:pPr>
              <w:jc w:val="center"/>
            </w:pPr>
            <w:r>
              <w:rPr>
                <w:rFonts w:eastAsiaTheme="minorEastAsia"/>
                <w:color w:val="000000" w:themeColor="text1"/>
                <w:kern w:val="0"/>
              </w:rPr>
              <w:t>14.86%</w:t>
            </w:r>
          </w:p>
        </w:tc>
        <w:tc>
          <w:tcPr>
            <w:tcW w:w="1161" w:type="dxa"/>
            <w:vAlign w:val="center"/>
          </w:tcPr>
          <w:p w:rsidR="00000D1D" w:rsidRDefault="00B55D45">
            <w:pPr>
              <w:jc w:val="center"/>
            </w:pPr>
            <w:r>
              <w:rPr>
                <w:rFonts w:eastAsiaTheme="minorEastAsia"/>
                <w:color w:val="000000" w:themeColor="text1"/>
                <w:kern w:val="0"/>
              </w:rPr>
              <w:t>1.19%</w:t>
            </w:r>
          </w:p>
        </w:tc>
        <w:tc>
          <w:tcPr>
            <w:tcW w:w="1181" w:type="dxa"/>
            <w:vAlign w:val="center"/>
          </w:tcPr>
          <w:p w:rsidR="00000D1D" w:rsidRDefault="00B55D45">
            <w:pPr>
              <w:jc w:val="center"/>
            </w:pPr>
            <w:r>
              <w:rPr>
                <w:rFonts w:eastAsiaTheme="minorEastAsia"/>
                <w:color w:val="000000" w:themeColor="text1"/>
                <w:kern w:val="0"/>
              </w:rPr>
              <w:t>-10.24%</w:t>
            </w:r>
          </w:p>
        </w:tc>
        <w:tc>
          <w:tcPr>
            <w:tcW w:w="1188" w:type="dxa"/>
            <w:vAlign w:val="center"/>
          </w:tcPr>
          <w:p w:rsidR="00000D1D" w:rsidRDefault="00B55D45">
            <w:pPr>
              <w:jc w:val="center"/>
            </w:pPr>
            <w:r>
              <w:rPr>
                <w:rFonts w:eastAsiaTheme="minorEastAsia"/>
                <w:color w:val="000000" w:themeColor="text1"/>
                <w:kern w:val="0"/>
              </w:rPr>
              <w:t>0.86%</w:t>
            </w:r>
          </w:p>
        </w:tc>
        <w:tc>
          <w:tcPr>
            <w:tcW w:w="1199" w:type="dxa"/>
            <w:vAlign w:val="center"/>
          </w:tcPr>
          <w:p w:rsidR="00000D1D" w:rsidRDefault="00B55D45">
            <w:pPr>
              <w:jc w:val="center"/>
            </w:pPr>
            <w:r>
              <w:rPr>
                <w:rFonts w:eastAsiaTheme="minorEastAsia"/>
                <w:color w:val="000000" w:themeColor="text1"/>
                <w:kern w:val="0"/>
              </w:rPr>
              <w:t>25.10%</w:t>
            </w:r>
          </w:p>
        </w:tc>
        <w:tc>
          <w:tcPr>
            <w:tcW w:w="1204" w:type="dxa"/>
            <w:vAlign w:val="center"/>
          </w:tcPr>
          <w:p w:rsidR="00000D1D" w:rsidRDefault="00B55D45">
            <w:pPr>
              <w:jc w:val="center"/>
            </w:pPr>
            <w:r>
              <w:rPr>
                <w:rFonts w:eastAsiaTheme="minorEastAsia"/>
                <w:color w:val="000000" w:themeColor="text1"/>
                <w:kern w:val="0"/>
              </w:rPr>
              <w:t>0.33%</w:t>
            </w:r>
          </w:p>
        </w:tc>
      </w:tr>
      <w:tr w:rsidR="00000D1D">
        <w:tc>
          <w:tcPr>
            <w:tcW w:w="1395" w:type="dxa"/>
            <w:vAlign w:val="center"/>
          </w:tcPr>
          <w:p w:rsidR="00000D1D" w:rsidRDefault="00B55D45">
            <w:pPr>
              <w:jc w:val="left"/>
            </w:pPr>
            <w:r>
              <w:rPr>
                <w:rFonts w:eastAsiaTheme="minorEastAsia"/>
                <w:color w:val="000000" w:themeColor="text1"/>
                <w:kern w:val="0"/>
              </w:rPr>
              <w:t>自基金合同生效起至今</w:t>
            </w:r>
          </w:p>
        </w:tc>
        <w:tc>
          <w:tcPr>
            <w:tcW w:w="1092" w:type="dxa"/>
            <w:vAlign w:val="center"/>
          </w:tcPr>
          <w:p w:rsidR="00000D1D" w:rsidRDefault="00B55D45">
            <w:pPr>
              <w:jc w:val="center"/>
            </w:pPr>
            <w:r>
              <w:rPr>
                <w:rFonts w:eastAsiaTheme="minorEastAsia"/>
                <w:color w:val="000000" w:themeColor="text1"/>
                <w:kern w:val="0"/>
              </w:rPr>
              <w:t>8.80%</w:t>
            </w:r>
          </w:p>
        </w:tc>
        <w:tc>
          <w:tcPr>
            <w:tcW w:w="1161" w:type="dxa"/>
            <w:vAlign w:val="center"/>
          </w:tcPr>
          <w:p w:rsidR="00000D1D" w:rsidRDefault="00B55D45">
            <w:pPr>
              <w:jc w:val="center"/>
            </w:pPr>
            <w:r>
              <w:rPr>
                <w:rFonts w:eastAsiaTheme="minorEastAsia"/>
                <w:color w:val="000000" w:themeColor="text1"/>
                <w:kern w:val="0"/>
              </w:rPr>
              <w:t>1.22%</w:t>
            </w:r>
          </w:p>
        </w:tc>
        <w:tc>
          <w:tcPr>
            <w:tcW w:w="1181" w:type="dxa"/>
            <w:vAlign w:val="center"/>
          </w:tcPr>
          <w:p w:rsidR="00000D1D" w:rsidRDefault="00B55D45">
            <w:pPr>
              <w:jc w:val="center"/>
            </w:pPr>
            <w:r>
              <w:rPr>
                <w:rFonts w:eastAsiaTheme="minorEastAsia"/>
                <w:color w:val="000000" w:themeColor="text1"/>
                <w:kern w:val="0"/>
              </w:rPr>
              <w:t>-13.22%</w:t>
            </w:r>
          </w:p>
        </w:tc>
        <w:tc>
          <w:tcPr>
            <w:tcW w:w="1188" w:type="dxa"/>
            <w:vAlign w:val="center"/>
          </w:tcPr>
          <w:p w:rsidR="00000D1D" w:rsidRDefault="00B55D45">
            <w:pPr>
              <w:jc w:val="center"/>
            </w:pPr>
            <w:r>
              <w:rPr>
                <w:rFonts w:eastAsiaTheme="minorEastAsia"/>
                <w:color w:val="000000" w:themeColor="text1"/>
                <w:kern w:val="0"/>
              </w:rPr>
              <w:t>0.86%</w:t>
            </w:r>
          </w:p>
        </w:tc>
        <w:tc>
          <w:tcPr>
            <w:tcW w:w="1199" w:type="dxa"/>
            <w:vAlign w:val="center"/>
          </w:tcPr>
          <w:p w:rsidR="00000D1D" w:rsidRDefault="00B55D45">
            <w:pPr>
              <w:jc w:val="center"/>
            </w:pPr>
            <w:r>
              <w:rPr>
                <w:rFonts w:eastAsiaTheme="minorEastAsia"/>
                <w:color w:val="000000" w:themeColor="text1"/>
                <w:kern w:val="0"/>
              </w:rPr>
              <w:t>22.02%</w:t>
            </w:r>
          </w:p>
        </w:tc>
        <w:tc>
          <w:tcPr>
            <w:tcW w:w="1204" w:type="dxa"/>
            <w:vAlign w:val="center"/>
          </w:tcPr>
          <w:p w:rsidR="00000D1D" w:rsidRDefault="00B55D45">
            <w:pPr>
              <w:jc w:val="center"/>
            </w:pPr>
            <w:r>
              <w:rPr>
                <w:rFonts w:eastAsiaTheme="minorEastAsia"/>
                <w:color w:val="000000" w:themeColor="text1"/>
                <w:kern w:val="0"/>
              </w:rPr>
              <w:t>0.36%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00D1D" w:rsidRDefault="00B55D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000D1D" w:rsidRDefault="00B55D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9</w:t>
      </w:r>
      <w:r w:rsidRPr="00FF6B9A">
        <w:rPr>
          <w:rFonts w:eastAsiaTheme="minorEastAsia"/>
          <w:color w:val="000000" w:themeColor="text1"/>
        </w:rPr>
        <w:t>日起，将基金业绩比较基准由</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800 </w:t>
      </w:r>
      <w:r w:rsidRPr="00FF6B9A">
        <w:rPr>
          <w:rFonts w:eastAsiaTheme="minorEastAsia"/>
          <w:color w:val="000000" w:themeColor="text1"/>
        </w:rPr>
        <w:t>指数收益率</w:t>
      </w:r>
      <w:r w:rsidRPr="00FF6B9A">
        <w:rPr>
          <w:rFonts w:eastAsiaTheme="minorEastAsia"/>
          <w:color w:val="000000" w:themeColor="text1"/>
        </w:rPr>
        <w:t>×60%+</w:t>
      </w:r>
      <w:r w:rsidRPr="00FF6B9A">
        <w:rPr>
          <w:rFonts w:eastAsiaTheme="minorEastAsia"/>
          <w:color w:val="000000" w:themeColor="text1"/>
        </w:rPr>
        <w:t>中债总指数收益率</w:t>
      </w:r>
      <w:r w:rsidRPr="00FF6B9A">
        <w:rPr>
          <w:rFonts w:eastAsiaTheme="minorEastAsia"/>
          <w:color w:val="000000" w:themeColor="text1"/>
        </w:rPr>
        <w:t>×40%”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中证</w:t>
      </w:r>
      <w:r w:rsidRPr="00FF6B9A">
        <w:rPr>
          <w:rFonts w:eastAsiaTheme="minorEastAsia"/>
          <w:color w:val="000000" w:themeColor="text1"/>
        </w:rPr>
        <w:t xml:space="preserve"> 500 </w:t>
      </w:r>
      <w:r w:rsidRPr="00FF6B9A">
        <w:rPr>
          <w:rFonts w:eastAsiaTheme="minorEastAsia"/>
          <w:color w:val="000000" w:themeColor="text1"/>
        </w:rPr>
        <w:t>指数收益率</w:t>
      </w:r>
      <w:r w:rsidRPr="00FF6B9A">
        <w:rPr>
          <w:rFonts w:eastAsiaTheme="minorEastAsia"/>
          <w:color w:val="000000" w:themeColor="text1"/>
        </w:rPr>
        <w:t>×95%+</w:t>
      </w:r>
      <w:r w:rsidRPr="00FF6B9A">
        <w:rPr>
          <w:rFonts w:eastAsiaTheme="minorEastAsia"/>
          <w:color w:val="000000" w:themeColor="text1"/>
        </w:rPr>
        <w:t>银行活期存款利率</w:t>
      </w:r>
      <w:r w:rsidRPr="00FF6B9A">
        <w:rPr>
          <w:rFonts w:eastAsiaTheme="minorEastAsia"/>
          <w:color w:val="000000" w:themeColor="text1"/>
        </w:rPr>
        <w:t>(</w:t>
      </w:r>
      <w:r w:rsidRPr="00FF6B9A">
        <w:rPr>
          <w:rFonts w:eastAsiaTheme="minorEastAsia"/>
          <w:color w:val="000000" w:themeColor="text1"/>
        </w:rPr>
        <w:t>税后</w:t>
      </w:r>
      <w:r w:rsidRPr="00FF6B9A">
        <w:rPr>
          <w:rFonts w:eastAsiaTheme="minorEastAsia"/>
          <w:color w:val="000000" w:themeColor="text1"/>
        </w:rPr>
        <w:t>)×5%”</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000D1D">
        <w:tc>
          <w:tcPr>
            <w:tcW w:w="851" w:type="dxa"/>
            <w:vAlign w:val="center"/>
          </w:tcPr>
          <w:p w:rsidR="00000D1D" w:rsidRDefault="00B55D45">
            <w:pPr>
              <w:jc w:val="center"/>
            </w:pPr>
            <w:r>
              <w:rPr>
                <w:rFonts w:eastAsiaTheme="minorEastAsia"/>
                <w:color w:val="000000" w:themeColor="text1"/>
              </w:rPr>
              <w:t>胡迪</w:t>
            </w:r>
          </w:p>
        </w:tc>
        <w:tc>
          <w:tcPr>
            <w:tcW w:w="850" w:type="dxa"/>
            <w:vAlign w:val="center"/>
          </w:tcPr>
          <w:p w:rsidR="00000D1D" w:rsidRDefault="00B55D45">
            <w:pPr>
              <w:jc w:val="center"/>
            </w:pPr>
            <w:r>
              <w:rPr>
                <w:rFonts w:eastAsiaTheme="minorEastAsia"/>
                <w:color w:val="000000" w:themeColor="text1"/>
              </w:rPr>
              <w:t>本基金基金经理、指数及量化投资部总监</w:t>
            </w:r>
          </w:p>
        </w:tc>
        <w:tc>
          <w:tcPr>
            <w:tcW w:w="1560" w:type="dxa"/>
            <w:vAlign w:val="center"/>
          </w:tcPr>
          <w:p w:rsidR="00000D1D" w:rsidRDefault="00B55D45">
            <w:pPr>
              <w:jc w:val="center"/>
            </w:pPr>
            <w:r>
              <w:rPr>
                <w:rFonts w:eastAsiaTheme="minorEastAsia"/>
                <w:color w:val="000000" w:themeColor="text1"/>
              </w:rPr>
              <w:t>2021-01-07</w:t>
            </w:r>
          </w:p>
        </w:tc>
        <w:tc>
          <w:tcPr>
            <w:tcW w:w="1559" w:type="dxa"/>
            <w:vAlign w:val="center"/>
          </w:tcPr>
          <w:p w:rsidR="00000D1D" w:rsidRDefault="00B55D45">
            <w:pPr>
              <w:jc w:val="center"/>
            </w:pPr>
            <w:r>
              <w:rPr>
                <w:rFonts w:eastAsiaTheme="minorEastAsia"/>
                <w:color w:val="000000" w:themeColor="text1"/>
              </w:rPr>
              <w:t>-</w:t>
            </w:r>
          </w:p>
        </w:tc>
        <w:tc>
          <w:tcPr>
            <w:tcW w:w="1417" w:type="dxa"/>
            <w:vAlign w:val="center"/>
          </w:tcPr>
          <w:p w:rsidR="00000D1D" w:rsidRDefault="00B55D45">
            <w:pPr>
              <w:jc w:val="center"/>
            </w:pPr>
            <w:r>
              <w:rPr>
                <w:rFonts w:eastAsiaTheme="minorEastAsia"/>
                <w:color w:val="000000" w:themeColor="text1"/>
              </w:rPr>
              <w:t>16</w:t>
            </w:r>
            <w:r>
              <w:rPr>
                <w:rFonts w:eastAsiaTheme="minorEastAsia"/>
                <w:color w:val="000000" w:themeColor="text1"/>
              </w:rPr>
              <w:t>年</w:t>
            </w:r>
          </w:p>
        </w:tc>
        <w:tc>
          <w:tcPr>
            <w:tcW w:w="2694" w:type="dxa"/>
            <w:vAlign w:val="center"/>
          </w:tcPr>
          <w:p w:rsidR="00000D1D" w:rsidRDefault="00B55D45">
            <w:r>
              <w:rPr>
                <w:rFonts w:eastAsiaTheme="minorEastAsia"/>
                <w:color w:val="000000" w:themeColor="text1"/>
              </w:rPr>
              <w:t>胡迪女士曾任纽约美林证券全球资产管理部高级经理，纽约标准普尔量化投资主管，中国国际金融股份有限公司资产管理部执行总经理。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月加入摩根基金管理（中国）有限公司（原上投摩根基金管理有限公司），现任指数及量化投资部总监兼基金经理。</w:t>
            </w:r>
          </w:p>
        </w:tc>
      </w:tr>
      <w:tr w:rsidR="00000D1D">
        <w:tc>
          <w:tcPr>
            <w:tcW w:w="851" w:type="dxa"/>
            <w:vAlign w:val="center"/>
          </w:tcPr>
          <w:p w:rsidR="00000D1D" w:rsidRDefault="00B55D45">
            <w:pPr>
              <w:jc w:val="center"/>
            </w:pPr>
            <w:r>
              <w:rPr>
                <w:rFonts w:eastAsiaTheme="minorEastAsia"/>
                <w:color w:val="000000" w:themeColor="text1"/>
              </w:rPr>
              <w:lastRenderedPageBreak/>
              <w:t>何智豪</w:t>
            </w:r>
          </w:p>
        </w:tc>
        <w:tc>
          <w:tcPr>
            <w:tcW w:w="850" w:type="dxa"/>
            <w:vAlign w:val="center"/>
          </w:tcPr>
          <w:p w:rsidR="00000D1D" w:rsidRDefault="00B55D45">
            <w:pPr>
              <w:jc w:val="center"/>
            </w:pPr>
            <w:r>
              <w:rPr>
                <w:rFonts w:eastAsiaTheme="minorEastAsia"/>
                <w:color w:val="000000" w:themeColor="text1"/>
              </w:rPr>
              <w:t>本基金基金经理</w:t>
            </w:r>
          </w:p>
        </w:tc>
        <w:tc>
          <w:tcPr>
            <w:tcW w:w="1560" w:type="dxa"/>
            <w:vAlign w:val="center"/>
          </w:tcPr>
          <w:p w:rsidR="00000D1D" w:rsidRDefault="00B55D45">
            <w:pPr>
              <w:jc w:val="center"/>
            </w:pPr>
            <w:r>
              <w:rPr>
                <w:rFonts w:eastAsiaTheme="minorEastAsia"/>
                <w:color w:val="000000" w:themeColor="text1"/>
              </w:rPr>
              <w:t>2021-02-05</w:t>
            </w:r>
          </w:p>
        </w:tc>
        <w:tc>
          <w:tcPr>
            <w:tcW w:w="1559" w:type="dxa"/>
            <w:vAlign w:val="center"/>
          </w:tcPr>
          <w:p w:rsidR="00000D1D" w:rsidRDefault="00B55D45">
            <w:pPr>
              <w:jc w:val="center"/>
            </w:pPr>
            <w:r>
              <w:rPr>
                <w:rFonts w:eastAsiaTheme="minorEastAsia"/>
                <w:color w:val="000000" w:themeColor="text1"/>
              </w:rPr>
              <w:t>-</w:t>
            </w:r>
          </w:p>
        </w:tc>
        <w:tc>
          <w:tcPr>
            <w:tcW w:w="1417" w:type="dxa"/>
            <w:vAlign w:val="center"/>
          </w:tcPr>
          <w:p w:rsidR="00000D1D" w:rsidRDefault="00B55D45">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rsidR="00000D1D" w:rsidRDefault="00B55D45">
            <w:r>
              <w:rPr>
                <w:rFonts w:eastAsiaTheme="minorEastAsia"/>
                <w:color w:val="000000" w:themeColor="text1"/>
              </w:rPr>
              <w:t>何智豪先生曾任中国国际金融股份有限公司组合与量化策略研究员、资产管理部高级经理。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月起加入摩根基金管理（中国）有限公司（原上投摩根基金管理有限公司），现任基金经理。</w:t>
            </w:r>
          </w:p>
        </w:tc>
      </w:tr>
    </w:tbl>
    <w:p w:rsidR="00000D1D" w:rsidRDefault="00B55D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w:t>
      </w:r>
      <w:r>
        <w:rPr>
          <w:rFonts w:eastAsiaTheme="minorEastAsia"/>
          <w:color w:val="000000" w:themeColor="text1"/>
        </w:rPr>
        <w:t>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w:t>
      </w:r>
      <w:r>
        <w:rPr>
          <w:rFonts w:eastAsiaTheme="minorEastAsia"/>
          <w:color w:val="000000" w:themeColor="text1"/>
        </w:rPr>
        <w:lastRenderedPageBreak/>
        <w:t>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一季度</w:t>
      </w:r>
      <w:r>
        <w:rPr>
          <w:rFonts w:eastAsiaTheme="minorEastAsia"/>
          <w:color w:val="000000" w:themeColor="text1"/>
        </w:rPr>
        <w:t>A</w:t>
      </w:r>
      <w:r>
        <w:rPr>
          <w:rFonts w:eastAsiaTheme="minorEastAsia"/>
          <w:color w:val="000000" w:themeColor="text1"/>
        </w:rPr>
        <w:t>股市场震荡，整体上先抑后扬，且大小盘强弱两度反转。最终沪深</w:t>
      </w:r>
      <w:r>
        <w:rPr>
          <w:rFonts w:eastAsiaTheme="minorEastAsia"/>
          <w:color w:val="000000" w:themeColor="text1"/>
        </w:rPr>
        <w:t>300</w:t>
      </w:r>
      <w:r>
        <w:rPr>
          <w:rFonts w:eastAsiaTheme="minorEastAsia"/>
          <w:color w:val="000000" w:themeColor="text1"/>
        </w:rPr>
        <w:t>微涨，中证</w:t>
      </w:r>
      <w:r>
        <w:rPr>
          <w:rFonts w:eastAsiaTheme="minorEastAsia"/>
          <w:color w:val="000000" w:themeColor="text1"/>
        </w:rPr>
        <w:t>500</w:t>
      </w:r>
      <w:r>
        <w:rPr>
          <w:rFonts w:eastAsiaTheme="minorEastAsia"/>
          <w:color w:val="000000" w:themeColor="text1"/>
        </w:rPr>
        <w:t>、</w:t>
      </w:r>
      <w:r>
        <w:rPr>
          <w:rFonts w:eastAsiaTheme="minorEastAsia"/>
          <w:color w:val="000000" w:themeColor="text1"/>
        </w:rPr>
        <w:t>1000</w:t>
      </w:r>
      <w:r>
        <w:rPr>
          <w:rFonts w:eastAsiaTheme="minorEastAsia"/>
          <w:color w:val="000000" w:themeColor="text1"/>
        </w:rPr>
        <w:t>、</w:t>
      </w:r>
      <w:r>
        <w:rPr>
          <w:rFonts w:eastAsiaTheme="minorEastAsia"/>
          <w:color w:val="000000" w:themeColor="text1"/>
        </w:rPr>
        <w:t>2000</w:t>
      </w:r>
      <w:r>
        <w:rPr>
          <w:rFonts w:eastAsiaTheme="minorEastAsia"/>
          <w:color w:val="000000" w:themeColor="text1"/>
        </w:rPr>
        <w:t>均不同程度下跌。从行业来看，周期股表现强势，石油石化、银行、煤炭、有色均涨幅居前，计算机、医药等成长板块仍不强势。从风格看，红利指数为代表的高稳定性高分红成熟期公司、中证</w:t>
      </w:r>
      <w:r>
        <w:rPr>
          <w:rFonts w:eastAsiaTheme="minorEastAsia"/>
          <w:color w:val="000000" w:themeColor="text1"/>
        </w:rPr>
        <w:t>A50</w:t>
      </w:r>
      <w:r>
        <w:rPr>
          <w:rFonts w:eastAsiaTheme="minorEastAsia"/>
          <w:color w:val="000000" w:themeColor="text1"/>
        </w:rPr>
        <w:t>为代表的新经济龙头表现突出。从</w:t>
      </w:r>
      <w:r>
        <w:rPr>
          <w:rFonts w:eastAsiaTheme="minorEastAsia"/>
          <w:color w:val="000000" w:themeColor="text1"/>
        </w:rPr>
        <w:t>alpha</w:t>
      </w:r>
      <w:r>
        <w:rPr>
          <w:rFonts w:eastAsiaTheme="minorEastAsia"/>
          <w:color w:val="000000" w:themeColor="text1"/>
        </w:rPr>
        <w:t>角度看，一季度是非常艰难的时刻，去年强势</w:t>
      </w:r>
      <w:r>
        <w:rPr>
          <w:rFonts w:eastAsiaTheme="minorEastAsia"/>
          <w:color w:val="000000" w:themeColor="text1"/>
        </w:rPr>
        <w:t>全年的机器学习类价量</w:t>
      </w:r>
      <w:r>
        <w:rPr>
          <w:rFonts w:eastAsiaTheme="minorEastAsia"/>
          <w:color w:val="000000" w:themeColor="text1"/>
        </w:rPr>
        <w:t>alpha</w:t>
      </w:r>
      <w:r>
        <w:rPr>
          <w:rFonts w:eastAsiaTheme="minorEastAsia"/>
          <w:color w:val="000000" w:themeColor="text1"/>
        </w:rPr>
        <w:t>出现大幅回撤，并且反弹力度偏弱，连带价量因子整体弱势，而基本面</w:t>
      </w:r>
      <w:r>
        <w:rPr>
          <w:rFonts w:eastAsiaTheme="minorEastAsia"/>
          <w:color w:val="000000" w:themeColor="text1"/>
        </w:rPr>
        <w:t>alpha</w:t>
      </w:r>
      <w:r>
        <w:rPr>
          <w:rFonts w:eastAsiaTheme="minorEastAsia"/>
          <w:color w:val="000000" w:themeColor="text1"/>
        </w:rPr>
        <w:t>虽有所复苏，但整体强度仍不突出。这完全贴合了目前市场的宏观特征：即存量博弈而非增量博弈，由负债端驱动而非由资产端驱动，价格由估值和交易主导而非曝光度和热点主导。本基金选股从多因子角度出发，基本面和价量</w:t>
      </w:r>
      <w:r>
        <w:rPr>
          <w:rFonts w:eastAsiaTheme="minorEastAsia"/>
          <w:color w:val="000000" w:themeColor="text1"/>
        </w:rPr>
        <w:t>Alpha</w:t>
      </w:r>
      <w:r>
        <w:rPr>
          <w:rFonts w:eastAsiaTheme="minorEastAsia"/>
          <w:color w:val="000000" w:themeColor="text1"/>
        </w:rPr>
        <w:t>配置较为均衡。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往后看，量化选股策略不做择时类的判断。策略方面，如果说</w:t>
      </w:r>
      <w:r w:rsidRPr="00FF6B9A">
        <w:rPr>
          <w:rFonts w:eastAsiaTheme="minorEastAsia"/>
          <w:color w:val="000000" w:themeColor="text1"/>
        </w:rPr>
        <w:t>2021</w:t>
      </w:r>
      <w:r w:rsidRPr="00FF6B9A">
        <w:rPr>
          <w:rFonts w:eastAsiaTheme="minorEastAsia"/>
          <w:color w:val="000000" w:themeColor="text1"/>
        </w:rPr>
        <w:t>年以前，市场的</w:t>
      </w:r>
      <w:r w:rsidRPr="00FF6B9A">
        <w:rPr>
          <w:rFonts w:eastAsiaTheme="minorEastAsia"/>
          <w:color w:val="000000" w:themeColor="text1"/>
        </w:rPr>
        <w:t>alpha</w:t>
      </w:r>
      <w:r w:rsidRPr="00FF6B9A">
        <w:rPr>
          <w:rFonts w:eastAsiaTheme="minorEastAsia"/>
          <w:color w:val="000000" w:themeColor="text1"/>
        </w:rPr>
        <w:t>和</w:t>
      </w:r>
      <w:r w:rsidRPr="00FF6B9A">
        <w:rPr>
          <w:rFonts w:eastAsiaTheme="minorEastAsia"/>
          <w:color w:val="000000" w:themeColor="text1"/>
        </w:rPr>
        <w:t>beta</w:t>
      </w:r>
      <w:r w:rsidRPr="00FF6B9A">
        <w:rPr>
          <w:rFonts w:eastAsiaTheme="minorEastAsia"/>
          <w:color w:val="000000" w:themeColor="text1"/>
        </w:rPr>
        <w:t>稳定性均较强，那么目前看</w:t>
      </w:r>
      <w:r w:rsidRPr="00FF6B9A">
        <w:rPr>
          <w:rFonts w:eastAsiaTheme="minorEastAsia"/>
          <w:color w:val="000000" w:themeColor="text1"/>
        </w:rPr>
        <w:t>alpha</w:t>
      </w:r>
      <w:r w:rsidRPr="00FF6B9A">
        <w:rPr>
          <w:rFonts w:eastAsiaTheme="minorEastAsia"/>
          <w:color w:val="000000" w:themeColor="text1"/>
        </w:rPr>
        <w:t>的稳定性面临挑战，这种挑战往往由偶发的黑天鹅事件引爆，但归根结底其原因还是在于</w:t>
      </w:r>
      <w:r w:rsidRPr="00FF6B9A">
        <w:rPr>
          <w:rFonts w:eastAsiaTheme="minorEastAsia"/>
          <w:color w:val="000000" w:themeColor="text1"/>
        </w:rPr>
        <w:t>alpha</w:t>
      </w:r>
      <w:r w:rsidRPr="00FF6B9A">
        <w:rPr>
          <w:rFonts w:eastAsiaTheme="minorEastAsia"/>
          <w:color w:val="000000" w:themeColor="text1"/>
        </w:rPr>
        <w:t>领域越来越激烈的红海竞争导致的自然衰减。在这种市场竞争格局愈发饱和的趋势下，中低频基本面和价量</w:t>
      </w:r>
      <w:r w:rsidRPr="00FF6B9A">
        <w:rPr>
          <w:rFonts w:eastAsiaTheme="minorEastAsia"/>
          <w:color w:val="000000" w:themeColor="text1"/>
        </w:rPr>
        <w:t>alpha</w:t>
      </w:r>
      <w:r w:rsidRPr="00FF6B9A">
        <w:rPr>
          <w:rFonts w:eastAsiaTheme="minorEastAsia"/>
          <w:color w:val="000000" w:themeColor="text1"/>
        </w:rPr>
        <w:t>均围绕大小盘不同、价值成长不同、时间周期不同等因素正呈现出分时分域表现的显著差异，这是我们近三年来观察到的市场最为显著的变化，这提示了我们需要用更开放的</w:t>
      </w:r>
      <w:r w:rsidRPr="00FF6B9A">
        <w:rPr>
          <w:rFonts w:eastAsiaTheme="minorEastAsia"/>
          <w:color w:val="000000" w:themeColor="text1"/>
        </w:rPr>
        <w:t>alpha</w:t>
      </w:r>
      <w:r w:rsidRPr="00FF6B9A">
        <w:rPr>
          <w:rFonts w:eastAsiaTheme="minorEastAsia"/>
          <w:color w:val="000000" w:themeColor="text1"/>
        </w:rPr>
        <w:t>构造方式，更差异化有创造性的研究思路，更包容的收益预测方法论来刻画更高维度、更局部、更为时变的个股收益特征。也需要我们更勤奋地去保持</w:t>
      </w:r>
      <w:r w:rsidRPr="00FF6B9A">
        <w:rPr>
          <w:rFonts w:eastAsiaTheme="minorEastAsia"/>
          <w:color w:val="000000" w:themeColor="text1"/>
        </w:rPr>
        <w:t>alpha</w:t>
      </w:r>
      <w:r w:rsidRPr="00FF6B9A">
        <w:rPr>
          <w:rFonts w:eastAsiaTheme="minorEastAsia"/>
          <w:color w:val="000000" w:themeColor="text1"/>
        </w:rPr>
        <w:t>的高效迭代能力。在具体投资策略上，我们在坚持基本面和价量结合的量化多因子选股策略的同时，希望从更为条件化，更追求</w:t>
      </w:r>
      <w:r w:rsidRPr="00FF6B9A">
        <w:rPr>
          <w:rFonts w:eastAsiaTheme="minorEastAsia"/>
          <w:color w:val="000000" w:themeColor="text1"/>
        </w:rPr>
        <w:t>alpha</w:t>
      </w:r>
      <w:r w:rsidRPr="00FF6B9A">
        <w:rPr>
          <w:rFonts w:eastAsiaTheme="minorEastAsia"/>
          <w:color w:val="000000" w:themeColor="text1"/>
        </w:rPr>
        <w:t>局部效率的角度出发，一方面自上而下由因及果研究主动规律，一方面自下而上使用机器学习工具由果索因挖掘未知规律，两相结合，力争构造风险收益特征优于市场基准的投资组合。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本报告期摩根量化多因子份额净值增长率为</w:t>
      </w:r>
      <w:r w:rsidRPr="00FF6B9A">
        <w:rPr>
          <w:rFonts w:eastAsiaTheme="minorEastAsia"/>
          <w:color w:val="000000" w:themeColor="text1"/>
        </w:rPr>
        <w:t>:-7.25%</w:t>
      </w:r>
      <w:r w:rsidRPr="00FF6B9A">
        <w:rPr>
          <w:rFonts w:eastAsiaTheme="minorEastAsia"/>
          <w:color w:val="000000" w:themeColor="text1"/>
        </w:rPr>
        <w:t>，同期业绩比较基准收益率为</w:t>
      </w:r>
      <w:r w:rsidRPr="00FF6B9A">
        <w:rPr>
          <w:rFonts w:eastAsiaTheme="minorEastAsia"/>
          <w:color w:val="000000" w:themeColor="text1"/>
        </w:rPr>
        <w:t>:-2.50%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lastRenderedPageBreak/>
        <w:t>4.5</w:t>
      </w:r>
      <w:r w:rsidRPr="00FF6B9A">
        <w:rPr>
          <w:rFonts w:eastAsiaTheme="minorEastAsia"/>
          <w:b/>
          <w:color w:val="000000" w:themeColor="text1"/>
          <w:kern w:val="0"/>
          <w:sz w:val="24"/>
          <w:szCs w:val="24"/>
        </w:rPr>
        <w:t>报告期内基金持有人数或基金资产净值预警说明</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报告期内，本基金存在连续二十个工作日基金资产净值低于五千万元的情况，出现该情况的时间范围为</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01</w:t>
      </w:r>
      <w:r>
        <w:rPr>
          <w:rFonts w:eastAsiaTheme="minorEastAsia"/>
          <w:color w:val="000000" w:themeColor="text1"/>
          <w:kern w:val="0"/>
        </w:rPr>
        <w:t>月</w:t>
      </w:r>
      <w:r>
        <w:rPr>
          <w:rFonts w:eastAsiaTheme="minorEastAsia"/>
          <w:color w:val="000000" w:themeColor="text1"/>
          <w:kern w:val="0"/>
        </w:rPr>
        <w:t>02</w:t>
      </w:r>
      <w:r>
        <w:rPr>
          <w:rFonts w:eastAsiaTheme="minorEastAsia"/>
          <w:color w:val="000000" w:themeColor="text1"/>
          <w:kern w:val="0"/>
        </w:rPr>
        <w:t>日至</w:t>
      </w:r>
      <w:r>
        <w:rPr>
          <w:rFonts w:eastAsiaTheme="minorEastAsia"/>
          <w:color w:val="000000" w:themeColor="text1"/>
          <w:kern w:val="0"/>
        </w:rPr>
        <w:t>2024</w:t>
      </w:r>
      <w:r>
        <w:rPr>
          <w:rFonts w:eastAsiaTheme="minorEastAsia"/>
          <w:color w:val="000000" w:themeColor="text1"/>
          <w:kern w:val="0"/>
        </w:rPr>
        <w:t>年</w:t>
      </w:r>
      <w:r>
        <w:rPr>
          <w:rFonts w:eastAsiaTheme="minorEastAsia"/>
          <w:color w:val="000000" w:themeColor="text1"/>
          <w:kern w:val="0"/>
        </w:rPr>
        <w:t>03</w:t>
      </w:r>
      <w:r>
        <w:rPr>
          <w:rFonts w:eastAsiaTheme="minorEastAsia"/>
          <w:color w:val="000000" w:themeColor="text1"/>
          <w:kern w:val="0"/>
        </w:rPr>
        <w:t>月</w:t>
      </w:r>
      <w:r>
        <w:rPr>
          <w:rFonts w:eastAsiaTheme="minorEastAsia"/>
          <w:color w:val="000000" w:themeColor="text1"/>
          <w:kern w:val="0"/>
        </w:rPr>
        <w:t>29</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16,493,138.20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92.81</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16,493,138.20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92.81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1,274,402.29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7.17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3,893.49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17,771,433.98</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407,718.00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2.32</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10,932,825.20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62.30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460,097.00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320,452.00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118,858.00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434,658.00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146,878.00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1,246,303.00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1,826,271.00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10.41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144,438.00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24,444.00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369,588.00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16,493,138.20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93.98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00D1D">
        <w:tc>
          <w:tcPr>
            <w:tcW w:w="817" w:type="dxa"/>
            <w:vAlign w:val="center"/>
          </w:tcPr>
          <w:p w:rsidR="00000D1D" w:rsidRDefault="00B55D45">
            <w:pPr>
              <w:jc w:val="center"/>
            </w:pPr>
            <w:r>
              <w:rPr>
                <w:rFonts w:eastAsiaTheme="minorEastAsia"/>
                <w:kern w:val="0"/>
                <w:sz w:val="24"/>
                <w:szCs w:val="24"/>
              </w:rPr>
              <w:t>1</w:t>
            </w:r>
          </w:p>
        </w:tc>
        <w:tc>
          <w:tcPr>
            <w:tcW w:w="1276" w:type="dxa"/>
            <w:vAlign w:val="center"/>
          </w:tcPr>
          <w:p w:rsidR="00000D1D" w:rsidRDefault="00B55D45">
            <w:pPr>
              <w:jc w:val="center"/>
            </w:pPr>
            <w:r>
              <w:rPr>
                <w:rFonts w:eastAsiaTheme="minorEastAsia"/>
                <w:kern w:val="0"/>
                <w:sz w:val="24"/>
                <w:szCs w:val="24"/>
              </w:rPr>
              <w:t>601818</w:t>
            </w:r>
          </w:p>
        </w:tc>
        <w:tc>
          <w:tcPr>
            <w:tcW w:w="1701" w:type="dxa"/>
            <w:vAlign w:val="center"/>
          </w:tcPr>
          <w:p w:rsidR="00000D1D" w:rsidRDefault="00B55D45">
            <w:pPr>
              <w:jc w:val="center"/>
            </w:pPr>
            <w:r>
              <w:rPr>
                <w:rFonts w:eastAsiaTheme="minorEastAsia"/>
                <w:kern w:val="0"/>
                <w:sz w:val="24"/>
                <w:szCs w:val="24"/>
              </w:rPr>
              <w:t>光大银行</w:t>
            </w:r>
          </w:p>
        </w:tc>
        <w:tc>
          <w:tcPr>
            <w:tcW w:w="1276" w:type="dxa"/>
            <w:vAlign w:val="center"/>
          </w:tcPr>
          <w:p w:rsidR="00000D1D" w:rsidRDefault="00B55D45">
            <w:pPr>
              <w:jc w:val="right"/>
            </w:pPr>
            <w:r>
              <w:rPr>
                <w:rFonts w:eastAsiaTheme="minorEastAsia"/>
                <w:kern w:val="0"/>
                <w:sz w:val="24"/>
                <w:szCs w:val="24"/>
              </w:rPr>
              <w:t>130,200.00</w:t>
            </w:r>
          </w:p>
        </w:tc>
        <w:tc>
          <w:tcPr>
            <w:tcW w:w="1842" w:type="dxa"/>
            <w:vAlign w:val="center"/>
          </w:tcPr>
          <w:p w:rsidR="00000D1D" w:rsidRDefault="00B55D45">
            <w:pPr>
              <w:jc w:val="right"/>
            </w:pPr>
            <w:r>
              <w:rPr>
                <w:rFonts w:eastAsiaTheme="minorEastAsia"/>
                <w:kern w:val="0"/>
                <w:sz w:val="24"/>
                <w:szCs w:val="24"/>
              </w:rPr>
              <w:t>406,224.00</w:t>
            </w:r>
          </w:p>
        </w:tc>
        <w:tc>
          <w:tcPr>
            <w:tcW w:w="1616" w:type="dxa"/>
            <w:vAlign w:val="center"/>
          </w:tcPr>
          <w:p w:rsidR="00000D1D" w:rsidRDefault="00B55D45">
            <w:pPr>
              <w:jc w:val="right"/>
            </w:pPr>
            <w:r>
              <w:rPr>
                <w:rFonts w:eastAsiaTheme="minorEastAsia"/>
                <w:kern w:val="0"/>
                <w:sz w:val="24"/>
                <w:szCs w:val="24"/>
              </w:rPr>
              <w:t>2.31</w:t>
            </w:r>
          </w:p>
        </w:tc>
      </w:tr>
      <w:tr w:rsidR="00000D1D">
        <w:tc>
          <w:tcPr>
            <w:tcW w:w="817" w:type="dxa"/>
            <w:vAlign w:val="center"/>
          </w:tcPr>
          <w:p w:rsidR="00000D1D" w:rsidRDefault="00B55D45">
            <w:pPr>
              <w:jc w:val="center"/>
            </w:pPr>
            <w:r>
              <w:rPr>
                <w:rFonts w:eastAsiaTheme="minorEastAsia"/>
                <w:kern w:val="0"/>
                <w:sz w:val="24"/>
                <w:szCs w:val="24"/>
              </w:rPr>
              <w:t>2</w:t>
            </w:r>
          </w:p>
        </w:tc>
        <w:tc>
          <w:tcPr>
            <w:tcW w:w="1276" w:type="dxa"/>
            <w:vAlign w:val="center"/>
          </w:tcPr>
          <w:p w:rsidR="00000D1D" w:rsidRDefault="00B55D45">
            <w:pPr>
              <w:jc w:val="center"/>
            </w:pPr>
            <w:r>
              <w:rPr>
                <w:rFonts w:eastAsiaTheme="minorEastAsia"/>
                <w:kern w:val="0"/>
                <w:sz w:val="24"/>
                <w:szCs w:val="24"/>
              </w:rPr>
              <w:t>000725</w:t>
            </w:r>
          </w:p>
        </w:tc>
        <w:tc>
          <w:tcPr>
            <w:tcW w:w="1701" w:type="dxa"/>
            <w:vAlign w:val="center"/>
          </w:tcPr>
          <w:p w:rsidR="00000D1D" w:rsidRDefault="00B55D45">
            <w:pPr>
              <w:jc w:val="center"/>
            </w:pPr>
            <w:r>
              <w:rPr>
                <w:rFonts w:eastAsiaTheme="minorEastAsia"/>
                <w:kern w:val="0"/>
                <w:sz w:val="24"/>
                <w:szCs w:val="24"/>
              </w:rPr>
              <w:t>京东方Ａ</w:t>
            </w:r>
          </w:p>
        </w:tc>
        <w:tc>
          <w:tcPr>
            <w:tcW w:w="1276" w:type="dxa"/>
            <w:vAlign w:val="center"/>
          </w:tcPr>
          <w:p w:rsidR="00000D1D" w:rsidRDefault="00B55D45">
            <w:pPr>
              <w:jc w:val="right"/>
            </w:pPr>
            <w:r>
              <w:rPr>
                <w:rFonts w:eastAsiaTheme="minorEastAsia"/>
                <w:kern w:val="0"/>
                <w:sz w:val="24"/>
                <w:szCs w:val="24"/>
              </w:rPr>
              <w:t>62,800.00</w:t>
            </w:r>
          </w:p>
        </w:tc>
        <w:tc>
          <w:tcPr>
            <w:tcW w:w="1842" w:type="dxa"/>
            <w:vAlign w:val="center"/>
          </w:tcPr>
          <w:p w:rsidR="00000D1D" w:rsidRDefault="00B55D45">
            <w:pPr>
              <w:jc w:val="right"/>
            </w:pPr>
            <w:r>
              <w:rPr>
                <w:rFonts w:eastAsiaTheme="minorEastAsia"/>
                <w:kern w:val="0"/>
                <w:sz w:val="24"/>
                <w:szCs w:val="24"/>
              </w:rPr>
              <w:t>254,968.00</w:t>
            </w:r>
          </w:p>
        </w:tc>
        <w:tc>
          <w:tcPr>
            <w:tcW w:w="1616" w:type="dxa"/>
            <w:vAlign w:val="center"/>
          </w:tcPr>
          <w:p w:rsidR="00000D1D" w:rsidRDefault="00B55D45">
            <w:pPr>
              <w:jc w:val="right"/>
            </w:pPr>
            <w:r>
              <w:rPr>
                <w:rFonts w:eastAsiaTheme="minorEastAsia"/>
                <w:kern w:val="0"/>
                <w:sz w:val="24"/>
                <w:szCs w:val="24"/>
              </w:rPr>
              <w:t>1.45</w:t>
            </w:r>
          </w:p>
        </w:tc>
      </w:tr>
      <w:tr w:rsidR="00000D1D">
        <w:tc>
          <w:tcPr>
            <w:tcW w:w="817" w:type="dxa"/>
            <w:vAlign w:val="center"/>
          </w:tcPr>
          <w:p w:rsidR="00000D1D" w:rsidRDefault="00B55D45">
            <w:pPr>
              <w:jc w:val="center"/>
            </w:pPr>
            <w:r>
              <w:rPr>
                <w:rFonts w:eastAsiaTheme="minorEastAsia"/>
                <w:kern w:val="0"/>
                <w:sz w:val="24"/>
                <w:szCs w:val="24"/>
              </w:rPr>
              <w:t>3</w:t>
            </w:r>
          </w:p>
        </w:tc>
        <w:tc>
          <w:tcPr>
            <w:tcW w:w="1276" w:type="dxa"/>
            <w:vAlign w:val="center"/>
          </w:tcPr>
          <w:p w:rsidR="00000D1D" w:rsidRDefault="00B55D45">
            <w:pPr>
              <w:jc w:val="center"/>
            </w:pPr>
            <w:r>
              <w:rPr>
                <w:rFonts w:eastAsiaTheme="minorEastAsia"/>
                <w:kern w:val="0"/>
                <w:sz w:val="24"/>
                <w:szCs w:val="24"/>
              </w:rPr>
              <w:t>603328</w:t>
            </w:r>
          </w:p>
        </w:tc>
        <w:tc>
          <w:tcPr>
            <w:tcW w:w="1701" w:type="dxa"/>
            <w:vAlign w:val="center"/>
          </w:tcPr>
          <w:p w:rsidR="00000D1D" w:rsidRDefault="00B55D45">
            <w:pPr>
              <w:jc w:val="center"/>
            </w:pPr>
            <w:r>
              <w:rPr>
                <w:rFonts w:eastAsiaTheme="minorEastAsia"/>
                <w:kern w:val="0"/>
                <w:sz w:val="24"/>
                <w:szCs w:val="24"/>
              </w:rPr>
              <w:t>依顿电子</w:t>
            </w:r>
          </w:p>
        </w:tc>
        <w:tc>
          <w:tcPr>
            <w:tcW w:w="1276" w:type="dxa"/>
            <w:vAlign w:val="center"/>
          </w:tcPr>
          <w:p w:rsidR="00000D1D" w:rsidRDefault="00B55D45">
            <w:pPr>
              <w:jc w:val="right"/>
            </w:pPr>
            <w:r>
              <w:rPr>
                <w:rFonts w:eastAsiaTheme="minorEastAsia"/>
                <w:kern w:val="0"/>
                <w:sz w:val="24"/>
                <w:szCs w:val="24"/>
              </w:rPr>
              <w:t>36,300.00</w:t>
            </w:r>
          </w:p>
        </w:tc>
        <w:tc>
          <w:tcPr>
            <w:tcW w:w="1842" w:type="dxa"/>
            <w:vAlign w:val="center"/>
          </w:tcPr>
          <w:p w:rsidR="00000D1D" w:rsidRDefault="00B55D45">
            <w:pPr>
              <w:jc w:val="right"/>
            </w:pPr>
            <w:r>
              <w:rPr>
                <w:rFonts w:eastAsiaTheme="minorEastAsia"/>
                <w:kern w:val="0"/>
                <w:sz w:val="24"/>
                <w:szCs w:val="24"/>
              </w:rPr>
              <w:t>254,463.00</w:t>
            </w:r>
          </w:p>
        </w:tc>
        <w:tc>
          <w:tcPr>
            <w:tcW w:w="1616" w:type="dxa"/>
            <w:vAlign w:val="center"/>
          </w:tcPr>
          <w:p w:rsidR="00000D1D" w:rsidRDefault="00B55D45">
            <w:pPr>
              <w:jc w:val="right"/>
            </w:pPr>
            <w:r>
              <w:rPr>
                <w:rFonts w:eastAsiaTheme="minorEastAsia"/>
                <w:kern w:val="0"/>
                <w:sz w:val="24"/>
                <w:szCs w:val="24"/>
              </w:rPr>
              <w:t>1.45</w:t>
            </w:r>
          </w:p>
        </w:tc>
      </w:tr>
      <w:tr w:rsidR="00000D1D">
        <w:tc>
          <w:tcPr>
            <w:tcW w:w="817" w:type="dxa"/>
            <w:vAlign w:val="center"/>
          </w:tcPr>
          <w:p w:rsidR="00000D1D" w:rsidRDefault="00B55D45">
            <w:pPr>
              <w:jc w:val="center"/>
            </w:pPr>
            <w:r>
              <w:rPr>
                <w:rFonts w:eastAsiaTheme="minorEastAsia"/>
                <w:kern w:val="0"/>
                <w:sz w:val="24"/>
                <w:szCs w:val="24"/>
              </w:rPr>
              <w:t>4</w:t>
            </w:r>
          </w:p>
        </w:tc>
        <w:tc>
          <w:tcPr>
            <w:tcW w:w="1276" w:type="dxa"/>
            <w:vAlign w:val="center"/>
          </w:tcPr>
          <w:p w:rsidR="00000D1D" w:rsidRDefault="00B55D45">
            <w:pPr>
              <w:jc w:val="center"/>
            </w:pPr>
            <w:r>
              <w:rPr>
                <w:rFonts w:eastAsiaTheme="minorEastAsia"/>
                <w:kern w:val="0"/>
                <w:sz w:val="24"/>
                <w:szCs w:val="24"/>
              </w:rPr>
              <w:t>600808</w:t>
            </w:r>
          </w:p>
        </w:tc>
        <w:tc>
          <w:tcPr>
            <w:tcW w:w="1701" w:type="dxa"/>
            <w:vAlign w:val="center"/>
          </w:tcPr>
          <w:p w:rsidR="00000D1D" w:rsidRDefault="00B55D45">
            <w:pPr>
              <w:jc w:val="center"/>
            </w:pPr>
            <w:r>
              <w:rPr>
                <w:rFonts w:eastAsiaTheme="minorEastAsia"/>
                <w:kern w:val="0"/>
                <w:sz w:val="24"/>
                <w:szCs w:val="24"/>
              </w:rPr>
              <w:t>马钢股份</w:t>
            </w:r>
          </w:p>
        </w:tc>
        <w:tc>
          <w:tcPr>
            <w:tcW w:w="1276" w:type="dxa"/>
            <w:vAlign w:val="center"/>
          </w:tcPr>
          <w:p w:rsidR="00000D1D" w:rsidRDefault="00B55D45">
            <w:pPr>
              <w:jc w:val="right"/>
            </w:pPr>
            <w:r>
              <w:rPr>
                <w:rFonts w:eastAsiaTheme="minorEastAsia"/>
                <w:kern w:val="0"/>
                <w:sz w:val="24"/>
                <w:szCs w:val="24"/>
              </w:rPr>
              <w:t>101,800.00</w:t>
            </w:r>
          </w:p>
        </w:tc>
        <w:tc>
          <w:tcPr>
            <w:tcW w:w="1842" w:type="dxa"/>
            <w:vAlign w:val="center"/>
          </w:tcPr>
          <w:p w:rsidR="00000D1D" w:rsidRDefault="00B55D45">
            <w:pPr>
              <w:jc w:val="right"/>
            </w:pPr>
            <w:r>
              <w:rPr>
                <w:rFonts w:eastAsiaTheme="minorEastAsia"/>
                <w:kern w:val="0"/>
                <w:sz w:val="24"/>
                <w:szCs w:val="24"/>
              </w:rPr>
              <w:t>248,392.00</w:t>
            </w:r>
          </w:p>
        </w:tc>
        <w:tc>
          <w:tcPr>
            <w:tcW w:w="1616" w:type="dxa"/>
            <w:vAlign w:val="center"/>
          </w:tcPr>
          <w:p w:rsidR="00000D1D" w:rsidRDefault="00B55D45">
            <w:pPr>
              <w:jc w:val="right"/>
            </w:pPr>
            <w:r>
              <w:rPr>
                <w:rFonts w:eastAsiaTheme="minorEastAsia"/>
                <w:kern w:val="0"/>
                <w:sz w:val="24"/>
                <w:szCs w:val="24"/>
              </w:rPr>
              <w:t>1.42</w:t>
            </w:r>
          </w:p>
        </w:tc>
      </w:tr>
      <w:tr w:rsidR="00000D1D">
        <w:tc>
          <w:tcPr>
            <w:tcW w:w="817" w:type="dxa"/>
            <w:vAlign w:val="center"/>
          </w:tcPr>
          <w:p w:rsidR="00000D1D" w:rsidRDefault="00B55D45">
            <w:pPr>
              <w:jc w:val="center"/>
            </w:pPr>
            <w:r>
              <w:rPr>
                <w:rFonts w:eastAsiaTheme="minorEastAsia"/>
                <w:kern w:val="0"/>
                <w:sz w:val="24"/>
                <w:szCs w:val="24"/>
              </w:rPr>
              <w:t>5</w:t>
            </w:r>
          </w:p>
        </w:tc>
        <w:tc>
          <w:tcPr>
            <w:tcW w:w="1276" w:type="dxa"/>
            <w:vAlign w:val="center"/>
          </w:tcPr>
          <w:p w:rsidR="00000D1D" w:rsidRDefault="00B55D45">
            <w:pPr>
              <w:jc w:val="center"/>
            </w:pPr>
            <w:r>
              <w:rPr>
                <w:rFonts w:eastAsiaTheme="minorEastAsia"/>
                <w:kern w:val="0"/>
                <w:sz w:val="24"/>
                <w:szCs w:val="24"/>
              </w:rPr>
              <w:t>000877</w:t>
            </w:r>
          </w:p>
        </w:tc>
        <w:tc>
          <w:tcPr>
            <w:tcW w:w="1701" w:type="dxa"/>
            <w:vAlign w:val="center"/>
          </w:tcPr>
          <w:p w:rsidR="00000D1D" w:rsidRDefault="00B55D45">
            <w:pPr>
              <w:jc w:val="center"/>
            </w:pPr>
            <w:r>
              <w:rPr>
                <w:rFonts w:eastAsiaTheme="minorEastAsia"/>
                <w:kern w:val="0"/>
                <w:sz w:val="24"/>
                <w:szCs w:val="24"/>
              </w:rPr>
              <w:t>天山股份</w:t>
            </w:r>
          </w:p>
        </w:tc>
        <w:tc>
          <w:tcPr>
            <w:tcW w:w="1276" w:type="dxa"/>
            <w:vAlign w:val="center"/>
          </w:tcPr>
          <w:p w:rsidR="00000D1D" w:rsidRDefault="00B55D45">
            <w:pPr>
              <w:jc w:val="right"/>
            </w:pPr>
            <w:r>
              <w:rPr>
                <w:rFonts w:eastAsiaTheme="minorEastAsia"/>
                <w:kern w:val="0"/>
                <w:sz w:val="24"/>
                <w:szCs w:val="24"/>
              </w:rPr>
              <w:t>35,700.00</w:t>
            </w:r>
          </w:p>
        </w:tc>
        <w:tc>
          <w:tcPr>
            <w:tcW w:w="1842" w:type="dxa"/>
            <w:vAlign w:val="center"/>
          </w:tcPr>
          <w:p w:rsidR="00000D1D" w:rsidRDefault="00B55D45">
            <w:pPr>
              <w:jc w:val="right"/>
            </w:pPr>
            <w:r>
              <w:rPr>
                <w:rFonts w:eastAsiaTheme="minorEastAsia"/>
                <w:kern w:val="0"/>
                <w:sz w:val="24"/>
                <w:szCs w:val="24"/>
              </w:rPr>
              <w:t>243,831.00</w:t>
            </w:r>
          </w:p>
        </w:tc>
        <w:tc>
          <w:tcPr>
            <w:tcW w:w="1616" w:type="dxa"/>
            <w:vAlign w:val="center"/>
          </w:tcPr>
          <w:p w:rsidR="00000D1D" w:rsidRDefault="00B55D45">
            <w:pPr>
              <w:jc w:val="right"/>
            </w:pPr>
            <w:r>
              <w:rPr>
                <w:rFonts w:eastAsiaTheme="minorEastAsia"/>
                <w:kern w:val="0"/>
                <w:sz w:val="24"/>
                <w:szCs w:val="24"/>
              </w:rPr>
              <w:t>1.39</w:t>
            </w:r>
          </w:p>
        </w:tc>
      </w:tr>
      <w:tr w:rsidR="00000D1D">
        <w:tc>
          <w:tcPr>
            <w:tcW w:w="817" w:type="dxa"/>
            <w:vAlign w:val="center"/>
          </w:tcPr>
          <w:p w:rsidR="00000D1D" w:rsidRDefault="00B55D45">
            <w:pPr>
              <w:jc w:val="center"/>
            </w:pPr>
            <w:r>
              <w:rPr>
                <w:rFonts w:eastAsiaTheme="minorEastAsia"/>
                <w:kern w:val="0"/>
                <w:sz w:val="24"/>
                <w:szCs w:val="24"/>
              </w:rPr>
              <w:t>6</w:t>
            </w:r>
          </w:p>
        </w:tc>
        <w:tc>
          <w:tcPr>
            <w:tcW w:w="1276" w:type="dxa"/>
            <w:vAlign w:val="center"/>
          </w:tcPr>
          <w:p w:rsidR="00000D1D" w:rsidRDefault="00B55D45">
            <w:pPr>
              <w:jc w:val="center"/>
            </w:pPr>
            <w:r>
              <w:rPr>
                <w:rFonts w:eastAsiaTheme="minorEastAsia"/>
                <w:kern w:val="0"/>
                <w:sz w:val="24"/>
                <w:szCs w:val="24"/>
              </w:rPr>
              <w:t>601992</w:t>
            </w:r>
          </w:p>
        </w:tc>
        <w:tc>
          <w:tcPr>
            <w:tcW w:w="1701" w:type="dxa"/>
            <w:vAlign w:val="center"/>
          </w:tcPr>
          <w:p w:rsidR="00000D1D" w:rsidRDefault="00B55D45">
            <w:pPr>
              <w:jc w:val="center"/>
            </w:pPr>
            <w:r>
              <w:rPr>
                <w:rFonts w:eastAsiaTheme="minorEastAsia"/>
                <w:kern w:val="0"/>
                <w:sz w:val="24"/>
                <w:szCs w:val="24"/>
              </w:rPr>
              <w:t>金隅集团</w:t>
            </w:r>
          </w:p>
        </w:tc>
        <w:tc>
          <w:tcPr>
            <w:tcW w:w="1276" w:type="dxa"/>
            <w:vAlign w:val="center"/>
          </w:tcPr>
          <w:p w:rsidR="00000D1D" w:rsidRDefault="00B55D45">
            <w:pPr>
              <w:jc w:val="right"/>
            </w:pPr>
            <w:r>
              <w:rPr>
                <w:rFonts w:eastAsiaTheme="minorEastAsia"/>
                <w:kern w:val="0"/>
                <w:sz w:val="24"/>
                <w:szCs w:val="24"/>
              </w:rPr>
              <w:t>125,600.00</w:t>
            </w:r>
          </w:p>
        </w:tc>
        <w:tc>
          <w:tcPr>
            <w:tcW w:w="1842" w:type="dxa"/>
            <w:vAlign w:val="center"/>
          </w:tcPr>
          <w:p w:rsidR="00000D1D" w:rsidRDefault="00B55D45">
            <w:pPr>
              <w:jc w:val="right"/>
            </w:pPr>
            <w:r>
              <w:rPr>
                <w:rFonts w:eastAsiaTheme="minorEastAsia"/>
                <w:kern w:val="0"/>
                <w:sz w:val="24"/>
                <w:szCs w:val="24"/>
              </w:rPr>
              <w:t>233,616.00</w:t>
            </w:r>
          </w:p>
        </w:tc>
        <w:tc>
          <w:tcPr>
            <w:tcW w:w="1616" w:type="dxa"/>
            <w:vAlign w:val="center"/>
          </w:tcPr>
          <w:p w:rsidR="00000D1D" w:rsidRDefault="00B55D45">
            <w:pPr>
              <w:jc w:val="right"/>
            </w:pPr>
            <w:r>
              <w:rPr>
                <w:rFonts w:eastAsiaTheme="minorEastAsia"/>
                <w:kern w:val="0"/>
                <w:sz w:val="24"/>
                <w:szCs w:val="24"/>
              </w:rPr>
              <w:t>1.33</w:t>
            </w:r>
          </w:p>
        </w:tc>
      </w:tr>
      <w:tr w:rsidR="00000D1D">
        <w:tc>
          <w:tcPr>
            <w:tcW w:w="817" w:type="dxa"/>
            <w:vAlign w:val="center"/>
          </w:tcPr>
          <w:p w:rsidR="00000D1D" w:rsidRDefault="00B55D45">
            <w:pPr>
              <w:jc w:val="center"/>
            </w:pPr>
            <w:r>
              <w:rPr>
                <w:rFonts w:eastAsiaTheme="minorEastAsia"/>
                <w:kern w:val="0"/>
                <w:sz w:val="24"/>
                <w:szCs w:val="24"/>
              </w:rPr>
              <w:t>7</w:t>
            </w:r>
          </w:p>
        </w:tc>
        <w:tc>
          <w:tcPr>
            <w:tcW w:w="1276" w:type="dxa"/>
            <w:vAlign w:val="center"/>
          </w:tcPr>
          <w:p w:rsidR="00000D1D" w:rsidRDefault="00B55D45">
            <w:pPr>
              <w:jc w:val="center"/>
            </w:pPr>
            <w:r>
              <w:rPr>
                <w:rFonts w:eastAsiaTheme="minorEastAsia"/>
                <w:kern w:val="0"/>
                <w:sz w:val="24"/>
                <w:szCs w:val="24"/>
              </w:rPr>
              <w:t>002911</w:t>
            </w:r>
          </w:p>
        </w:tc>
        <w:tc>
          <w:tcPr>
            <w:tcW w:w="1701" w:type="dxa"/>
            <w:vAlign w:val="center"/>
          </w:tcPr>
          <w:p w:rsidR="00000D1D" w:rsidRDefault="00B55D45">
            <w:pPr>
              <w:jc w:val="center"/>
            </w:pPr>
            <w:r>
              <w:rPr>
                <w:rFonts w:eastAsiaTheme="minorEastAsia"/>
                <w:kern w:val="0"/>
                <w:sz w:val="24"/>
                <w:szCs w:val="24"/>
              </w:rPr>
              <w:t>佛燃能源</w:t>
            </w:r>
          </w:p>
        </w:tc>
        <w:tc>
          <w:tcPr>
            <w:tcW w:w="1276" w:type="dxa"/>
            <w:vAlign w:val="center"/>
          </w:tcPr>
          <w:p w:rsidR="00000D1D" w:rsidRDefault="00B55D45">
            <w:pPr>
              <w:jc w:val="right"/>
            </w:pPr>
            <w:r>
              <w:rPr>
                <w:rFonts w:eastAsiaTheme="minorEastAsia"/>
                <w:kern w:val="0"/>
                <w:sz w:val="24"/>
                <w:szCs w:val="24"/>
              </w:rPr>
              <w:t>16,400.00</w:t>
            </w:r>
          </w:p>
        </w:tc>
        <w:tc>
          <w:tcPr>
            <w:tcW w:w="1842" w:type="dxa"/>
            <w:vAlign w:val="center"/>
          </w:tcPr>
          <w:p w:rsidR="00000D1D" w:rsidRDefault="00B55D45">
            <w:pPr>
              <w:jc w:val="right"/>
            </w:pPr>
            <w:r>
              <w:rPr>
                <w:rFonts w:eastAsiaTheme="minorEastAsia"/>
                <w:kern w:val="0"/>
                <w:sz w:val="24"/>
                <w:szCs w:val="24"/>
              </w:rPr>
              <w:t>223,532.00</w:t>
            </w:r>
          </w:p>
        </w:tc>
        <w:tc>
          <w:tcPr>
            <w:tcW w:w="1616" w:type="dxa"/>
            <w:vAlign w:val="center"/>
          </w:tcPr>
          <w:p w:rsidR="00000D1D" w:rsidRDefault="00B55D45">
            <w:pPr>
              <w:jc w:val="right"/>
            </w:pPr>
            <w:r>
              <w:rPr>
                <w:rFonts w:eastAsiaTheme="minorEastAsia"/>
                <w:kern w:val="0"/>
                <w:sz w:val="24"/>
                <w:szCs w:val="24"/>
              </w:rPr>
              <w:t>1.27</w:t>
            </w:r>
          </w:p>
        </w:tc>
      </w:tr>
      <w:tr w:rsidR="00000D1D">
        <w:tc>
          <w:tcPr>
            <w:tcW w:w="817" w:type="dxa"/>
            <w:vAlign w:val="center"/>
          </w:tcPr>
          <w:p w:rsidR="00000D1D" w:rsidRDefault="00B55D45">
            <w:pPr>
              <w:jc w:val="center"/>
            </w:pPr>
            <w:r>
              <w:rPr>
                <w:rFonts w:eastAsiaTheme="minorEastAsia"/>
                <w:kern w:val="0"/>
                <w:sz w:val="24"/>
                <w:szCs w:val="24"/>
              </w:rPr>
              <w:t>8</w:t>
            </w:r>
          </w:p>
        </w:tc>
        <w:tc>
          <w:tcPr>
            <w:tcW w:w="1276" w:type="dxa"/>
            <w:vAlign w:val="center"/>
          </w:tcPr>
          <w:p w:rsidR="00000D1D" w:rsidRDefault="00B55D45">
            <w:pPr>
              <w:jc w:val="center"/>
            </w:pPr>
            <w:r>
              <w:rPr>
                <w:rFonts w:eastAsiaTheme="minorEastAsia"/>
                <w:kern w:val="0"/>
                <w:sz w:val="24"/>
                <w:szCs w:val="24"/>
              </w:rPr>
              <w:t>600875</w:t>
            </w:r>
          </w:p>
        </w:tc>
        <w:tc>
          <w:tcPr>
            <w:tcW w:w="1701" w:type="dxa"/>
            <w:vAlign w:val="center"/>
          </w:tcPr>
          <w:p w:rsidR="00000D1D" w:rsidRDefault="00B55D45">
            <w:pPr>
              <w:jc w:val="center"/>
            </w:pPr>
            <w:r>
              <w:rPr>
                <w:rFonts w:eastAsiaTheme="minorEastAsia"/>
                <w:kern w:val="0"/>
                <w:sz w:val="24"/>
                <w:szCs w:val="24"/>
              </w:rPr>
              <w:t>东方电气</w:t>
            </w:r>
          </w:p>
        </w:tc>
        <w:tc>
          <w:tcPr>
            <w:tcW w:w="1276" w:type="dxa"/>
            <w:vAlign w:val="center"/>
          </w:tcPr>
          <w:p w:rsidR="00000D1D" w:rsidRDefault="00B55D45">
            <w:pPr>
              <w:jc w:val="right"/>
            </w:pPr>
            <w:r>
              <w:rPr>
                <w:rFonts w:eastAsiaTheme="minorEastAsia"/>
                <w:kern w:val="0"/>
                <w:sz w:val="24"/>
                <w:szCs w:val="24"/>
              </w:rPr>
              <w:t>13,900.00</w:t>
            </w:r>
          </w:p>
        </w:tc>
        <w:tc>
          <w:tcPr>
            <w:tcW w:w="1842" w:type="dxa"/>
            <w:vAlign w:val="center"/>
          </w:tcPr>
          <w:p w:rsidR="00000D1D" w:rsidRDefault="00B55D45">
            <w:pPr>
              <w:jc w:val="right"/>
            </w:pPr>
            <w:r>
              <w:rPr>
                <w:rFonts w:eastAsiaTheme="minorEastAsia"/>
                <w:kern w:val="0"/>
                <w:sz w:val="24"/>
                <w:szCs w:val="24"/>
              </w:rPr>
              <w:t>218,925.00</w:t>
            </w:r>
          </w:p>
        </w:tc>
        <w:tc>
          <w:tcPr>
            <w:tcW w:w="1616" w:type="dxa"/>
            <w:vAlign w:val="center"/>
          </w:tcPr>
          <w:p w:rsidR="00000D1D" w:rsidRDefault="00B55D45">
            <w:pPr>
              <w:jc w:val="right"/>
            </w:pPr>
            <w:r>
              <w:rPr>
                <w:rFonts w:eastAsiaTheme="minorEastAsia"/>
                <w:kern w:val="0"/>
                <w:sz w:val="24"/>
                <w:szCs w:val="24"/>
              </w:rPr>
              <w:t>1.25</w:t>
            </w:r>
          </w:p>
        </w:tc>
      </w:tr>
      <w:tr w:rsidR="00000D1D">
        <w:tc>
          <w:tcPr>
            <w:tcW w:w="817" w:type="dxa"/>
            <w:vAlign w:val="center"/>
          </w:tcPr>
          <w:p w:rsidR="00000D1D" w:rsidRDefault="00B55D45">
            <w:pPr>
              <w:jc w:val="center"/>
            </w:pPr>
            <w:r>
              <w:rPr>
                <w:rFonts w:eastAsiaTheme="minorEastAsia"/>
                <w:kern w:val="0"/>
                <w:sz w:val="24"/>
                <w:szCs w:val="24"/>
              </w:rPr>
              <w:lastRenderedPageBreak/>
              <w:t>9</w:t>
            </w:r>
          </w:p>
        </w:tc>
        <w:tc>
          <w:tcPr>
            <w:tcW w:w="1276" w:type="dxa"/>
            <w:vAlign w:val="center"/>
          </w:tcPr>
          <w:p w:rsidR="00000D1D" w:rsidRDefault="00B55D45">
            <w:pPr>
              <w:jc w:val="center"/>
            </w:pPr>
            <w:r>
              <w:rPr>
                <w:rFonts w:eastAsiaTheme="minorEastAsia"/>
                <w:kern w:val="0"/>
                <w:sz w:val="24"/>
                <w:szCs w:val="24"/>
              </w:rPr>
              <w:t>002152</w:t>
            </w:r>
          </w:p>
        </w:tc>
        <w:tc>
          <w:tcPr>
            <w:tcW w:w="1701" w:type="dxa"/>
            <w:vAlign w:val="center"/>
          </w:tcPr>
          <w:p w:rsidR="00000D1D" w:rsidRDefault="00B55D45">
            <w:pPr>
              <w:jc w:val="center"/>
            </w:pPr>
            <w:r>
              <w:rPr>
                <w:rFonts w:eastAsiaTheme="minorEastAsia"/>
                <w:kern w:val="0"/>
                <w:sz w:val="24"/>
                <w:szCs w:val="24"/>
              </w:rPr>
              <w:t>广电运通</w:t>
            </w:r>
          </w:p>
        </w:tc>
        <w:tc>
          <w:tcPr>
            <w:tcW w:w="1276" w:type="dxa"/>
            <w:vAlign w:val="center"/>
          </w:tcPr>
          <w:p w:rsidR="00000D1D" w:rsidRDefault="00B55D45">
            <w:pPr>
              <w:jc w:val="right"/>
            </w:pPr>
            <w:r>
              <w:rPr>
                <w:rFonts w:eastAsiaTheme="minorEastAsia"/>
                <w:kern w:val="0"/>
                <w:sz w:val="24"/>
                <w:szCs w:val="24"/>
              </w:rPr>
              <w:t>17,500.00</w:t>
            </w:r>
          </w:p>
        </w:tc>
        <w:tc>
          <w:tcPr>
            <w:tcW w:w="1842" w:type="dxa"/>
            <w:vAlign w:val="center"/>
          </w:tcPr>
          <w:p w:rsidR="00000D1D" w:rsidRDefault="00B55D45">
            <w:pPr>
              <w:jc w:val="right"/>
            </w:pPr>
            <w:r>
              <w:rPr>
                <w:rFonts w:eastAsiaTheme="minorEastAsia"/>
                <w:kern w:val="0"/>
                <w:sz w:val="24"/>
                <w:szCs w:val="24"/>
              </w:rPr>
              <w:t>212,450.00</w:t>
            </w:r>
          </w:p>
        </w:tc>
        <w:tc>
          <w:tcPr>
            <w:tcW w:w="1616" w:type="dxa"/>
            <w:vAlign w:val="center"/>
          </w:tcPr>
          <w:p w:rsidR="00000D1D" w:rsidRDefault="00B55D45">
            <w:pPr>
              <w:jc w:val="right"/>
            </w:pPr>
            <w:r>
              <w:rPr>
                <w:rFonts w:eastAsiaTheme="minorEastAsia"/>
                <w:kern w:val="0"/>
                <w:sz w:val="24"/>
                <w:szCs w:val="24"/>
              </w:rPr>
              <w:t>1.21</w:t>
            </w:r>
          </w:p>
        </w:tc>
      </w:tr>
      <w:tr w:rsidR="00000D1D">
        <w:tc>
          <w:tcPr>
            <w:tcW w:w="817" w:type="dxa"/>
            <w:vAlign w:val="center"/>
          </w:tcPr>
          <w:p w:rsidR="00000D1D" w:rsidRDefault="00B55D45">
            <w:pPr>
              <w:jc w:val="center"/>
            </w:pPr>
            <w:r>
              <w:rPr>
                <w:rFonts w:eastAsiaTheme="minorEastAsia"/>
                <w:kern w:val="0"/>
                <w:sz w:val="24"/>
                <w:szCs w:val="24"/>
              </w:rPr>
              <w:t>10</w:t>
            </w:r>
          </w:p>
        </w:tc>
        <w:tc>
          <w:tcPr>
            <w:tcW w:w="1276" w:type="dxa"/>
            <w:vAlign w:val="center"/>
          </w:tcPr>
          <w:p w:rsidR="00000D1D" w:rsidRDefault="00B55D45">
            <w:pPr>
              <w:jc w:val="center"/>
            </w:pPr>
            <w:r>
              <w:rPr>
                <w:rFonts w:eastAsiaTheme="minorEastAsia"/>
                <w:kern w:val="0"/>
                <w:sz w:val="24"/>
                <w:szCs w:val="24"/>
              </w:rPr>
              <w:t>600918</w:t>
            </w:r>
          </w:p>
        </w:tc>
        <w:tc>
          <w:tcPr>
            <w:tcW w:w="1701" w:type="dxa"/>
            <w:vAlign w:val="center"/>
          </w:tcPr>
          <w:p w:rsidR="00000D1D" w:rsidRDefault="00B55D45">
            <w:pPr>
              <w:jc w:val="center"/>
            </w:pPr>
            <w:r>
              <w:rPr>
                <w:rFonts w:eastAsiaTheme="minorEastAsia"/>
                <w:kern w:val="0"/>
                <w:sz w:val="24"/>
                <w:szCs w:val="24"/>
              </w:rPr>
              <w:t>中泰证券</w:t>
            </w:r>
          </w:p>
        </w:tc>
        <w:tc>
          <w:tcPr>
            <w:tcW w:w="1276" w:type="dxa"/>
            <w:vAlign w:val="center"/>
          </w:tcPr>
          <w:p w:rsidR="00000D1D" w:rsidRDefault="00B55D45">
            <w:pPr>
              <w:jc w:val="right"/>
            </w:pPr>
            <w:r>
              <w:rPr>
                <w:rFonts w:eastAsiaTheme="minorEastAsia"/>
                <w:kern w:val="0"/>
                <w:sz w:val="24"/>
                <w:szCs w:val="24"/>
              </w:rPr>
              <w:t>31,700.00</w:t>
            </w:r>
          </w:p>
        </w:tc>
        <w:tc>
          <w:tcPr>
            <w:tcW w:w="1842" w:type="dxa"/>
            <w:vAlign w:val="center"/>
          </w:tcPr>
          <w:p w:rsidR="00000D1D" w:rsidRDefault="00B55D45">
            <w:pPr>
              <w:jc w:val="right"/>
            </w:pPr>
            <w:r>
              <w:rPr>
                <w:rFonts w:eastAsiaTheme="minorEastAsia"/>
                <w:kern w:val="0"/>
                <w:sz w:val="24"/>
                <w:szCs w:val="24"/>
              </w:rPr>
              <w:t>211,122.00</w:t>
            </w:r>
          </w:p>
        </w:tc>
        <w:tc>
          <w:tcPr>
            <w:tcW w:w="1616" w:type="dxa"/>
            <w:vAlign w:val="center"/>
          </w:tcPr>
          <w:p w:rsidR="00000D1D" w:rsidRDefault="00B55D45">
            <w:pPr>
              <w:jc w:val="right"/>
            </w:pPr>
            <w:r>
              <w:rPr>
                <w:rFonts w:eastAsiaTheme="minorEastAsia"/>
                <w:kern w:val="0"/>
                <w:sz w:val="24"/>
                <w:szCs w:val="24"/>
              </w:rPr>
              <w:t>1.20</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3,381.50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511.99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3,893.49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16,329,528.78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93,996.05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292,258.10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16,131,266.73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256,634.52</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256,634.52</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、中国证监会准予本基金募集注册的文件</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、《摩根量化多因子灵活配置混合型证券投资基金基金合同》</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、《摩根量化多因子灵活配置混合型证券投资基金托管协议》</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000D1D" w:rsidRDefault="00B55D45">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55D45" w:rsidRPr="00B55D4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55D4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摩根量化多因子灵活配置混合型证券投资基金</w:t>
    </w:r>
    <w:r>
      <w:rPr>
        <w:rFonts w:hint="eastAsia"/>
      </w:rPr>
      <w:t>2024</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D1D"/>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55D45"/>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9D8A5-448C-4F02-B3E6-528748C8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270</cp:revision>
  <dcterms:created xsi:type="dcterms:W3CDTF">2012-10-16T06:07:00Z</dcterms:created>
  <dcterms:modified xsi:type="dcterms:W3CDTF">2024-04-19T02:29:00Z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