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摩根量化多因子灵活配置混合型证券投资基金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2023</w:t>
      </w:r>
      <w:r w:rsidRPr="00FF6B9A">
        <w:rPr>
          <w:rFonts w:eastAsiaTheme="minorEastAsia"/>
          <w:b/>
          <w:color w:val="000000" w:themeColor="text1"/>
          <w:sz w:val="36"/>
          <w:szCs w:val="36"/>
        </w:rPr>
        <w:t>年第</w:t>
      </w:r>
      <w:r w:rsidRPr="00FF6B9A">
        <w:rPr>
          <w:rFonts w:eastAsiaTheme="minorEastAsia"/>
          <w:b/>
          <w:color w:val="000000" w:themeColor="text1"/>
          <w:sz w:val="36"/>
          <w:szCs w:val="36"/>
        </w:rPr>
        <w:t>1</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2023</w:t>
      </w:r>
      <w:r w:rsidRPr="00FF6B9A">
        <w:rPr>
          <w:rFonts w:eastAsiaTheme="minorEastAsia"/>
          <w:b/>
          <w:color w:val="000000" w:themeColor="text1"/>
          <w:sz w:val="36"/>
          <w:szCs w:val="36"/>
        </w:rPr>
        <w:t>年</w:t>
      </w:r>
      <w:r w:rsidRPr="00FF6B9A">
        <w:rPr>
          <w:rFonts w:eastAsiaTheme="minorEastAsia"/>
          <w:b/>
          <w:color w:val="000000" w:themeColor="text1"/>
          <w:sz w:val="36"/>
          <w:szCs w:val="36"/>
        </w:rPr>
        <w:t>3</w:t>
      </w:r>
      <w:r w:rsidRPr="00FF6B9A">
        <w:rPr>
          <w:rFonts w:eastAsiaTheme="minorEastAsia"/>
          <w:b/>
          <w:color w:val="000000" w:themeColor="text1"/>
          <w:sz w:val="36"/>
          <w:szCs w:val="36"/>
        </w:rPr>
        <w:t>月</w:t>
      </w:r>
      <w:r w:rsidRPr="00FF6B9A">
        <w:rPr>
          <w:rFonts w:eastAsiaTheme="minorEastAsia"/>
          <w:b/>
          <w:color w:val="000000" w:themeColor="text1"/>
          <w:sz w:val="36"/>
          <w:szCs w:val="36"/>
        </w:rPr>
        <w:t>31</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基金管理人：摩根基金管理（中国）有限公司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基金托管人：中国工商银行股份有限公司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报告送出日期：二〇二三年四月二十一日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C605DE" w:rsidRDefault="00705A95">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C605DE" w:rsidRDefault="00705A95">
      <w:pPr>
        <w:spacing w:line="360" w:lineRule="auto"/>
        <w:ind w:firstLineChars="200" w:firstLine="420"/>
        <w:rPr>
          <w:rFonts w:eastAsiaTheme="minorEastAsia"/>
          <w:color w:val="000000" w:themeColor="text1"/>
        </w:rPr>
      </w:pPr>
      <w:r>
        <w:rPr>
          <w:rFonts w:eastAsiaTheme="minorEastAsia"/>
          <w:color w:val="000000" w:themeColor="text1"/>
        </w:rPr>
        <w:t>基金托管人中国工商银行股份有限公司根据本基金合同规定，于</w:t>
      </w:r>
      <w:r>
        <w:rPr>
          <w:rFonts w:eastAsiaTheme="minorEastAsia"/>
          <w:color w:val="000000" w:themeColor="text1"/>
        </w:rPr>
        <w:t>2023</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w:t>
      </w:r>
      <w:r>
        <w:rPr>
          <w:rFonts w:eastAsiaTheme="minorEastAsia"/>
          <w:color w:val="000000" w:themeColor="text1"/>
        </w:rPr>
        <w:t>20</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C605DE" w:rsidRDefault="00705A95">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C605DE" w:rsidRDefault="00705A95">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C605DE" w:rsidRDefault="00705A95">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2023</w:t>
      </w:r>
      <w:r w:rsidRPr="00FF6B9A">
        <w:rPr>
          <w:rFonts w:eastAsiaTheme="minorEastAsia"/>
          <w:color w:val="000000" w:themeColor="text1"/>
        </w:rPr>
        <w:t>年</w:t>
      </w:r>
      <w:r w:rsidRPr="00FF6B9A">
        <w:rPr>
          <w:rFonts w:eastAsiaTheme="minorEastAsia"/>
          <w:color w:val="000000" w:themeColor="text1"/>
        </w:rPr>
        <w:t>1</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3</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摩根量化多因子混合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005120</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005120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2018</w:t>
            </w:r>
            <w:r w:rsidRPr="00FF6B9A">
              <w:rPr>
                <w:rFonts w:eastAsiaTheme="minorEastAsia"/>
                <w:color w:val="000000" w:themeColor="text1"/>
                <w:kern w:val="0"/>
              </w:rPr>
              <w:t>年</w:t>
            </w:r>
            <w:r w:rsidRPr="00FF6B9A">
              <w:rPr>
                <w:rFonts w:eastAsiaTheme="minorEastAsia"/>
                <w:color w:val="000000" w:themeColor="text1"/>
                <w:kern w:val="0"/>
              </w:rPr>
              <w:t>1</w:t>
            </w:r>
            <w:r w:rsidRPr="00FF6B9A">
              <w:rPr>
                <w:rFonts w:eastAsiaTheme="minorEastAsia"/>
                <w:color w:val="000000" w:themeColor="text1"/>
                <w:kern w:val="0"/>
              </w:rPr>
              <w:t>月</w:t>
            </w:r>
            <w:r w:rsidRPr="00FF6B9A">
              <w:rPr>
                <w:rFonts w:eastAsiaTheme="minorEastAsia"/>
                <w:color w:val="000000" w:themeColor="text1"/>
                <w:kern w:val="0"/>
              </w:rPr>
              <w:t>19</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14,752,278.38</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采用量化投资对基金资产进行积极管理，力争获取超越业绩基准的投资收益。</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C605DE" w:rsidRDefault="00705A95">
            <w:pPr>
              <w:adjustRightInd w:val="0"/>
              <w:spacing w:before="29" w:line="360" w:lineRule="auto"/>
              <w:ind w:left="17"/>
              <w:rPr>
                <w:rFonts w:eastAsiaTheme="minorEastAsia"/>
                <w:color w:val="000000" w:themeColor="text1"/>
              </w:rPr>
            </w:pPr>
            <w:r>
              <w:rPr>
                <w:rFonts w:eastAsiaTheme="minorEastAsia"/>
                <w:color w:val="000000" w:themeColor="text1"/>
                <w:kern w:val="0"/>
              </w:rPr>
              <w:t>本基金采用</w:t>
            </w:r>
            <w:r>
              <w:rPr>
                <w:rFonts w:eastAsiaTheme="minorEastAsia"/>
                <w:color w:val="000000" w:themeColor="text1"/>
                <w:kern w:val="0"/>
              </w:rPr>
              <w:t>“</w:t>
            </w:r>
            <w:r>
              <w:rPr>
                <w:rFonts w:eastAsiaTheme="minorEastAsia"/>
                <w:color w:val="000000" w:themeColor="text1"/>
                <w:kern w:val="0"/>
              </w:rPr>
              <w:t>量化多因子模型</w:t>
            </w:r>
            <w:r>
              <w:rPr>
                <w:rFonts w:eastAsiaTheme="minorEastAsia"/>
                <w:color w:val="000000" w:themeColor="text1"/>
                <w:kern w:val="0"/>
              </w:rPr>
              <w:t>”</w:t>
            </w:r>
            <w:r>
              <w:rPr>
                <w:rFonts w:eastAsiaTheme="minorEastAsia"/>
                <w:color w:val="000000" w:themeColor="text1"/>
                <w:kern w:val="0"/>
              </w:rPr>
              <w:t>进行个股选择，并结合适当的资产配置策略搭建基金投资组合。</w:t>
            </w:r>
          </w:p>
          <w:p w:rsidR="00C605DE" w:rsidRDefault="00705A95">
            <w:pPr>
              <w:adjustRightInd w:val="0"/>
              <w:spacing w:before="29" w:line="360" w:lineRule="auto"/>
              <w:ind w:left="17"/>
              <w:rPr>
                <w:rFonts w:eastAsiaTheme="minorEastAsia"/>
                <w:color w:val="000000" w:themeColor="text1"/>
              </w:rPr>
            </w:pPr>
            <w:r>
              <w:rPr>
                <w:rFonts w:eastAsiaTheme="minorEastAsia"/>
                <w:color w:val="000000" w:themeColor="text1"/>
                <w:kern w:val="0"/>
              </w:rPr>
              <w:t>资产配置方面，本基金通过对宏观经济、国家政策、资金面和市场情绪等影响证券市场的等因素进行深入分析，确定基金资产在股票、债券及现金等类别资产间的分配比</w:t>
            </w:r>
            <w:r>
              <w:rPr>
                <w:rFonts w:eastAsiaTheme="minorEastAsia"/>
                <w:color w:val="000000" w:themeColor="text1"/>
                <w:kern w:val="0"/>
              </w:rPr>
              <w:lastRenderedPageBreak/>
              <w:t>例，并动态优化投资组合。</w:t>
            </w:r>
          </w:p>
          <w:p w:rsidR="00C605DE" w:rsidRDefault="00705A95">
            <w:pPr>
              <w:adjustRightInd w:val="0"/>
              <w:spacing w:before="29" w:line="360" w:lineRule="auto"/>
              <w:ind w:left="17"/>
              <w:rPr>
                <w:rFonts w:eastAsiaTheme="minorEastAsia"/>
                <w:color w:val="000000" w:themeColor="text1"/>
              </w:rPr>
            </w:pPr>
            <w:r>
              <w:rPr>
                <w:rFonts w:eastAsiaTheme="minorEastAsia"/>
                <w:color w:val="000000" w:themeColor="text1"/>
                <w:kern w:val="0"/>
              </w:rPr>
              <w:t>在股票投资过程中，本基金将运用</w:t>
            </w:r>
            <w:r>
              <w:rPr>
                <w:rFonts w:eastAsiaTheme="minorEastAsia"/>
                <w:color w:val="000000" w:themeColor="text1"/>
                <w:kern w:val="0"/>
              </w:rPr>
              <w:t>“</w:t>
            </w:r>
            <w:r>
              <w:rPr>
                <w:rFonts w:eastAsiaTheme="minorEastAsia"/>
                <w:color w:val="000000" w:themeColor="text1"/>
                <w:kern w:val="0"/>
              </w:rPr>
              <w:t>量化多因子模型</w:t>
            </w:r>
            <w:r>
              <w:rPr>
                <w:rFonts w:eastAsiaTheme="minorEastAsia"/>
                <w:color w:val="000000" w:themeColor="text1"/>
                <w:kern w:val="0"/>
              </w:rPr>
              <w:t>”</w:t>
            </w:r>
            <w:r>
              <w:rPr>
                <w:rFonts w:eastAsiaTheme="minorEastAsia"/>
                <w:color w:val="000000" w:themeColor="text1"/>
                <w:kern w:val="0"/>
              </w:rPr>
              <w:t>选股构建股票投资组合的投资策略，对基金资产进行积极管理，力争获取超越业绩基准的投资收益。</w:t>
            </w:r>
          </w:p>
          <w:p w:rsidR="00C605DE" w:rsidRDefault="00705A95">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C605DE" w:rsidRDefault="00705A95">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t xml:space="preserve"> GDP </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C605DE" w:rsidRDefault="00705A95">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C605DE" w:rsidRDefault="00705A95">
            <w:pPr>
              <w:adjustRightInd w:val="0"/>
              <w:spacing w:before="29" w:line="360" w:lineRule="auto"/>
              <w:ind w:left="17"/>
              <w:rPr>
                <w:rFonts w:eastAsiaTheme="minorEastAsia"/>
                <w:color w:val="000000" w:themeColor="text1"/>
              </w:rPr>
            </w:pPr>
            <w:r>
              <w:rPr>
                <w:rFonts w:eastAsiaTheme="minorEastAsia"/>
                <w:color w:val="000000" w:themeColor="text1"/>
                <w:kern w:val="0"/>
              </w:rPr>
              <w:t>本基金通过基金管理人量化投资团队开发的</w:t>
            </w:r>
            <w:r>
              <w:rPr>
                <w:rFonts w:eastAsiaTheme="minorEastAsia"/>
                <w:color w:val="000000" w:themeColor="text1"/>
                <w:kern w:val="0"/>
              </w:rPr>
              <w:t>“</w:t>
            </w:r>
            <w:r>
              <w:rPr>
                <w:rFonts w:eastAsiaTheme="minorEastAsia"/>
                <w:color w:val="000000" w:themeColor="text1"/>
                <w:kern w:val="0"/>
              </w:rPr>
              <w:t>量化多因子模型</w:t>
            </w:r>
            <w:r>
              <w:rPr>
                <w:rFonts w:eastAsiaTheme="minorEastAsia"/>
                <w:color w:val="000000" w:themeColor="text1"/>
                <w:kern w:val="0"/>
              </w:rPr>
              <w:t>”</w:t>
            </w:r>
            <w:r>
              <w:rPr>
                <w:rFonts w:eastAsiaTheme="minorEastAsia"/>
                <w:color w:val="000000" w:themeColor="text1"/>
                <w:kern w:val="0"/>
              </w:rPr>
              <w:t>进行股</w:t>
            </w:r>
            <w:r>
              <w:rPr>
                <w:rFonts w:eastAsiaTheme="minorEastAsia"/>
                <w:color w:val="000000" w:themeColor="text1"/>
                <w:kern w:val="0"/>
              </w:rPr>
              <w:t>票选择并据此构建股票投资组合。</w:t>
            </w:r>
            <w:r>
              <w:rPr>
                <w:rFonts w:eastAsiaTheme="minorEastAsia"/>
                <w:color w:val="000000" w:themeColor="text1"/>
                <w:kern w:val="0"/>
              </w:rPr>
              <w:t>“</w:t>
            </w:r>
            <w:r>
              <w:rPr>
                <w:rFonts w:eastAsiaTheme="minorEastAsia"/>
                <w:color w:val="000000" w:themeColor="text1"/>
                <w:kern w:val="0"/>
              </w:rPr>
              <w:t>量化多因子模型</w:t>
            </w:r>
            <w:r>
              <w:rPr>
                <w:rFonts w:eastAsiaTheme="minorEastAsia"/>
                <w:color w:val="000000" w:themeColor="text1"/>
                <w:kern w:val="0"/>
              </w:rPr>
              <w:t>”</w:t>
            </w:r>
            <w:r>
              <w:rPr>
                <w:rFonts w:eastAsiaTheme="minorEastAsia"/>
                <w:color w:val="000000" w:themeColor="text1"/>
                <w:kern w:val="0"/>
              </w:rPr>
              <w:t>在实际运行过程中将进行定期动态调整，力争股票配置最优化，以期持续超越业绩比较基准收益率的投资目标。</w:t>
            </w:r>
          </w:p>
          <w:p w:rsidR="00C605DE" w:rsidRDefault="00705A95">
            <w:pPr>
              <w:adjustRightInd w:val="0"/>
              <w:spacing w:before="29" w:line="360" w:lineRule="auto"/>
              <w:ind w:left="17"/>
              <w:rPr>
                <w:rFonts w:eastAsiaTheme="minorEastAsia"/>
                <w:color w:val="000000" w:themeColor="text1"/>
              </w:rPr>
            </w:pPr>
            <w:r>
              <w:rPr>
                <w:rFonts w:eastAsiaTheme="minorEastAsia"/>
                <w:color w:val="000000" w:themeColor="text1"/>
                <w:kern w:val="0"/>
              </w:rPr>
              <w:t>“</w:t>
            </w:r>
            <w:r>
              <w:rPr>
                <w:rFonts w:eastAsiaTheme="minorEastAsia"/>
                <w:color w:val="000000" w:themeColor="text1"/>
                <w:kern w:val="0"/>
              </w:rPr>
              <w:t>量化多因子模型</w:t>
            </w:r>
            <w:r>
              <w:rPr>
                <w:rFonts w:eastAsiaTheme="minorEastAsia"/>
                <w:color w:val="000000" w:themeColor="text1"/>
                <w:kern w:val="0"/>
              </w:rPr>
              <w:t>”</w:t>
            </w:r>
            <w:r>
              <w:rPr>
                <w:rFonts w:eastAsiaTheme="minorEastAsia"/>
                <w:color w:val="000000" w:themeColor="text1"/>
                <w:kern w:val="0"/>
              </w:rPr>
              <w:t>是基于因子动量的可持续性的逻辑，由本基金管理人量化投资团队开发的更具针对性和实用性的数量化选股模型。通过筛选因子、因子打分、因子动态调整等步骤建立选股模型。通过各个因子的权重对所有个股进行打分，构建在当前市场环境下得分较高的股票组合。并根据市场运行情况，定期更新因子，对备选股票进行重新打分和排序，进行组合调整。</w:t>
            </w:r>
          </w:p>
          <w:p w:rsidR="00C605DE" w:rsidRDefault="00705A95">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、债券投资策略</w:t>
            </w:r>
          </w:p>
          <w:p w:rsidR="00C605DE" w:rsidRDefault="00705A95">
            <w:pPr>
              <w:adjustRightInd w:val="0"/>
              <w:spacing w:before="29" w:line="360" w:lineRule="auto"/>
              <w:ind w:left="17"/>
              <w:rPr>
                <w:rFonts w:eastAsiaTheme="minorEastAsia"/>
                <w:color w:val="000000" w:themeColor="text1"/>
              </w:rPr>
            </w:pPr>
            <w:r>
              <w:rPr>
                <w:rFonts w:eastAsiaTheme="minorEastAsia"/>
                <w:color w:val="000000" w:themeColor="text1"/>
                <w:kern w:val="0"/>
              </w:rPr>
              <w:t>本基金将在控制市场风险与流动性风险的前提下，根据对</w:t>
            </w:r>
            <w:r>
              <w:rPr>
                <w:rFonts w:eastAsiaTheme="minorEastAsia"/>
                <w:color w:val="000000" w:themeColor="text1"/>
                <w:kern w:val="0"/>
              </w:rPr>
              <w:lastRenderedPageBreak/>
              <w:t>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4</w:t>
            </w:r>
            <w:r w:rsidRPr="00FF6B9A">
              <w:rPr>
                <w:rFonts w:eastAsiaTheme="minorEastAsia"/>
                <w:color w:val="000000" w:themeColor="text1"/>
                <w:kern w:val="0"/>
              </w:rPr>
              <w:t>、其他投资策略：包括存托凭证投资策略、股指期货投资策略、资产支持证券投资策略、股票期权投资策略等。</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500</w:t>
            </w:r>
            <w:r w:rsidRPr="00FF6B9A">
              <w:rPr>
                <w:rFonts w:eastAsiaTheme="minorEastAsia"/>
                <w:color w:val="000000" w:themeColor="text1"/>
                <w:kern w:val="0"/>
              </w:rPr>
              <w:t>指数收益率</w:t>
            </w:r>
            <w:r w:rsidRPr="00FF6B9A">
              <w:rPr>
                <w:rFonts w:eastAsiaTheme="minorEastAsia"/>
                <w:color w:val="000000" w:themeColor="text1"/>
                <w:kern w:val="0"/>
              </w:rPr>
              <w:t>×95%+</w:t>
            </w:r>
            <w:r w:rsidRPr="00FF6B9A">
              <w:rPr>
                <w:rFonts w:eastAsiaTheme="minorEastAsia"/>
                <w:color w:val="000000" w:themeColor="text1"/>
                <w:kern w:val="0"/>
              </w:rPr>
              <w:t>银行活期存款利率</w:t>
            </w:r>
            <w:r w:rsidRPr="00FF6B9A">
              <w:rPr>
                <w:rFonts w:eastAsiaTheme="minorEastAsia"/>
                <w:color w:val="000000" w:themeColor="text1"/>
                <w:kern w:val="0"/>
              </w:rPr>
              <w:t>(</w:t>
            </w:r>
            <w:r w:rsidRPr="00FF6B9A">
              <w:rPr>
                <w:rFonts w:eastAsiaTheme="minorEastAsia"/>
                <w:color w:val="000000" w:themeColor="text1"/>
                <w:kern w:val="0"/>
              </w:rPr>
              <w:t>税后</w:t>
            </w:r>
            <w:r w:rsidRPr="00FF6B9A">
              <w:rPr>
                <w:rFonts w:eastAsiaTheme="minorEastAsia"/>
                <w:color w:val="000000" w:themeColor="text1"/>
                <w:kern w:val="0"/>
              </w:rPr>
              <w:t>)×5%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C605DE" w:rsidRDefault="00705A95">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本基金属于混合型基金产品，预期风险和收益水平高于债券型基金和货币市场基金，低于股票型基金，属于较高风险收益水平的基金产品。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摩根基金管理（中国）有限公司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中国工商银行股份有限公司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705A95" w:rsidRPr="00FF6B9A" w:rsidTr="00705A95">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(2023</w:t>
            </w:r>
            <w:r w:rsidRPr="00FF6B9A">
              <w:rPr>
                <w:rFonts w:eastAsiaTheme="minorEastAsia"/>
                <w:color w:val="000000" w:themeColor="text1"/>
              </w:rPr>
              <w:t>年</w:t>
            </w:r>
            <w:r w:rsidRPr="00FF6B9A">
              <w:rPr>
                <w:rFonts w:eastAsiaTheme="minorEastAsia"/>
                <w:color w:val="000000" w:themeColor="text1"/>
              </w:rPr>
              <w:t>1</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-2023</w:t>
            </w:r>
            <w:r w:rsidRPr="00FF6B9A">
              <w:rPr>
                <w:rFonts w:eastAsiaTheme="minorEastAsia"/>
                <w:color w:val="000000" w:themeColor="text1"/>
              </w:rPr>
              <w:t>年</w:t>
            </w:r>
            <w:r w:rsidRPr="00FF6B9A">
              <w:rPr>
                <w:rFonts w:eastAsiaTheme="minorEastAsia"/>
                <w:color w:val="000000" w:themeColor="text1"/>
              </w:rPr>
              <w:t>3</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w:t>
            </w:r>
            <w:r w:rsidRPr="00FF6B9A">
              <w:rPr>
                <w:rFonts w:eastAsiaTheme="minorEastAsia"/>
                <w:color w:val="000000" w:themeColor="text1"/>
              </w:rPr>
              <w:t>)</w:t>
            </w:r>
          </w:p>
        </w:tc>
      </w:tr>
      <w:tr w:rsidR="00705A95" w:rsidRPr="00FF6B9A" w:rsidTr="00705A95">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407,734.93</w:t>
            </w:r>
          </w:p>
        </w:tc>
      </w:tr>
      <w:tr w:rsidR="00705A95" w:rsidRPr="00FF6B9A" w:rsidTr="00705A95">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1,068,723.29</w:t>
            </w:r>
          </w:p>
        </w:tc>
      </w:tr>
      <w:tr w:rsidR="00705A95" w:rsidRPr="00FF6B9A" w:rsidTr="00705A95">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lastRenderedPageBreak/>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0.0715</w:t>
            </w:r>
          </w:p>
        </w:tc>
      </w:tr>
      <w:tr w:rsidR="00705A95" w:rsidRPr="00FF6B9A" w:rsidTr="00705A95">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19,645,767.67</w:t>
            </w:r>
          </w:p>
        </w:tc>
      </w:tr>
      <w:tr w:rsidR="00705A95" w:rsidRPr="00FF6B9A" w:rsidTr="00705A95">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1.3317</w:t>
            </w:r>
          </w:p>
        </w:tc>
      </w:tr>
    </w:tbl>
    <w:p w:rsidR="00C605DE" w:rsidRDefault="00705A95">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C605DE">
        <w:tc>
          <w:tcPr>
            <w:tcW w:w="1395" w:type="dxa"/>
            <w:vAlign w:val="center"/>
          </w:tcPr>
          <w:p w:rsidR="00C605DE" w:rsidRDefault="00705A95">
            <w:pPr>
              <w:jc w:val="left"/>
            </w:pPr>
            <w:r>
              <w:rPr>
                <w:rFonts w:eastAsiaTheme="minorEastAsia"/>
                <w:color w:val="000000" w:themeColor="text1"/>
                <w:kern w:val="0"/>
              </w:rPr>
              <w:t>过去三个月</w:t>
            </w:r>
          </w:p>
        </w:tc>
        <w:tc>
          <w:tcPr>
            <w:tcW w:w="1092" w:type="dxa"/>
            <w:vAlign w:val="center"/>
          </w:tcPr>
          <w:p w:rsidR="00C605DE" w:rsidRDefault="00705A95">
            <w:pPr>
              <w:jc w:val="center"/>
            </w:pPr>
            <w:r>
              <w:rPr>
                <w:rFonts w:eastAsiaTheme="minorEastAsia"/>
                <w:color w:val="000000" w:themeColor="text1"/>
                <w:kern w:val="0"/>
              </w:rPr>
              <w:t>5.76%</w:t>
            </w:r>
          </w:p>
        </w:tc>
        <w:tc>
          <w:tcPr>
            <w:tcW w:w="1161" w:type="dxa"/>
            <w:vAlign w:val="center"/>
          </w:tcPr>
          <w:p w:rsidR="00C605DE" w:rsidRDefault="00705A95">
            <w:pPr>
              <w:jc w:val="center"/>
            </w:pPr>
            <w:r>
              <w:rPr>
                <w:rFonts w:eastAsiaTheme="minorEastAsia"/>
                <w:color w:val="000000" w:themeColor="text1"/>
                <w:kern w:val="0"/>
              </w:rPr>
              <w:t>0.71%</w:t>
            </w:r>
          </w:p>
        </w:tc>
        <w:tc>
          <w:tcPr>
            <w:tcW w:w="1181" w:type="dxa"/>
            <w:vAlign w:val="center"/>
          </w:tcPr>
          <w:p w:rsidR="00C605DE" w:rsidRDefault="00705A95">
            <w:pPr>
              <w:jc w:val="center"/>
            </w:pPr>
            <w:r>
              <w:rPr>
                <w:rFonts w:eastAsiaTheme="minorEastAsia"/>
                <w:color w:val="000000" w:themeColor="text1"/>
                <w:kern w:val="0"/>
              </w:rPr>
              <w:t>7.70%</w:t>
            </w:r>
          </w:p>
        </w:tc>
        <w:tc>
          <w:tcPr>
            <w:tcW w:w="1188" w:type="dxa"/>
            <w:vAlign w:val="center"/>
          </w:tcPr>
          <w:p w:rsidR="00C605DE" w:rsidRDefault="00705A95">
            <w:pPr>
              <w:jc w:val="center"/>
            </w:pPr>
            <w:r>
              <w:rPr>
                <w:rFonts w:eastAsiaTheme="minorEastAsia"/>
                <w:color w:val="000000" w:themeColor="text1"/>
                <w:kern w:val="0"/>
              </w:rPr>
              <w:t>0.70%</w:t>
            </w:r>
          </w:p>
        </w:tc>
        <w:tc>
          <w:tcPr>
            <w:tcW w:w="1199" w:type="dxa"/>
            <w:vAlign w:val="center"/>
          </w:tcPr>
          <w:p w:rsidR="00C605DE" w:rsidRDefault="00705A95">
            <w:pPr>
              <w:jc w:val="center"/>
            </w:pPr>
            <w:r>
              <w:rPr>
                <w:rFonts w:eastAsiaTheme="minorEastAsia"/>
                <w:color w:val="000000" w:themeColor="text1"/>
                <w:kern w:val="0"/>
              </w:rPr>
              <w:t>-1.94%</w:t>
            </w:r>
          </w:p>
        </w:tc>
        <w:tc>
          <w:tcPr>
            <w:tcW w:w="1204" w:type="dxa"/>
            <w:vAlign w:val="center"/>
          </w:tcPr>
          <w:p w:rsidR="00C605DE" w:rsidRDefault="00705A95">
            <w:pPr>
              <w:jc w:val="center"/>
            </w:pPr>
            <w:r>
              <w:rPr>
                <w:rFonts w:eastAsiaTheme="minorEastAsia"/>
                <w:color w:val="000000" w:themeColor="text1"/>
                <w:kern w:val="0"/>
              </w:rPr>
              <w:t>0.01%</w:t>
            </w:r>
          </w:p>
        </w:tc>
      </w:tr>
      <w:tr w:rsidR="00C605DE">
        <w:tc>
          <w:tcPr>
            <w:tcW w:w="1395" w:type="dxa"/>
            <w:vAlign w:val="center"/>
          </w:tcPr>
          <w:p w:rsidR="00C605DE" w:rsidRDefault="00705A95">
            <w:pPr>
              <w:jc w:val="left"/>
            </w:pPr>
            <w:r>
              <w:rPr>
                <w:rFonts w:eastAsiaTheme="minorEastAsia"/>
                <w:color w:val="000000" w:themeColor="text1"/>
                <w:kern w:val="0"/>
              </w:rPr>
              <w:t>过去六个月</w:t>
            </w:r>
          </w:p>
        </w:tc>
        <w:tc>
          <w:tcPr>
            <w:tcW w:w="1092" w:type="dxa"/>
            <w:vAlign w:val="center"/>
          </w:tcPr>
          <w:p w:rsidR="00C605DE" w:rsidRDefault="00705A95">
            <w:pPr>
              <w:jc w:val="center"/>
            </w:pPr>
            <w:r>
              <w:rPr>
                <w:rFonts w:eastAsiaTheme="minorEastAsia"/>
                <w:color w:val="000000" w:themeColor="text1"/>
                <w:kern w:val="0"/>
              </w:rPr>
              <w:t>7.02%</w:t>
            </w:r>
          </w:p>
        </w:tc>
        <w:tc>
          <w:tcPr>
            <w:tcW w:w="1161" w:type="dxa"/>
            <w:vAlign w:val="center"/>
          </w:tcPr>
          <w:p w:rsidR="00C605DE" w:rsidRDefault="00705A95">
            <w:pPr>
              <w:jc w:val="center"/>
            </w:pPr>
            <w:r>
              <w:rPr>
                <w:rFonts w:eastAsiaTheme="minorEastAsia"/>
                <w:color w:val="000000" w:themeColor="text1"/>
                <w:kern w:val="0"/>
              </w:rPr>
              <w:t>0.89%</w:t>
            </w:r>
          </w:p>
        </w:tc>
        <w:tc>
          <w:tcPr>
            <w:tcW w:w="1181" w:type="dxa"/>
            <w:vAlign w:val="center"/>
          </w:tcPr>
          <w:p w:rsidR="00C605DE" w:rsidRDefault="00705A95">
            <w:pPr>
              <w:jc w:val="center"/>
            </w:pPr>
            <w:r>
              <w:rPr>
                <w:rFonts w:eastAsiaTheme="minorEastAsia"/>
                <w:color w:val="000000" w:themeColor="text1"/>
                <w:kern w:val="0"/>
              </w:rPr>
              <w:t>10.41%</w:t>
            </w:r>
          </w:p>
        </w:tc>
        <w:tc>
          <w:tcPr>
            <w:tcW w:w="1188" w:type="dxa"/>
            <w:vAlign w:val="center"/>
          </w:tcPr>
          <w:p w:rsidR="00C605DE" w:rsidRDefault="00705A95">
            <w:pPr>
              <w:jc w:val="center"/>
            </w:pPr>
            <w:r>
              <w:rPr>
                <w:rFonts w:eastAsiaTheme="minorEastAsia"/>
                <w:color w:val="000000" w:themeColor="text1"/>
                <w:kern w:val="0"/>
              </w:rPr>
              <w:t>0.85%</w:t>
            </w:r>
          </w:p>
        </w:tc>
        <w:tc>
          <w:tcPr>
            <w:tcW w:w="1199" w:type="dxa"/>
            <w:vAlign w:val="center"/>
          </w:tcPr>
          <w:p w:rsidR="00C605DE" w:rsidRDefault="00705A95">
            <w:pPr>
              <w:jc w:val="center"/>
            </w:pPr>
            <w:r>
              <w:rPr>
                <w:rFonts w:eastAsiaTheme="minorEastAsia"/>
                <w:color w:val="000000" w:themeColor="text1"/>
                <w:kern w:val="0"/>
              </w:rPr>
              <w:t>-3.39%</w:t>
            </w:r>
          </w:p>
        </w:tc>
        <w:tc>
          <w:tcPr>
            <w:tcW w:w="1204" w:type="dxa"/>
            <w:vAlign w:val="center"/>
          </w:tcPr>
          <w:p w:rsidR="00C605DE" w:rsidRDefault="00705A95">
            <w:pPr>
              <w:jc w:val="center"/>
            </w:pPr>
            <w:r>
              <w:rPr>
                <w:rFonts w:eastAsiaTheme="minorEastAsia"/>
                <w:color w:val="000000" w:themeColor="text1"/>
                <w:kern w:val="0"/>
              </w:rPr>
              <w:t>0.04%</w:t>
            </w:r>
          </w:p>
        </w:tc>
      </w:tr>
      <w:tr w:rsidR="00C605DE">
        <w:tc>
          <w:tcPr>
            <w:tcW w:w="1395" w:type="dxa"/>
            <w:vAlign w:val="center"/>
          </w:tcPr>
          <w:p w:rsidR="00C605DE" w:rsidRDefault="00705A95">
            <w:pPr>
              <w:jc w:val="left"/>
            </w:pPr>
            <w:r>
              <w:rPr>
                <w:rFonts w:eastAsiaTheme="minorEastAsia"/>
                <w:color w:val="000000" w:themeColor="text1"/>
                <w:kern w:val="0"/>
              </w:rPr>
              <w:t>过去一年</w:t>
            </w:r>
          </w:p>
        </w:tc>
        <w:tc>
          <w:tcPr>
            <w:tcW w:w="1092" w:type="dxa"/>
            <w:vAlign w:val="center"/>
          </w:tcPr>
          <w:p w:rsidR="00C605DE" w:rsidRDefault="00705A95">
            <w:pPr>
              <w:jc w:val="center"/>
            </w:pPr>
            <w:r>
              <w:rPr>
                <w:rFonts w:eastAsiaTheme="minorEastAsia"/>
                <w:color w:val="000000" w:themeColor="text1"/>
                <w:kern w:val="0"/>
              </w:rPr>
              <w:t>-1.08%</w:t>
            </w:r>
          </w:p>
        </w:tc>
        <w:tc>
          <w:tcPr>
            <w:tcW w:w="1161" w:type="dxa"/>
            <w:vAlign w:val="center"/>
          </w:tcPr>
          <w:p w:rsidR="00C605DE" w:rsidRDefault="00705A95">
            <w:pPr>
              <w:jc w:val="center"/>
            </w:pPr>
            <w:r>
              <w:rPr>
                <w:rFonts w:eastAsiaTheme="minorEastAsia"/>
                <w:color w:val="000000" w:themeColor="text1"/>
                <w:kern w:val="0"/>
              </w:rPr>
              <w:t>1.15%</w:t>
            </w:r>
          </w:p>
        </w:tc>
        <w:tc>
          <w:tcPr>
            <w:tcW w:w="1181" w:type="dxa"/>
            <w:vAlign w:val="center"/>
          </w:tcPr>
          <w:p w:rsidR="00C605DE" w:rsidRDefault="00705A95">
            <w:pPr>
              <w:jc w:val="center"/>
            </w:pPr>
            <w:r>
              <w:rPr>
                <w:rFonts w:eastAsiaTheme="minorEastAsia"/>
                <w:color w:val="000000" w:themeColor="text1"/>
                <w:kern w:val="0"/>
              </w:rPr>
              <w:t>-0.49%</w:t>
            </w:r>
          </w:p>
        </w:tc>
        <w:tc>
          <w:tcPr>
            <w:tcW w:w="1188" w:type="dxa"/>
            <w:vAlign w:val="center"/>
          </w:tcPr>
          <w:p w:rsidR="00C605DE" w:rsidRDefault="00705A95">
            <w:pPr>
              <w:jc w:val="center"/>
            </w:pPr>
            <w:r>
              <w:rPr>
                <w:rFonts w:eastAsiaTheme="minorEastAsia"/>
                <w:color w:val="000000" w:themeColor="text1"/>
                <w:kern w:val="0"/>
              </w:rPr>
              <w:t>0.84%</w:t>
            </w:r>
          </w:p>
        </w:tc>
        <w:tc>
          <w:tcPr>
            <w:tcW w:w="1199" w:type="dxa"/>
            <w:vAlign w:val="center"/>
          </w:tcPr>
          <w:p w:rsidR="00C605DE" w:rsidRDefault="00705A95">
            <w:pPr>
              <w:jc w:val="center"/>
            </w:pPr>
            <w:r>
              <w:rPr>
                <w:rFonts w:eastAsiaTheme="minorEastAsia"/>
                <w:color w:val="000000" w:themeColor="text1"/>
                <w:kern w:val="0"/>
              </w:rPr>
              <w:t>-0.59%</w:t>
            </w:r>
          </w:p>
        </w:tc>
        <w:tc>
          <w:tcPr>
            <w:tcW w:w="1204" w:type="dxa"/>
            <w:vAlign w:val="center"/>
          </w:tcPr>
          <w:p w:rsidR="00C605DE" w:rsidRDefault="00705A95">
            <w:pPr>
              <w:jc w:val="center"/>
            </w:pPr>
            <w:r>
              <w:rPr>
                <w:rFonts w:eastAsiaTheme="minorEastAsia"/>
                <w:color w:val="000000" w:themeColor="text1"/>
                <w:kern w:val="0"/>
              </w:rPr>
              <w:t>0.31%</w:t>
            </w:r>
          </w:p>
        </w:tc>
      </w:tr>
      <w:tr w:rsidR="00C605DE">
        <w:tc>
          <w:tcPr>
            <w:tcW w:w="1395" w:type="dxa"/>
            <w:vAlign w:val="center"/>
          </w:tcPr>
          <w:p w:rsidR="00C605DE" w:rsidRDefault="00705A95">
            <w:pPr>
              <w:jc w:val="left"/>
            </w:pPr>
            <w:r>
              <w:rPr>
                <w:rFonts w:eastAsiaTheme="minorEastAsia"/>
                <w:color w:val="000000" w:themeColor="text1"/>
                <w:kern w:val="0"/>
              </w:rPr>
              <w:t>过去三年</w:t>
            </w:r>
          </w:p>
        </w:tc>
        <w:tc>
          <w:tcPr>
            <w:tcW w:w="1092" w:type="dxa"/>
            <w:vAlign w:val="center"/>
          </w:tcPr>
          <w:p w:rsidR="00C605DE" w:rsidRDefault="00705A95">
            <w:pPr>
              <w:jc w:val="center"/>
            </w:pPr>
            <w:r>
              <w:rPr>
                <w:rFonts w:eastAsiaTheme="minorEastAsia"/>
                <w:color w:val="000000" w:themeColor="text1"/>
                <w:kern w:val="0"/>
              </w:rPr>
              <w:t>26.34%</w:t>
            </w:r>
          </w:p>
        </w:tc>
        <w:tc>
          <w:tcPr>
            <w:tcW w:w="1161" w:type="dxa"/>
            <w:vAlign w:val="center"/>
          </w:tcPr>
          <w:p w:rsidR="00C605DE" w:rsidRDefault="00705A95">
            <w:pPr>
              <w:jc w:val="center"/>
            </w:pPr>
            <w:r>
              <w:rPr>
                <w:rFonts w:eastAsiaTheme="minorEastAsia"/>
                <w:color w:val="000000" w:themeColor="text1"/>
                <w:kern w:val="0"/>
              </w:rPr>
              <w:t>1.17%</w:t>
            </w:r>
          </w:p>
        </w:tc>
        <w:tc>
          <w:tcPr>
            <w:tcW w:w="1181" w:type="dxa"/>
            <w:vAlign w:val="center"/>
          </w:tcPr>
          <w:p w:rsidR="00C605DE" w:rsidRDefault="00705A95">
            <w:pPr>
              <w:jc w:val="center"/>
            </w:pPr>
            <w:r>
              <w:rPr>
                <w:rFonts w:eastAsiaTheme="minorEastAsia"/>
                <w:color w:val="000000" w:themeColor="text1"/>
                <w:kern w:val="0"/>
              </w:rPr>
              <w:t>9.13%</w:t>
            </w:r>
          </w:p>
        </w:tc>
        <w:tc>
          <w:tcPr>
            <w:tcW w:w="1188" w:type="dxa"/>
            <w:vAlign w:val="center"/>
          </w:tcPr>
          <w:p w:rsidR="00C605DE" w:rsidRDefault="00705A95">
            <w:pPr>
              <w:jc w:val="center"/>
            </w:pPr>
            <w:r>
              <w:rPr>
                <w:rFonts w:eastAsiaTheme="minorEastAsia"/>
                <w:color w:val="000000" w:themeColor="text1"/>
                <w:kern w:val="0"/>
              </w:rPr>
              <w:t>0.76%</w:t>
            </w:r>
          </w:p>
        </w:tc>
        <w:tc>
          <w:tcPr>
            <w:tcW w:w="1199" w:type="dxa"/>
            <w:vAlign w:val="center"/>
          </w:tcPr>
          <w:p w:rsidR="00C605DE" w:rsidRDefault="00705A95">
            <w:pPr>
              <w:jc w:val="center"/>
            </w:pPr>
            <w:r>
              <w:rPr>
                <w:rFonts w:eastAsiaTheme="minorEastAsia"/>
                <w:color w:val="000000" w:themeColor="text1"/>
                <w:kern w:val="0"/>
              </w:rPr>
              <w:t>17.21%</w:t>
            </w:r>
          </w:p>
        </w:tc>
        <w:tc>
          <w:tcPr>
            <w:tcW w:w="1204" w:type="dxa"/>
            <w:vAlign w:val="center"/>
          </w:tcPr>
          <w:p w:rsidR="00C605DE" w:rsidRDefault="00705A95">
            <w:pPr>
              <w:jc w:val="center"/>
            </w:pPr>
            <w:r>
              <w:rPr>
                <w:rFonts w:eastAsiaTheme="minorEastAsia"/>
                <w:color w:val="000000" w:themeColor="text1"/>
                <w:kern w:val="0"/>
              </w:rPr>
              <w:t>0.41%</w:t>
            </w:r>
          </w:p>
        </w:tc>
      </w:tr>
      <w:tr w:rsidR="00C605DE">
        <w:tc>
          <w:tcPr>
            <w:tcW w:w="1395" w:type="dxa"/>
            <w:vAlign w:val="center"/>
          </w:tcPr>
          <w:p w:rsidR="00C605DE" w:rsidRDefault="00705A95">
            <w:pPr>
              <w:jc w:val="left"/>
            </w:pPr>
            <w:r>
              <w:rPr>
                <w:rFonts w:eastAsiaTheme="minorEastAsia"/>
                <w:color w:val="000000" w:themeColor="text1"/>
                <w:kern w:val="0"/>
              </w:rPr>
              <w:t>过去五年</w:t>
            </w:r>
          </w:p>
        </w:tc>
        <w:tc>
          <w:tcPr>
            <w:tcW w:w="1092" w:type="dxa"/>
            <w:vAlign w:val="center"/>
          </w:tcPr>
          <w:p w:rsidR="00C605DE" w:rsidRDefault="00705A95">
            <w:pPr>
              <w:jc w:val="center"/>
            </w:pPr>
            <w:r>
              <w:rPr>
                <w:rFonts w:eastAsiaTheme="minorEastAsia"/>
                <w:color w:val="000000" w:themeColor="text1"/>
                <w:kern w:val="0"/>
              </w:rPr>
              <w:t>35.40%</w:t>
            </w:r>
          </w:p>
        </w:tc>
        <w:tc>
          <w:tcPr>
            <w:tcW w:w="1161" w:type="dxa"/>
            <w:vAlign w:val="center"/>
          </w:tcPr>
          <w:p w:rsidR="00C605DE" w:rsidRDefault="00705A95">
            <w:pPr>
              <w:jc w:val="center"/>
            </w:pPr>
            <w:r>
              <w:rPr>
                <w:rFonts w:eastAsiaTheme="minorEastAsia"/>
                <w:color w:val="000000" w:themeColor="text1"/>
                <w:kern w:val="0"/>
              </w:rPr>
              <w:t>1.24%</w:t>
            </w:r>
          </w:p>
        </w:tc>
        <w:tc>
          <w:tcPr>
            <w:tcW w:w="1181" w:type="dxa"/>
            <w:vAlign w:val="center"/>
          </w:tcPr>
          <w:p w:rsidR="00C605DE" w:rsidRDefault="00705A95">
            <w:pPr>
              <w:jc w:val="center"/>
            </w:pPr>
            <w:r>
              <w:rPr>
                <w:rFonts w:eastAsiaTheme="minorEastAsia"/>
                <w:color w:val="000000" w:themeColor="text1"/>
                <w:kern w:val="0"/>
              </w:rPr>
              <w:t>6.84%</w:t>
            </w:r>
          </w:p>
        </w:tc>
        <w:tc>
          <w:tcPr>
            <w:tcW w:w="1188" w:type="dxa"/>
            <w:vAlign w:val="center"/>
          </w:tcPr>
          <w:p w:rsidR="00C605DE" w:rsidRDefault="00705A95">
            <w:pPr>
              <w:jc w:val="center"/>
            </w:pPr>
            <w:r>
              <w:rPr>
                <w:rFonts w:eastAsiaTheme="minorEastAsia"/>
                <w:color w:val="000000" w:themeColor="text1"/>
                <w:kern w:val="0"/>
              </w:rPr>
              <w:t>0.79%</w:t>
            </w:r>
          </w:p>
        </w:tc>
        <w:tc>
          <w:tcPr>
            <w:tcW w:w="1199" w:type="dxa"/>
            <w:vAlign w:val="center"/>
          </w:tcPr>
          <w:p w:rsidR="00C605DE" w:rsidRDefault="00705A95">
            <w:pPr>
              <w:jc w:val="center"/>
            </w:pPr>
            <w:r>
              <w:rPr>
                <w:rFonts w:eastAsiaTheme="minorEastAsia"/>
                <w:color w:val="000000" w:themeColor="text1"/>
                <w:kern w:val="0"/>
              </w:rPr>
              <w:t>28.56%</w:t>
            </w:r>
          </w:p>
        </w:tc>
        <w:tc>
          <w:tcPr>
            <w:tcW w:w="1204" w:type="dxa"/>
            <w:vAlign w:val="center"/>
          </w:tcPr>
          <w:p w:rsidR="00C605DE" w:rsidRDefault="00705A95">
            <w:pPr>
              <w:jc w:val="center"/>
            </w:pPr>
            <w:r>
              <w:rPr>
                <w:rFonts w:eastAsiaTheme="minorEastAsia"/>
                <w:color w:val="000000" w:themeColor="text1"/>
                <w:kern w:val="0"/>
              </w:rPr>
              <w:t>0.45%</w:t>
            </w:r>
          </w:p>
        </w:tc>
      </w:tr>
      <w:tr w:rsidR="00C605DE">
        <w:tc>
          <w:tcPr>
            <w:tcW w:w="1395" w:type="dxa"/>
            <w:vAlign w:val="center"/>
          </w:tcPr>
          <w:p w:rsidR="00C605DE" w:rsidRDefault="00705A95">
            <w:pPr>
              <w:jc w:val="left"/>
            </w:pPr>
            <w:r>
              <w:rPr>
                <w:rFonts w:eastAsiaTheme="minorEastAsia"/>
                <w:color w:val="000000" w:themeColor="text1"/>
                <w:kern w:val="0"/>
              </w:rPr>
              <w:t>自基金合同生效起至今</w:t>
            </w:r>
          </w:p>
        </w:tc>
        <w:tc>
          <w:tcPr>
            <w:tcW w:w="1092" w:type="dxa"/>
            <w:vAlign w:val="center"/>
          </w:tcPr>
          <w:p w:rsidR="00C605DE" w:rsidRDefault="00705A95">
            <w:pPr>
              <w:jc w:val="center"/>
            </w:pPr>
            <w:r>
              <w:rPr>
                <w:rFonts w:eastAsiaTheme="minorEastAsia"/>
                <w:color w:val="000000" w:themeColor="text1"/>
                <w:kern w:val="0"/>
              </w:rPr>
              <w:t>33.17%</w:t>
            </w:r>
          </w:p>
        </w:tc>
        <w:tc>
          <w:tcPr>
            <w:tcW w:w="1161" w:type="dxa"/>
            <w:vAlign w:val="center"/>
          </w:tcPr>
          <w:p w:rsidR="00C605DE" w:rsidRDefault="00705A95">
            <w:pPr>
              <w:jc w:val="center"/>
            </w:pPr>
            <w:r>
              <w:rPr>
                <w:rFonts w:eastAsiaTheme="minorEastAsia"/>
                <w:color w:val="000000" w:themeColor="text1"/>
                <w:kern w:val="0"/>
              </w:rPr>
              <w:t>1.23%</w:t>
            </w:r>
          </w:p>
        </w:tc>
        <w:tc>
          <w:tcPr>
            <w:tcW w:w="1181" w:type="dxa"/>
            <w:vAlign w:val="center"/>
          </w:tcPr>
          <w:p w:rsidR="00C605DE" w:rsidRDefault="00705A95">
            <w:pPr>
              <w:jc w:val="center"/>
            </w:pPr>
            <w:r>
              <w:rPr>
                <w:rFonts w:eastAsiaTheme="minorEastAsia"/>
                <w:color w:val="000000" w:themeColor="text1"/>
                <w:kern w:val="0"/>
              </w:rPr>
              <w:t>3.03%</w:t>
            </w:r>
          </w:p>
        </w:tc>
        <w:tc>
          <w:tcPr>
            <w:tcW w:w="1188" w:type="dxa"/>
            <w:vAlign w:val="center"/>
          </w:tcPr>
          <w:p w:rsidR="00C605DE" w:rsidRDefault="00705A95">
            <w:pPr>
              <w:jc w:val="center"/>
            </w:pPr>
            <w:r>
              <w:rPr>
                <w:rFonts w:eastAsiaTheme="minorEastAsia"/>
                <w:color w:val="000000" w:themeColor="text1"/>
                <w:kern w:val="0"/>
              </w:rPr>
              <w:t>0.79%</w:t>
            </w:r>
          </w:p>
        </w:tc>
        <w:tc>
          <w:tcPr>
            <w:tcW w:w="1199" w:type="dxa"/>
            <w:vAlign w:val="center"/>
          </w:tcPr>
          <w:p w:rsidR="00C605DE" w:rsidRDefault="00705A95">
            <w:pPr>
              <w:jc w:val="center"/>
            </w:pPr>
            <w:r>
              <w:rPr>
                <w:rFonts w:eastAsiaTheme="minorEastAsia"/>
                <w:color w:val="000000" w:themeColor="text1"/>
                <w:kern w:val="0"/>
              </w:rPr>
              <w:t>30.14%</w:t>
            </w:r>
          </w:p>
        </w:tc>
        <w:tc>
          <w:tcPr>
            <w:tcW w:w="1204" w:type="dxa"/>
            <w:vAlign w:val="center"/>
          </w:tcPr>
          <w:p w:rsidR="00C605DE" w:rsidRDefault="00705A95">
            <w:pPr>
              <w:jc w:val="center"/>
            </w:pPr>
            <w:r>
              <w:rPr>
                <w:rFonts w:eastAsiaTheme="minorEastAsia"/>
                <w:color w:val="000000" w:themeColor="text1"/>
                <w:kern w:val="0"/>
              </w:rPr>
              <w:t>0.44%</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摩根量化多因子灵活配置混合型证券投资基金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(2018</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19</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2023</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3</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31</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C605DE" w:rsidRDefault="00705A95">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w:t>
      </w:r>
      <w:r>
        <w:rPr>
          <w:rFonts w:eastAsiaTheme="minorEastAsia"/>
          <w:color w:val="000000" w:themeColor="text1"/>
        </w:rPr>
        <w:t>19</w:t>
      </w:r>
      <w:r>
        <w:rPr>
          <w:rFonts w:eastAsiaTheme="minorEastAsia"/>
          <w:color w:val="000000" w:themeColor="text1"/>
        </w:rPr>
        <w:t>日，图示的时间段为合同生效日至本报告期末。</w:t>
      </w:r>
    </w:p>
    <w:p w:rsidR="00C605DE" w:rsidRDefault="00705A95">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本基金建仓期为本基金合同生效日起</w:t>
      </w:r>
      <w:r>
        <w:rPr>
          <w:rFonts w:eastAsiaTheme="minorEastAsia"/>
          <w:color w:val="000000" w:themeColor="text1"/>
        </w:rPr>
        <w:t>6</w:t>
      </w:r>
      <w:r>
        <w:rPr>
          <w:rFonts w:eastAsiaTheme="minorEastAsia"/>
          <w:color w:val="000000" w:themeColor="text1"/>
        </w:rPr>
        <w:t>个月，建仓期结束时资产配置比例符合本基金基金合同规定。</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本基金自</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9</w:t>
      </w:r>
      <w:r w:rsidRPr="00FF6B9A">
        <w:rPr>
          <w:rFonts w:eastAsiaTheme="minorEastAsia"/>
          <w:color w:val="000000" w:themeColor="text1"/>
        </w:rPr>
        <w:t>日起，将基金业绩比较基准由</w:t>
      </w:r>
      <w:r w:rsidRPr="00FF6B9A">
        <w:rPr>
          <w:rFonts w:eastAsiaTheme="minorEastAsia"/>
          <w:color w:val="000000" w:themeColor="text1"/>
        </w:rPr>
        <w:t>“</w:t>
      </w:r>
      <w:r w:rsidRPr="00FF6B9A">
        <w:rPr>
          <w:rFonts w:eastAsiaTheme="minorEastAsia"/>
          <w:color w:val="000000" w:themeColor="text1"/>
        </w:rPr>
        <w:t>中证</w:t>
      </w:r>
      <w:r w:rsidRPr="00FF6B9A">
        <w:rPr>
          <w:rFonts w:eastAsiaTheme="minorEastAsia"/>
          <w:color w:val="000000" w:themeColor="text1"/>
        </w:rPr>
        <w:t xml:space="preserve"> 800 </w:t>
      </w:r>
      <w:r w:rsidRPr="00FF6B9A">
        <w:rPr>
          <w:rFonts w:eastAsiaTheme="minorEastAsia"/>
          <w:color w:val="000000" w:themeColor="text1"/>
        </w:rPr>
        <w:t>指数收益率</w:t>
      </w:r>
      <w:r w:rsidRPr="00FF6B9A">
        <w:rPr>
          <w:rFonts w:eastAsiaTheme="minorEastAsia"/>
          <w:color w:val="000000" w:themeColor="text1"/>
        </w:rPr>
        <w:t>×60%+</w:t>
      </w:r>
      <w:r w:rsidRPr="00FF6B9A">
        <w:rPr>
          <w:rFonts w:eastAsiaTheme="minorEastAsia"/>
          <w:color w:val="000000" w:themeColor="text1"/>
        </w:rPr>
        <w:t>中债总指数收益率</w:t>
      </w:r>
      <w:r w:rsidRPr="00FF6B9A">
        <w:rPr>
          <w:rFonts w:eastAsiaTheme="minorEastAsia"/>
          <w:color w:val="000000" w:themeColor="text1"/>
        </w:rPr>
        <w:t>×40%”</w:t>
      </w:r>
      <w:r w:rsidRPr="00FF6B9A">
        <w:rPr>
          <w:rFonts w:eastAsiaTheme="minorEastAsia"/>
          <w:color w:val="000000" w:themeColor="text1"/>
        </w:rPr>
        <w:t>变更为</w:t>
      </w:r>
      <w:r w:rsidRPr="00FF6B9A">
        <w:rPr>
          <w:rFonts w:eastAsiaTheme="minorEastAsia"/>
          <w:color w:val="000000" w:themeColor="text1"/>
        </w:rPr>
        <w:t>“</w:t>
      </w:r>
      <w:r w:rsidRPr="00FF6B9A">
        <w:rPr>
          <w:rFonts w:eastAsiaTheme="minorEastAsia"/>
          <w:color w:val="000000" w:themeColor="text1"/>
        </w:rPr>
        <w:t>中证</w:t>
      </w:r>
      <w:r w:rsidRPr="00FF6B9A">
        <w:rPr>
          <w:rFonts w:eastAsiaTheme="minorEastAsia"/>
          <w:color w:val="000000" w:themeColor="text1"/>
        </w:rPr>
        <w:t xml:space="preserve"> 500 </w:t>
      </w:r>
      <w:r w:rsidRPr="00FF6B9A">
        <w:rPr>
          <w:rFonts w:eastAsiaTheme="minorEastAsia"/>
          <w:color w:val="000000" w:themeColor="text1"/>
        </w:rPr>
        <w:t>指数收益率</w:t>
      </w:r>
      <w:r w:rsidRPr="00FF6B9A">
        <w:rPr>
          <w:rFonts w:eastAsiaTheme="minorEastAsia"/>
          <w:color w:val="000000" w:themeColor="text1"/>
        </w:rPr>
        <w:t>×95%+</w:t>
      </w:r>
      <w:r w:rsidRPr="00FF6B9A">
        <w:rPr>
          <w:rFonts w:eastAsiaTheme="minorEastAsia"/>
          <w:color w:val="000000" w:themeColor="text1"/>
        </w:rPr>
        <w:t>银行活期存款利率</w:t>
      </w:r>
      <w:r w:rsidRPr="00FF6B9A">
        <w:rPr>
          <w:rFonts w:eastAsiaTheme="minorEastAsia"/>
          <w:color w:val="000000" w:themeColor="text1"/>
        </w:rPr>
        <w:t>(</w:t>
      </w:r>
      <w:r w:rsidRPr="00FF6B9A">
        <w:rPr>
          <w:rFonts w:eastAsiaTheme="minorEastAsia"/>
          <w:color w:val="000000" w:themeColor="text1"/>
        </w:rPr>
        <w:t>税后</w:t>
      </w:r>
      <w:r w:rsidRPr="00FF6B9A">
        <w:rPr>
          <w:rFonts w:eastAsiaTheme="minorEastAsia"/>
          <w:color w:val="000000" w:themeColor="text1"/>
        </w:rPr>
        <w:t>)×5%”</w:t>
      </w:r>
      <w:r w:rsidRPr="00FF6B9A">
        <w:rPr>
          <w:rFonts w:eastAsiaTheme="minorEastAsia"/>
          <w:color w:val="000000" w:themeColor="text1"/>
        </w:rPr>
        <w:t>。</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C605DE">
        <w:tc>
          <w:tcPr>
            <w:tcW w:w="851" w:type="dxa"/>
            <w:vAlign w:val="center"/>
          </w:tcPr>
          <w:p w:rsidR="00C605DE" w:rsidRDefault="00705A95">
            <w:pPr>
              <w:jc w:val="center"/>
            </w:pPr>
            <w:r>
              <w:rPr>
                <w:rFonts w:eastAsiaTheme="minorEastAsia"/>
                <w:color w:val="000000" w:themeColor="text1"/>
              </w:rPr>
              <w:t>胡迪</w:t>
            </w:r>
          </w:p>
        </w:tc>
        <w:tc>
          <w:tcPr>
            <w:tcW w:w="850" w:type="dxa"/>
            <w:vAlign w:val="center"/>
          </w:tcPr>
          <w:p w:rsidR="00C605DE" w:rsidRDefault="00705A95">
            <w:pPr>
              <w:jc w:val="center"/>
            </w:pPr>
            <w:r>
              <w:rPr>
                <w:rFonts w:eastAsiaTheme="minorEastAsia"/>
                <w:color w:val="000000" w:themeColor="text1"/>
              </w:rPr>
              <w:t>本基金基金经理、指数及量化投资部总监</w:t>
            </w:r>
          </w:p>
        </w:tc>
        <w:tc>
          <w:tcPr>
            <w:tcW w:w="1560" w:type="dxa"/>
            <w:vAlign w:val="center"/>
          </w:tcPr>
          <w:p w:rsidR="00C605DE" w:rsidRDefault="00705A95">
            <w:pPr>
              <w:jc w:val="center"/>
            </w:pPr>
            <w:r>
              <w:rPr>
                <w:rFonts w:eastAsiaTheme="minorEastAsia"/>
                <w:color w:val="000000" w:themeColor="text1"/>
              </w:rPr>
              <w:t>2021-01-07</w:t>
            </w:r>
          </w:p>
        </w:tc>
        <w:tc>
          <w:tcPr>
            <w:tcW w:w="1559" w:type="dxa"/>
            <w:vAlign w:val="center"/>
          </w:tcPr>
          <w:p w:rsidR="00C605DE" w:rsidRDefault="00705A95">
            <w:pPr>
              <w:jc w:val="center"/>
            </w:pPr>
            <w:r>
              <w:rPr>
                <w:rFonts w:eastAsiaTheme="minorEastAsia"/>
                <w:color w:val="000000" w:themeColor="text1"/>
              </w:rPr>
              <w:t>-</w:t>
            </w:r>
          </w:p>
        </w:tc>
        <w:tc>
          <w:tcPr>
            <w:tcW w:w="1417" w:type="dxa"/>
            <w:vAlign w:val="center"/>
          </w:tcPr>
          <w:p w:rsidR="00C605DE" w:rsidRDefault="00705A95">
            <w:pPr>
              <w:jc w:val="center"/>
            </w:pPr>
            <w:r>
              <w:rPr>
                <w:rFonts w:eastAsiaTheme="minorEastAsia"/>
                <w:color w:val="000000" w:themeColor="text1"/>
              </w:rPr>
              <w:t>15</w:t>
            </w:r>
            <w:r>
              <w:rPr>
                <w:rFonts w:eastAsiaTheme="minorEastAsia"/>
                <w:color w:val="000000" w:themeColor="text1"/>
              </w:rPr>
              <w:t>年</w:t>
            </w:r>
          </w:p>
        </w:tc>
        <w:tc>
          <w:tcPr>
            <w:tcW w:w="2694" w:type="dxa"/>
            <w:vAlign w:val="center"/>
          </w:tcPr>
          <w:p w:rsidR="00C605DE" w:rsidRDefault="00705A95">
            <w:r>
              <w:rPr>
                <w:rFonts w:eastAsiaTheme="minorEastAsia"/>
                <w:color w:val="000000" w:themeColor="text1"/>
              </w:rPr>
              <w:t>胡迪女士曾任纽约美林证券全球资产管理部高级经理，纽约标准普尔量化投资主管，中国国际金融股份有限公司资产管理部执行总经理。</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月加入摩根基金管理（中国）有限公司（原上投摩根基金管理有限公司），现任指数及量化投资部总监兼基金经理。</w:t>
            </w:r>
          </w:p>
        </w:tc>
      </w:tr>
      <w:tr w:rsidR="00C605DE">
        <w:tc>
          <w:tcPr>
            <w:tcW w:w="851" w:type="dxa"/>
            <w:vAlign w:val="center"/>
          </w:tcPr>
          <w:p w:rsidR="00C605DE" w:rsidRDefault="00705A95">
            <w:pPr>
              <w:jc w:val="center"/>
            </w:pPr>
            <w:r>
              <w:rPr>
                <w:rFonts w:eastAsiaTheme="minorEastAsia"/>
                <w:color w:val="000000" w:themeColor="text1"/>
              </w:rPr>
              <w:lastRenderedPageBreak/>
              <w:t>何智豪</w:t>
            </w:r>
          </w:p>
        </w:tc>
        <w:tc>
          <w:tcPr>
            <w:tcW w:w="850" w:type="dxa"/>
            <w:vAlign w:val="center"/>
          </w:tcPr>
          <w:p w:rsidR="00C605DE" w:rsidRDefault="00705A95">
            <w:pPr>
              <w:jc w:val="center"/>
            </w:pPr>
            <w:r>
              <w:rPr>
                <w:rFonts w:eastAsiaTheme="minorEastAsia"/>
                <w:color w:val="000000" w:themeColor="text1"/>
              </w:rPr>
              <w:t>本基金基金经理</w:t>
            </w:r>
          </w:p>
        </w:tc>
        <w:tc>
          <w:tcPr>
            <w:tcW w:w="1560" w:type="dxa"/>
            <w:vAlign w:val="center"/>
          </w:tcPr>
          <w:p w:rsidR="00C605DE" w:rsidRDefault="00705A95">
            <w:pPr>
              <w:jc w:val="center"/>
            </w:pPr>
            <w:r>
              <w:rPr>
                <w:rFonts w:eastAsiaTheme="minorEastAsia"/>
                <w:color w:val="000000" w:themeColor="text1"/>
              </w:rPr>
              <w:t>2021-02-05</w:t>
            </w:r>
          </w:p>
        </w:tc>
        <w:tc>
          <w:tcPr>
            <w:tcW w:w="1559" w:type="dxa"/>
            <w:vAlign w:val="center"/>
          </w:tcPr>
          <w:p w:rsidR="00C605DE" w:rsidRDefault="00705A95">
            <w:pPr>
              <w:jc w:val="center"/>
            </w:pPr>
            <w:r>
              <w:rPr>
                <w:rFonts w:eastAsiaTheme="minorEastAsia"/>
                <w:color w:val="000000" w:themeColor="text1"/>
              </w:rPr>
              <w:t>-</w:t>
            </w:r>
          </w:p>
        </w:tc>
        <w:tc>
          <w:tcPr>
            <w:tcW w:w="1417" w:type="dxa"/>
            <w:vAlign w:val="center"/>
          </w:tcPr>
          <w:p w:rsidR="00C605DE" w:rsidRDefault="00705A95">
            <w:pPr>
              <w:jc w:val="center"/>
            </w:pPr>
            <w:r>
              <w:rPr>
                <w:rFonts w:eastAsiaTheme="minorEastAsia"/>
                <w:color w:val="000000" w:themeColor="text1"/>
              </w:rPr>
              <w:t>9</w:t>
            </w:r>
            <w:r>
              <w:rPr>
                <w:rFonts w:eastAsiaTheme="minorEastAsia"/>
                <w:color w:val="000000" w:themeColor="text1"/>
              </w:rPr>
              <w:t>年</w:t>
            </w:r>
          </w:p>
        </w:tc>
        <w:tc>
          <w:tcPr>
            <w:tcW w:w="2694" w:type="dxa"/>
            <w:vAlign w:val="center"/>
          </w:tcPr>
          <w:p w:rsidR="00C605DE" w:rsidRDefault="00705A95">
            <w:r>
              <w:rPr>
                <w:rFonts w:eastAsiaTheme="minorEastAsia"/>
                <w:color w:val="000000" w:themeColor="text1"/>
              </w:rPr>
              <w:t>何智豪先生曾任中国国际金融股份有限公司组合与量化策略研究员、资产管理部高级经理。</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月起加入摩根基金管理（中国）有限公司（原上投摩根基金管理有限公司），现任基金经理。</w:t>
            </w:r>
          </w:p>
        </w:tc>
      </w:tr>
    </w:tbl>
    <w:p w:rsidR="00C605DE" w:rsidRDefault="00705A95">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1.</w:t>
      </w:r>
      <w:r>
        <w:rPr>
          <w:rFonts w:eastAsiaTheme="minorEastAsia"/>
          <w:color w:val="000000" w:themeColor="text1"/>
        </w:rPr>
        <w:t>任职日期和离任日期均指根据公司决</w:t>
      </w:r>
      <w:r>
        <w:rPr>
          <w:rFonts w:eastAsiaTheme="minorEastAsia"/>
          <w:color w:val="000000" w:themeColor="text1"/>
        </w:rPr>
        <w:t>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2.</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C605DE" w:rsidRDefault="00705A95">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605DE" w:rsidRDefault="00705A95">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rPr>
        <w:t>，本公司通过对手库控制和交易室询价机制，严格防范对手风险并检查价格公允性；对于申购投资行为，本公司遵循价格优先、比例分配的原则，根据事前独立申报的价格和数量对交易结果进行公平分配。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C605DE" w:rsidRDefault="00705A95">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w:t>
      </w:r>
      <w:r>
        <w:rPr>
          <w:rFonts w:eastAsiaTheme="minorEastAsia"/>
          <w:color w:val="000000" w:themeColor="text1"/>
        </w:rPr>
        <w:lastRenderedPageBreak/>
        <w:t>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C605DE" w:rsidRDefault="00705A95">
      <w:pPr>
        <w:spacing w:line="360" w:lineRule="auto"/>
        <w:ind w:firstLineChars="200" w:firstLine="420"/>
        <w:rPr>
          <w:rFonts w:eastAsiaTheme="minorEastAsia"/>
          <w:color w:val="000000" w:themeColor="text1"/>
        </w:rPr>
      </w:pPr>
      <w:r>
        <w:rPr>
          <w:rFonts w:eastAsiaTheme="minorEastAsia"/>
          <w:color w:val="000000" w:themeColor="text1"/>
        </w:rPr>
        <w:t>2023</w:t>
      </w:r>
      <w:r>
        <w:rPr>
          <w:rFonts w:eastAsiaTheme="minorEastAsia"/>
          <w:color w:val="000000" w:themeColor="text1"/>
        </w:rPr>
        <w:t>年一季度，</w:t>
      </w:r>
      <w:r>
        <w:rPr>
          <w:rFonts w:eastAsiaTheme="minorEastAsia"/>
          <w:color w:val="000000" w:themeColor="text1"/>
        </w:rPr>
        <w:t>A</w:t>
      </w:r>
      <w:r>
        <w:rPr>
          <w:rFonts w:eastAsiaTheme="minorEastAsia"/>
          <w:color w:val="000000" w:themeColor="text1"/>
        </w:rPr>
        <w:t>股市场整体上涨，</w:t>
      </w:r>
      <w:r>
        <w:rPr>
          <w:rFonts w:eastAsiaTheme="minorEastAsia"/>
          <w:color w:val="000000" w:themeColor="text1"/>
        </w:rPr>
        <w:t>1</w:t>
      </w:r>
      <w:r>
        <w:rPr>
          <w:rFonts w:eastAsiaTheme="minorEastAsia"/>
          <w:color w:val="000000" w:themeColor="text1"/>
        </w:rPr>
        <w:t>月市场大幅上行，</w:t>
      </w:r>
      <w:r>
        <w:rPr>
          <w:rFonts w:eastAsiaTheme="minorEastAsia"/>
          <w:color w:val="000000" w:themeColor="text1"/>
        </w:rPr>
        <w:t>2-3</w:t>
      </w:r>
      <w:r>
        <w:rPr>
          <w:rFonts w:eastAsiaTheme="minorEastAsia"/>
          <w:color w:val="000000" w:themeColor="text1"/>
        </w:rPr>
        <w:t>月市场呈震荡态势。一季度各宽基指数均上行。从行业来看，</w:t>
      </w:r>
      <w:r>
        <w:rPr>
          <w:rFonts w:eastAsiaTheme="minorEastAsia"/>
          <w:color w:val="000000" w:themeColor="text1"/>
        </w:rPr>
        <w:t>TMT</w:t>
      </w:r>
      <w:r>
        <w:rPr>
          <w:rFonts w:eastAsiaTheme="minorEastAsia"/>
          <w:color w:val="000000" w:themeColor="text1"/>
        </w:rPr>
        <w:t>相关板块涨幅最高，其中计算机与传媒等行业涨幅明显，生成式</w:t>
      </w:r>
      <w:r>
        <w:rPr>
          <w:rFonts w:eastAsiaTheme="minorEastAsia"/>
          <w:color w:val="000000" w:themeColor="text1"/>
        </w:rPr>
        <w:t>AI</w:t>
      </w:r>
      <w:r>
        <w:rPr>
          <w:rFonts w:eastAsiaTheme="minorEastAsia"/>
          <w:color w:val="000000" w:themeColor="text1"/>
        </w:rPr>
        <w:t>技术带来了新一轮科技领域的竞争，并引起市场关注。防疫政策优化调整后，疫情对经济的影响逐步消退，稳增长政策持续发力，供给端与需求端明显改善，消费反弹显著，当前经济呈现温和复苏的态势；市场</w:t>
      </w:r>
      <w:r>
        <w:rPr>
          <w:rFonts w:eastAsiaTheme="minorEastAsia"/>
          <w:color w:val="000000" w:themeColor="text1"/>
        </w:rPr>
        <w:t>信心有所恢复，为</w:t>
      </w:r>
      <w:r>
        <w:rPr>
          <w:rFonts w:eastAsiaTheme="minorEastAsia"/>
          <w:color w:val="000000" w:themeColor="text1"/>
        </w:rPr>
        <w:t>A</w:t>
      </w:r>
      <w:r>
        <w:rPr>
          <w:rFonts w:eastAsiaTheme="minorEastAsia"/>
          <w:color w:val="000000" w:themeColor="text1"/>
        </w:rPr>
        <w:t>股整体市场的上行奠定基础。从风格和超额收益</w:t>
      </w:r>
      <w:r>
        <w:rPr>
          <w:rFonts w:eastAsiaTheme="minorEastAsia"/>
          <w:color w:val="000000" w:themeColor="text1"/>
        </w:rPr>
        <w:t>(Alpha)</w:t>
      </w:r>
      <w:r>
        <w:rPr>
          <w:rFonts w:eastAsiaTheme="minorEastAsia"/>
          <w:color w:val="000000" w:themeColor="text1"/>
        </w:rPr>
        <w:t>角度看，典型的政策市行情下，强主题弱基本面，强预期弱业绩趋势明确，</w:t>
      </w:r>
      <w:r>
        <w:rPr>
          <w:rFonts w:eastAsiaTheme="minorEastAsia"/>
          <w:color w:val="000000" w:themeColor="text1"/>
        </w:rPr>
        <w:t>GPT</w:t>
      </w:r>
      <w:r>
        <w:rPr>
          <w:rFonts w:eastAsiaTheme="minorEastAsia"/>
          <w:color w:val="000000" w:themeColor="text1"/>
        </w:rPr>
        <w:t>、</w:t>
      </w:r>
      <w:r>
        <w:rPr>
          <w:rFonts w:eastAsiaTheme="minorEastAsia"/>
          <w:color w:val="000000" w:themeColor="text1"/>
        </w:rPr>
        <w:t>“</w:t>
      </w:r>
      <w:r>
        <w:rPr>
          <w:rFonts w:eastAsiaTheme="minorEastAsia"/>
          <w:color w:val="000000" w:themeColor="text1"/>
        </w:rPr>
        <w:t>中特估</w:t>
      </w:r>
      <w:r>
        <w:rPr>
          <w:rFonts w:eastAsiaTheme="minorEastAsia"/>
          <w:color w:val="000000" w:themeColor="text1"/>
        </w:rPr>
        <w:t>”</w:t>
      </w:r>
      <w:r>
        <w:rPr>
          <w:rFonts w:eastAsiaTheme="minorEastAsia"/>
          <w:color w:val="000000" w:themeColor="text1"/>
        </w:rPr>
        <w:t>等概念分别发酵并扩散，基本面的短暂失效是</w:t>
      </w:r>
      <w:r>
        <w:rPr>
          <w:rFonts w:eastAsiaTheme="minorEastAsia"/>
          <w:color w:val="000000" w:themeColor="text1"/>
        </w:rPr>
        <w:t>Alpha</w:t>
      </w:r>
      <w:r>
        <w:rPr>
          <w:rFonts w:eastAsiaTheme="minorEastAsia"/>
          <w:color w:val="000000" w:themeColor="text1"/>
        </w:rPr>
        <w:t>回撤的主因。本基金选股从多因子角度出发，基本面和价量</w:t>
      </w:r>
      <w:r>
        <w:rPr>
          <w:rFonts w:eastAsiaTheme="minorEastAsia"/>
          <w:color w:val="000000" w:themeColor="text1"/>
        </w:rPr>
        <w:t>Alpha</w:t>
      </w:r>
      <w:r>
        <w:rPr>
          <w:rFonts w:eastAsiaTheme="minorEastAsia"/>
          <w:color w:val="000000" w:themeColor="text1"/>
        </w:rPr>
        <w:t>配置较为均衡，在行业板块分布和风格因子配置上相对均衡，一季度超额收益略有回撤。</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二季度看，定调稳增长前提下，财政、货币、产业等政策目前均较为宽松，消费恢复仍在持续，基建与制造业投资有所增长，地产企稳，市场风险偏好有望进一步提升。政策市延续的背景下，</w:t>
      </w:r>
      <w:r w:rsidRPr="00FF6B9A">
        <w:rPr>
          <w:rFonts w:eastAsiaTheme="minorEastAsia"/>
          <w:color w:val="000000" w:themeColor="text1"/>
        </w:rPr>
        <w:t>4</w:t>
      </w:r>
      <w:r w:rsidRPr="00FF6B9A">
        <w:rPr>
          <w:rFonts w:eastAsiaTheme="minorEastAsia"/>
          <w:color w:val="000000" w:themeColor="text1"/>
        </w:rPr>
        <w:t>月底召开的政治局会议将是一大关注点，会议届时将总结当前经济形势，并确定下一阶段的政策方向。这一背景结合存量资金的置换需求，使得主题轮动可能进一步加速。在具体投资策略上，我们在坚持基本面和价量结合的量化多因子选股策略的同时，将研究往更高维度，更深层次延展，争取从主题扩散效应等角度开拓新的</w:t>
      </w:r>
      <w:r w:rsidRPr="00FF6B9A">
        <w:rPr>
          <w:rFonts w:eastAsiaTheme="minorEastAsia"/>
          <w:color w:val="000000" w:themeColor="text1"/>
        </w:rPr>
        <w:t>Alpha</w:t>
      </w:r>
      <w:r w:rsidRPr="00FF6B9A">
        <w:rPr>
          <w:rFonts w:eastAsiaTheme="minorEastAsia"/>
          <w:color w:val="000000" w:themeColor="text1"/>
        </w:rPr>
        <w:t>源，完善</w:t>
      </w:r>
      <w:r w:rsidRPr="00FF6B9A">
        <w:rPr>
          <w:rFonts w:eastAsiaTheme="minorEastAsia"/>
          <w:color w:val="000000" w:themeColor="text1"/>
        </w:rPr>
        <w:t>Alpha</w:t>
      </w:r>
      <w:r w:rsidRPr="00FF6B9A">
        <w:rPr>
          <w:rFonts w:eastAsiaTheme="minorEastAsia"/>
          <w:color w:val="000000" w:themeColor="text1"/>
        </w:rPr>
        <w:t>在一些条件状态下的细化逻辑，构造风险收益特征优于市场基准的投资组合。</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本报告期本基金份额净值增长率为</w:t>
      </w:r>
      <w:r w:rsidRPr="00FF6B9A">
        <w:rPr>
          <w:rFonts w:eastAsiaTheme="minorEastAsia"/>
          <w:color w:val="000000" w:themeColor="text1"/>
        </w:rPr>
        <w:t>:5.76%</w:t>
      </w:r>
      <w:r w:rsidRPr="00FF6B9A">
        <w:rPr>
          <w:rFonts w:eastAsiaTheme="minorEastAsia"/>
          <w:color w:val="000000" w:themeColor="text1"/>
        </w:rPr>
        <w:t>，同期业绩比较基准收益率为</w:t>
      </w:r>
      <w:r w:rsidRPr="00FF6B9A">
        <w:rPr>
          <w:rFonts w:eastAsiaTheme="minorEastAsia"/>
          <w:color w:val="000000" w:themeColor="text1"/>
        </w:rPr>
        <w:t>:7.70%</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C605DE" w:rsidRDefault="00705A95">
      <w:pPr>
        <w:spacing w:line="360" w:lineRule="auto"/>
        <w:ind w:firstLineChars="200" w:firstLine="420"/>
        <w:rPr>
          <w:rFonts w:eastAsiaTheme="minorEastAsia"/>
          <w:color w:val="000000" w:themeColor="text1"/>
        </w:rPr>
      </w:pPr>
      <w:r>
        <w:rPr>
          <w:rFonts w:eastAsiaTheme="minorEastAsia"/>
          <w:color w:val="000000" w:themeColor="text1"/>
          <w:kern w:val="0"/>
        </w:rPr>
        <w:t>报告期内，本基金存在连续六十个工作日基金资产净值低于五千万元的情况，出现该情况的时间范围为</w:t>
      </w:r>
      <w:r>
        <w:rPr>
          <w:rFonts w:eastAsiaTheme="minorEastAsia"/>
          <w:color w:val="000000" w:themeColor="text1"/>
          <w:kern w:val="0"/>
        </w:rPr>
        <w:t>2023</w:t>
      </w:r>
      <w:r>
        <w:rPr>
          <w:rFonts w:eastAsiaTheme="minorEastAsia"/>
          <w:color w:val="000000" w:themeColor="text1"/>
          <w:kern w:val="0"/>
        </w:rPr>
        <w:t>年</w:t>
      </w:r>
      <w:r>
        <w:rPr>
          <w:rFonts w:eastAsiaTheme="minorEastAsia"/>
          <w:color w:val="000000" w:themeColor="text1"/>
          <w:kern w:val="0"/>
        </w:rPr>
        <w:t>01</w:t>
      </w:r>
      <w:r>
        <w:rPr>
          <w:rFonts w:eastAsiaTheme="minorEastAsia"/>
          <w:color w:val="000000" w:themeColor="text1"/>
          <w:kern w:val="0"/>
        </w:rPr>
        <w:t>月</w:t>
      </w:r>
      <w:r>
        <w:rPr>
          <w:rFonts w:eastAsiaTheme="minorEastAsia"/>
          <w:color w:val="000000" w:themeColor="text1"/>
          <w:kern w:val="0"/>
        </w:rPr>
        <w:t>03</w:t>
      </w:r>
      <w:r>
        <w:rPr>
          <w:rFonts w:eastAsiaTheme="minorEastAsia"/>
          <w:color w:val="000000" w:themeColor="text1"/>
          <w:kern w:val="0"/>
        </w:rPr>
        <w:t>日至</w:t>
      </w:r>
      <w:r>
        <w:rPr>
          <w:rFonts w:eastAsiaTheme="minorEastAsia"/>
          <w:color w:val="000000" w:themeColor="text1"/>
          <w:kern w:val="0"/>
        </w:rPr>
        <w:t>2023</w:t>
      </w:r>
      <w:r>
        <w:rPr>
          <w:rFonts w:eastAsiaTheme="minorEastAsia"/>
          <w:color w:val="000000" w:themeColor="text1"/>
          <w:kern w:val="0"/>
        </w:rPr>
        <w:t>年</w:t>
      </w:r>
      <w:r>
        <w:rPr>
          <w:rFonts w:eastAsiaTheme="minorEastAsia"/>
          <w:color w:val="000000" w:themeColor="text1"/>
          <w:kern w:val="0"/>
        </w:rPr>
        <w:t>03</w:t>
      </w:r>
      <w:r>
        <w:rPr>
          <w:rFonts w:eastAsiaTheme="minorEastAsia"/>
          <w:color w:val="000000" w:themeColor="text1"/>
          <w:kern w:val="0"/>
        </w:rPr>
        <w:t>月</w:t>
      </w:r>
      <w:r>
        <w:rPr>
          <w:rFonts w:eastAsiaTheme="minorEastAsia"/>
          <w:color w:val="000000" w:themeColor="text1"/>
          <w:kern w:val="0"/>
        </w:rPr>
        <w:t>31</w:t>
      </w:r>
      <w:r>
        <w:rPr>
          <w:rFonts w:eastAsiaTheme="minorEastAsia"/>
          <w:color w:val="000000" w:themeColor="text1"/>
          <w:kern w:val="0"/>
        </w:rPr>
        <w:t>日。</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基金管理人拟调整本基金运作方式，加大营销力度，提升基金规模，方案已报监管机关。</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18,654,569.30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92.90</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18,654,569.30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92.90</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1,421,592.07</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7.08</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4,752.18</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0.02</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20,080,913.55</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1,106,964.00</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5.63</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11,839,799.50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60.27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237,832.00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430,540.00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2.19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282,801.00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452,000.00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2.30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396,780.00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2.02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2,020,255.80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10.28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809,322.00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4.12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475,488.00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2.42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53,340.00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0.27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24,485.00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0.12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232,804.00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69,552.00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0.35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222,606.00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18,654,569.30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94.95</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C605DE">
        <w:tc>
          <w:tcPr>
            <w:tcW w:w="817" w:type="dxa"/>
            <w:vAlign w:val="center"/>
          </w:tcPr>
          <w:p w:rsidR="00C605DE" w:rsidRDefault="00705A95">
            <w:pPr>
              <w:jc w:val="center"/>
            </w:pPr>
            <w:r>
              <w:rPr>
                <w:rFonts w:eastAsiaTheme="minorEastAsia"/>
                <w:kern w:val="0"/>
                <w:sz w:val="24"/>
                <w:szCs w:val="24"/>
              </w:rPr>
              <w:t>1</w:t>
            </w:r>
          </w:p>
        </w:tc>
        <w:tc>
          <w:tcPr>
            <w:tcW w:w="1276" w:type="dxa"/>
            <w:vAlign w:val="center"/>
          </w:tcPr>
          <w:p w:rsidR="00C605DE" w:rsidRDefault="00705A95">
            <w:pPr>
              <w:jc w:val="center"/>
            </w:pPr>
            <w:r>
              <w:rPr>
                <w:rFonts w:eastAsiaTheme="minorEastAsia"/>
                <w:kern w:val="0"/>
                <w:sz w:val="24"/>
                <w:szCs w:val="24"/>
              </w:rPr>
              <w:t>002594</w:t>
            </w:r>
          </w:p>
        </w:tc>
        <w:tc>
          <w:tcPr>
            <w:tcW w:w="1701" w:type="dxa"/>
            <w:vAlign w:val="center"/>
          </w:tcPr>
          <w:p w:rsidR="00C605DE" w:rsidRDefault="00705A95">
            <w:pPr>
              <w:jc w:val="center"/>
            </w:pPr>
            <w:r>
              <w:rPr>
                <w:rFonts w:eastAsiaTheme="minorEastAsia"/>
                <w:kern w:val="0"/>
                <w:sz w:val="24"/>
                <w:szCs w:val="24"/>
              </w:rPr>
              <w:t>比亚迪</w:t>
            </w:r>
          </w:p>
        </w:tc>
        <w:tc>
          <w:tcPr>
            <w:tcW w:w="1276" w:type="dxa"/>
            <w:vAlign w:val="center"/>
          </w:tcPr>
          <w:p w:rsidR="00C605DE" w:rsidRDefault="00705A95">
            <w:pPr>
              <w:jc w:val="right"/>
            </w:pPr>
            <w:r>
              <w:rPr>
                <w:rFonts w:eastAsiaTheme="minorEastAsia"/>
                <w:kern w:val="0"/>
                <w:sz w:val="24"/>
                <w:szCs w:val="24"/>
              </w:rPr>
              <w:t>2,300.00</w:t>
            </w:r>
          </w:p>
        </w:tc>
        <w:tc>
          <w:tcPr>
            <w:tcW w:w="1842" w:type="dxa"/>
            <w:vAlign w:val="center"/>
          </w:tcPr>
          <w:p w:rsidR="00C605DE" w:rsidRDefault="00705A95">
            <w:pPr>
              <w:jc w:val="right"/>
            </w:pPr>
            <w:r>
              <w:rPr>
                <w:rFonts w:eastAsiaTheme="minorEastAsia"/>
                <w:kern w:val="0"/>
                <w:sz w:val="24"/>
                <w:szCs w:val="24"/>
              </w:rPr>
              <w:t>588,846.00</w:t>
            </w:r>
          </w:p>
        </w:tc>
        <w:tc>
          <w:tcPr>
            <w:tcW w:w="1616" w:type="dxa"/>
            <w:vAlign w:val="center"/>
          </w:tcPr>
          <w:p w:rsidR="00C605DE" w:rsidRDefault="00705A95">
            <w:pPr>
              <w:jc w:val="right"/>
            </w:pPr>
            <w:r>
              <w:rPr>
                <w:rFonts w:eastAsiaTheme="minorEastAsia"/>
                <w:kern w:val="0"/>
                <w:sz w:val="24"/>
                <w:szCs w:val="24"/>
              </w:rPr>
              <w:t>3.00</w:t>
            </w:r>
          </w:p>
        </w:tc>
      </w:tr>
      <w:tr w:rsidR="00C605DE">
        <w:tc>
          <w:tcPr>
            <w:tcW w:w="817" w:type="dxa"/>
            <w:vAlign w:val="center"/>
          </w:tcPr>
          <w:p w:rsidR="00C605DE" w:rsidRDefault="00705A95">
            <w:pPr>
              <w:jc w:val="center"/>
            </w:pPr>
            <w:r>
              <w:rPr>
                <w:rFonts w:eastAsiaTheme="minorEastAsia"/>
                <w:kern w:val="0"/>
                <w:sz w:val="24"/>
                <w:szCs w:val="24"/>
              </w:rPr>
              <w:t>2</w:t>
            </w:r>
          </w:p>
        </w:tc>
        <w:tc>
          <w:tcPr>
            <w:tcW w:w="1276" w:type="dxa"/>
            <w:vAlign w:val="center"/>
          </w:tcPr>
          <w:p w:rsidR="00C605DE" w:rsidRDefault="00705A95">
            <w:pPr>
              <w:jc w:val="center"/>
            </w:pPr>
            <w:r>
              <w:rPr>
                <w:rFonts w:eastAsiaTheme="minorEastAsia"/>
                <w:kern w:val="0"/>
                <w:sz w:val="24"/>
                <w:szCs w:val="24"/>
              </w:rPr>
              <w:t>600690</w:t>
            </w:r>
          </w:p>
        </w:tc>
        <w:tc>
          <w:tcPr>
            <w:tcW w:w="1701" w:type="dxa"/>
            <w:vAlign w:val="center"/>
          </w:tcPr>
          <w:p w:rsidR="00C605DE" w:rsidRDefault="00705A95">
            <w:pPr>
              <w:jc w:val="center"/>
            </w:pPr>
            <w:r>
              <w:rPr>
                <w:rFonts w:eastAsiaTheme="minorEastAsia"/>
                <w:kern w:val="0"/>
                <w:sz w:val="24"/>
                <w:szCs w:val="24"/>
              </w:rPr>
              <w:t>海尔智家</w:t>
            </w:r>
          </w:p>
        </w:tc>
        <w:tc>
          <w:tcPr>
            <w:tcW w:w="1276" w:type="dxa"/>
            <w:vAlign w:val="center"/>
          </w:tcPr>
          <w:p w:rsidR="00C605DE" w:rsidRDefault="00705A95">
            <w:pPr>
              <w:jc w:val="right"/>
            </w:pPr>
            <w:r>
              <w:rPr>
                <w:rFonts w:eastAsiaTheme="minorEastAsia"/>
                <w:kern w:val="0"/>
                <w:sz w:val="24"/>
                <w:szCs w:val="24"/>
              </w:rPr>
              <w:t>24,000.00</w:t>
            </w:r>
          </w:p>
        </w:tc>
        <w:tc>
          <w:tcPr>
            <w:tcW w:w="1842" w:type="dxa"/>
            <w:vAlign w:val="center"/>
          </w:tcPr>
          <w:p w:rsidR="00C605DE" w:rsidRDefault="00705A95">
            <w:pPr>
              <w:jc w:val="right"/>
            </w:pPr>
            <w:r>
              <w:rPr>
                <w:rFonts w:eastAsiaTheme="minorEastAsia"/>
                <w:kern w:val="0"/>
                <w:sz w:val="24"/>
                <w:szCs w:val="24"/>
              </w:rPr>
              <w:t>544,320.00</w:t>
            </w:r>
          </w:p>
        </w:tc>
        <w:tc>
          <w:tcPr>
            <w:tcW w:w="1616" w:type="dxa"/>
            <w:vAlign w:val="center"/>
          </w:tcPr>
          <w:p w:rsidR="00C605DE" w:rsidRDefault="00705A95">
            <w:pPr>
              <w:jc w:val="right"/>
            </w:pPr>
            <w:r>
              <w:rPr>
                <w:rFonts w:eastAsiaTheme="minorEastAsia"/>
                <w:kern w:val="0"/>
                <w:sz w:val="24"/>
                <w:szCs w:val="24"/>
              </w:rPr>
              <w:t>2.77</w:t>
            </w:r>
          </w:p>
        </w:tc>
      </w:tr>
      <w:tr w:rsidR="00C605DE">
        <w:tc>
          <w:tcPr>
            <w:tcW w:w="817" w:type="dxa"/>
            <w:vAlign w:val="center"/>
          </w:tcPr>
          <w:p w:rsidR="00C605DE" w:rsidRDefault="00705A95">
            <w:pPr>
              <w:jc w:val="center"/>
            </w:pPr>
            <w:r>
              <w:rPr>
                <w:rFonts w:eastAsiaTheme="minorEastAsia"/>
                <w:kern w:val="0"/>
                <w:sz w:val="24"/>
                <w:szCs w:val="24"/>
              </w:rPr>
              <w:t>3</w:t>
            </w:r>
          </w:p>
        </w:tc>
        <w:tc>
          <w:tcPr>
            <w:tcW w:w="1276" w:type="dxa"/>
            <w:vAlign w:val="center"/>
          </w:tcPr>
          <w:p w:rsidR="00C605DE" w:rsidRDefault="00705A95">
            <w:pPr>
              <w:jc w:val="center"/>
            </w:pPr>
            <w:r>
              <w:rPr>
                <w:rFonts w:eastAsiaTheme="minorEastAsia"/>
                <w:kern w:val="0"/>
                <w:sz w:val="24"/>
                <w:szCs w:val="24"/>
              </w:rPr>
              <w:t>000002</w:t>
            </w:r>
          </w:p>
        </w:tc>
        <w:tc>
          <w:tcPr>
            <w:tcW w:w="1701" w:type="dxa"/>
            <w:vAlign w:val="center"/>
          </w:tcPr>
          <w:p w:rsidR="00C605DE" w:rsidRDefault="00705A95">
            <w:pPr>
              <w:jc w:val="center"/>
            </w:pPr>
            <w:r>
              <w:rPr>
                <w:rFonts w:eastAsiaTheme="minorEastAsia"/>
                <w:kern w:val="0"/>
                <w:sz w:val="24"/>
                <w:szCs w:val="24"/>
              </w:rPr>
              <w:t>万科</w:t>
            </w:r>
            <w:r>
              <w:rPr>
                <w:rFonts w:eastAsiaTheme="minorEastAsia"/>
                <w:kern w:val="0"/>
                <w:sz w:val="24"/>
                <w:szCs w:val="24"/>
              </w:rPr>
              <w:t>A</w:t>
            </w:r>
          </w:p>
        </w:tc>
        <w:tc>
          <w:tcPr>
            <w:tcW w:w="1276" w:type="dxa"/>
            <w:vAlign w:val="center"/>
          </w:tcPr>
          <w:p w:rsidR="00C605DE" w:rsidRDefault="00705A95">
            <w:pPr>
              <w:jc w:val="right"/>
            </w:pPr>
            <w:r>
              <w:rPr>
                <w:rFonts w:eastAsiaTheme="minorEastAsia"/>
                <w:kern w:val="0"/>
                <w:sz w:val="24"/>
                <w:szCs w:val="24"/>
              </w:rPr>
              <w:t>31,200.00</w:t>
            </w:r>
          </w:p>
        </w:tc>
        <w:tc>
          <w:tcPr>
            <w:tcW w:w="1842" w:type="dxa"/>
            <w:vAlign w:val="center"/>
          </w:tcPr>
          <w:p w:rsidR="00C605DE" w:rsidRDefault="00705A95">
            <w:pPr>
              <w:jc w:val="right"/>
            </w:pPr>
            <w:r>
              <w:rPr>
                <w:rFonts w:eastAsiaTheme="minorEastAsia"/>
                <w:kern w:val="0"/>
                <w:sz w:val="24"/>
                <w:szCs w:val="24"/>
              </w:rPr>
              <w:t>475,488.00</w:t>
            </w:r>
          </w:p>
        </w:tc>
        <w:tc>
          <w:tcPr>
            <w:tcW w:w="1616" w:type="dxa"/>
            <w:vAlign w:val="center"/>
          </w:tcPr>
          <w:p w:rsidR="00C605DE" w:rsidRDefault="00705A95">
            <w:pPr>
              <w:jc w:val="right"/>
            </w:pPr>
            <w:r>
              <w:rPr>
                <w:rFonts w:eastAsiaTheme="minorEastAsia"/>
                <w:kern w:val="0"/>
                <w:sz w:val="24"/>
                <w:szCs w:val="24"/>
              </w:rPr>
              <w:t>2.42</w:t>
            </w:r>
          </w:p>
        </w:tc>
      </w:tr>
      <w:tr w:rsidR="00C605DE">
        <w:tc>
          <w:tcPr>
            <w:tcW w:w="817" w:type="dxa"/>
            <w:vAlign w:val="center"/>
          </w:tcPr>
          <w:p w:rsidR="00C605DE" w:rsidRDefault="00705A95">
            <w:pPr>
              <w:jc w:val="center"/>
            </w:pPr>
            <w:r>
              <w:rPr>
                <w:rFonts w:eastAsiaTheme="minorEastAsia"/>
                <w:kern w:val="0"/>
                <w:sz w:val="24"/>
                <w:szCs w:val="24"/>
              </w:rPr>
              <w:t>4</w:t>
            </w:r>
          </w:p>
        </w:tc>
        <w:tc>
          <w:tcPr>
            <w:tcW w:w="1276" w:type="dxa"/>
            <w:vAlign w:val="center"/>
          </w:tcPr>
          <w:p w:rsidR="00C605DE" w:rsidRDefault="00705A95">
            <w:pPr>
              <w:jc w:val="center"/>
            </w:pPr>
            <w:r>
              <w:rPr>
                <w:rFonts w:eastAsiaTheme="minorEastAsia"/>
                <w:kern w:val="0"/>
                <w:sz w:val="24"/>
                <w:szCs w:val="24"/>
              </w:rPr>
              <w:t>600583</w:t>
            </w:r>
          </w:p>
        </w:tc>
        <w:tc>
          <w:tcPr>
            <w:tcW w:w="1701" w:type="dxa"/>
            <w:vAlign w:val="center"/>
          </w:tcPr>
          <w:p w:rsidR="00C605DE" w:rsidRDefault="00705A95">
            <w:pPr>
              <w:jc w:val="center"/>
            </w:pPr>
            <w:r>
              <w:rPr>
                <w:rFonts w:eastAsiaTheme="minorEastAsia"/>
                <w:kern w:val="0"/>
                <w:sz w:val="24"/>
                <w:szCs w:val="24"/>
              </w:rPr>
              <w:t>海油工程</w:t>
            </w:r>
          </w:p>
        </w:tc>
        <w:tc>
          <w:tcPr>
            <w:tcW w:w="1276" w:type="dxa"/>
            <w:vAlign w:val="center"/>
          </w:tcPr>
          <w:p w:rsidR="00C605DE" w:rsidRDefault="00705A95">
            <w:pPr>
              <w:jc w:val="right"/>
            </w:pPr>
            <w:r>
              <w:rPr>
                <w:rFonts w:eastAsiaTheme="minorEastAsia"/>
                <w:kern w:val="0"/>
                <w:sz w:val="24"/>
                <w:szCs w:val="24"/>
              </w:rPr>
              <w:t>76,200.00</w:t>
            </w:r>
          </w:p>
        </w:tc>
        <w:tc>
          <w:tcPr>
            <w:tcW w:w="1842" w:type="dxa"/>
            <w:vAlign w:val="center"/>
          </w:tcPr>
          <w:p w:rsidR="00C605DE" w:rsidRDefault="00705A95">
            <w:pPr>
              <w:jc w:val="right"/>
            </w:pPr>
            <w:r>
              <w:rPr>
                <w:rFonts w:eastAsiaTheme="minorEastAsia"/>
                <w:kern w:val="0"/>
                <w:sz w:val="24"/>
                <w:szCs w:val="24"/>
              </w:rPr>
              <w:t>467,106.00</w:t>
            </w:r>
          </w:p>
        </w:tc>
        <w:tc>
          <w:tcPr>
            <w:tcW w:w="1616" w:type="dxa"/>
            <w:vAlign w:val="center"/>
          </w:tcPr>
          <w:p w:rsidR="00C605DE" w:rsidRDefault="00705A95">
            <w:pPr>
              <w:jc w:val="right"/>
            </w:pPr>
            <w:r>
              <w:rPr>
                <w:rFonts w:eastAsiaTheme="minorEastAsia"/>
                <w:kern w:val="0"/>
                <w:sz w:val="24"/>
                <w:szCs w:val="24"/>
              </w:rPr>
              <w:t>2.38</w:t>
            </w:r>
          </w:p>
        </w:tc>
      </w:tr>
      <w:tr w:rsidR="00C605DE">
        <w:tc>
          <w:tcPr>
            <w:tcW w:w="817" w:type="dxa"/>
            <w:vAlign w:val="center"/>
          </w:tcPr>
          <w:p w:rsidR="00C605DE" w:rsidRDefault="00705A95">
            <w:pPr>
              <w:jc w:val="center"/>
            </w:pPr>
            <w:r>
              <w:rPr>
                <w:rFonts w:eastAsiaTheme="minorEastAsia"/>
                <w:kern w:val="0"/>
                <w:sz w:val="24"/>
                <w:szCs w:val="24"/>
              </w:rPr>
              <w:t>5</w:t>
            </w:r>
          </w:p>
        </w:tc>
        <w:tc>
          <w:tcPr>
            <w:tcW w:w="1276" w:type="dxa"/>
            <w:vAlign w:val="center"/>
          </w:tcPr>
          <w:p w:rsidR="00C605DE" w:rsidRDefault="00705A95">
            <w:pPr>
              <w:jc w:val="center"/>
            </w:pPr>
            <w:r>
              <w:rPr>
                <w:rFonts w:eastAsiaTheme="minorEastAsia"/>
                <w:kern w:val="0"/>
                <w:sz w:val="24"/>
                <w:szCs w:val="24"/>
              </w:rPr>
              <w:t>300900</w:t>
            </w:r>
          </w:p>
        </w:tc>
        <w:tc>
          <w:tcPr>
            <w:tcW w:w="1701" w:type="dxa"/>
            <w:vAlign w:val="center"/>
          </w:tcPr>
          <w:p w:rsidR="00C605DE" w:rsidRDefault="00705A95">
            <w:pPr>
              <w:jc w:val="center"/>
            </w:pPr>
            <w:r>
              <w:rPr>
                <w:rFonts w:eastAsiaTheme="minorEastAsia"/>
                <w:kern w:val="0"/>
                <w:sz w:val="24"/>
                <w:szCs w:val="24"/>
              </w:rPr>
              <w:t>广联航空</w:t>
            </w:r>
          </w:p>
        </w:tc>
        <w:tc>
          <w:tcPr>
            <w:tcW w:w="1276" w:type="dxa"/>
            <w:vAlign w:val="center"/>
          </w:tcPr>
          <w:p w:rsidR="00C605DE" w:rsidRDefault="00705A95">
            <w:pPr>
              <w:jc w:val="right"/>
            </w:pPr>
            <w:r>
              <w:rPr>
                <w:rFonts w:eastAsiaTheme="minorEastAsia"/>
                <w:kern w:val="0"/>
                <w:sz w:val="24"/>
                <w:szCs w:val="24"/>
              </w:rPr>
              <w:t>14,800.00</w:t>
            </w:r>
          </w:p>
        </w:tc>
        <w:tc>
          <w:tcPr>
            <w:tcW w:w="1842" w:type="dxa"/>
            <w:vAlign w:val="center"/>
          </w:tcPr>
          <w:p w:rsidR="00C605DE" w:rsidRDefault="00705A95">
            <w:pPr>
              <w:jc w:val="right"/>
            </w:pPr>
            <w:r>
              <w:rPr>
                <w:rFonts w:eastAsiaTheme="minorEastAsia"/>
                <w:kern w:val="0"/>
                <w:sz w:val="24"/>
                <w:szCs w:val="24"/>
              </w:rPr>
              <w:t>461,316.00</w:t>
            </w:r>
          </w:p>
        </w:tc>
        <w:tc>
          <w:tcPr>
            <w:tcW w:w="1616" w:type="dxa"/>
            <w:vAlign w:val="center"/>
          </w:tcPr>
          <w:p w:rsidR="00C605DE" w:rsidRDefault="00705A95">
            <w:pPr>
              <w:jc w:val="right"/>
            </w:pPr>
            <w:r>
              <w:rPr>
                <w:rFonts w:eastAsiaTheme="minorEastAsia"/>
                <w:kern w:val="0"/>
                <w:sz w:val="24"/>
                <w:szCs w:val="24"/>
              </w:rPr>
              <w:t>2.35</w:t>
            </w:r>
          </w:p>
        </w:tc>
      </w:tr>
      <w:tr w:rsidR="00C605DE">
        <w:tc>
          <w:tcPr>
            <w:tcW w:w="817" w:type="dxa"/>
            <w:vAlign w:val="center"/>
          </w:tcPr>
          <w:p w:rsidR="00C605DE" w:rsidRDefault="00705A95">
            <w:pPr>
              <w:jc w:val="center"/>
            </w:pPr>
            <w:r>
              <w:rPr>
                <w:rFonts w:eastAsiaTheme="minorEastAsia"/>
                <w:kern w:val="0"/>
                <w:sz w:val="24"/>
                <w:szCs w:val="24"/>
              </w:rPr>
              <w:t>6</w:t>
            </w:r>
          </w:p>
        </w:tc>
        <w:tc>
          <w:tcPr>
            <w:tcW w:w="1276" w:type="dxa"/>
            <w:vAlign w:val="center"/>
          </w:tcPr>
          <w:p w:rsidR="00C605DE" w:rsidRDefault="00705A95">
            <w:pPr>
              <w:jc w:val="center"/>
            </w:pPr>
            <w:r>
              <w:rPr>
                <w:rFonts w:eastAsiaTheme="minorEastAsia"/>
                <w:kern w:val="0"/>
                <w:sz w:val="24"/>
                <w:szCs w:val="24"/>
              </w:rPr>
              <w:t>600258</w:t>
            </w:r>
          </w:p>
        </w:tc>
        <w:tc>
          <w:tcPr>
            <w:tcW w:w="1701" w:type="dxa"/>
            <w:vAlign w:val="center"/>
          </w:tcPr>
          <w:p w:rsidR="00C605DE" w:rsidRDefault="00705A95">
            <w:pPr>
              <w:jc w:val="center"/>
            </w:pPr>
            <w:r>
              <w:rPr>
                <w:rFonts w:eastAsiaTheme="minorEastAsia"/>
                <w:kern w:val="0"/>
                <w:sz w:val="24"/>
                <w:szCs w:val="24"/>
              </w:rPr>
              <w:t>首旅酒店</w:t>
            </w:r>
          </w:p>
        </w:tc>
        <w:tc>
          <w:tcPr>
            <w:tcW w:w="1276" w:type="dxa"/>
            <w:vAlign w:val="center"/>
          </w:tcPr>
          <w:p w:rsidR="00C605DE" w:rsidRDefault="00705A95">
            <w:pPr>
              <w:jc w:val="right"/>
            </w:pPr>
            <w:r>
              <w:rPr>
                <w:rFonts w:eastAsiaTheme="minorEastAsia"/>
                <w:kern w:val="0"/>
                <w:sz w:val="24"/>
                <w:szCs w:val="24"/>
              </w:rPr>
              <w:t>17,000.00</w:t>
            </w:r>
          </w:p>
        </w:tc>
        <w:tc>
          <w:tcPr>
            <w:tcW w:w="1842" w:type="dxa"/>
            <w:vAlign w:val="center"/>
          </w:tcPr>
          <w:p w:rsidR="00C605DE" w:rsidRDefault="00705A95">
            <w:pPr>
              <w:jc w:val="right"/>
            </w:pPr>
            <w:r>
              <w:rPr>
                <w:rFonts w:eastAsiaTheme="minorEastAsia"/>
                <w:kern w:val="0"/>
                <w:sz w:val="24"/>
                <w:szCs w:val="24"/>
              </w:rPr>
              <w:t>396,780.00</w:t>
            </w:r>
          </w:p>
        </w:tc>
        <w:tc>
          <w:tcPr>
            <w:tcW w:w="1616" w:type="dxa"/>
            <w:vAlign w:val="center"/>
          </w:tcPr>
          <w:p w:rsidR="00C605DE" w:rsidRDefault="00705A95">
            <w:pPr>
              <w:jc w:val="right"/>
            </w:pPr>
            <w:r>
              <w:rPr>
                <w:rFonts w:eastAsiaTheme="minorEastAsia"/>
                <w:kern w:val="0"/>
                <w:sz w:val="24"/>
                <w:szCs w:val="24"/>
              </w:rPr>
              <w:t>2.02</w:t>
            </w:r>
          </w:p>
        </w:tc>
      </w:tr>
      <w:tr w:rsidR="00C605DE">
        <w:tc>
          <w:tcPr>
            <w:tcW w:w="817" w:type="dxa"/>
            <w:vAlign w:val="center"/>
          </w:tcPr>
          <w:p w:rsidR="00C605DE" w:rsidRDefault="00705A95">
            <w:pPr>
              <w:jc w:val="center"/>
            </w:pPr>
            <w:r>
              <w:rPr>
                <w:rFonts w:eastAsiaTheme="minorEastAsia"/>
                <w:kern w:val="0"/>
                <w:sz w:val="24"/>
                <w:szCs w:val="24"/>
              </w:rPr>
              <w:t>7</w:t>
            </w:r>
          </w:p>
        </w:tc>
        <w:tc>
          <w:tcPr>
            <w:tcW w:w="1276" w:type="dxa"/>
            <w:vAlign w:val="center"/>
          </w:tcPr>
          <w:p w:rsidR="00C605DE" w:rsidRDefault="00705A95">
            <w:pPr>
              <w:jc w:val="center"/>
            </w:pPr>
            <w:r>
              <w:rPr>
                <w:rFonts w:eastAsiaTheme="minorEastAsia"/>
                <w:kern w:val="0"/>
                <w:sz w:val="24"/>
                <w:szCs w:val="24"/>
              </w:rPr>
              <w:t>600216</w:t>
            </w:r>
          </w:p>
        </w:tc>
        <w:tc>
          <w:tcPr>
            <w:tcW w:w="1701" w:type="dxa"/>
            <w:vAlign w:val="center"/>
          </w:tcPr>
          <w:p w:rsidR="00C605DE" w:rsidRDefault="00705A95">
            <w:pPr>
              <w:jc w:val="center"/>
            </w:pPr>
            <w:r>
              <w:rPr>
                <w:rFonts w:eastAsiaTheme="minorEastAsia"/>
                <w:kern w:val="0"/>
                <w:sz w:val="24"/>
                <w:szCs w:val="24"/>
              </w:rPr>
              <w:t>浙江医药</w:t>
            </w:r>
          </w:p>
        </w:tc>
        <w:tc>
          <w:tcPr>
            <w:tcW w:w="1276" w:type="dxa"/>
            <w:vAlign w:val="center"/>
          </w:tcPr>
          <w:p w:rsidR="00C605DE" w:rsidRDefault="00705A95">
            <w:pPr>
              <w:jc w:val="right"/>
            </w:pPr>
            <w:r>
              <w:rPr>
                <w:rFonts w:eastAsiaTheme="minorEastAsia"/>
                <w:kern w:val="0"/>
                <w:sz w:val="24"/>
                <w:szCs w:val="24"/>
              </w:rPr>
              <w:t>28,500.00</w:t>
            </w:r>
          </w:p>
        </w:tc>
        <w:tc>
          <w:tcPr>
            <w:tcW w:w="1842" w:type="dxa"/>
            <w:vAlign w:val="center"/>
          </w:tcPr>
          <w:p w:rsidR="00C605DE" w:rsidRDefault="00705A95">
            <w:pPr>
              <w:jc w:val="right"/>
            </w:pPr>
            <w:r>
              <w:rPr>
                <w:rFonts w:eastAsiaTheme="minorEastAsia"/>
                <w:kern w:val="0"/>
                <w:sz w:val="24"/>
                <w:szCs w:val="24"/>
              </w:rPr>
              <w:t>351,690.00</w:t>
            </w:r>
          </w:p>
        </w:tc>
        <w:tc>
          <w:tcPr>
            <w:tcW w:w="1616" w:type="dxa"/>
            <w:vAlign w:val="center"/>
          </w:tcPr>
          <w:p w:rsidR="00C605DE" w:rsidRDefault="00705A95">
            <w:pPr>
              <w:jc w:val="right"/>
            </w:pPr>
            <w:r>
              <w:rPr>
                <w:rFonts w:eastAsiaTheme="minorEastAsia"/>
                <w:kern w:val="0"/>
                <w:sz w:val="24"/>
                <w:szCs w:val="24"/>
              </w:rPr>
              <w:t>1.79</w:t>
            </w:r>
          </w:p>
        </w:tc>
      </w:tr>
      <w:tr w:rsidR="00C605DE">
        <w:tc>
          <w:tcPr>
            <w:tcW w:w="817" w:type="dxa"/>
            <w:vAlign w:val="center"/>
          </w:tcPr>
          <w:p w:rsidR="00C605DE" w:rsidRDefault="00705A95">
            <w:pPr>
              <w:jc w:val="center"/>
            </w:pPr>
            <w:r>
              <w:rPr>
                <w:rFonts w:eastAsiaTheme="minorEastAsia"/>
                <w:kern w:val="0"/>
                <w:sz w:val="24"/>
                <w:szCs w:val="24"/>
              </w:rPr>
              <w:t>8</w:t>
            </w:r>
          </w:p>
        </w:tc>
        <w:tc>
          <w:tcPr>
            <w:tcW w:w="1276" w:type="dxa"/>
            <w:vAlign w:val="center"/>
          </w:tcPr>
          <w:p w:rsidR="00C605DE" w:rsidRDefault="00705A95">
            <w:pPr>
              <w:jc w:val="center"/>
            </w:pPr>
            <w:r>
              <w:rPr>
                <w:rFonts w:eastAsiaTheme="minorEastAsia"/>
                <w:kern w:val="0"/>
                <w:sz w:val="24"/>
                <w:szCs w:val="24"/>
              </w:rPr>
              <w:t>600196</w:t>
            </w:r>
          </w:p>
        </w:tc>
        <w:tc>
          <w:tcPr>
            <w:tcW w:w="1701" w:type="dxa"/>
            <w:vAlign w:val="center"/>
          </w:tcPr>
          <w:p w:rsidR="00C605DE" w:rsidRDefault="00705A95">
            <w:pPr>
              <w:jc w:val="center"/>
            </w:pPr>
            <w:r>
              <w:rPr>
                <w:rFonts w:eastAsiaTheme="minorEastAsia"/>
                <w:kern w:val="0"/>
                <w:sz w:val="24"/>
                <w:szCs w:val="24"/>
              </w:rPr>
              <w:t>复星医药</w:t>
            </w:r>
          </w:p>
        </w:tc>
        <w:tc>
          <w:tcPr>
            <w:tcW w:w="1276" w:type="dxa"/>
            <w:vAlign w:val="center"/>
          </w:tcPr>
          <w:p w:rsidR="00C605DE" w:rsidRDefault="00705A95">
            <w:pPr>
              <w:jc w:val="right"/>
            </w:pPr>
            <w:r>
              <w:rPr>
                <w:rFonts w:eastAsiaTheme="minorEastAsia"/>
                <w:kern w:val="0"/>
                <w:sz w:val="24"/>
                <w:szCs w:val="24"/>
              </w:rPr>
              <w:t>10,500.00</w:t>
            </w:r>
          </w:p>
        </w:tc>
        <w:tc>
          <w:tcPr>
            <w:tcW w:w="1842" w:type="dxa"/>
            <w:vAlign w:val="center"/>
          </w:tcPr>
          <w:p w:rsidR="00C605DE" w:rsidRDefault="00705A95">
            <w:pPr>
              <w:jc w:val="right"/>
            </w:pPr>
            <w:r>
              <w:rPr>
                <w:rFonts w:eastAsiaTheme="minorEastAsia"/>
                <w:kern w:val="0"/>
                <w:sz w:val="24"/>
                <w:szCs w:val="24"/>
              </w:rPr>
              <w:t>340,095.00</w:t>
            </w:r>
          </w:p>
        </w:tc>
        <w:tc>
          <w:tcPr>
            <w:tcW w:w="1616" w:type="dxa"/>
            <w:vAlign w:val="center"/>
          </w:tcPr>
          <w:p w:rsidR="00C605DE" w:rsidRDefault="00705A95">
            <w:pPr>
              <w:jc w:val="right"/>
            </w:pPr>
            <w:r>
              <w:rPr>
                <w:rFonts w:eastAsiaTheme="minorEastAsia"/>
                <w:kern w:val="0"/>
                <w:sz w:val="24"/>
                <w:szCs w:val="24"/>
              </w:rPr>
              <w:t>1.73</w:t>
            </w:r>
          </w:p>
        </w:tc>
      </w:tr>
      <w:tr w:rsidR="00C605DE">
        <w:tc>
          <w:tcPr>
            <w:tcW w:w="817" w:type="dxa"/>
            <w:vAlign w:val="center"/>
          </w:tcPr>
          <w:p w:rsidR="00C605DE" w:rsidRDefault="00705A95">
            <w:pPr>
              <w:jc w:val="center"/>
            </w:pPr>
            <w:r>
              <w:rPr>
                <w:rFonts w:eastAsiaTheme="minorEastAsia"/>
                <w:kern w:val="0"/>
                <w:sz w:val="24"/>
                <w:szCs w:val="24"/>
              </w:rPr>
              <w:t>9</w:t>
            </w:r>
          </w:p>
        </w:tc>
        <w:tc>
          <w:tcPr>
            <w:tcW w:w="1276" w:type="dxa"/>
            <w:vAlign w:val="center"/>
          </w:tcPr>
          <w:p w:rsidR="00C605DE" w:rsidRDefault="00705A95">
            <w:pPr>
              <w:jc w:val="center"/>
            </w:pPr>
            <w:r>
              <w:rPr>
                <w:rFonts w:eastAsiaTheme="minorEastAsia"/>
                <w:kern w:val="0"/>
                <w:sz w:val="24"/>
                <w:szCs w:val="24"/>
              </w:rPr>
              <w:t>600030</w:t>
            </w:r>
          </w:p>
        </w:tc>
        <w:tc>
          <w:tcPr>
            <w:tcW w:w="1701" w:type="dxa"/>
            <w:vAlign w:val="center"/>
          </w:tcPr>
          <w:p w:rsidR="00C605DE" w:rsidRDefault="00705A95">
            <w:pPr>
              <w:jc w:val="center"/>
            </w:pPr>
            <w:r>
              <w:rPr>
                <w:rFonts w:eastAsiaTheme="minorEastAsia"/>
                <w:kern w:val="0"/>
                <w:sz w:val="24"/>
                <w:szCs w:val="24"/>
              </w:rPr>
              <w:t>中信证券</w:t>
            </w:r>
          </w:p>
        </w:tc>
        <w:tc>
          <w:tcPr>
            <w:tcW w:w="1276" w:type="dxa"/>
            <w:vAlign w:val="center"/>
          </w:tcPr>
          <w:p w:rsidR="00C605DE" w:rsidRDefault="00705A95">
            <w:pPr>
              <w:jc w:val="right"/>
            </w:pPr>
            <w:r>
              <w:rPr>
                <w:rFonts w:eastAsiaTheme="minorEastAsia"/>
                <w:kern w:val="0"/>
                <w:sz w:val="24"/>
                <w:szCs w:val="24"/>
              </w:rPr>
              <w:t>15,900.00</w:t>
            </w:r>
          </w:p>
        </w:tc>
        <w:tc>
          <w:tcPr>
            <w:tcW w:w="1842" w:type="dxa"/>
            <w:vAlign w:val="center"/>
          </w:tcPr>
          <w:p w:rsidR="00C605DE" w:rsidRDefault="00705A95">
            <w:pPr>
              <w:jc w:val="right"/>
            </w:pPr>
            <w:r>
              <w:rPr>
                <w:rFonts w:eastAsiaTheme="minorEastAsia"/>
                <w:kern w:val="0"/>
                <w:sz w:val="24"/>
                <w:szCs w:val="24"/>
              </w:rPr>
              <w:t>325,632.00</w:t>
            </w:r>
          </w:p>
        </w:tc>
        <w:tc>
          <w:tcPr>
            <w:tcW w:w="1616" w:type="dxa"/>
            <w:vAlign w:val="center"/>
          </w:tcPr>
          <w:p w:rsidR="00C605DE" w:rsidRDefault="00705A95">
            <w:pPr>
              <w:jc w:val="right"/>
            </w:pPr>
            <w:r>
              <w:rPr>
                <w:rFonts w:eastAsiaTheme="minorEastAsia"/>
                <w:kern w:val="0"/>
                <w:sz w:val="24"/>
                <w:szCs w:val="24"/>
              </w:rPr>
              <w:t>1.66</w:t>
            </w:r>
          </w:p>
        </w:tc>
      </w:tr>
      <w:tr w:rsidR="00C605DE">
        <w:tc>
          <w:tcPr>
            <w:tcW w:w="817" w:type="dxa"/>
            <w:vAlign w:val="center"/>
          </w:tcPr>
          <w:p w:rsidR="00C605DE" w:rsidRDefault="00705A95">
            <w:pPr>
              <w:jc w:val="center"/>
            </w:pPr>
            <w:r>
              <w:rPr>
                <w:rFonts w:eastAsiaTheme="minorEastAsia"/>
                <w:kern w:val="0"/>
                <w:sz w:val="24"/>
                <w:szCs w:val="24"/>
              </w:rPr>
              <w:t>10</w:t>
            </w:r>
          </w:p>
        </w:tc>
        <w:tc>
          <w:tcPr>
            <w:tcW w:w="1276" w:type="dxa"/>
            <w:vAlign w:val="center"/>
          </w:tcPr>
          <w:p w:rsidR="00C605DE" w:rsidRDefault="00705A95">
            <w:pPr>
              <w:jc w:val="center"/>
            </w:pPr>
            <w:r>
              <w:rPr>
                <w:rFonts w:eastAsiaTheme="minorEastAsia"/>
                <w:kern w:val="0"/>
                <w:sz w:val="24"/>
                <w:szCs w:val="24"/>
              </w:rPr>
              <w:t>688561</w:t>
            </w:r>
          </w:p>
        </w:tc>
        <w:tc>
          <w:tcPr>
            <w:tcW w:w="1701" w:type="dxa"/>
            <w:vAlign w:val="center"/>
          </w:tcPr>
          <w:p w:rsidR="00C605DE" w:rsidRDefault="00705A95">
            <w:pPr>
              <w:jc w:val="center"/>
            </w:pPr>
            <w:r>
              <w:rPr>
                <w:rFonts w:eastAsiaTheme="minorEastAsia"/>
                <w:kern w:val="0"/>
                <w:sz w:val="24"/>
                <w:szCs w:val="24"/>
              </w:rPr>
              <w:t>奇安信</w:t>
            </w:r>
          </w:p>
        </w:tc>
        <w:tc>
          <w:tcPr>
            <w:tcW w:w="1276" w:type="dxa"/>
            <w:vAlign w:val="center"/>
          </w:tcPr>
          <w:p w:rsidR="00C605DE" w:rsidRDefault="00705A95">
            <w:pPr>
              <w:jc w:val="right"/>
            </w:pPr>
            <w:r>
              <w:rPr>
                <w:rFonts w:eastAsiaTheme="minorEastAsia"/>
                <w:kern w:val="0"/>
                <w:sz w:val="24"/>
                <w:szCs w:val="24"/>
              </w:rPr>
              <w:t>4,610.00</w:t>
            </w:r>
          </w:p>
        </w:tc>
        <w:tc>
          <w:tcPr>
            <w:tcW w:w="1842" w:type="dxa"/>
            <w:vAlign w:val="center"/>
          </w:tcPr>
          <w:p w:rsidR="00C605DE" w:rsidRDefault="00705A95">
            <w:pPr>
              <w:jc w:val="right"/>
            </w:pPr>
            <w:r>
              <w:rPr>
                <w:rFonts w:eastAsiaTheme="minorEastAsia"/>
                <w:kern w:val="0"/>
                <w:sz w:val="24"/>
                <w:szCs w:val="24"/>
              </w:rPr>
              <w:t>321,778.00</w:t>
            </w:r>
          </w:p>
        </w:tc>
        <w:tc>
          <w:tcPr>
            <w:tcW w:w="1616" w:type="dxa"/>
            <w:vAlign w:val="center"/>
          </w:tcPr>
          <w:p w:rsidR="00C605DE" w:rsidRDefault="00705A95">
            <w:pPr>
              <w:jc w:val="right"/>
            </w:pPr>
            <w:r>
              <w:rPr>
                <w:rFonts w:eastAsiaTheme="minorEastAsia"/>
                <w:kern w:val="0"/>
                <w:sz w:val="24"/>
                <w:szCs w:val="24"/>
              </w:rPr>
              <w:t>1.64</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lastRenderedPageBreak/>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3,153.69</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lastRenderedPageBreak/>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1,598.49</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4,752.18</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14,831,221.70</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763,681.41</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842,624.73</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14,752,278.38</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C605DE" w:rsidRDefault="00705A95">
      <w:pPr>
        <w:spacing w:line="360" w:lineRule="auto"/>
        <w:ind w:firstLineChars="200" w:firstLine="420"/>
        <w:rPr>
          <w:rFonts w:eastAsiaTheme="minorEastAsia"/>
          <w:color w:val="000000" w:themeColor="text1"/>
        </w:rPr>
      </w:pPr>
      <w:r>
        <w:rPr>
          <w:rFonts w:eastAsiaTheme="minorEastAsia"/>
          <w:color w:val="000000" w:themeColor="text1"/>
        </w:rPr>
        <w:t>1</w:t>
      </w:r>
      <w:r>
        <w:rPr>
          <w:rFonts w:eastAsiaTheme="minorEastAsia"/>
          <w:color w:val="000000" w:themeColor="text1"/>
        </w:rPr>
        <w:t>、中国证监会准予本基金募集注册的文件</w:t>
      </w:r>
    </w:p>
    <w:p w:rsidR="00C605DE" w:rsidRDefault="00705A95">
      <w:pPr>
        <w:spacing w:line="360" w:lineRule="auto"/>
        <w:ind w:firstLineChars="200" w:firstLine="420"/>
        <w:rPr>
          <w:rFonts w:eastAsiaTheme="minorEastAsia"/>
          <w:color w:val="000000" w:themeColor="text1"/>
        </w:rPr>
      </w:pPr>
      <w:r>
        <w:rPr>
          <w:rFonts w:eastAsiaTheme="minorEastAsia"/>
          <w:color w:val="000000" w:themeColor="text1"/>
        </w:rPr>
        <w:t>2</w:t>
      </w:r>
      <w:r>
        <w:rPr>
          <w:rFonts w:eastAsiaTheme="minorEastAsia"/>
          <w:color w:val="000000" w:themeColor="text1"/>
        </w:rPr>
        <w:t>、《摩根量化多因子灵活配置混合型证券投资基金基金合同》</w:t>
      </w:r>
    </w:p>
    <w:p w:rsidR="00C605DE" w:rsidRDefault="00705A95">
      <w:pPr>
        <w:spacing w:line="360" w:lineRule="auto"/>
        <w:ind w:firstLineChars="200" w:firstLine="420"/>
        <w:rPr>
          <w:rFonts w:eastAsiaTheme="minorEastAsia"/>
          <w:color w:val="000000" w:themeColor="text1"/>
        </w:rPr>
      </w:pPr>
      <w:r>
        <w:rPr>
          <w:rFonts w:eastAsiaTheme="minorEastAsia"/>
          <w:color w:val="000000" w:themeColor="text1"/>
        </w:rPr>
        <w:t>3</w:t>
      </w:r>
      <w:r>
        <w:rPr>
          <w:rFonts w:eastAsiaTheme="minorEastAsia"/>
          <w:color w:val="000000" w:themeColor="text1"/>
        </w:rPr>
        <w:t>、《摩根量化多因子灵活配置混合型证券投资基金托管协议》</w:t>
      </w:r>
    </w:p>
    <w:p w:rsidR="00C605DE" w:rsidRDefault="00705A95">
      <w:pPr>
        <w:spacing w:line="360" w:lineRule="auto"/>
        <w:ind w:firstLineChars="200" w:firstLine="420"/>
        <w:rPr>
          <w:rFonts w:eastAsiaTheme="minorEastAsia"/>
          <w:color w:val="000000" w:themeColor="text1"/>
        </w:rPr>
      </w:pPr>
      <w:r>
        <w:rPr>
          <w:rFonts w:eastAsiaTheme="minorEastAsia"/>
          <w:color w:val="000000" w:themeColor="text1"/>
        </w:rPr>
        <w:t>4</w:t>
      </w:r>
      <w:r>
        <w:rPr>
          <w:rFonts w:eastAsiaTheme="minorEastAsia"/>
          <w:color w:val="000000" w:themeColor="text1"/>
        </w:rPr>
        <w:t>、法律意见书</w:t>
      </w:r>
    </w:p>
    <w:p w:rsidR="00C605DE" w:rsidRDefault="00705A95">
      <w:pPr>
        <w:spacing w:line="360" w:lineRule="auto"/>
        <w:ind w:firstLineChars="200" w:firstLine="420"/>
        <w:rPr>
          <w:rFonts w:eastAsiaTheme="minorEastAsia"/>
          <w:color w:val="000000" w:themeColor="text1"/>
        </w:rPr>
      </w:pPr>
      <w:r>
        <w:rPr>
          <w:rFonts w:eastAsiaTheme="minorEastAsia"/>
          <w:color w:val="000000" w:themeColor="text1"/>
        </w:rPr>
        <w:t>5</w:t>
      </w:r>
      <w:r>
        <w:rPr>
          <w:rFonts w:eastAsiaTheme="minorEastAsia"/>
          <w:color w:val="000000" w:themeColor="text1"/>
        </w:rPr>
        <w:t>、基金管理人业务资格批件、营业执照</w:t>
      </w:r>
    </w:p>
    <w:p w:rsidR="00C605DE" w:rsidRDefault="00705A95">
      <w:pPr>
        <w:spacing w:line="360" w:lineRule="auto"/>
        <w:ind w:firstLineChars="200" w:firstLine="420"/>
        <w:rPr>
          <w:rFonts w:eastAsiaTheme="minorEastAsia"/>
          <w:color w:val="000000" w:themeColor="text1"/>
        </w:rPr>
      </w:pPr>
      <w:r>
        <w:rPr>
          <w:rFonts w:eastAsiaTheme="minorEastAsia"/>
          <w:color w:val="000000" w:themeColor="text1"/>
        </w:rPr>
        <w:t>6</w:t>
      </w:r>
      <w:r>
        <w:rPr>
          <w:rFonts w:eastAsiaTheme="minorEastAsia"/>
          <w:color w:val="000000" w:themeColor="text1"/>
        </w:rPr>
        <w:t>、基金托管人业务资格批件、营业执照</w:t>
      </w:r>
    </w:p>
    <w:p w:rsidR="00C605DE" w:rsidRDefault="00705A95">
      <w:pPr>
        <w:spacing w:line="360" w:lineRule="auto"/>
        <w:ind w:firstLineChars="200" w:firstLine="420"/>
        <w:rPr>
          <w:rFonts w:eastAsiaTheme="minorEastAsia"/>
          <w:color w:val="000000" w:themeColor="text1"/>
        </w:rPr>
      </w:pPr>
      <w:r>
        <w:rPr>
          <w:rFonts w:eastAsiaTheme="minorEastAsia"/>
          <w:color w:val="000000" w:themeColor="text1"/>
        </w:rPr>
        <w:t>7</w:t>
      </w:r>
      <w:r>
        <w:rPr>
          <w:rFonts w:eastAsiaTheme="minorEastAsia"/>
          <w:color w:val="000000" w:themeColor="text1"/>
        </w:rPr>
        <w:t>、《摩根基金管理（中国）有限公司开放式基金业务规则》</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8</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摩根基金管理（中国）有限公司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二〇二三年四月二十一日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159" w:rsidRDefault="00EB2159">
      <w:r>
        <w:separator/>
      </w:r>
    </w:p>
  </w:endnote>
  <w:endnote w:type="continuationSeparator" w:id="0">
    <w:p w:rsidR="00EB2159" w:rsidRDefault="00EB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705A95" w:rsidRPr="00705A95">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705A95">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159" w:rsidRDefault="00EB2159">
      <w:r>
        <w:separator/>
      </w:r>
    </w:p>
  </w:footnote>
  <w:footnote w:type="continuationSeparator" w:id="0">
    <w:p w:rsidR="00EB2159" w:rsidRDefault="00EB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摩根量化多因子灵活配置混合型证券投资基金</w:t>
    </w:r>
    <w:r>
      <w:rPr>
        <w:rFonts w:hint="eastAsia"/>
      </w:rPr>
      <w:t>2023</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5A95"/>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44FA"/>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05DE"/>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159"/>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EC5721-BAC6-4821-B247-4E694976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Chen,Richard</cp:lastModifiedBy>
  <cp:revision>269</cp:revision>
  <dcterms:created xsi:type="dcterms:W3CDTF">2012-10-16T06:07:00Z</dcterms:created>
  <dcterms:modified xsi:type="dcterms:W3CDTF">2023-04-20T06:38:00Z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