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上投摩根量化多因子灵活配置混合型证券投资基金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基金托管人：中国工商银行股份有限公司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报告送出日期：二〇二一年十月二十七日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基金托管人中国工商银行股份有限公司根据本基金合同规定，于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26</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上投摩根量化多因子混合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2018</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19</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16,466,592.47</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采用量化投资对基金资产进行积极管理，力争获取超越业绩基准的投资收益。</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A35C0A" w:rsidRDefault="000C76B6">
            <w:pPr>
              <w:adjustRightInd w:val="0"/>
              <w:spacing w:before="29" w:line="360" w:lineRule="auto"/>
              <w:ind w:left="17"/>
              <w:rPr>
                <w:rFonts w:eastAsiaTheme="minorEastAsia"/>
                <w:color w:val="000000" w:themeColor="text1"/>
              </w:rPr>
            </w:pPr>
            <w:r>
              <w:rPr>
                <w:rFonts w:eastAsiaTheme="minorEastAsia"/>
                <w:color w:val="000000" w:themeColor="text1"/>
                <w:kern w:val="0"/>
              </w:rPr>
              <w:t>本基金采用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进行个股选择，并结合适当的资产配置策略搭建基金投资组合。</w:t>
            </w:r>
          </w:p>
          <w:p w:rsidR="00A35C0A" w:rsidRDefault="000C76B6">
            <w:pPr>
              <w:adjustRightInd w:val="0"/>
              <w:spacing w:before="29" w:line="360" w:lineRule="auto"/>
              <w:ind w:left="17"/>
              <w:rPr>
                <w:rFonts w:eastAsiaTheme="minorEastAsia"/>
                <w:color w:val="000000" w:themeColor="text1"/>
              </w:rPr>
            </w:pPr>
            <w:r>
              <w:rPr>
                <w:rFonts w:eastAsiaTheme="minorEastAsia"/>
                <w:color w:val="000000" w:themeColor="text1"/>
                <w:kern w:val="0"/>
              </w:rPr>
              <w:t>资产配置方面，本基金通过对宏观经济、国家政策、资金面和市场情绪等影响证券市场的等因素进行深入分析，确定基金资产在股票、债券及现金等类别资产间的分配比</w:t>
            </w:r>
            <w:r>
              <w:rPr>
                <w:rFonts w:eastAsiaTheme="minorEastAsia"/>
                <w:color w:val="000000" w:themeColor="text1"/>
                <w:kern w:val="0"/>
              </w:rPr>
              <w:lastRenderedPageBreak/>
              <w:t>例，并动态优化投资组合。</w:t>
            </w:r>
          </w:p>
          <w:p w:rsidR="00A35C0A" w:rsidRDefault="000C76B6">
            <w:pPr>
              <w:adjustRightInd w:val="0"/>
              <w:spacing w:before="29" w:line="360" w:lineRule="auto"/>
              <w:ind w:left="17"/>
              <w:rPr>
                <w:rFonts w:eastAsiaTheme="minorEastAsia"/>
                <w:color w:val="000000" w:themeColor="text1"/>
              </w:rPr>
            </w:pPr>
            <w:r>
              <w:rPr>
                <w:rFonts w:eastAsiaTheme="minorEastAsia"/>
                <w:color w:val="000000" w:themeColor="text1"/>
                <w:kern w:val="0"/>
              </w:rPr>
              <w:t>在股票投资过程中，本基金将运用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选股构建股票投资组合的投资策略，对基金资产进行积极管理，力争获取超越业绩基准的投资收益。</w:t>
            </w:r>
          </w:p>
          <w:p w:rsidR="00A35C0A" w:rsidRDefault="000C76B6">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A35C0A" w:rsidRDefault="000C76B6">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A35C0A" w:rsidRDefault="000C76B6">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A35C0A" w:rsidRDefault="000C76B6">
            <w:pPr>
              <w:adjustRightInd w:val="0"/>
              <w:spacing w:before="29" w:line="360" w:lineRule="auto"/>
              <w:ind w:left="17"/>
              <w:rPr>
                <w:rFonts w:eastAsiaTheme="minorEastAsia"/>
                <w:color w:val="000000" w:themeColor="text1"/>
              </w:rPr>
            </w:pPr>
            <w:r>
              <w:rPr>
                <w:rFonts w:eastAsiaTheme="minorEastAsia"/>
                <w:color w:val="000000" w:themeColor="text1"/>
                <w:kern w:val="0"/>
              </w:rPr>
              <w:t>本基金通过基金管理人量化投资团队开发的</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进行股</w:t>
            </w:r>
            <w:r>
              <w:rPr>
                <w:rFonts w:eastAsiaTheme="minorEastAsia"/>
                <w:color w:val="000000" w:themeColor="text1"/>
                <w:kern w:val="0"/>
              </w:rPr>
              <w:t>票选择并据此构建股票投资组合。</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在实际运行过程中将进行定期动态调整，力争股票配置最优化，以期持续超越业绩比较基准收益率的投资目标。</w:t>
            </w:r>
          </w:p>
          <w:p w:rsidR="00A35C0A" w:rsidRDefault="000C76B6">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p>
          <w:p w:rsidR="00A35C0A" w:rsidRDefault="000C76B6">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、债券投资策略</w:t>
            </w:r>
          </w:p>
          <w:p w:rsidR="00A35C0A" w:rsidRDefault="000C76B6">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w:t>
            </w:r>
            <w:r>
              <w:rPr>
                <w:rFonts w:eastAsiaTheme="minorEastAsia"/>
                <w:color w:val="000000" w:themeColor="text1"/>
                <w:kern w:val="0"/>
              </w:rPr>
              <w:lastRenderedPageBreak/>
              <w:t>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、其他投资策略：包括存托凭证投资策略、股指期货投资策略、资产支持证券投资策略、股票期权投资策略等。</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 xml:space="preserve">800 </w:t>
            </w:r>
            <w:r w:rsidRPr="00FF6B9A">
              <w:rPr>
                <w:rFonts w:eastAsiaTheme="minorEastAsia"/>
                <w:color w:val="000000" w:themeColor="text1"/>
                <w:kern w:val="0"/>
              </w:rPr>
              <w:t>指数收益率</w:t>
            </w:r>
            <w:r w:rsidRPr="00FF6B9A">
              <w:rPr>
                <w:rFonts w:eastAsiaTheme="minorEastAsia"/>
                <w:color w:val="000000" w:themeColor="text1"/>
                <w:kern w:val="0"/>
              </w:rPr>
              <w:t>×60%+</w:t>
            </w:r>
            <w:r w:rsidRPr="00FF6B9A">
              <w:rPr>
                <w:rFonts w:eastAsiaTheme="minorEastAsia"/>
                <w:color w:val="000000" w:themeColor="text1"/>
                <w:kern w:val="0"/>
              </w:rPr>
              <w:t>中债总指数收益率</w:t>
            </w:r>
            <w:r w:rsidRPr="00FF6B9A">
              <w:rPr>
                <w:rFonts w:eastAsiaTheme="minorEastAsia"/>
                <w:color w:val="000000" w:themeColor="text1"/>
                <w:kern w:val="0"/>
              </w:rPr>
              <w:t>×40%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A35C0A" w:rsidRDefault="000C76B6">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本基金属于混合型基金产品，预期风险和收益水平高于债券型基金和货币市场基金，低于股票型基金，属于较高风险收益水平的基金产品。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中国工商银行股份有限公司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0C76B6" w:rsidRPr="00FF6B9A" w:rsidTr="000C76B6">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0C76B6" w:rsidRPr="00FF6B9A" w:rsidTr="000C76B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2,054,862.64</w:t>
            </w:r>
          </w:p>
        </w:tc>
      </w:tr>
      <w:tr w:rsidR="000C76B6" w:rsidRPr="00FF6B9A" w:rsidTr="000C76B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1,268,352.43</w:t>
            </w:r>
          </w:p>
        </w:tc>
      </w:tr>
      <w:tr w:rsidR="000C76B6" w:rsidRPr="00FF6B9A" w:rsidTr="000C76B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0.0748</w:t>
            </w:r>
          </w:p>
        </w:tc>
      </w:tr>
      <w:tr w:rsidR="000C76B6" w:rsidRPr="00FF6B9A" w:rsidTr="000C76B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24,139,622.27</w:t>
            </w:r>
          </w:p>
        </w:tc>
      </w:tr>
      <w:tr w:rsidR="000C76B6" w:rsidRPr="00FF6B9A" w:rsidTr="000C76B6">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1.4660</w:t>
            </w:r>
          </w:p>
        </w:tc>
      </w:tr>
    </w:tbl>
    <w:p w:rsidR="00A35C0A" w:rsidRDefault="000C76B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A35C0A">
        <w:tc>
          <w:tcPr>
            <w:tcW w:w="1395" w:type="dxa"/>
            <w:vAlign w:val="center"/>
          </w:tcPr>
          <w:p w:rsidR="00A35C0A" w:rsidRDefault="000C76B6">
            <w:pPr>
              <w:jc w:val="left"/>
            </w:pPr>
            <w:r>
              <w:rPr>
                <w:rFonts w:eastAsiaTheme="minorEastAsia"/>
                <w:color w:val="000000" w:themeColor="text1"/>
                <w:kern w:val="0"/>
              </w:rPr>
              <w:t>过去三个月</w:t>
            </w:r>
          </w:p>
        </w:tc>
        <w:tc>
          <w:tcPr>
            <w:tcW w:w="1092" w:type="dxa"/>
            <w:vAlign w:val="center"/>
          </w:tcPr>
          <w:p w:rsidR="00A35C0A" w:rsidRDefault="000C76B6">
            <w:pPr>
              <w:jc w:val="center"/>
            </w:pPr>
            <w:r>
              <w:rPr>
                <w:rFonts w:eastAsiaTheme="minorEastAsia"/>
                <w:color w:val="000000" w:themeColor="text1"/>
                <w:kern w:val="0"/>
              </w:rPr>
              <w:t>5.31%</w:t>
            </w:r>
          </w:p>
        </w:tc>
        <w:tc>
          <w:tcPr>
            <w:tcW w:w="1161" w:type="dxa"/>
            <w:vAlign w:val="center"/>
          </w:tcPr>
          <w:p w:rsidR="00A35C0A" w:rsidRDefault="000C76B6">
            <w:pPr>
              <w:jc w:val="center"/>
            </w:pPr>
            <w:r>
              <w:rPr>
                <w:rFonts w:eastAsiaTheme="minorEastAsia"/>
                <w:color w:val="000000" w:themeColor="text1"/>
                <w:kern w:val="0"/>
              </w:rPr>
              <w:t>1.27%</w:t>
            </w:r>
          </w:p>
        </w:tc>
        <w:tc>
          <w:tcPr>
            <w:tcW w:w="1181" w:type="dxa"/>
            <w:vAlign w:val="center"/>
          </w:tcPr>
          <w:p w:rsidR="00A35C0A" w:rsidRDefault="000C76B6">
            <w:pPr>
              <w:jc w:val="center"/>
            </w:pPr>
            <w:r>
              <w:rPr>
                <w:rFonts w:eastAsiaTheme="minorEastAsia"/>
                <w:color w:val="000000" w:themeColor="text1"/>
                <w:kern w:val="0"/>
              </w:rPr>
              <w:t>-2.11%</w:t>
            </w:r>
          </w:p>
        </w:tc>
        <w:tc>
          <w:tcPr>
            <w:tcW w:w="1188" w:type="dxa"/>
            <w:vAlign w:val="center"/>
          </w:tcPr>
          <w:p w:rsidR="00A35C0A" w:rsidRDefault="000C76B6">
            <w:pPr>
              <w:jc w:val="center"/>
            </w:pPr>
            <w:r>
              <w:rPr>
                <w:rFonts w:eastAsiaTheme="minorEastAsia"/>
                <w:color w:val="000000" w:themeColor="text1"/>
                <w:kern w:val="0"/>
              </w:rPr>
              <w:t>0.66%</w:t>
            </w:r>
          </w:p>
        </w:tc>
        <w:tc>
          <w:tcPr>
            <w:tcW w:w="1199" w:type="dxa"/>
            <w:vAlign w:val="center"/>
          </w:tcPr>
          <w:p w:rsidR="00A35C0A" w:rsidRDefault="000C76B6">
            <w:pPr>
              <w:jc w:val="center"/>
            </w:pPr>
            <w:r>
              <w:rPr>
                <w:rFonts w:eastAsiaTheme="minorEastAsia"/>
                <w:color w:val="000000" w:themeColor="text1"/>
                <w:kern w:val="0"/>
              </w:rPr>
              <w:t>7.42%</w:t>
            </w:r>
          </w:p>
        </w:tc>
        <w:tc>
          <w:tcPr>
            <w:tcW w:w="1204" w:type="dxa"/>
            <w:vAlign w:val="center"/>
          </w:tcPr>
          <w:p w:rsidR="00A35C0A" w:rsidRDefault="000C76B6">
            <w:pPr>
              <w:jc w:val="center"/>
            </w:pPr>
            <w:r>
              <w:rPr>
                <w:rFonts w:eastAsiaTheme="minorEastAsia"/>
                <w:color w:val="000000" w:themeColor="text1"/>
                <w:kern w:val="0"/>
              </w:rPr>
              <w:t>0.61%</w:t>
            </w:r>
          </w:p>
        </w:tc>
      </w:tr>
      <w:tr w:rsidR="00A35C0A">
        <w:tc>
          <w:tcPr>
            <w:tcW w:w="1395" w:type="dxa"/>
            <w:vAlign w:val="center"/>
          </w:tcPr>
          <w:p w:rsidR="00A35C0A" w:rsidRDefault="000C76B6">
            <w:pPr>
              <w:jc w:val="left"/>
            </w:pPr>
            <w:r>
              <w:rPr>
                <w:rFonts w:eastAsiaTheme="minorEastAsia"/>
                <w:color w:val="000000" w:themeColor="text1"/>
                <w:kern w:val="0"/>
              </w:rPr>
              <w:t>过去六个月</w:t>
            </w:r>
          </w:p>
        </w:tc>
        <w:tc>
          <w:tcPr>
            <w:tcW w:w="1092" w:type="dxa"/>
            <w:vAlign w:val="center"/>
          </w:tcPr>
          <w:p w:rsidR="00A35C0A" w:rsidRDefault="000C76B6">
            <w:pPr>
              <w:jc w:val="center"/>
            </w:pPr>
            <w:r>
              <w:rPr>
                <w:rFonts w:eastAsiaTheme="minorEastAsia"/>
                <w:color w:val="000000" w:themeColor="text1"/>
                <w:kern w:val="0"/>
              </w:rPr>
              <w:t>11.89%</w:t>
            </w:r>
          </w:p>
        </w:tc>
        <w:tc>
          <w:tcPr>
            <w:tcW w:w="1161" w:type="dxa"/>
            <w:vAlign w:val="center"/>
          </w:tcPr>
          <w:p w:rsidR="00A35C0A" w:rsidRDefault="000C76B6">
            <w:pPr>
              <w:jc w:val="center"/>
            </w:pPr>
            <w:r>
              <w:rPr>
                <w:rFonts w:eastAsiaTheme="minorEastAsia"/>
                <w:color w:val="000000" w:themeColor="text1"/>
                <w:kern w:val="0"/>
              </w:rPr>
              <w:t>1.09%</w:t>
            </w:r>
          </w:p>
        </w:tc>
        <w:tc>
          <w:tcPr>
            <w:tcW w:w="1181" w:type="dxa"/>
            <w:vAlign w:val="center"/>
          </w:tcPr>
          <w:p w:rsidR="00A35C0A" w:rsidRDefault="000C76B6">
            <w:pPr>
              <w:jc w:val="center"/>
            </w:pPr>
            <w:r>
              <w:rPr>
                <w:rFonts w:eastAsiaTheme="minorEastAsia"/>
                <w:color w:val="000000" w:themeColor="text1"/>
                <w:kern w:val="0"/>
              </w:rPr>
              <w:t>0.76%</w:t>
            </w:r>
          </w:p>
        </w:tc>
        <w:tc>
          <w:tcPr>
            <w:tcW w:w="1188" w:type="dxa"/>
            <w:vAlign w:val="center"/>
          </w:tcPr>
          <w:p w:rsidR="00A35C0A" w:rsidRDefault="000C76B6">
            <w:pPr>
              <w:jc w:val="center"/>
            </w:pPr>
            <w:r>
              <w:rPr>
                <w:rFonts w:eastAsiaTheme="minorEastAsia"/>
                <w:color w:val="000000" w:themeColor="text1"/>
                <w:kern w:val="0"/>
              </w:rPr>
              <w:t>0.60%</w:t>
            </w:r>
          </w:p>
        </w:tc>
        <w:tc>
          <w:tcPr>
            <w:tcW w:w="1199" w:type="dxa"/>
            <w:vAlign w:val="center"/>
          </w:tcPr>
          <w:p w:rsidR="00A35C0A" w:rsidRDefault="000C76B6">
            <w:pPr>
              <w:jc w:val="center"/>
            </w:pPr>
            <w:r>
              <w:rPr>
                <w:rFonts w:eastAsiaTheme="minorEastAsia"/>
                <w:color w:val="000000" w:themeColor="text1"/>
                <w:kern w:val="0"/>
              </w:rPr>
              <w:t>11.13%</w:t>
            </w:r>
          </w:p>
        </w:tc>
        <w:tc>
          <w:tcPr>
            <w:tcW w:w="1204" w:type="dxa"/>
            <w:vAlign w:val="center"/>
          </w:tcPr>
          <w:p w:rsidR="00A35C0A" w:rsidRDefault="000C76B6">
            <w:pPr>
              <w:jc w:val="center"/>
            </w:pPr>
            <w:r>
              <w:rPr>
                <w:rFonts w:eastAsiaTheme="minorEastAsia"/>
                <w:color w:val="000000" w:themeColor="text1"/>
                <w:kern w:val="0"/>
              </w:rPr>
              <w:t>0.49%</w:t>
            </w:r>
          </w:p>
        </w:tc>
      </w:tr>
      <w:tr w:rsidR="00A35C0A">
        <w:tc>
          <w:tcPr>
            <w:tcW w:w="1395" w:type="dxa"/>
            <w:vAlign w:val="center"/>
          </w:tcPr>
          <w:p w:rsidR="00A35C0A" w:rsidRDefault="000C76B6">
            <w:pPr>
              <w:jc w:val="left"/>
            </w:pPr>
            <w:r>
              <w:rPr>
                <w:rFonts w:eastAsiaTheme="minorEastAsia"/>
                <w:color w:val="000000" w:themeColor="text1"/>
                <w:kern w:val="0"/>
              </w:rPr>
              <w:t>过去一年</w:t>
            </w:r>
          </w:p>
        </w:tc>
        <w:tc>
          <w:tcPr>
            <w:tcW w:w="1092" w:type="dxa"/>
            <w:vAlign w:val="center"/>
          </w:tcPr>
          <w:p w:rsidR="00A35C0A" w:rsidRDefault="000C76B6">
            <w:pPr>
              <w:jc w:val="center"/>
            </w:pPr>
            <w:r>
              <w:rPr>
                <w:rFonts w:eastAsiaTheme="minorEastAsia"/>
                <w:color w:val="000000" w:themeColor="text1"/>
                <w:kern w:val="0"/>
              </w:rPr>
              <w:t>7.91%</w:t>
            </w:r>
          </w:p>
        </w:tc>
        <w:tc>
          <w:tcPr>
            <w:tcW w:w="1161" w:type="dxa"/>
            <w:vAlign w:val="center"/>
          </w:tcPr>
          <w:p w:rsidR="00A35C0A" w:rsidRDefault="000C76B6">
            <w:pPr>
              <w:jc w:val="center"/>
            </w:pPr>
            <w:r>
              <w:rPr>
                <w:rFonts w:eastAsiaTheme="minorEastAsia"/>
                <w:color w:val="000000" w:themeColor="text1"/>
                <w:kern w:val="0"/>
              </w:rPr>
              <w:t>1.17%</w:t>
            </w:r>
          </w:p>
        </w:tc>
        <w:tc>
          <w:tcPr>
            <w:tcW w:w="1181" w:type="dxa"/>
            <w:vAlign w:val="center"/>
          </w:tcPr>
          <w:p w:rsidR="00A35C0A" w:rsidRDefault="000C76B6">
            <w:pPr>
              <w:jc w:val="center"/>
            </w:pPr>
            <w:r>
              <w:rPr>
                <w:rFonts w:eastAsiaTheme="minorEastAsia"/>
                <w:color w:val="000000" w:themeColor="text1"/>
                <w:kern w:val="0"/>
              </w:rPr>
              <w:t>5.81%</w:t>
            </w:r>
          </w:p>
        </w:tc>
        <w:tc>
          <w:tcPr>
            <w:tcW w:w="1188" w:type="dxa"/>
            <w:vAlign w:val="center"/>
          </w:tcPr>
          <w:p w:rsidR="00A35C0A" w:rsidRDefault="000C76B6">
            <w:pPr>
              <w:jc w:val="center"/>
            </w:pPr>
            <w:r>
              <w:rPr>
                <w:rFonts w:eastAsiaTheme="minorEastAsia"/>
                <w:color w:val="000000" w:themeColor="text1"/>
                <w:kern w:val="0"/>
              </w:rPr>
              <w:t>0.68%</w:t>
            </w:r>
          </w:p>
        </w:tc>
        <w:tc>
          <w:tcPr>
            <w:tcW w:w="1199" w:type="dxa"/>
            <w:vAlign w:val="center"/>
          </w:tcPr>
          <w:p w:rsidR="00A35C0A" w:rsidRDefault="000C76B6">
            <w:pPr>
              <w:jc w:val="center"/>
            </w:pPr>
            <w:r>
              <w:rPr>
                <w:rFonts w:eastAsiaTheme="minorEastAsia"/>
                <w:color w:val="000000" w:themeColor="text1"/>
                <w:kern w:val="0"/>
              </w:rPr>
              <w:t>2.10%</w:t>
            </w:r>
          </w:p>
        </w:tc>
        <w:tc>
          <w:tcPr>
            <w:tcW w:w="1204" w:type="dxa"/>
            <w:vAlign w:val="center"/>
          </w:tcPr>
          <w:p w:rsidR="00A35C0A" w:rsidRDefault="000C76B6">
            <w:pPr>
              <w:jc w:val="center"/>
            </w:pPr>
            <w:r>
              <w:rPr>
                <w:rFonts w:eastAsiaTheme="minorEastAsia"/>
                <w:color w:val="000000" w:themeColor="text1"/>
                <w:kern w:val="0"/>
              </w:rPr>
              <w:t>0.49%</w:t>
            </w:r>
          </w:p>
        </w:tc>
      </w:tr>
      <w:tr w:rsidR="00A35C0A">
        <w:tc>
          <w:tcPr>
            <w:tcW w:w="1395" w:type="dxa"/>
            <w:vAlign w:val="center"/>
          </w:tcPr>
          <w:p w:rsidR="00A35C0A" w:rsidRDefault="000C76B6">
            <w:pPr>
              <w:jc w:val="left"/>
            </w:pPr>
            <w:r>
              <w:rPr>
                <w:rFonts w:eastAsiaTheme="minorEastAsia"/>
                <w:color w:val="000000" w:themeColor="text1"/>
                <w:kern w:val="0"/>
              </w:rPr>
              <w:t>过去三年</w:t>
            </w:r>
          </w:p>
        </w:tc>
        <w:tc>
          <w:tcPr>
            <w:tcW w:w="1092" w:type="dxa"/>
            <w:vAlign w:val="center"/>
          </w:tcPr>
          <w:p w:rsidR="00A35C0A" w:rsidRDefault="000C76B6">
            <w:pPr>
              <w:jc w:val="center"/>
            </w:pPr>
            <w:r>
              <w:rPr>
                <w:rFonts w:eastAsiaTheme="minorEastAsia"/>
                <w:color w:val="000000" w:themeColor="text1"/>
                <w:kern w:val="0"/>
              </w:rPr>
              <w:t>70.09%</w:t>
            </w:r>
          </w:p>
        </w:tc>
        <w:tc>
          <w:tcPr>
            <w:tcW w:w="1161" w:type="dxa"/>
            <w:vAlign w:val="center"/>
          </w:tcPr>
          <w:p w:rsidR="00A35C0A" w:rsidRDefault="000C76B6">
            <w:pPr>
              <w:jc w:val="center"/>
            </w:pPr>
            <w:r>
              <w:rPr>
                <w:rFonts w:eastAsiaTheme="minorEastAsia"/>
                <w:color w:val="000000" w:themeColor="text1"/>
                <w:kern w:val="0"/>
              </w:rPr>
              <w:t>1.27%</w:t>
            </w:r>
          </w:p>
        </w:tc>
        <w:tc>
          <w:tcPr>
            <w:tcW w:w="1181" w:type="dxa"/>
            <w:vAlign w:val="center"/>
          </w:tcPr>
          <w:p w:rsidR="00A35C0A" w:rsidRDefault="000C76B6">
            <w:pPr>
              <w:jc w:val="center"/>
            </w:pPr>
            <w:r>
              <w:rPr>
                <w:rFonts w:eastAsiaTheme="minorEastAsia"/>
                <w:color w:val="000000" w:themeColor="text1"/>
                <w:kern w:val="0"/>
              </w:rPr>
              <w:t>27.96%</w:t>
            </w:r>
          </w:p>
        </w:tc>
        <w:tc>
          <w:tcPr>
            <w:tcW w:w="1188" w:type="dxa"/>
            <w:vAlign w:val="center"/>
          </w:tcPr>
          <w:p w:rsidR="00A35C0A" w:rsidRDefault="000C76B6">
            <w:pPr>
              <w:jc w:val="center"/>
            </w:pPr>
            <w:r>
              <w:rPr>
                <w:rFonts w:eastAsiaTheme="minorEastAsia"/>
                <w:color w:val="000000" w:themeColor="text1"/>
                <w:kern w:val="0"/>
              </w:rPr>
              <w:t>0.80%</w:t>
            </w:r>
          </w:p>
        </w:tc>
        <w:tc>
          <w:tcPr>
            <w:tcW w:w="1199" w:type="dxa"/>
            <w:vAlign w:val="center"/>
          </w:tcPr>
          <w:p w:rsidR="00A35C0A" w:rsidRDefault="000C76B6">
            <w:pPr>
              <w:jc w:val="center"/>
            </w:pPr>
            <w:r>
              <w:rPr>
                <w:rFonts w:eastAsiaTheme="minorEastAsia"/>
                <w:color w:val="000000" w:themeColor="text1"/>
                <w:kern w:val="0"/>
              </w:rPr>
              <w:t>42.13%</w:t>
            </w:r>
          </w:p>
        </w:tc>
        <w:tc>
          <w:tcPr>
            <w:tcW w:w="1204" w:type="dxa"/>
            <w:vAlign w:val="center"/>
          </w:tcPr>
          <w:p w:rsidR="00A35C0A" w:rsidRDefault="000C76B6">
            <w:pPr>
              <w:jc w:val="center"/>
            </w:pPr>
            <w:r>
              <w:rPr>
                <w:rFonts w:eastAsiaTheme="minorEastAsia"/>
                <w:color w:val="000000" w:themeColor="text1"/>
                <w:kern w:val="0"/>
              </w:rPr>
              <w:t>0.47%</w:t>
            </w:r>
          </w:p>
        </w:tc>
      </w:tr>
      <w:tr w:rsidR="00A35C0A">
        <w:tc>
          <w:tcPr>
            <w:tcW w:w="1395" w:type="dxa"/>
            <w:vAlign w:val="center"/>
          </w:tcPr>
          <w:p w:rsidR="00A35C0A" w:rsidRDefault="000C76B6">
            <w:pPr>
              <w:jc w:val="left"/>
            </w:pPr>
            <w:r>
              <w:rPr>
                <w:rFonts w:eastAsiaTheme="minorEastAsia"/>
                <w:color w:val="000000" w:themeColor="text1"/>
                <w:kern w:val="0"/>
              </w:rPr>
              <w:t>过去五年</w:t>
            </w:r>
          </w:p>
        </w:tc>
        <w:tc>
          <w:tcPr>
            <w:tcW w:w="1092" w:type="dxa"/>
            <w:vAlign w:val="center"/>
          </w:tcPr>
          <w:p w:rsidR="00A35C0A" w:rsidRDefault="000C76B6">
            <w:pPr>
              <w:jc w:val="center"/>
            </w:pPr>
            <w:r>
              <w:rPr>
                <w:rFonts w:eastAsiaTheme="minorEastAsia"/>
                <w:color w:val="000000" w:themeColor="text1"/>
                <w:kern w:val="0"/>
              </w:rPr>
              <w:t>-</w:t>
            </w:r>
          </w:p>
        </w:tc>
        <w:tc>
          <w:tcPr>
            <w:tcW w:w="1161" w:type="dxa"/>
            <w:vAlign w:val="center"/>
          </w:tcPr>
          <w:p w:rsidR="00A35C0A" w:rsidRDefault="000C76B6">
            <w:pPr>
              <w:jc w:val="center"/>
            </w:pPr>
            <w:r>
              <w:rPr>
                <w:rFonts w:eastAsiaTheme="minorEastAsia"/>
                <w:color w:val="000000" w:themeColor="text1"/>
                <w:kern w:val="0"/>
              </w:rPr>
              <w:t>-</w:t>
            </w:r>
          </w:p>
        </w:tc>
        <w:tc>
          <w:tcPr>
            <w:tcW w:w="1181" w:type="dxa"/>
            <w:vAlign w:val="center"/>
          </w:tcPr>
          <w:p w:rsidR="00A35C0A" w:rsidRDefault="000C76B6">
            <w:pPr>
              <w:jc w:val="center"/>
            </w:pPr>
            <w:r>
              <w:rPr>
                <w:rFonts w:eastAsiaTheme="minorEastAsia"/>
                <w:color w:val="000000" w:themeColor="text1"/>
                <w:kern w:val="0"/>
              </w:rPr>
              <w:t>-</w:t>
            </w:r>
          </w:p>
        </w:tc>
        <w:tc>
          <w:tcPr>
            <w:tcW w:w="1188" w:type="dxa"/>
            <w:vAlign w:val="center"/>
          </w:tcPr>
          <w:p w:rsidR="00A35C0A" w:rsidRDefault="000C76B6">
            <w:pPr>
              <w:jc w:val="center"/>
            </w:pPr>
            <w:r>
              <w:rPr>
                <w:rFonts w:eastAsiaTheme="minorEastAsia"/>
                <w:color w:val="000000" w:themeColor="text1"/>
                <w:kern w:val="0"/>
              </w:rPr>
              <w:t>-</w:t>
            </w:r>
          </w:p>
        </w:tc>
        <w:tc>
          <w:tcPr>
            <w:tcW w:w="1199" w:type="dxa"/>
            <w:vAlign w:val="center"/>
          </w:tcPr>
          <w:p w:rsidR="00A35C0A" w:rsidRDefault="000C76B6">
            <w:pPr>
              <w:jc w:val="center"/>
            </w:pPr>
            <w:r>
              <w:rPr>
                <w:rFonts w:eastAsiaTheme="minorEastAsia"/>
                <w:color w:val="000000" w:themeColor="text1"/>
                <w:kern w:val="0"/>
              </w:rPr>
              <w:t>-</w:t>
            </w:r>
          </w:p>
        </w:tc>
        <w:tc>
          <w:tcPr>
            <w:tcW w:w="1204" w:type="dxa"/>
            <w:vAlign w:val="center"/>
          </w:tcPr>
          <w:p w:rsidR="00A35C0A" w:rsidRDefault="000C76B6">
            <w:pPr>
              <w:jc w:val="center"/>
            </w:pPr>
            <w:r>
              <w:rPr>
                <w:rFonts w:eastAsiaTheme="minorEastAsia"/>
                <w:color w:val="000000" w:themeColor="text1"/>
                <w:kern w:val="0"/>
              </w:rPr>
              <w:t>-</w:t>
            </w:r>
          </w:p>
        </w:tc>
      </w:tr>
      <w:tr w:rsidR="00A35C0A">
        <w:tc>
          <w:tcPr>
            <w:tcW w:w="1395" w:type="dxa"/>
            <w:vAlign w:val="center"/>
          </w:tcPr>
          <w:p w:rsidR="00A35C0A" w:rsidRDefault="000C76B6">
            <w:pPr>
              <w:jc w:val="left"/>
            </w:pPr>
            <w:r>
              <w:rPr>
                <w:rFonts w:eastAsiaTheme="minorEastAsia"/>
                <w:color w:val="000000" w:themeColor="text1"/>
                <w:kern w:val="0"/>
              </w:rPr>
              <w:t>自基金合同生效起至今</w:t>
            </w:r>
          </w:p>
        </w:tc>
        <w:tc>
          <w:tcPr>
            <w:tcW w:w="1092" w:type="dxa"/>
            <w:vAlign w:val="center"/>
          </w:tcPr>
          <w:p w:rsidR="00A35C0A" w:rsidRDefault="000C76B6">
            <w:pPr>
              <w:jc w:val="center"/>
            </w:pPr>
            <w:r>
              <w:rPr>
                <w:rFonts w:eastAsiaTheme="minorEastAsia"/>
                <w:color w:val="000000" w:themeColor="text1"/>
                <w:kern w:val="0"/>
              </w:rPr>
              <w:t>46.60%</w:t>
            </w:r>
          </w:p>
        </w:tc>
        <w:tc>
          <w:tcPr>
            <w:tcW w:w="1161" w:type="dxa"/>
            <w:vAlign w:val="center"/>
          </w:tcPr>
          <w:p w:rsidR="00A35C0A" w:rsidRDefault="000C76B6">
            <w:pPr>
              <w:jc w:val="center"/>
            </w:pPr>
            <w:r>
              <w:rPr>
                <w:rFonts w:eastAsiaTheme="minorEastAsia"/>
                <w:color w:val="000000" w:themeColor="text1"/>
                <w:kern w:val="0"/>
              </w:rPr>
              <w:t>1.26%</w:t>
            </w:r>
          </w:p>
        </w:tc>
        <w:tc>
          <w:tcPr>
            <w:tcW w:w="1181" w:type="dxa"/>
            <w:vAlign w:val="center"/>
          </w:tcPr>
          <w:p w:rsidR="00A35C0A" w:rsidRDefault="000C76B6">
            <w:pPr>
              <w:jc w:val="center"/>
            </w:pPr>
            <w:r>
              <w:rPr>
                <w:rFonts w:eastAsiaTheme="minorEastAsia"/>
                <w:color w:val="000000" w:themeColor="text1"/>
                <w:kern w:val="0"/>
              </w:rPr>
              <w:t>11.86%</w:t>
            </w:r>
          </w:p>
        </w:tc>
        <w:tc>
          <w:tcPr>
            <w:tcW w:w="1188" w:type="dxa"/>
            <w:vAlign w:val="center"/>
          </w:tcPr>
          <w:p w:rsidR="00A35C0A" w:rsidRDefault="000C76B6">
            <w:pPr>
              <w:jc w:val="center"/>
            </w:pPr>
            <w:r>
              <w:rPr>
                <w:rFonts w:eastAsiaTheme="minorEastAsia"/>
                <w:color w:val="000000" w:themeColor="text1"/>
                <w:kern w:val="0"/>
              </w:rPr>
              <w:t>0.79%</w:t>
            </w:r>
          </w:p>
        </w:tc>
        <w:tc>
          <w:tcPr>
            <w:tcW w:w="1199" w:type="dxa"/>
            <w:vAlign w:val="center"/>
          </w:tcPr>
          <w:p w:rsidR="00A35C0A" w:rsidRDefault="000C76B6">
            <w:pPr>
              <w:jc w:val="center"/>
            </w:pPr>
            <w:r>
              <w:rPr>
                <w:rFonts w:eastAsiaTheme="minorEastAsia"/>
                <w:color w:val="000000" w:themeColor="text1"/>
                <w:kern w:val="0"/>
              </w:rPr>
              <w:t>34.74%</w:t>
            </w:r>
          </w:p>
        </w:tc>
        <w:tc>
          <w:tcPr>
            <w:tcW w:w="1204" w:type="dxa"/>
            <w:vAlign w:val="center"/>
          </w:tcPr>
          <w:p w:rsidR="00A35C0A" w:rsidRDefault="000C76B6">
            <w:pPr>
              <w:jc w:val="center"/>
            </w:pPr>
            <w:r>
              <w:rPr>
                <w:rFonts w:eastAsiaTheme="minorEastAsia"/>
                <w:color w:val="000000" w:themeColor="text1"/>
                <w:kern w:val="0"/>
              </w:rPr>
              <w:t>0.47%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上投摩根量化多因子灵活配置混合型证券投资基金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(2018</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19</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A35C0A" w:rsidRDefault="000C76B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A35C0A">
        <w:tc>
          <w:tcPr>
            <w:tcW w:w="851" w:type="dxa"/>
            <w:vAlign w:val="center"/>
          </w:tcPr>
          <w:p w:rsidR="00A35C0A" w:rsidRDefault="000C76B6">
            <w:pPr>
              <w:jc w:val="center"/>
            </w:pPr>
            <w:r>
              <w:rPr>
                <w:rFonts w:eastAsiaTheme="minorEastAsia"/>
                <w:color w:val="000000" w:themeColor="text1"/>
              </w:rPr>
              <w:t>胡迪</w:t>
            </w:r>
          </w:p>
        </w:tc>
        <w:tc>
          <w:tcPr>
            <w:tcW w:w="850" w:type="dxa"/>
            <w:vAlign w:val="center"/>
          </w:tcPr>
          <w:p w:rsidR="00A35C0A" w:rsidRDefault="000C76B6">
            <w:pPr>
              <w:jc w:val="center"/>
            </w:pPr>
            <w:r>
              <w:rPr>
                <w:rFonts w:eastAsiaTheme="minorEastAsia"/>
                <w:color w:val="000000" w:themeColor="text1"/>
              </w:rPr>
              <w:t>本基金基金经理、指数及量化投资部总监</w:t>
            </w:r>
          </w:p>
        </w:tc>
        <w:tc>
          <w:tcPr>
            <w:tcW w:w="1560" w:type="dxa"/>
            <w:vAlign w:val="center"/>
          </w:tcPr>
          <w:p w:rsidR="00A35C0A" w:rsidRDefault="000C76B6">
            <w:pPr>
              <w:jc w:val="center"/>
            </w:pPr>
            <w:r>
              <w:rPr>
                <w:rFonts w:eastAsiaTheme="minorEastAsia"/>
                <w:color w:val="000000" w:themeColor="text1"/>
              </w:rPr>
              <w:t>2021-01-07</w:t>
            </w:r>
          </w:p>
        </w:tc>
        <w:tc>
          <w:tcPr>
            <w:tcW w:w="1559" w:type="dxa"/>
            <w:vAlign w:val="center"/>
          </w:tcPr>
          <w:p w:rsidR="00A35C0A" w:rsidRDefault="000C76B6">
            <w:pPr>
              <w:jc w:val="center"/>
            </w:pPr>
            <w:r>
              <w:rPr>
                <w:rFonts w:eastAsiaTheme="minorEastAsia"/>
                <w:color w:val="000000" w:themeColor="text1"/>
              </w:rPr>
              <w:t>-</w:t>
            </w:r>
          </w:p>
        </w:tc>
        <w:tc>
          <w:tcPr>
            <w:tcW w:w="1417" w:type="dxa"/>
            <w:vAlign w:val="center"/>
          </w:tcPr>
          <w:p w:rsidR="00A35C0A" w:rsidRDefault="000C76B6">
            <w:pPr>
              <w:jc w:val="center"/>
            </w:pPr>
            <w:r>
              <w:rPr>
                <w:rFonts w:eastAsiaTheme="minorEastAsia"/>
                <w:color w:val="000000" w:themeColor="text1"/>
              </w:rPr>
              <w:t>14</w:t>
            </w:r>
            <w:r>
              <w:rPr>
                <w:rFonts w:eastAsiaTheme="minorEastAsia"/>
                <w:color w:val="000000" w:themeColor="text1"/>
              </w:rPr>
              <w:t>年</w:t>
            </w:r>
          </w:p>
        </w:tc>
        <w:tc>
          <w:tcPr>
            <w:tcW w:w="2694" w:type="dxa"/>
            <w:vAlign w:val="center"/>
          </w:tcPr>
          <w:p w:rsidR="00A35C0A" w:rsidRDefault="000C76B6">
            <w:r>
              <w:rPr>
                <w:rFonts w:eastAsiaTheme="minorEastAsia"/>
                <w:color w:val="000000" w:themeColor="text1"/>
              </w:rPr>
              <w:t>胡迪女士，</w:t>
            </w:r>
            <w:r>
              <w:rPr>
                <w:rFonts w:eastAsiaTheme="minorEastAsia"/>
                <w:color w:val="000000" w:themeColor="text1"/>
              </w:rPr>
              <w:t>CFA</w:t>
            </w:r>
            <w:r>
              <w:rPr>
                <w:rFonts w:eastAsiaTheme="minorEastAsia"/>
                <w:color w:val="000000" w:themeColor="text1"/>
              </w:rPr>
              <w:t>，</w:t>
            </w:r>
            <w:r>
              <w:rPr>
                <w:rFonts w:eastAsiaTheme="minorEastAsia"/>
                <w:color w:val="000000" w:themeColor="text1"/>
              </w:rPr>
              <w:t>FRM</w:t>
            </w:r>
            <w:r>
              <w:rPr>
                <w:rFonts w:eastAsiaTheme="minorEastAsia"/>
                <w:color w:val="000000" w:themeColor="text1"/>
              </w:rPr>
              <w:t>，美国哥伦比亚大学金融工程硕士，现任指数及量化投资部总监。胡迪女士自</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月在纽约美林证券担任全球资产管理部高级经理；自</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月在纽约标准普尔担任量化投资主管；自</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月在中国国际金融股份有限公司担任资产管理部执行总经理；自</w:t>
            </w:r>
            <w:r>
              <w:rPr>
                <w:rFonts w:eastAsiaTheme="minorEastAsia"/>
                <w:color w:val="000000" w:themeColor="text1"/>
              </w:rPr>
              <w:t>2020</w:t>
            </w:r>
            <w:r>
              <w:rPr>
                <w:rFonts w:eastAsiaTheme="minorEastAsia"/>
                <w:color w:val="000000" w:themeColor="text1"/>
              </w:rPr>
              <w:lastRenderedPageBreak/>
              <w:t>年</w:t>
            </w:r>
            <w:r>
              <w:rPr>
                <w:rFonts w:eastAsiaTheme="minorEastAsia"/>
                <w:color w:val="000000" w:themeColor="text1"/>
              </w:rPr>
              <w:t>5</w:t>
            </w:r>
            <w:r>
              <w:rPr>
                <w:rFonts w:eastAsiaTheme="minorEastAsia"/>
                <w:color w:val="000000" w:themeColor="text1"/>
              </w:rPr>
              <w:t>月加入上投摩根基金管理有限公司，现任指数及量化投资部总监，自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月起同时担任上投摩根量化多因子灵活配置混合型证券投资基金、上投摩根优选多因子股票型证券投资基金、上投摩根动态</w:t>
            </w:r>
            <w:r>
              <w:rPr>
                <w:rFonts w:eastAsiaTheme="minorEastAsia"/>
                <w:color w:val="000000" w:themeColor="text1"/>
              </w:rPr>
              <w:t>多因子策略灵活配置混合型证券投资基金、上投摩根中证消费服务领先指数证券投资基金、上投摩根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股交易型开放式指数证券投资基金联接基金、上投摩根标普港股通低波红利指数型证券投资基金基金经理。</w:t>
            </w:r>
          </w:p>
        </w:tc>
      </w:tr>
      <w:tr w:rsidR="00A35C0A">
        <w:tc>
          <w:tcPr>
            <w:tcW w:w="851" w:type="dxa"/>
            <w:vAlign w:val="center"/>
          </w:tcPr>
          <w:p w:rsidR="00A35C0A" w:rsidRDefault="000C76B6">
            <w:pPr>
              <w:jc w:val="center"/>
            </w:pPr>
            <w:r>
              <w:rPr>
                <w:rFonts w:eastAsiaTheme="minorEastAsia"/>
                <w:color w:val="000000" w:themeColor="text1"/>
              </w:rPr>
              <w:lastRenderedPageBreak/>
              <w:t>何智豪</w:t>
            </w:r>
          </w:p>
        </w:tc>
        <w:tc>
          <w:tcPr>
            <w:tcW w:w="850" w:type="dxa"/>
            <w:vAlign w:val="center"/>
          </w:tcPr>
          <w:p w:rsidR="00A35C0A" w:rsidRDefault="000C76B6">
            <w:pPr>
              <w:jc w:val="center"/>
            </w:pPr>
            <w:r>
              <w:rPr>
                <w:rFonts w:eastAsiaTheme="minorEastAsia"/>
                <w:color w:val="000000" w:themeColor="text1"/>
              </w:rPr>
              <w:t>本基金基金经理</w:t>
            </w:r>
          </w:p>
        </w:tc>
        <w:tc>
          <w:tcPr>
            <w:tcW w:w="1560" w:type="dxa"/>
            <w:vAlign w:val="center"/>
          </w:tcPr>
          <w:p w:rsidR="00A35C0A" w:rsidRDefault="000C76B6">
            <w:pPr>
              <w:jc w:val="center"/>
            </w:pPr>
            <w:r>
              <w:rPr>
                <w:rFonts w:eastAsiaTheme="minorEastAsia"/>
                <w:color w:val="000000" w:themeColor="text1"/>
              </w:rPr>
              <w:t>2021-02-05</w:t>
            </w:r>
          </w:p>
        </w:tc>
        <w:tc>
          <w:tcPr>
            <w:tcW w:w="1559" w:type="dxa"/>
            <w:vAlign w:val="center"/>
          </w:tcPr>
          <w:p w:rsidR="00A35C0A" w:rsidRDefault="000C76B6">
            <w:pPr>
              <w:jc w:val="center"/>
            </w:pPr>
            <w:r>
              <w:rPr>
                <w:rFonts w:eastAsiaTheme="minorEastAsia"/>
                <w:color w:val="000000" w:themeColor="text1"/>
              </w:rPr>
              <w:t>-</w:t>
            </w:r>
          </w:p>
        </w:tc>
        <w:tc>
          <w:tcPr>
            <w:tcW w:w="1417" w:type="dxa"/>
            <w:vAlign w:val="center"/>
          </w:tcPr>
          <w:p w:rsidR="00A35C0A" w:rsidRDefault="000C76B6">
            <w:pPr>
              <w:jc w:val="center"/>
            </w:pPr>
            <w:r>
              <w:rPr>
                <w:rFonts w:eastAsiaTheme="minorEastAsia"/>
                <w:color w:val="000000" w:themeColor="text1"/>
              </w:rPr>
              <w:t>7</w:t>
            </w:r>
            <w:r>
              <w:rPr>
                <w:rFonts w:eastAsiaTheme="minorEastAsia"/>
                <w:color w:val="000000" w:themeColor="text1"/>
              </w:rPr>
              <w:t>年</w:t>
            </w:r>
          </w:p>
        </w:tc>
        <w:tc>
          <w:tcPr>
            <w:tcW w:w="2694" w:type="dxa"/>
            <w:vAlign w:val="center"/>
          </w:tcPr>
          <w:p w:rsidR="00A35C0A" w:rsidRDefault="000C76B6">
            <w:r>
              <w:rPr>
                <w:rFonts w:eastAsiaTheme="minorEastAsia"/>
                <w:color w:val="000000" w:themeColor="text1"/>
              </w:rPr>
              <w:t>何智豪先生，复旦大学应用数学硕士，现任指数及量化投资部基金经理。何智豪先生自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月，在中国国际金融股份有限公司担任组合与量化策略研究员、资产管理部高级经理；自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w:t>
            </w:r>
            <w:r>
              <w:rPr>
                <w:rFonts w:eastAsiaTheme="minorEastAsia"/>
                <w:color w:val="000000" w:themeColor="text1"/>
              </w:rPr>
              <w:t>上投摩根基金管理有限公司。自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月起同时担任上投摩根量化多因子灵活配置混合型证券投资基金、上投摩根优选多因子股票型证券投资基金、上投摩根中证消费服务领先指数证券投资基金、上投摩根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股交易型开放式指数证券投资基金联接基金、上投摩根标普港股通低波红利指数型证券投资基金基金经理。</w:t>
            </w:r>
          </w:p>
        </w:tc>
      </w:tr>
    </w:tbl>
    <w:p w:rsidR="00A35C0A" w:rsidRDefault="000C76B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量化多因子灵活配置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三季度，</w:t>
      </w:r>
      <w:r>
        <w:rPr>
          <w:rFonts w:eastAsiaTheme="minorEastAsia"/>
          <w:color w:val="000000" w:themeColor="text1"/>
        </w:rPr>
        <w:t>A</w:t>
      </w:r>
      <w:r>
        <w:rPr>
          <w:rFonts w:eastAsiaTheme="minorEastAsia"/>
          <w:color w:val="000000" w:themeColor="text1"/>
        </w:rPr>
        <w:t>股市场风格轮动加剧，整体分化增大，蓝筹和中盘股走势迥异。中盘股</w:t>
      </w:r>
      <w:r>
        <w:rPr>
          <w:rFonts w:eastAsiaTheme="minorEastAsia"/>
          <w:color w:val="000000" w:themeColor="text1"/>
        </w:rPr>
        <w:t>7</w:t>
      </w:r>
      <w:r>
        <w:rPr>
          <w:rFonts w:eastAsiaTheme="minorEastAsia"/>
          <w:color w:val="000000" w:themeColor="text1"/>
        </w:rPr>
        <w:t>、</w:t>
      </w:r>
      <w:r>
        <w:rPr>
          <w:rFonts w:eastAsiaTheme="minorEastAsia"/>
          <w:color w:val="000000" w:themeColor="text1"/>
        </w:rPr>
        <w:t>8</w:t>
      </w:r>
      <w:r>
        <w:rPr>
          <w:rFonts w:eastAsiaTheme="minorEastAsia"/>
          <w:color w:val="000000" w:themeColor="text1"/>
        </w:rPr>
        <w:t>月份持续上行，显著跑赢大盘蓝筹，延续</w:t>
      </w:r>
      <w:r>
        <w:rPr>
          <w:rFonts w:eastAsiaTheme="minorEastAsia"/>
          <w:color w:val="000000" w:themeColor="text1"/>
        </w:rPr>
        <w:t>2</w:t>
      </w:r>
      <w:r>
        <w:rPr>
          <w:rFonts w:eastAsiaTheme="minorEastAsia"/>
          <w:color w:val="000000" w:themeColor="text1"/>
        </w:rPr>
        <w:t>季度行情，但</w:t>
      </w:r>
      <w:r>
        <w:rPr>
          <w:rFonts w:eastAsiaTheme="minorEastAsia"/>
          <w:color w:val="000000" w:themeColor="text1"/>
        </w:rPr>
        <w:t>9</w:t>
      </w:r>
      <w:r>
        <w:rPr>
          <w:rFonts w:eastAsiaTheme="minorEastAsia"/>
          <w:color w:val="000000" w:themeColor="text1"/>
        </w:rPr>
        <w:t>月遭遇滑铁卢，前期涨幅较大的新能源、半导体等均显著回调。蓝筹则几乎完全相</w:t>
      </w:r>
      <w:r>
        <w:rPr>
          <w:rFonts w:eastAsiaTheme="minorEastAsia"/>
          <w:color w:val="000000" w:themeColor="text1"/>
        </w:rPr>
        <w:t>反，沪深</w:t>
      </w:r>
      <w:r>
        <w:rPr>
          <w:rFonts w:eastAsiaTheme="minorEastAsia"/>
          <w:color w:val="000000" w:themeColor="text1"/>
        </w:rPr>
        <w:t>300</w:t>
      </w:r>
      <w:r>
        <w:rPr>
          <w:rFonts w:eastAsiaTheme="minorEastAsia"/>
          <w:color w:val="000000" w:themeColor="text1"/>
        </w:rPr>
        <w:t>指数</w:t>
      </w:r>
      <w:r>
        <w:rPr>
          <w:rFonts w:eastAsiaTheme="minorEastAsia"/>
          <w:color w:val="000000" w:themeColor="text1"/>
        </w:rPr>
        <w:t>7</w:t>
      </w:r>
      <w:r>
        <w:rPr>
          <w:rFonts w:eastAsiaTheme="minorEastAsia"/>
          <w:color w:val="000000" w:themeColor="text1"/>
        </w:rPr>
        <w:t>、</w:t>
      </w:r>
      <w:r>
        <w:rPr>
          <w:rFonts w:eastAsiaTheme="minorEastAsia"/>
          <w:color w:val="000000" w:themeColor="text1"/>
        </w:rPr>
        <w:t>8</w:t>
      </w:r>
      <w:r>
        <w:rPr>
          <w:rFonts w:eastAsiaTheme="minorEastAsia"/>
          <w:color w:val="000000" w:themeColor="text1"/>
        </w:rPr>
        <w:t>月仍萎靡不振，但</w:t>
      </w:r>
      <w:r>
        <w:rPr>
          <w:rFonts w:eastAsiaTheme="minorEastAsia"/>
          <w:color w:val="000000" w:themeColor="text1"/>
        </w:rPr>
        <w:t>9</w:t>
      </w:r>
      <w:r>
        <w:rPr>
          <w:rFonts w:eastAsiaTheme="minorEastAsia"/>
          <w:color w:val="000000" w:themeColor="text1"/>
        </w:rPr>
        <w:t>月却逆势上行，地产、金融板块估值水平显著提升。同时，大宗供应偏紧环境下资源类周期股迎来爆发，煤炭、有色等板块涨势贯穿全季。从风格上来看，由于产业政策力度加大，市场不确定性提升，资金于</w:t>
      </w:r>
      <w:r>
        <w:rPr>
          <w:rFonts w:eastAsiaTheme="minorEastAsia"/>
          <w:color w:val="000000" w:themeColor="text1"/>
        </w:rPr>
        <w:t>8</w:t>
      </w:r>
      <w:r>
        <w:rPr>
          <w:rFonts w:eastAsiaTheme="minorEastAsia"/>
          <w:color w:val="000000" w:themeColor="text1"/>
        </w:rPr>
        <w:t>月中下旬开始体现出避险需求，低估值、高分红、低波动个股受热捧，而成长等前期强势风格受挫。同时，核心资产经历大半年沉寂后也有抬头之势。本基金由于选股从多因子角度出发，偏重基本面因素，在行业板块分布和风格因子配置上相对均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目前看，虽然</w:t>
      </w:r>
      <w:r w:rsidRPr="00FF6B9A">
        <w:rPr>
          <w:rFonts w:eastAsiaTheme="minorEastAsia"/>
          <w:color w:val="000000" w:themeColor="text1"/>
        </w:rPr>
        <w:t>A</w:t>
      </w:r>
      <w:r w:rsidRPr="00FF6B9A">
        <w:rPr>
          <w:rFonts w:eastAsiaTheme="minorEastAsia"/>
          <w:color w:val="000000" w:themeColor="text1"/>
        </w:rPr>
        <w:t>股中的核心资产呈现出一定回归态势，但其背后是由于特殊的政策和市场环境造成的避险情绪导致。未来一定时间看，其估值过高，回报有限的特性并无改变，</w:t>
      </w:r>
      <w:r w:rsidRPr="00FF6B9A">
        <w:rPr>
          <w:rFonts w:eastAsiaTheme="minorEastAsia"/>
          <w:color w:val="000000" w:themeColor="text1"/>
        </w:rPr>
        <w:t>A</w:t>
      </w:r>
      <w:r w:rsidRPr="00FF6B9A">
        <w:rPr>
          <w:rFonts w:eastAsiaTheme="minorEastAsia"/>
          <w:color w:val="000000" w:themeColor="text1"/>
        </w:rPr>
        <w:t>股配置的核心仍然是走业绩为主、估值为辅的性价比投资逻辑。短期成长确定性不完美，但是想象空间较为充分的公司在短期杀跌后，反而打开了向上空间，具备了迎接戴维斯双击的潜力。在实际投资中，投资者一方面在选股上面临</w:t>
      </w:r>
      <w:r w:rsidRPr="00FF6B9A">
        <w:rPr>
          <w:rFonts w:eastAsiaTheme="minorEastAsia"/>
          <w:color w:val="000000" w:themeColor="text1"/>
        </w:rPr>
        <w:t xml:space="preserve"> “</w:t>
      </w:r>
      <w:r w:rsidRPr="00FF6B9A">
        <w:rPr>
          <w:rFonts w:eastAsiaTheme="minorEastAsia"/>
          <w:color w:val="000000" w:themeColor="text1"/>
        </w:rPr>
        <w:t>高质量的贵</w:t>
      </w:r>
      <w:r w:rsidRPr="00FF6B9A">
        <w:rPr>
          <w:rFonts w:eastAsiaTheme="minorEastAsia"/>
          <w:color w:val="000000" w:themeColor="text1"/>
        </w:rPr>
        <w:t>”</w:t>
      </w:r>
      <w:r w:rsidRPr="00FF6B9A">
        <w:rPr>
          <w:rFonts w:eastAsiaTheme="minorEastAsia"/>
          <w:color w:val="000000" w:themeColor="text1"/>
        </w:rPr>
        <w:t>和</w:t>
      </w:r>
      <w:r w:rsidRPr="00FF6B9A">
        <w:rPr>
          <w:rFonts w:eastAsiaTheme="minorEastAsia"/>
          <w:color w:val="000000" w:themeColor="text1"/>
        </w:rPr>
        <w:t>“</w:t>
      </w:r>
      <w:r w:rsidRPr="00FF6B9A">
        <w:rPr>
          <w:rFonts w:eastAsiaTheme="minorEastAsia"/>
          <w:color w:val="000000" w:themeColor="text1"/>
        </w:rPr>
        <w:t>有缺陷的便宜</w:t>
      </w:r>
      <w:r w:rsidRPr="00FF6B9A">
        <w:rPr>
          <w:rFonts w:eastAsiaTheme="minorEastAsia"/>
          <w:color w:val="000000" w:themeColor="text1"/>
        </w:rPr>
        <w:t>”</w:t>
      </w:r>
      <w:r w:rsidRPr="00FF6B9A">
        <w:rPr>
          <w:rFonts w:eastAsiaTheme="minorEastAsia"/>
          <w:color w:val="000000" w:themeColor="text1"/>
        </w:rPr>
        <w:t>之间的权衡，另一方面在赛道抉择上也面临市场对优质赛道的预期打得过于充足的烦恼，而市场的整体情绪也影响各大类风格的短期表现，市场对交易能力的考验在提升。在具体投资策略上，我们仍将坚持基本面出发的量化多因子选股策略，综合考虑个股的成长性、盈利能力、估值及买卖时点等多方面因素，力争构造风险收益特征优于业绩基准的投资组合。</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本报告期上投摩根量化多因子混合份额净值增长率为</w:t>
      </w:r>
      <w:r w:rsidRPr="00FF6B9A">
        <w:rPr>
          <w:rFonts w:eastAsiaTheme="minorEastAsia"/>
          <w:color w:val="000000" w:themeColor="text1"/>
        </w:rPr>
        <w:t>:5.31%</w:t>
      </w:r>
      <w:r w:rsidRPr="00FF6B9A">
        <w:rPr>
          <w:rFonts w:eastAsiaTheme="minorEastAsia"/>
          <w:color w:val="000000" w:themeColor="text1"/>
        </w:rPr>
        <w:t>，同期业绩比较基准收益率为</w:t>
      </w:r>
      <w:r w:rsidRPr="00FF6B9A">
        <w:rPr>
          <w:rFonts w:eastAsiaTheme="minorEastAsia"/>
          <w:color w:val="000000" w:themeColor="text1"/>
        </w:rPr>
        <w:t>:-2.11%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kern w:val="0"/>
        </w:rPr>
        <w:t>报告期内，本基金存在连续六十个工作日基金资产净值低于五千万元的情况，出现该情况的时间范围为</w:t>
      </w:r>
      <w:r>
        <w:rPr>
          <w:rFonts w:eastAsiaTheme="minorEastAsia"/>
          <w:color w:val="000000" w:themeColor="text1"/>
          <w:kern w:val="0"/>
        </w:rPr>
        <w:t>2021</w:t>
      </w:r>
      <w:r>
        <w:rPr>
          <w:rFonts w:eastAsiaTheme="minorEastAsia"/>
          <w:color w:val="000000" w:themeColor="text1"/>
          <w:kern w:val="0"/>
        </w:rPr>
        <w:t>年</w:t>
      </w:r>
      <w:r>
        <w:rPr>
          <w:rFonts w:eastAsiaTheme="minorEastAsia"/>
          <w:color w:val="000000" w:themeColor="text1"/>
          <w:kern w:val="0"/>
        </w:rPr>
        <w:t>07</w:t>
      </w:r>
      <w:r>
        <w:rPr>
          <w:rFonts w:eastAsiaTheme="minorEastAsia"/>
          <w:color w:val="000000" w:themeColor="text1"/>
          <w:kern w:val="0"/>
        </w:rPr>
        <w:t>月</w:t>
      </w:r>
      <w:r>
        <w:rPr>
          <w:rFonts w:eastAsiaTheme="minorEastAsia"/>
          <w:color w:val="000000" w:themeColor="text1"/>
          <w:kern w:val="0"/>
        </w:rPr>
        <w:t>01</w:t>
      </w:r>
      <w:r>
        <w:rPr>
          <w:rFonts w:eastAsiaTheme="minorEastAsia"/>
          <w:color w:val="000000" w:themeColor="text1"/>
          <w:kern w:val="0"/>
        </w:rPr>
        <w:t>日至</w:t>
      </w:r>
      <w:r>
        <w:rPr>
          <w:rFonts w:eastAsiaTheme="minorEastAsia"/>
          <w:color w:val="000000" w:themeColor="text1"/>
          <w:kern w:val="0"/>
        </w:rPr>
        <w:t>2021</w:t>
      </w:r>
      <w:r>
        <w:rPr>
          <w:rFonts w:eastAsiaTheme="minorEastAsia"/>
          <w:color w:val="000000" w:themeColor="text1"/>
          <w:kern w:val="0"/>
        </w:rPr>
        <w:t>年</w:t>
      </w:r>
      <w:r>
        <w:rPr>
          <w:rFonts w:eastAsiaTheme="minorEastAsia"/>
          <w:color w:val="000000" w:themeColor="text1"/>
          <w:kern w:val="0"/>
        </w:rPr>
        <w:t>09</w:t>
      </w:r>
      <w:r>
        <w:rPr>
          <w:rFonts w:eastAsiaTheme="minorEastAsia"/>
          <w:color w:val="000000" w:themeColor="text1"/>
          <w:kern w:val="0"/>
        </w:rPr>
        <w:t>月</w:t>
      </w:r>
      <w:r>
        <w:rPr>
          <w:rFonts w:eastAsiaTheme="minorEastAsia"/>
          <w:color w:val="000000" w:themeColor="text1"/>
          <w:kern w:val="0"/>
        </w:rPr>
        <w:t>30</w:t>
      </w:r>
      <w:r>
        <w:rPr>
          <w:rFonts w:eastAsiaTheme="minorEastAsia"/>
          <w:color w:val="000000" w:themeColor="text1"/>
          <w:kern w:val="0"/>
        </w:rPr>
        <w:t>日。</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基金管理人拟调整本基金运作方式，加大营销力度，提升基金规模，方案已报监管机关。</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22,681,614.26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93.16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22,681,614.26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93.16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13,911.56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13,911.56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1,642,883.73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6.75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7,311.64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24,345,721.19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325,028.00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1.35</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16,758,027.63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69.42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383,641.00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332,771.90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223,008.00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77,685.00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0.32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2,042,198.65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8.46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1,126,111.88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4.66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145,080.00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326,370.00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84,942.00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0.35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45,747.00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4,866.20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723,663.00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82,474.00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0.34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22,681,614.26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93.96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A35C0A">
        <w:tc>
          <w:tcPr>
            <w:tcW w:w="817" w:type="dxa"/>
            <w:vAlign w:val="center"/>
          </w:tcPr>
          <w:p w:rsidR="00A35C0A" w:rsidRDefault="000C76B6">
            <w:pPr>
              <w:jc w:val="center"/>
            </w:pPr>
            <w:r>
              <w:rPr>
                <w:rFonts w:eastAsiaTheme="minorEastAsia"/>
                <w:kern w:val="0"/>
                <w:sz w:val="24"/>
                <w:szCs w:val="24"/>
              </w:rPr>
              <w:t>1</w:t>
            </w:r>
          </w:p>
        </w:tc>
        <w:tc>
          <w:tcPr>
            <w:tcW w:w="1276" w:type="dxa"/>
            <w:vAlign w:val="center"/>
          </w:tcPr>
          <w:p w:rsidR="00A35C0A" w:rsidRDefault="000C76B6">
            <w:pPr>
              <w:jc w:val="center"/>
            </w:pPr>
            <w:r>
              <w:rPr>
                <w:rFonts w:eastAsiaTheme="minorEastAsia"/>
                <w:kern w:val="0"/>
                <w:sz w:val="24"/>
                <w:szCs w:val="24"/>
              </w:rPr>
              <w:t>000898</w:t>
            </w:r>
          </w:p>
        </w:tc>
        <w:tc>
          <w:tcPr>
            <w:tcW w:w="1701" w:type="dxa"/>
            <w:vAlign w:val="center"/>
          </w:tcPr>
          <w:p w:rsidR="00A35C0A" w:rsidRDefault="000C76B6">
            <w:pPr>
              <w:jc w:val="center"/>
            </w:pPr>
            <w:r>
              <w:rPr>
                <w:rFonts w:eastAsiaTheme="minorEastAsia"/>
                <w:kern w:val="0"/>
                <w:sz w:val="24"/>
                <w:szCs w:val="24"/>
              </w:rPr>
              <w:t>鞍钢股份</w:t>
            </w:r>
          </w:p>
        </w:tc>
        <w:tc>
          <w:tcPr>
            <w:tcW w:w="1276" w:type="dxa"/>
            <w:vAlign w:val="center"/>
          </w:tcPr>
          <w:p w:rsidR="00A35C0A" w:rsidRDefault="000C76B6">
            <w:pPr>
              <w:jc w:val="right"/>
            </w:pPr>
            <w:r>
              <w:rPr>
                <w:rFonts w:eastAsiaTheme="minorEastAsia"/>
                <w:kern w:val="0"/>
                <w:sz w:val="24"/>
                <w:szCs w:val="24"/>
              </w:rPr>
              <w:t>144,600.00</w:t>
            </w:r>
          </w:p>
        </w:tc>
        <w:tc>
          <w:tcPr>
            <w:tcW w:w="1842" w:type="dxa"/>
            <w:vAlign w:val="center"/>
          </w:tcPr>
          <w:p w:rsidR="00A35C0A" w:rsidRDefault="000C76B6">
            <w:pPr>
              <w:jc w:val="right"/>
            </w:pPr>
            <w:r>
              <w:rPr>
                <w:rFonts w:eastAsiaTheme="minorEastAsia"/>
                <w:kern w:val="0"/>
                <w:sz w:val="24"/>
                <w:szCs w:val="24"/>
              </w:rPr>
              <w:t>695,526.00</w:t>
            </w:r>
          </w:p>
        </w:tc>
        <w:tc>
          <w:tcPr>
            <w:tcW w:w="1616" w:type="dxa"/>
            <w:vAlign w:val="center"/>
          </w:tcPr>
          <w:p w:rsidR="00A35C0A" w:rsidRDefault="000C76B6">
            <w:pPr>
              <w:jc w:val="right"/>
            </w:pPr>
            <w:r>
              <w:rPr>
                <w:rFonts w:eastAsiaTheme="minorEastAsia"/>
                <w:kern w:val="0"/>
                <w:sz w:val="24"/>
                <w:szCs w:val="24"/>
              </w:rPr>
              <w:t>2.88</w:t>
            </w:r>
          </w:p>
        </w:tc>
      </w:tr>
      <w:tr w:rsidR="00A35C0A">
        <w:tc>
          <w:tcPr>
            <w:tcW w:w="817" w:type="dxa"/>
            <w:vAlign w:val="center"/>
          </w:tcPr>
          <w:p w:rsidR="00A35C0A" w:rsidRDefault="000C76B6">
            <w:pPr>
              <w:jc w:val="center"/>
            </w:pPr>
            <w:r>
              <w:rPr>
                <w:rFonts w:eastAsiaTheme="minorEastAsia"/>
                <w:kern w:val="0"/>
                <w:sz w:val="24"/>
                <w:szCs w:val="24"/>
              </w:rPr>
              <w:t>2</w:t>
            </w:r>
          </w:p>
        </w:tc>
        <w:tc>
          <w:tcPr>
            <w:tcW w:w="1276" w:type="dxa"/>
            <w:vAlign w:val="center"/>
          </w:tcPr>
          <w:p w:rsidR="00A35C0A" w:rsidRDefault="000C76B6">
            <w:pPr>
              <w:jc w:val="center"/>
            </w:pPr>
            <w:r>
              <w:rPr>
                <w:rFonts w:eastAsiaTheme="minorEastAsia"/>
                <w:kern w:val="0"/>
                <w:sz w:val="24"/>
                <w:szCs w:val="24"/>
              </w:rPr>
              <w:t>002929</w:t>
            </w:r>
          </w:p>
        </w:tc>
        <w:tc>
          <w:tcPr>
            <w:tcW w:w="1701" w:type="dxa"/>
            <w:vAlign w:val="center"/>
          </w:tcPr>
          <w:p w:rsidR="00A35C0A" w:rsidRDefault="000C76B6">
            <w:pPr>
              <w:jc w:val="center"/>
            </w:pPr>
            <w:r>
              <w:rPr>
                <w:rFonts w:eastAsiaTheme="minorEastAsia"/>
                <w:kern w:val="0"/>
                <w:sz w:val="24"/>
                <w:szCs w:val="24"/>
              </w:rPr>
              <w:t>润建股份</w:t>
            </w:r>
          </w:p>
        </w:tc>
        <w:tc>
          <w:tcPr>
            <w:tcW w:w="1276" w:type="dxa"/>
            <w:vAlign w:val="center"/>
          </w:tcPr>
          <w:p w:rsidR="00A35C0A" w:rsidRDefault="000C76B6">
            <w:pPr>
              <w:jc w:val="right"/>
            </w:pPr>
            <w:r>
              <w:rPr>
                <w:rFonts w:eastAsiaTheme="minorEastAsia"/>
                <w:kern w:val="0"/>
                <w:sz w:val="24"/>
                <w:szCs w:val="24"/>
              </w:rPr>
              <w:t>23,600.00</w:t>
            </w:r>
          </w:p>
        </w:tc>
        <w:tc>
          <w:tcPr>
            <w:tcW w:w="1842" w:type="dxa"/>
            <w:vAlign w:val="center"/>
          </w:tcPr>
          <w:p w:rsidR="00A35C0A" w:rsidRDefault="000C76B6">
            <w:pPr>
              <w:jc w:val="right"/>
            </w:pPr>
            <w:r>
              <w:rPr>
                <w:rFonts w:eastAsiaTheme="minorEastAsia"/>
                <w:kern w:val="0"/>
                <w:sz w:val="24"/>
                <w:szCs w:val="24"/>
              </w:rPr>
              <w:t>677,556.00</w:t>
            </w:r>
          </w:p>
        </w:tc>
        <w:tc>
          <w:tcPr>
            <w:tcW w:w="1616" w:type="dxa"/>
            <w:vAlign w:val="center"/>
          </w:tcPr>
          <w:p w:rsidR="00A35C0A" w:rsidRDefault="000C76B6">
            <w:pPr>
              <w:jc w:val="right"/>
            </w:pPr>
            <w:r>
              <w:rPr>
                <w:rFonts w:eastAsiaTheme="minorEastAsia"/>
                <w:kern w:val="0"/>
                <w:sz w:val="24"/>
                <w:szCs w:val="24"/>
              </w:rPr>
              <w:t>2.81</w:t>
            </w:r>
          </w:p>
        </w:tc>
      </w:tr>
      <w:tr w:rsidR="00A35C0A">
        <w:tc>
          <w:tcPr>
            <w:tcW w:w="817" w:type="dxa"/>
            <w:vAlign w:val="center"/>
          </w:tcPr>
          <w:p w:rsidR="00A35C0A" w:rsidRDefault="000C76B6">
            <w:pPr>
              <w:jc w:val="center"/>
            </w:pPr>
            <w:r>
              <w:rPr>
                <w:rFonts w:eastAsiaTheme="minorEastAsia"/>
                <w:kern w:val="0"/>
                <w:sz w:val="24"/>
                <w:szCs w:val="24"/>
              </w:rPr>
              <w:t>3</w:t>
            </w:r>
          </w:p>
        </w:tc>
        <w:tc>
          <w:tcPr>
            <w:tcW w:w="1276" w:type="dxa"/>
            <w:vAlign w:val="center"/>
          </w:tcPr>
          <w:p w:rsidR="00A35C0A" w:rsidRDefault="000C76B6">
            <w:pPr>
              <w:jc w:val="center"/>
            </w:pPr>
            <w:r>
              <w:rPr>
                <w:rFonts w:eastAsiaTheme="minorEastAsia"/>
                <w:kern w:val="0"/>
                <w:sz w:val="24"/>
                <w:szCs w:val="24"/>
              </w:rPr>
              <w:t>600373</w:t>
            </w:r>
          </w:p>
        </w:tc>
        <w:tc>
          <w:tcPr>
            <w:tcW w:w="1701" w:type="dxa"/>
            <w:vAlign w:val="center"/>
          </w:tcPr>
          <w:p w:rsidR="00A35C0A" w:rsidRDefault="000C76B6">
            <w:pPr>
              <w:jc w:val="center"/>
            </w:pPr>
            <w:r>
              <w:rPr>
                <w:rFonts w:eastAsiaTheme="minorEastAsia"/>
                <w:kern w:val="0"/>
                <w:sz w:val="24"/>
                <w:szCs w:val="24"/>
              </w:rPr>
              <w:t>中文传媒</w:t>
            </w:r>
          </w:p>
        </w:tc>
        <w:tc>
          <w:tcPr>
            <w:tcW w:w="1276" w:type="dxa"/>
            <w:vAlign w:val="center"/>
          </w:tcPr>
          <w:p w:rsidR="00A35C0A" w:rsidRDefault="000C76B6">
            <w:pPr>
              <w:jc w:val="right"/>
            </w:pPr>
            <w:r>
              <w:rPr>
                <w:rFonts w:eastAsiaTheme="minorEastAsia"/>
                <w:kern w:val="0"/>
                <w:sz w:val="24"/>
                <w:szCs w:val="24"/>
              </w:rPr>
              <w:t>65,100.00</w:t>
            </w:r>
          </w:p>
        </w:tc>
        <w:tc>
          <w:tcPr>
            <w:tcW w:w="1842" w:type="dxa"/>
            <w:vAlign w:val="center"/>
          </w:tcPr>
          <w:p w:rsidR="00A35C0A" w:rsidRDefault="000C76B6">
            <w:pPr>
              <w:jc w:val="right"/>
            </w:pPr>
            <w:r>
              <w:rPr>
                <w:rFonts w:eastAsiaTheme="minorEastAsia"/>
                <w:kern w:val="0"/>
                <w:sz w:val="24"/>
                <w:szCs w:val="24"/>
              </w:rPr>
              <w:t>675,087.00</w:t>
            </w:r>
          </w:p>
        </w:tc>
        <w:tc>
          <w:tcPr>
            <w:tcW w:w="1616" w:type="dxa"/>
            <w:vAlign w:val="center"/>
          </w:tcPr>
          <w:p w:rsidR="00A35C0A" w:rsidRDefault="000C76B6">
            <w:pPr>
              <w:jc w:val="right"/>
            </w:pPr>
            <w:r>
              <w:rPr>
                <w:rFonts w:eastAsiaTheme="minorEastAsia"/>
                <w:kern w:val="0"/>
                <w:sz w:val="24"/>
                <w:szCs w:val="24"/>
              </w:rPr>
              <w:t>2.80</w:t>
            </w:r>
          </w:p>
        </w:tc>
      </w:tr>
      <w:tr w:rsidR="00A35C0A">
        <w:tc>
          <w:tcPr>
            <w:tcW w:w="817" w:type="dxa"/>
            <w:vAlign w:val="center"/>
          </w:tcPr>
          <w:p w:rsidR="00A35C0A" w:rsidRDefault="000C76B6">
            <w:pPr>
              <w:jc w:val="center"/>
            </w:pPr>
            <w:r>
              <w:rPr>
                <w:rFonts w:eastAsiaTheme="minorEastAsia"/>
                <w:kern w:val="0"/>
                <w:sz w:val="24"/>
                <w:szCs w:val="24"/>
              </w:rPr>
              <w:t>4</w:t>
            </w:r>
          </w:p>
        </w:tc>
        <w:tc>
          <w:tcPr>
            <w:tcW w:w="1276" w:type="dxa"/>
            <w:vAlign w:val="center"/>
          </w:tcPr>
          <w:p w:rsidR="00A35C0A" w:rsidRDefault="000C76B6">
            <w:pPr>
              <w:jc w:val="center"/>
            </w:pPr>
            <w:r>
              <w:rPr>
                <w:rFonts w:eastAsiaTheme="minorEastAsia"/>
                <w:kern w:val="0"/>
                <w:sz w:val="24"/>
                <w:szCs w:val="24"/>
              </w:rPr>
              <w:t>600388</w:t>
            </w:r>
          </w:p>
        </w:tc>
        <w:tc>
          <w:tcPr>
            <w:tcW w:w="1701" w:type="dxa"/>
            <w:vAlign w:val="center"/>
          </w:tcPr>
          <w:p w:rsidR="00A35C0A" w:rsidRDefault="000C76B6">
            <w:pPr>
              <w:jc w:val="center"/>
            </w:pPr>
            <w:r>
              <w:rPr>
                <w:rFonts w:eastAsiaTheme="minorEastAsia"/>
                <w:kern w:val="0"/>
                <w:sz w:val="24"/>
                <w:szCs w:val="24"/>
              </w:rPr>
              <w:t>龙净环保</w:t>
            </w:r>
          </w:p>
        </w:tc>
        <w:tc>
          <w:tcPr>
            <w:tcW w:w="1276" w:type="dxa"/>
            <w:vAlign w:val="center"/>
          </w:tcPr>
          <w:p w:rsidR="00A35C0A" w:rsidRDefault="000C76B6">
            <w:pPr>
              <w:jc w:val="right"/>
            </w:pPr>
            <w:r>
              <w:rPr>
                <w:rFonts w:eastAsiaTheme="minorEastAsia"/>
                <w:kern w:val="0"/>
                <w:sz w:val="24"/>
                <w:szCs w:val="24"/>
              </w:rPr>
              <w:t>77,700.00</w:t>
            </w:r>
          </w:p>
        </w:tc>
        <w:tc>
          <w:tcPr>
            <w:tcW w:w="1842" w:type="dxa"/>
            <w:vAlign w:val="center"/>
          </w:tcPr>
          <w:p w:rsidR="00A35C0A" w:rsidRDefault="000C76B6">
            <w:pPr>
              <w:jc w:val="right"/>
            </w:pPr>
            <w:r>
              <w:rPr>
                <w:rFonts w:eastAsiaTheme="minorEastAsia"/>
                <w:kern w:val="0"/>
                <w:sz w:val="24"/>
                <w:szCs w:val="24"/>
              </w:rPr>
              <w:t>668,220.00</w:t>
            </w:r>
          </w:p>
        </w:tc>
        <w:tc>
          <w:tcPr>
            <w:tcW w:w="1616" w:type="dxa"/>
            <w:vAlign w:val="center"/>
          </w:tcPr>
          <w:p w:rsidR="00A35C0A" w:rsidRDefault="000C76B6">
            <w:pPr>
              <w:jc w:val="right"/>
            </w:pPr>
            <w:r>
              <w:rPr>
                <w:rFonts w:eastAsiaTheme="minorEastAsia"/>
                <w:kern w:val="0"/>
                <w:sz w:val="24"/>
                <w:szCs w:val="24"/>
              </w:rPr>
              <w:t>2.77</w:t>
            </w:r>
          </w:p>
        </w:tc>
      </w:tr>
      <w:tr w:rsidR="00A35C0A">
        <w:tc>
          <w:tcPr>
            <w:tcW w:w="817" w:type="dxa"/>
            <w:vAlign w:val="center"/>
          </w:tcPr>
          <w:p w:rsidR="00A35C0A" w:rsidRDefault="000C76B6">
            <w:pPr>
              <w:jc w:val="center"/>
            </w:pPr>
            <w:r>
              <w:rPr>
                <w:rFonts w:eastAsiaTheme="minorEastAsia"/>
                <w:kern w:val="0"/>
                <w:sz w:val="24"/>
                <w:szCs w:val="24"/>
              </w:rPr>
              <w:t>5</w:t>
            </w:r>
          </w:p>
        </w:tc>
        <w:tc>
          <w:tcPr>
            <w:tcW w:w="1276" w:type="dxa"/>
            <w:vAlign w:val="center"/>
          </w:tcPr>
          <w:p w:rsidR="00A35C0A" w:rsidRDefault="000C76B6">
            <w:pPr>
              <w:jc w:val="center"/>
            </w:pPr>
            <w:r>
              <w:rPr>
                <w:rFonts w:eastAsiaTheme="minorEastAsia"/>
                <w:kern w:val="0"/>
                <w:sz w:val="24"/>
                <w:szCs w:val="24"/>
              </w:rPr>
              <w:t>601728</w:t>
            </w:r>
          </w:p>
        </w:tc>
        <w:tc>
          <w:tcPr>
            <w:tcW w:w="1701" w:type="dxa"/>
            <w:vAlign w:val="center"/>
          </w:tcPr>
          <w:p w:rsidR="00A35C0A" w:rsidRDefault="000C76B6">
            <w:pPr>
              <w:jc w:val="center"/>
            </w:pPr>
            <w:r>
              <w:rPr>
                <w:rFonts w:eastAsiaTheme="minorEastAsia"/>
                <w:kern w:val="0"/>
                <w:sz w:val="24"/>
                <w:szCs w:val="24"/>
              </w:rPr>
              <w:t>中国电信</w:t>
            </w:r>
          </w:p>
        </w:tc>
        <w:tc>
          <w:tcPr>
            <w:tcW w:w="1276" w:type="dxa"/>
            <w:vAlign w:val="center"/>
          </w:tcPr>
          <w:p w:rsidR="00A35C0A" w:rsidRDefault="000C76B6">
            <w:pPr>
              <w:jc w:val="right"/>
            </w:pPr>
            <w:r>
              <w:rPr>
                <w:rFonts w:eastAsiaTheme="minorEastAsia"/>
                <w:kern w:val="0"/>
                <w:sz w:val="24"/>
                <w:szCs w:val="24"/>
              </w:rPr>
              <w:t>151,543.00</w:t>
            </w:r>
          </w:p>
        </w:tc>
        <w:tc>
          <w:tcPr>
            <w:tcW w:w="1842" w:type="dxa"/>
            <w:vAlign w:val="center"/>
          </w:tcPr>
          <w:p w:rsidR="00A35C0A" w:rsidRDefault="000C76B6">
            <w:pPr>
              <w:jc w:val="right"/>
            </w:pPr>
            <w:r>
              <w:rPr>
                <w:rFonts w:eastAsiaTheme="minorEastAsia"/>
                <w:kern w:val="0"/>
                <w:sz w:val="24"/>
                <w:szCs w:val="24"/>
              </w:rPr>
              <w:t>598,594.85</w:t>
            </w:r>
          </w:p>
        </w:tc>
        <w:tc>
          <w:tcPr>
            <w:tcW w:w="1616" w:type="dxa"/>
            <w:vAlign w:val="center"/>
          </w:tcPr>
          <w:p w:rsidR="00A35C0A" w:rsidRDefault="000C76B6">
            <w:pPr>
              <w:jc w:val="right"/>
            </w:pPr>
            <w:r>
              <w:rPr>
                <w:rFonts w:eastAsiaTheme="minorEastAsia"/>
                <w:kern w:val="0"/>
                <w:sz w:val="24"/>
                <w:szCs w:val="24"/>
              </w:rPr>
              <w:t>2.48</w:t>
            </w:r>
          </w:p>
        </w:tc>
      </w:tr>
      <w:tr w:rsidR="00A35C0A">
        <w:tc>
          <w:tcPr>
            <w:tcW w:w="817" w:type="dxa"/>
            <w:vAlign w:val="center"/>
          </w:tcPr>
          <w:p w:rsidR="00A35C0A" w:rsidRDefault="000C76B6">
            <w:pPr>
              <w:jc w:val="center"/>
            </w:pPr>
            <w:r>
              <w:rPr>
                <w:rFonts w:eastAsiaTheme="minorEastAsia"/>
                <w:kern w:val="0"/>
                <w:sz w:val="24"/>
                <w:szCs w:val="24"/>
              </w:rPr>
              <w:t>6</w:t>
            </w:r>
          </w:p>
        </w:tc>
        <w:tc>
          <w:tcPr>
            <w:tcW w:w="1276" w:type="dxa"/>
            <w:vAlign w:val="center"/>
          </w:tcPr>
          <w:p w:rsidR="00A35C0A" w:rsidRDefault="000C76B6">
            <w:pPr>
              <w:jc w:val="center"/>
            </w:pPr>
            <w:r>
              <w:rPr>
                <w:rFonts w:eastAsiaTheme="minorEastAsia"/>
                <w:kern w:val="0"/>
                <w:sz w:val="24"/>
                <w:szCs w:val="24"/>
              </w:rPr>
              <w:t>601233</w:t>
            </w:r>
          </w:p>
        </w:tc>
        <w:tc>
          <w:tcPr>
            <w:tcW w:w="1701" w:type="dxa"/>
            <w:vAlign w:val="center"/>
          </w:tcPr>
          <w:p w:rsidR="00A35C0A" w:rsidRDefault="000C76B6">
            <w:pPr>
              <w:jc w:val="center"/>
            </w:pPr>
            <w:r>
              <w:rPr>
                <w:rFonts w:eastAsiaTheme="minorEastAsia"/>
                <w:kern w:val="0"/>
                <w:sz w:val="24"/>
                <w:szCs w:val="24"/>
              </w:rPr>
              <w:t>桐昆股份</w:t>
            </w:r>
          </w:p>
        </w:tc>
        <w:tc>
          <w:tcPr>
            <w:tcW w:w="1276" w:type="dxa"/>
            <w:vAlign w:val="center"/>
          </w:tcPr>
          <w:p w:rsidR="00A35C0A" w:rsidRDefault="000C76B6">
            <w:pPr>
              <w:jc w:val="right"/>
            </w:pPr>
            <w:r>
              <w:rPr>
                <w:rFonts w:eastAsiaTheme="minorEastAsia"/>
                <w:kern w:val="0"/>
                <w:sz w:val="24"/>
                <w:szCs w:val="24"/>
              </w:rPr>
              <w:t>26,700.00</w:t>
            </w:r>
          </w:p>
        </w:tc>
        <w:tc>
          <w:tcPr>
            <w:tcW w:w="1842" w:type="dxa"/>
            <w:vAlign w:val="center"/>
          </w:tcPr>
          <w:p w:rsidR="00A35C0A" w:rsidRDefault="000C76B6">
            <w:pPr>
              <w:jc w:val="right"/>
            </w:pPr>
            <w:r>
              <w:rPr>
                <w:rFonts w:eastAsiaTheme="minorEastAsia"/>
                <w:kern w:val="0"/>
                <w:sz w:val="24"/>
                <w:szCs w:val="24"/>
              </w:rPr>
              <w:t>585,798.00</w:t>
            </w:r>
          </w:p>
        </w:tc>
        <w:tc>
          <w:tcPr>
            <w:tcW w:w="1616" w:type="dxa"/>
            <w:vAlign w:val="center"/>
          </w:tcPr>
          <w:p w:rsidR="00A35C0A" w:rsidRDefault="000C76B6">
            <w:pPr>
              <w:jc w:val="right"/>
            </w:pPr>
            <w:r>
              <w:rPr>
                <w:rFonts w:eastAsiaTheme="minorEastAsia"/>
                <w:kern w:val="0"/>
                <w:sz w:val="24"/>
                <w:szCs w:val="24"/>
              </w:rPr>
              <w:t>2.43</w:t>
            </w:r>
          </w:p>
        </w:tc>
      </w:tr>
      <w:tr w:rsidR="00A35C0A">
        <w:tc>
          <w:tcPr>
            <w:tcW w:w="817" w:type="dxa"/>
            <w:vAlign w:val="center"/>
          </w:tcPr>
          <w:p w:rsidR="00A35C0A" w:rsidRDefault="000C76B6">
            <w:pPr>
              <w:jc w:val="center"/>
            </w:pPr>
            <w:r>
              <w:rPr>
                <w:rFonts w:eastAsiaTheme="minorEastAsia"/>
                <w:kern w:val="0"/>
                <w:sz w:val="24"/>
                <w:szCs w:val="24"/>
              </w:rPr>
              <w:t>7</w:t>
            </w:r>
          </w:p>
        </w:tc>
        <w:tc>
          <w:tcPr>
            <w:tcW w:w="1276" w:type="dxa"/>
            <w:vAlign w:val="center"/>
          </w:tcPr>
          <w:p w:rsidR="00A35C0A" w:rsidRDefault="000C76B6">
            <w:pPr>
              <w:jc w:val="center"/>
            </w:pPr>
            <w:r>
              <w:rPr>
                <w:rFonts w:eastAsiaTheme="minorEastAsia"/>
                <w:kern w:val="0"/>
                <w:sz w:val="24"/>
                <w:szCs w:val="24"/>
              </w:rPr>
              <w:t>000725</w:t>
            </w:r>
          </w:p>
        </w:tc>
        <w:tc>
          <w:tcPr>
            <w:tcW w:w="1701" w:type="dxa"/>
            <w:vAlign w:val="center"/>
          </w:tcPr>
          <w:p w:rsidR="00A35C0A" w:rsidRDefault="000C76B6">
            <w:pPr>
              <w:jc w:val="center"/>
            </w:pPr>
            <w:r>
              <w:rPr>
                <w:rFonts w:eastAsiaTheme="minorEastAsia"/>
                <w:kern w:val="0"/>
                <w:sz w:val="24"/>
                <w:szCs w:val="24"/>
              </w:rPr>
              <w:t>京东方</w:t>
            </w:r>
            <w:r>
              <w:rPr>
                <w:rFonts w:eastAsiaTheme="minorEastAsia"/>
                <w:kern w:val="0"/>
                <w:sz w:val="24"/>
                <w:szCs w:val="24"/>
              </w:rPr>
              <w:t>A</w:t>
            </w:r>
          </w:p>
        </w:tc>
        <w:tc>
          <w:tcPr>
            <w:tcW w:w="1276" w:type="dxa"/>
            <w:vAlign w:val="center"/>
          </w:tcPr>
          <w:p w:rsidR="00A35C0A" w:rsidRDefault="000C76B6">
            <w:pPr>
              <w:jc w:val="right"/>
            </w:pPr>
            <w:r>
              <w:rPr>
                <w:rFonts w:eastAsiaTheme="minorEastAsia"/>
                <w:kern w:val="0"/>
                <w:sz w:val="24"/>
                <w:szCs w:val="24"/>
              </w:rPr>
              <w:t>114,342.00</w:t>
            </w:r>
          </w:p>
        </w:tc>
        <w:tc>
          <w:tcPr>
            <w:tcW w:w="1842" w:type="dxa"/>
            <w:vAlign w:val="center"/>
          </w:tcPr>
          <w:p w:rsidR="00A35C0A" w:rsidRDefault="000C76B6">
            <w:pPr>
              <w:jc w:val="right"/>
            </w:pPr>
            <w:r>
              <w:rPr>
                <w:rFonts w:eastAsiaTheme="minorEastAsia"/>
                <w:kern w:val="0"/>
                <w:sz w:val="24"/>
                <w:szCs w:val="24"/>
              </w:rPr>
              <w:t>577,427.10</w:t>
            </w:r>
          </w:p>
        </w:tc>
        <w:tc>
          <w:tcPr>
            <w:tcW w:w="1616" w:type="dxa"/>
            <w:vAlign w:val="center"/>
          </w:tcPr>
          <w:p w:rsidR="00A35C0A" w:rsidRDefault="000C76B6">
            <w:pPr>
              <w:jc w:val="right"/>
            </w:pPr>
            <w:r>
              <w:rPr>
                <w:rFonts w:eastAsiaTheme="minorEastAsia"/>
                <w:kern w:val="0"/>
                <w:sz w:val="24"/>
                <w:szCs w:val="24"/>
              </w:rPr>
              <w:t>2.39</w:t>
            </w:r>
          </w:p>
        </w:tc>
      </w:tr>
      <w:tr w:rsidR="00A35C0A">
        <w:tc>
          <w:tcPr>
            <w:tcW w:w="817" w:type="dxa"/>
            <w:vAlign w:val="center"/>
          </w:tcPr>
          <w:p w:rsidR="00A35C0A" w:rsidRDefault="000C76B6">
            <w:pPr>
              <w:jc w:val="center"/>
            </w:pPr>
            <w:r>
              <w:rPr>
                <w:rFonts w:eastAsiaTheme="minorEastAsia"/>
                <w:kern w:val="0"/>
                <w:sz w:val="24"/>
                <w:szCs w:val="24"/>
              </w:rPr>
              <w:t>8</w:t>
            </w:r>
          </w:p>
        </w:tc>
        <w:tc>
          <w:tcPr>
            <w:tcW w:w="1276" w:type="dxa"/>
            <w:vAlign w:val="center"/>
          </w:tcPr>
          <w:p w:rsidR="00A35C0A" w:rsidRDefault="000C76B6">
            <w:pPr>
              <w:jc w:val="center"/>
            </w:pPr>
            <w:r>
              <w:rPr>
                <w:rFonts w:eastAsiaTheme="minorEastAsia"/>
                <w:kern w:val="0"/>
                <w:sz w:val="24"/>
                <w:szCs w:val="24"/>
              </w:rPr>
              <w:t>600435</w:t>
            </w:r>
          </w:p>
        </w:tc>
        <w:tc>
          <w:tcPr>
            <w:tcW w:w="1701" w:type="dxa"/>
            <w:vAlign w:val="center"/>
          </w:tcPr>
          <w:p w:rsidR="00A35C0A" w:rsidRDefault="000C76B6">
            <w:pPr>
              <w:jc w:val="center"/>
            </w:pPr>
            <w:r>
              <w:rPr>
                <w:rFonts w:eastAsiaTheme="minorEastAsia"/>
                <w:kern w:val="0"/>
                <w:sz w:val="24"/>
                <w:szCs w:val="24"/>
              </w:rPr>
              <w:t>北方导航</w:t>
            </w:r>
          </w:p>
        </w:tc>
        <w:tc>
          <w:tcPr>
            <w:tcW w:w="1276" w:type="dxa"/>
            <w:vAlign w:val="center"/>
          </w:tcPr>
          <w:p w:rsidR="00A35C0A" w:rsidRDefault="000C76B6">
            <w:pPr>
              <w:jc w:val="right"/>
            </w:pPr>
            <w:r>
              <w:rPr>
                <w:rFonts w:eastAsiaTheme="minorEastAsia"/>
                <w:kern w:val="0"/>
                <w:sz w:val="24"/>
                <w:szCs w:val="24"/>
              </w:rPr>
              <w:t>56,600.00</w:t>
            </w:r>
          </w:p>
        </w:tc>
        <w:tc>
          <w:tcPr>
            <w:tcW w:w="1842" w:type="dxa"/>
            <w:vAlign w:val="center"/>
          </w:tcPr>
          <w:p w:rsidR="00A35C0A" w:rsidRDefault="000C76B6">
            <w:pPr>
              <w:jc w:val="right"/>
            </w:pPr>
            <w:r>
              <w:rPr>
                <w:rFonts w:eastAsiaTheme="minorEastAsia"/>
                <w:kern w:val="0"/>
                <w:sz w:val="24"/>
                <w:szCs w:val="24"/>
              </w:rPr>
              <w:t>534,304.00</w:t>
            </w:r>
          </w:p>
        </w:tc>
        <w:tc>
          <w:tcPr>
            <w:tcW w:w="1616" w:type="dxa"/>
            <w:vAlign w:val="center"/>
          </w:tcPr>
          <w:p w:rsidR="00A35C0A" w:rsidRDefault="000C76B6">
            <w:pPr>
              <w:jc w:val="right"/>
            </w:pPr>
            <w:r>
              <w:rPr>
                <w:rFonts w:eastAsiaTheme="minorEastAsia"/>
                <w:kern w:val="0"/>
                <w:sz w:val="24"/>
                <w:szCs w:val="24"/>
              </w:rPr>
              <w:t>2.21</w:t>
            </w:r>
          </w:p>
        </w:tc>
      </w:tr>
      <w:tr w:rsidR="00A35C0A">
        <w:tc>
          <w:tcPr>
            <w:tcW w:w="817" w:type="dxa"/>
            <w:vAlign w:val="center"/>
          </w:tcPr>
          <w:p w:rsidR="00A35C0A" w:rsidRDefault="000C76B6">
            <w:pPr>
              <w:jc w:val="center"/>
            </w:pPr>
            <w:r>
              <w:rPr>
                <w:rFonts w:eastAsiaTheme="minorEastAsia"/>
                <w:kern w:val="0"/>
                <w:sz w:val="24"/>
                <w:szCs w:val="24"/>
              </w:rPr>
              <w:t>9</w:t>
            </w:r>
          </w:p>
        </w:tc>
        <w:tc>
          <w:tcPr>
            <w:tcW w:w="1276" w:type="dxa"/>
            <w:vAlign w:val="center"/>
          </w:tcPr>
          <w:p w:rsidR="00A35C0A" w:rsidRDefault="000C76B6">
            <w:pPr>
              <w:jc w:val="center"/>
            </w:pPr>
            <w:r>
              <w:rPr>
                <w:rFonts w:eastAsiaTheme="minorEastAsia"/>
                <w:kern w:val="0"/>
                <w:sz w:val="24"/>
                <w:szCs w:val="24"/>
              </w:rPr>
              <w:t>002203</w:t>
            </w:r>
          </w:p>
        </w:tc>
        <w:tc>
          <w:tcPr>
            <w:tcW w:w="1701" w:type="dxa"/>
            <w:vAlign w:val="center"/>
          </w:tcPr>
          <w:p w:rsidR="00A35C0A" w:rsidRDefault="000C76B6">
            <w:pPr>
              <w:jc w:val="center"/>
            </w:pPr>
            <w:r>
              <w:rPr>
                <w:rFonts w:eastAsiaTheme="minorEastAsia"/>
                <w:kern w:val="0"/>
                <w:sz w:val="24"/>
                <w:szCs w:val="24"/>
              </w:rPr>
              <w:t>海亮股份</w:t>
            </w:r>
          </w:p>
        </w:tc>
        <w:tc>
          <w:tcPr>
            <w:tcW w:w="1276" w:type="dxa"/>
            <w:vAlign w:val="center"/>
          </w:tcPr>
          <w:p w:rsidR="00A35C0A" w:rsidRDefault="000C76B6">
            <w:pPr>
              <w:jc w:val="right"/>
            </w:pPr>
            <w:r>
              <w:rPr>
                <w:rFonts w:eastAsiaTheme="minorEastAsia"/>
                <w:kern w:val="0"/>
                <w:sz w:val="24"/>
                <w:szCs w:val="24"/>
              </w:rPr>
              <w:t>46,000.00</w:t>
            </w:r>
          </w:p>
        </w:tc>
        <w:tc>
          <w:tcPr>
            <w:tcW w:w="1842" w:type="dxa"/>
            <w:vAlign w:val="center"/>
          </w:tcPr>
          <w:p w:rsidR="00A35C0A" w:rsidRDefault="000C76B6">
            <w:pPr>
              <w:jc w:val="right"/>
            </w:pPr>
            <w:r>
              <w:rPr>
                <w:rFonts w:eastAsiaTheme="minorEastAsia"/>
                <w:kern w:val="0"/>
                <w:sz w:val="24"/>
                <w:szCs w:val="24"/>
              </w:rPr>
              <w:t>523,480.00</w:t>
            </w:r>
          </w:p>
        </w:tc>
        <w:tc>
          <w:tcPr>
            <w:tcW w:w="1616" w:type="dxa"/>
            <w:vAlign w:val="center"/>
          </w:tcPr>
          <w:p w:rsidR="00A35C0A" w:rsidRDefault="000C76B6">
            <w:pPr>
              <w:jc w:val="right"/>
            </w:pPr>
            <w:r>
              <w:rPr>
                <w:rFonts w:eastAsiaTheme="minorEastAsia"/>
                <w:kern w:val="0"/>
                <w:sz w:val="24"/>
                <w:szCs w:val="24"/>
              </w:rPr>
              <w:t>2.17</w:t>
            </w:r>
          </w:p>
        </w:tc>
      </w:tr>
      <w:tr w:rsidR="00A35C0A">
        <w:tc>
          <w:tcPr>
            <w:tcW w:w="817" w:type="dxa"/>
            <w:vAlign w:val="center"/>
          </w:tcPr>
          <w:p w:rsidR="00A35C0A" w:rsidRDefault="000C76B6">
            <w:pPr>
              <w:jc w:val="center"/>
            </w:pPr>
            <w:r>
              <w:rPr>
                <w:rFonts w:eastAsiaTheme="minorEastAsia"/>
                <w:kern w:val="0"/>
                <w:sz w:val="24"/>
                <w:szCs w:val="24"/>
              </w:rPr>
              <w:t>10</w:t>
            </w:r>
          </w:p>
        </w:tc>
        <w:tc>
          <w:tcPr>
            <w:tcW w:w="1276" w:type="dxa"/>
            <w:vAlign w:val="center"/>
          </w:tcPr>
          <w:p w:rsidR="00A35C0A" w:rsidRDefault="000C76B6">
            <w:pPr>
              <w:jc w:val="center"/>
            </w:pPr>
            <w:r>
              <w:rPr>
                <w:rFonts w:eastAsiaTheme="minorEastAsia"/>
                <w:kern w:val="0"/>
                <w:sz w:val="24"/>
                <w:szCs w:val="24"/>
              </w:rPr>
              <w:t>600487</w:t>
            </w:r>
          </w:p>
        </w:tc>
        <w:tc>
          <w:tcPr>
            <w:tcW w:w="1701" w:type="dxa"/>
            <w:vAlign w:val="center"/>
          </w:tcPr>
          <w:p w:rsidR="00A35C0A" w:rsidRDefault="000C76B6">
            <w:pPr>
              <w:jc w:val="center"/>
            </w:pPr>
            <w:r>
              <w:rPr>
                <w:rFonts w:eastAsiaTheme="minorEastAsia"/>
                <w:kern w:val="0"/>
                <w:sz w:val="24"/>
                <w:szCs w:val="24"/>
              </w:rPr>
              <w:t>亨通光电</w:t>
            </w:r>
          </w:p>
        </w:tc>
        <w:tc>
          <w:tcPr>
            <w:tcW w:w="1276" w:type="dxa"/>
            <w:vAlign w:val="center"/>
          </w:tcPr>
          <w:p w:rsidR="00A35C0A" w:rsidRDefault="000C76B6">
            <w:pPr>
              <w:jc w:val="right"/>
            </w:pPr>
            <w:r>
              <w:rPr>
                <w:rFonts w:eastAsiaTheme="minorEastAsia"/>
                <w:kern w:val="0"/>
                <w:sz w:val="24"/>
                <w:szCs w:val="24"/>
              </w:rPr>
              <w:t>35,800.00</w:t>
            </w:r>
          </w:p>
        </w:tc>
        <w:tc>
          <w:tcPr>
            <w:tcW w:w="1842" w:type="dxa"/>
            <w:vAlign w:val="center"/>
          </w:tcPr>
          <w:p w:rsidR="00A35C0A" w:rsidRDefault="000C76B6">
            <w:pPr>
              <w:jc w:val="right"/>
            </w:pPr>
            <w:r>
              <w:rPr>
                <w:rFonts w:eastAsiaTheme="minorEastAsia"/>
                <w:kern w:val="0"/>
                <w:sz w:val="24"/>
                <w:szCs w:val="24"/>
              </w:rPr>
              <w:t>494,040.00</w:t>
            </w:r>
          </w:p>
        </w:tc>
        <w:tc>
          <w:tcPr>
            <w:tcW w:w="1616" w:type="dxa"/>
            <w:vAlign w:val="center"/>
          </w:tcPr>
          <w:p w:rsidR="00A35C0A" w:rsidRDefault="000C76B6">
            <w:pPr>
              <w:jc w:val="right"/>
            </w:pPr>
            <w:r>
              <w:rPr>
                <w:rFonts w:eastAsiaTheme="minorEastAsia"/>
                <w:kern w:val="0"/>
                <w:sz w:val="24"/>
                <w:szCs w:val="24"/>
              </w:rPr>
              <w:t>2.05</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w:t>
            </w:r>
            <w:r w:rsidRPr="00FF6B9A">
              <w:rPr>
                <w:rFonts w:eastAsiaTheme="minorEastAsia"/>
                <w:color w:val="000000" w:themeColor="text1"/>
                <w:kern w:val="0"/>
              </w:rPr>
              <w:lastRenderedPageBreak/>
              <w:t>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13,911.56</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0.06</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13,911.56</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A35C0A">
        <w:tc>
          <w:tcPr>
            <w:tcW w:w="1252" w:type="dxa"/>
            <w:vAlign w:val="center"/>
          </w:tcPr>
          <w:p w:rsidR="00A35C0A" w:rsidRDefault="000C76B6">
            <w:pPr>
              <w:jc w:val="center"/>
            </w:pPr>
            <w:r>
              <w:rPr>
                <w:rFonts w:eastAsiaTheme="minorEastAsia"/>
                <w:color w:val="000000" w:themeColor="text1"/>
                <w:kern w:val="0"/>
              </w:rPr>
              <w:t>1</w:t>
            </w:r>
          </w:p>
        </w:tc>
        <w:tc>
          <w:tcPr>
            <w:tcW w:w="1310" w:type="dxa"/>
            <w:vAlign w:val="center"/>
          </w:tcPr>
          <w:p w:rsidR="00A35C0A" w:rsidRDefault="000C76B6">
            <w:pPr>
              <w:jc w:val="center"/>
            </w:pPr>
            <w:r>
              <w:rPr>
                <w:rFonts w:eastAsiaTheme="minorEastAsia"/>
                <w:color w:val="000000" w:themeColor="text1"/>
                <w:kern w:val="0"/>
              </w:rPr>
              <w:t>123107</w:t>
            </w:r>
          </w:p>
        </w:tc>
        <w:tc>
          <w:tcPr>
            <w:tcW w:w="1282" w:type="dxa"/>
            <w:vAlign w:val="center"/>
          </w:tcPr>
          <w:p w:rsidR="00A35C0A" w:rsidRDefault="000C76B6">
            <w:pPr>
              <w:jc w:val="center"/>
            </w:pPr>
            <w:r>
              <w:rPr>
                <w:rFonts w:eastAsiaTheme="minorEastAsia"/>
                <w:color w:val="000000" w:themeColor="text1"/>
                <w:kern w:val="0"/>
              </w:rPr>
              <w:t>温氏转债</w:t>
            </w:r>
          </w:p>
        </w:tc>
        <w:tc>
          <w:tcPr>
            <w:tcW w:w="1426" w:type="dxa"/>
            <w:vAlign w:val="center"/>
          </w:tcPr>
          <w:p w:rsidR="00A35C0A" w:rsidRDefault="000C76B6">
            <w:pPr>
              <w:jc w:val="right"/>
            </w:pPr>
            <w:r>
              <w:rPr>
                <w:rFonts w:eastAsiaTheme="minorEastAsia"/>
                <w:color w:val="000000" w:themeColor="text1"/>
                <w:kern w:val="0"/>
              </w:rPr>
              <w:t>79</w:t>
            </w:r>
          </w:p>
        </w:tc>
        <w:tc>
          <w:tcPr>
            <w:tcW w:w="1646" w:type="dxa"/>
            <w:vAlign w:val="center"/>
          </w:tcPr>
          <w:p w:rsidR="00A35C0A" w:rsidRDefault="000C76B6">
            <w:pPr>
              <w:jc w:val="right"/>
            </w:pPr>
            <w:r>
              <w:rPr>
                <w:rFonts w:eastAsiaTheme="minorEastAsia"/>
                <w:color w:val="000000" w:themeColor="text1"/>
                <w:kern w:val="0"/>
              </w:rPr>
              <w:t>8,914.36</w:t>
            </w:r>
          </w:p>
        </w:tc>
        <w:tc>
          <w:tcPr>
            <w:tcW w:w="1612" w:type="dxa"/>
            <w:vAlign w:val="center"/>
          </w:tcPr>
          <w:p w:rsidR="00A35C0A" w:rsidRDefault="000C76B6">
            <w:pPr>
              <w:jc w:val="right"/>
            </w:pPr>
            <w:r>
              <w:rPr>
                <w:rFonts w:eastAsiaTheme="minorEastAsia"/>
                <w:color w:val="000000" w:themeColor="text1"/>
                <w:kern w:val="0"/>
              </w:rPr>
              <w:t>0.04</w:t>
            </w:r>
          </w:p>
        </w:tc>
      </w:tr>
      <w:tr w:rsidR="00A35C0A">
        <w:tc>
          <w:tcPr>
            <w:tcW w:w="1252" w:type="dxa"/>
            <w:vAlign w:val="center"/>
          </w:tcPr>
          <w:p w:rsidR="00A35C0A" w:rsidRDefault="000C76B6">
            <w:pPr>
              <w:jc w:val="center"/>
            </w:pPr>
            <w:r>
              <w:rPr>
                <w:rFonts w:eastAsiaTheme="minorEastAsia"/>
                <w:color w:val="000000" w:themeColor="text1"/>
                <w:kern w:val="0"/>
              </w:rPr>
              <w:t>2</w:t>
            </w:r>
          </w:p>
        </w:tc>
        <w:tc>
          <w:tcPr>
            <w:tcW w:w="1310" w:type="dxa"/>
            <w:vAlign w:val="center"/>
          </w:tcPr>
          <w:p w:rsidR="00A35C0A" w:rsidRDefault="000C76B6">
            <w:pPr>
              <w:jc w:val="center"/>
            </w:pPr>
            <w:r>
              <w:rPr>
                <w:rFonts w:eastAsiaTheme="minorEastAsia"/>
                <w:color w:val="000000" w:themeColor="text1"/>
                <w:kern w:val="0"/>
              </w:rPr>
              <w:t>110079</w:t>
            </w:r>
          </w:p>
        </w:tc>
        <w:tc>
          <w:tcPr>
            <w:tcW w:w="1282" w:type="dxa"/>
            <w:vAlign w:val="center"/>
          </w:tcPr>
          <w:p w:rsidR="00A35C0A" w:rsidRDefault="000C76B6">
            <w:pPr>
              <w:jc w:val="center"/>
            </w:pPr>
            <w:r>
              <w:rPr>
                <w:rFonts w:eastAsiaTheme="minorEastAsia"/>
                <w:color w:val="000000" w:themeColor="text1"/>
                <w:kern w:val="0"/>
              </w:rPr>
              <w:t>杭银转债</w:t>
            </w:r>
          </w:p>
        </w:tc>
        <w:tc>
          <w:tcPr>
            <w:tcW w:w="1426" w:type="dxa"/>
            <w:vAlign w:val="center"/>
          </w:tcPr>
          <w:p w:rsidR="00A35C0A" w:rsidRDefault="000C76B6">
            <w:pPr>
              <w:jc w:val="right"/>
            </w:pPr>
            <w:r>
              <w:rPr>
                <w:rFonts w:eastAsiaTheme="minorEastAsia"/>
                <w:color w:val="000000" w:themeColor="text1"/>
                <w:kern w:val="0"/>
              </w:rPr>
              <w:t>40</w:t>
            </w:r>
          </w:p>
        </w:tc>
        <w:tc>
          <w:tcPr>
            <w:tcW w:w="1646" w:type="dxa"/>
            <w:vAlign w:val="center"/>
          </w:tcPr>
          <w:p w:rsidR="00A35C0A" w:rsidRDefault="000C76B6">
            <w:pPr>
              <w:jc w:val="right"/>
            </w:pPr>
            <w:r>
              <w:rPr>
                <w:rFonts w:eastAsiaTheme="minorEastAsia"/>
                <w:color w:val="000000" w:themeColor="text1"/>
                <w:kern w:val="0"/>
              </w:rPr>
              <w:t>4,997.20</w:t>
            </w:r>
          </w:p>
        </w:tc>
        <w:tc>
          <w:tcPr>
            <w:tcW w:w="1612" w:type="dxa"/>
            <w:vAlign w:val="center"/>
          </w:tcPr>
          <w:p w:rsidR="00A35C0A" w:rsidRDefault="000C76B6">
            <w:pPr>
              <w:jc w:val="right"/>
            </w:pPr>
            <w:r>
              <w:rPr>
                <w:rFonts w:eastAsiaTheme="minorEastAsia"/>
                <w:color w:val="000000" w:themeColor="text1"/>
                <w:kern w:val="0"/>
              </w:rPr>
              <w:t>0.02</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2,148.71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264.56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4,898.37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7,311.64</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tbl>
      <w:tblPr>
        <w:tblStyle w:val="aff4"/>
        <w:tblW w:w="8513" w:type="dxa"/>
        <w:tblInd w:w="15" w:type="dxa"/>
        <w:tblLayout w:type="fixed"/>
        <w:tblLook w:val="04A0" w:firstRow="1" w:lastRow="0" w:firstColumn="1" w:lastColumn="0" w:noHBand="0" w:noVBand="1"/>
      </w:tblPr>
      <w:tblGrid>
        <w:gridCol w:w="1083"/>
        <w:gridCol w:w="1302"/>
        <w:gridCol w:w="1301"/>
        <w:gridCol w:w="1805"/>
        <w:gridCol w:w="1655"/>
        <w:gridCol w:w="1367"/>
      </w:tblGrid>
      <w:tr w:rsidR="00D06738" w:rsidRPr="00FF6B9A">
        <w:tc>
          <w:tcPr>
            <w:tcW w:w="108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0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股票代码</w:t>
            </w:r>
          </w:p>
        </w:tc>
        <w:tc>
          <w:tcPr>
            <w:tcW w:w="130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股票名称</w:t>
            </w:r>
          </w:p>
        </w:tc>
        <w:tc>
          <w:tcPr>
            <w:tcW w:w="180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流通受限部分的公允价值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5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c>
          <w:tcPr>
            <w:tcW w:w="136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流通受限情况说明</w:t>
            </w:r>
          </w:p>
        </w:tc>
      </w:tr>
      <w:tr w:rsidR="00A35C0A">
        <w:tc>
          <w:tcPr>
            <w:tcW w:w="1083" w:type="dxa"/>
            <w:vAlign w:val="center"/>
          </w:tcPr>
          <w:p w:rsidR="00A35C0A" w:rsidRDefault="000C76B6">
            <w:pPr>
              <w:jc w:val="center"/>
            </w:pPr>
            <w:r>
              <w:rPr>
                <w:rFonts w:eastAsiaTheme="minorEastAsia"/>
                <w:color w:val="000000" w:themeColor="text1"/>
                <w:kern w:val="0"/>
              </w:rPr>
              <w:lastRenderedPageBreak/>
              <w:t>1</w:t>
            </w:r>
          </w:p>
        </w:tc>
        <w:tc>
          <w:tcPr>
            <w:tcW w:w="1302" w:type="dxa"/>
            <w:vAlign w:val="center"/>
          </w:tcPr>
          <w:p w:rsidR="00A35C0A" w:rsidRDefault="000C76B6">
            <w:pPr>
              <w:jc w:val="center"/>
            </w:pPr>
            <w:r>
              <w:rPr>
                <w:rFonts w:eastAsiaTheme="minorEastAsia"/>
                <w:color w:val="000000" w:themeColor="text1"/>
                <w:kern w:val="0"/>
              </w:rPr>
              <w:t>601728</w:t>
            </w:r>
          </w:p>
        </w:tc>
        <w:tc>
          <w:tcPr>
            <w:tcW w:w="1301" w:type="dxa"/>
            <w:vAlign w:val="center"/>
          </w:tcPr>
          <w:p w:rsidR="00A35C0A" w:rsidRDefault="000C76B6">
            <w:pPr>
              <w:jc w:val="center"/>
            </w:pPr>
            <w:r>
              <w:rPr>
                <w:rFonts w:eastAsiaTheme="minorEastAsia"/>
                <w:color w:val="000000" w:themeColor="text1"/>
                <w:kern w:val="0"/>
              </w:rPr>
              <w:t>中国电信</w:t>
            </w:r>
          </w:p>
        </w:tc>
        <w:tc>
          <w:tcPr>
            <w:tcW w:w="1805" w:type="dxa"/>
            <w:vAlign w:val="center"/>
          </w:tcPr>
          <w:p w:rsidR="00A35C0A" w:rsidRDefault="000C76B6">
            <w:pPr>
              <w:jc w:val="right"/>
            </w:pPr>
            <w:r>
              <w:rPr>
                <w:rFonts w:eastAsiaTheme="minorEastAsia"/>
                <w:color w:val="000000" w:themeColor="text1"/>
                <w:kern w:val="0"/>
              </w:rPr>
              <w:t>598,594.85</w:t>
            </w:r>
          </w:p>
        </w:tc>
        <w:tc>
          <w:tcPr>
            <w:tcW w:w="1655" w:type="dxa"/>
            <w:vAlign w:val="center"/>
          </w:tcPr>
          <w:p w:rsidR="00A35C0A" w:rsidRDefault="000C76B6">
            <w:pPr>
              <w:jc w:val="right"/>
            </w:pPr>
            <w:r>
              <w:rPr>
                <w:rFonts w:eastAsiaTheme="minorEastAsia"/>
                <w:color w:val="000000" w:themeColor="text1"/>
                <w:kern w:val="0"/>
              </w:rPr>
              <w:t>2.48</w:t>
            </w:r>
          </w:p>
        </w:tc>
        <w:tc>
          <w:tcPr>
            <w:tcW w:w="1367" w:type="dxa"/>
            <w:vAlign w:val="center"/>
          </w:tcPr>
          <w:p w:rsidR="00A35C0A" w:rsidRDefault="000C76B6">
            <w:pPr>
              <w:jc w:val="right"/>
            </w:pPr>
            <w:r>
              <w:rPr>
                <w:rFonts w:eastAsiaTheme="minorEastAsia"/>
                <w:color w:val="000000" w:themeColor="text1"/>
                <w:kern w:val="0"/>
              </w:rPr>
              <w:t>新股锁定期内</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17,907,551.93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847,827.63</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2,288,787.09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16,466,592.47</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、中国证监会准予上投摩根量化多因子灵活配置混合型证券投资基金募集注册的文件</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、《上投摩根量化多因子灵活配置混合型证券投资基金基金合同》</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、《上投摩根量化多因子灵活配置混合型证券投资基金托管协议》</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、法律意见书</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6</w:t>
      </w:r>
      <w:r>
        <w:rPr>
          <w:rFonts w:eastAsiaTheme="minorEastAsia"/>
          <w:color w:val="000000" w:themeColor="text1"/>
        </w:rPr>
        <w:t>、基金托管人业务资格批件、营业执照</w:t>
      </w:r>
    </w:p>
    <w:p w:rsidR="00A35C0A" w:rsidRDefault="000C76B6">
      <w:pPr>
        <w:spacing w:line="360" w:lineRule="auto"/>
        <w:ind w:firstLineChars="200" w:firstLine="420"/>
        <w:rPr>
          <w:rFonts w:eastAsiaTheme="minorEastAsia"/>
          <w:color w:val="000000" w:themeColor="text1"/>
        </w:rPr>
      </w:pPr>
      <w:r>
        <w:rPr>
          <w:rFonts w:eastAsiaTheme="minorEastAsia"/>
          <w:color w:val="000000" w:themeColor="text1"/>
        </w:rPr>
        <w:t>7</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8</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二〇二一年十月二十七日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0C76B6" w:rsidRPr="000C76B6">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0C76B6">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上投摩根量化多因子灵活配置混合型证券投资基金</w:t>
    </w:r>
    <w:r>
      <w:rPr>
        <w:rFonts w:hint="eastAsia"/>
      </w:rPr>
      <w:t>2021</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C76B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35C0A"/>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 w:type="paragraph" w:styleId="aff6">
    <w:name w:val="Revision"/>
    <w:hidden/>
    <w:uiPriority w:val="99"/>
    <w:semiHidden/>
    <w:rsid w:val="000C76B6"/>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FA30C-5581-4B44-A00D-B7756802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Chen,Richard</cp:lastModifiedBy>
  <cp:revision>268</cp:revision>
  <dcterms:created xsi:type="dcterms:W3CDTF">2012-10-16T06:07:00Z</dcterms:created>
  <dcterms:modified xsi:type="dcterms:W3CDTF">2021-10-26T03:09:00Z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