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上投摩根量化多因子灵活配置混合型证券投资基金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基金托管人：中国工商银行股份有限公司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基金托管人中国工商银行股份有限公司根据本基金合同规定，于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上投摩根量化多因子混合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2018</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19</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17,907,551.93</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采用量化投资对基金资产进行积极管理，力争获取超越业绩基准的投资收益。</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4936FE" w:rsidRDefault="00E72983">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进行个股选择，并结合适当的资产配置策略搭建基金投资组合。</w:t>
            </w:r>
          </w:p>
          <w:p w:rsidR="004936FE" w:rsidRDefault="00E72983">
            <w:pPr>
              <w:adjustRightInd w:val="0"/>
              <w:spacing w:before="29" w:line="360" w:lineRule="auto"/>
              <w:ind w:left="17"/>
              <w:rPr>
                <w:rFonts w:eastAsiaTheme="minorEastAsia"/>
                <w:color w:val="000000" w:themeColor="text1"/>
              </w:rPr>
            </w:pPr>
            <w:r>
              <w:rPr>
                <w:rFonts w:eastAsiaTheme="minorEastAsia"/>
                <w:color w:val="000000" w:themeColor="text1"/>
                <w:kern w:val="0"/>
              </w:rPr>
              <w:t>资产配置方面，本基金通过对宏观经济、国家政策、资金面和市场情绪等影响证券市场的等因素进行深入分析，确定基金资产在股票、债券及现金等类别资产间的分配比</w:t>
            </w:r>
            <w:r>
              <w:rPr>
                <w:rFonts w:eastAsiaTheme="minorEastAsia"/>
                <w:color w:val="000000" w:themeColor="text1"/>
                <w:kern w:val="0"/>
              </w:rPr>
              <w:lastRenderedPageBreak/>
              <w:t>例，并动态优化投资组合。</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在股票投资过程中，本基金将运用</w:t>
            </w:r>
            <w:r w:rsidRPr="00FF6B9A">
              <w:rPr>
                <w:rFonts w:eastAsiaTheme="minorEastAsia"/>
                <w:color w:val="000000" w:themeColor="text1"/>
                <w:kern w:val="0"/>
              </w:rPr>
              <w:t>“</w:t>
            </w:r>
            <w:r w:rsidRPr="00FF6B9A">
              <w:rPr>
                <w:rFonts w:eastAsiaTheme="minorEastAsia"/>
                <w:color w:val="000000" w:themeColor="text1"/>
                <w:kern w:val="0"/>
              </w:rPr>
              <w:t>量化多因子模型</w:t>
            </w:r>
            <w:r w:rsidRPr="00FF6B9A">
              <w:rPr>
                <w:rFonts w:eastAsiaTheme="minorEastAsia"/>
                <w:color w:val="000000" w:themeColor="text1"/>
                <w:kern w:val="0"/>
              </w:rPr>
              <w:t>”</w:t>
            </w:r>
            <w:r w:rsidRPr="00FF6B9A">
              <w:rPr>
                <w:rFonts w:eastAsiaTheme="minorEastAsia"/>
                <w:color w:val="000000" w:themeColor="text1"/>
                <w:kern w:val="0"/>
              </w:rPr>
              <w:t>选股构建股票投资组合的投资策略，对基金资产进行积极管理，力争获取超越业绩基准的投资收益。</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 xml:space="preserve">800 </w:t>
            </w:r>
            <w:r w:rsidRPr="00FF6B9A">
              <w:rPr>
                <w:rFonts w:eastAsiaTheme="minorEastAsia"/>
                <w:color w:val="000000" w:themeColor="text1"/>
                <w:kern w:val="0"/>
              </w:rPr>
              <w:t>指数收益率</w:t>
            </w:r>
            <w:r w:rsidRPr="00FF6B9A">
              <w:rPr>
                <w:rFonts w:eastAsiaTheme="minorEastAsia"/>
                <w:color w:val="000000" w:themeColor="text1"/>
                <w:kern w:val="0"/>
              </w:rPr>
              <w:t>×60%+</w:t>
            </w:r>
            <w:r w:rsidRPr="00FF6B9A">
              <w:rPr>
                <w:rFonts w:eastAsiaTheme="minorEastAsia"/>
                <w:color w:val="000000" w:themeColor="text1"/>
                <w:kern w:val="0"/>
              </w:rPr>
              <w:t>中债总指数收益率</w:t>
            </w:r>
            <w:r w:rsidRPr="00FF6B9A">
              <w:rPr>
                <w:rFonts w:eastAsiaTheme="minorEastAsia"/>
                <w:color w:val="000000" w:themeColor="text1"/>
                <w:kern w:val="0"/>
              </w:rPr>
              <w:t>×40%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4936FE" w:rsidRDefault="00E72983">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中国工商银行股份有限公司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72983" w:rsidRPr="00FF6B9A" w:rsidTr="00E72983">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E72983" w:rsidRPr="00FF6B9A" w:rsidTr="00E7298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-182,420.32</w:t>
            </w:r>
          </w:p>
        </w:tc>
      </w:tr>
      <w:tr w:rsidR="00E72983" w:rsidRPr="00FF6B9A" w:rsidTr="00E7298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1,509,935.24</w:t>
            </w:r>
          </w:p>
        </w:tc>
      </w:tr>
      <w:tr w:rsidR="00E72983" w:rsidRPr="00FF6B9A" w:rsidTr="00E7298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0.0814</w:t>
            </w:r>
          </w:p>
        </w:tc>
      </w:tr>
      <w:tr w:rsidR="00E72983" w:rsidRPr="00FF6B9A" w:rsidTr="00E7298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24,928,941.99</w:t>
            </w:r>
          </w:p>
        </w:tc>
      </w:tr>
      <w:tr w:rsidR="00E72983" w:rsidRPr="00FF6B9A" w:rsidTr="00E72983">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1.3921</w:t>
            </w:r>
          </w:p>
        </w:tc>
      </w:tr>
    </w:tbl>
    <w:p w:rsidR="004936FE" w:rsidRDefault="00E7298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w:t>
      </w:r>
      <w:r>
        <w:rPr>
          <w:rFonts w:eastAsiaTheme="minorEastAsia"/>
          <w:color w:val="000000" w:themeColor="text1"/>
        </w:rPr>
        <w:lastRenderedPageBreak/>
        <w:t>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4936FE">
        <w:tc>
          <w:tcPr>
            <w:tcW w:w="1395" w:type="dxa"/>
            <w:vAlign w:val="center"/>
          </w:tcPr>
          <w:p w:rsidR="004936FE" w:rsidRDefault="00E72983">
            <w:pPr>
              <w:jc w:val="left"/>
            </w:pPr>
            <w:r>
              <w:rPr>
                <w:rFonts w:eastAsiaTheme="minorEastAsia"/>
                <w:color w:val="000000" w:themeColor="text1"/>
                <w:kern w:val="0"/>
              </w:rPr>
              <w:t>过去三个月</w:t>
            </w:r>
          </w:p>
        </w:tc>
        <w:tc>
          <w:tcPr>
            <w:tcW w:w="1092" w:type="dxa"/>
            <w:vAlign w:val="center"/>
          </w:tcPr>
          <w:p w:rsidR="004936FE" w:rsidRDefault="00E72983">
            <w:pPr>
              <w:jc w:val="center"/>
            </w:pPr>
            <w:r>
              <w:rPr>
                <w:rFonts w:eastAsiaTheme="minorEastAsia"/>
                <w:color w:val="000000" w:themeColor="text1"/>
                <w:kern w:val="0"/>
              </w:rPr>
              <w:t>6.25%</w:t>
            </w:r>
          </w:p>
        </w:tc>
        <w:tc>
          <w:tcPr>
            <w:tcW w:w="1161" w:type="dxa"/>
            <w:vAlign w:val="center"/>
          </w:tcPr>
          <w:p w:rsidR="004936FE" w:rsidRDefault="00E72983">
            <w:pPr>
              <w:jc w:val="center"/>
            </w:pPr>
            <w:r>
              <w:rPr>
                <w:rFonts w:eastAsiaTheme="minorEastAsia"/>
                <w:color w:val="000000" w:themeColor="text1"/>
                <w:kern w:val="0"/>
              </w:rPr>
              <w:t>0.86%</w:t>
            </w:r>
          </w:p>
        </w:tc>
        <w:tc>
          <w:tcPr>
            <w:tcW w:w="1181" w:type="dxa"/>
            <w:vAlign w:val="center"/>
          </w:tcPr>
          <w:p w:rsidR="004936FE" w:rsidRDefault="00E72983">
            <w:pPr>
              <w:jc w:val="center"/>
            </w:pPr>
            <w:r>
              <w:rPr>
                <w:rFonts w:eastAsiaTheme="minorEastAsia"/>
                <w:color w:val="000000" w:themeColor="text1"/>
                <w:kern w:val="0"/>
              </w:rPr>
              <w:t>2.99%</w:t>
            </w:r>
          </w:p>
        </w:tc>
        <w:tc>
          <w:tcPr>
            <w:tcW w:w="1188" w:type="dxa"/>
            <w:vAlign w:val="center"/>
          </w:tcPr>
          <w:p w:rsidR="004936FE" w:rsidRDefault="00E72983">
            <w:pPr>
              <w:jc w:val="center"/>
            </w:pPr>
            <w:r>
              <w:rPr>
                <w:rFonts w:eastAsiaTheme="minorEastAsia"/>
                <w:color w:val="000000" w:themeColor="text1"/>
                <w:kern w:val="0"/>
              </w:rPr>
              <w:t>0.53%</w:t>
            </w:r>
          </w:p>
        </w:tc>
        <w:tc>
          <w:tcPr>
            <w:tcW w:w="1199" w:type="dxa"/>
            <w:vAlign w:val="center"/>
          </w:tcPr>
          <w:p w:rsidR="004936FE" w:rsidRDefault="00E72983">
            <w:pPr>
              <w:jc w:val="center"/>
            </w:pPr>
            <w:r>
              <w:rPr>
                <w:rFonts w:eastAsiaTheme="minorEastAsia"/>
                <w:color w:val="000000" w:themeColor="text1"/>
                <w:kern w:val="0"/>
              </w:rPr>
              <w:t>3.26%</w:t>
            </w:r>
          </w:p>
        </w:tc>
        <w:tc>
          <w:tcPr>
            <w:tcW w:w="1204" w:type="dxa"/>
            <w:vAlign w:val="center"/>
          </w:tcPr>
          <w:p w:rsidR="004936FE" w:rsidRDefault="00E72983">
            <w:pPr>
              <w:jc w:val="center"/>
            </w:pPr>
            <w:r>
              <w:rPr>
                <w:rFonts w:eastAsiaTheme="minorEastAsia"/>
                <w:color w:val="000000" w:themeColor="text1"/>
                <w:kern w:val="0"/>
              </w:rPr>
              <w:t>0.33%</w:t>
            </w:r>
          </w:p>
        </w:tc>
      </w:tr>
      <w:tr w:rsidR="004936FE">
        <w:tc>
          <w:tcPr>
            <w:tcW w:w="1395" w:type="dxa"/>
            <w:vAlign w:val="center"/>
          </w:tcPr>
          <w:p w:rsidR="004936FE" w:rsidRDefault="00E72983">
            <w:pPr>
              <w:jc w:val="left"/>
            </w:pPr>
            <w:r>
              <w:rPr>
                <w:rFonts w:eastAsiaTheme="minorEastAsia"/>
                <w:color w:val="000000" w:themeColor="text1"/>
                <w:kern w:val="0"/>
              </w:rPr>
              <w:t>过去六个月</w:t>
            </w:r>
          </w:p>
        </w:tc>
        <w:tc>
          <w:tcPr>
            <w:tcW w:w="1092" w:type="dxa"/>
            <w:vAlign w:val="center"/>
          </w:tcPr>
          <w:p w:rsidR="004936FE" w:rsidRDefault="00E72983">
            <w:pPr>
              <w:jc w:val="center"/>
            </w:pPr>
            <w:r>
              <w:rPr>
                <w:rFonts w:eastAsiaTheme="minorEastAsia"/>
                <w:color w:val="000000" w:themeColor="text1"/>
                <w:kern w:val="0"/>
              </w:rPr>
              <w:t>2.89%</w:t>
            </w:r>
          </w:p>
        </w:tc>
        <w:tc>
          <w:tcPr>
            <w:tcW w:w="1161" w:type="dxa"/>
            <w:vAlign w:val="center"/>
          </w:tcPr>
          <w:p w:rsidR="004936FE" w:rsidRDefault="00E72983">
            <w:pPr>
              <w:jc w:val="center"/>
            </w:pPr>
            <w:r>
              <w:rPr>
                <w:rFonts w:eastAsiaTheme="minorEastAsia"/>
                <w:color w:val="000000" w:themeColor="text1"/>
                <w:kern w:val="0"/>
              </w:rPr>
              <w:t>1.14%</w:t>
            </w:r>
          </w:p>
        </w:tc>
        <w:tc>
          <w:tcPr>
            <w:tcW w:w="1181" w:type="dxa"/>
            <w:vAlign w:val="center"/>
          </w:tcPr>
          <w:p w:rsidR="004936FE" w:rsidRDefault="00E72983">
            <w:pPr>
              <w:jc w:val="center"/>
            </w:pPr>
            <w:r>
              <w:rPr>
                <w:rFonts w:eastAsiaTheme="minorEastAsia"/>
                <w:color w:val="000000" w:themeColor="text1"/>
                <w:kern w:val="0"/>
              </w:rPr>
              <w:t>1.13%</w:t>
            </w:r>
          </w:p>
        </w:tc>
        <w:tc>
          <w:tcPr>
            <w:tcW w:w="1188" w:type="dxa"/>
            <w:vAlign w:val="center"/>
          </w:tcPr>
          <w:p w:rsidR="004936FE" w:rsidRDefault="00E72983">
            <w:pPr>
              <w:jc w:val="center"/>
            </w:pPr>
            <w:r>
              <w:rPr>
                <w:rFonts w:eastAsiaTheme="minorEastAsia"/>
                <w:color w:val="000000" w:themeColor="text1"/>
                <w:kern w:val="0"/>
              </w:rPr>
              <w:t>0.73%</w:t>
            </w:r>
          </w:p>
        </w:tc>
        <w:tc>
          <w:tcPr>
            <w:tcW w:w="1199" w:type="dxa"/>
            <w:vAlign w:val="center"/>
          </w:tcPr>
          <w:p w:rsidR="004936FE" w:rsidRDefault="00E72983">
            <w:pPr>
              <w:jc w:val="center"/>
            </w:pPr>
            <w:r>
              <w:rPr>
                <w:rFonts w:eastAsiaTheme="minorEastAsia"/>
                <w:color w:val="000000" w:themeColor="text1"/>
                <w:kern w:val="0"/>
              </w:rPr>
              <w:t>1.76%</w:t>
            </w:r>
          </w:p>
        </w:tc>
        <w:tc>
          <w:tcPr>
            <w:tcW w:w="1204" w:type="dxa"/>
            <w:vAlign w:val="center"/>
          </w:tcPr>
          <w:p w:rsidR="004936FE" w:rsidRDefault="00E72983">
            <w:pPr>
              <w:jc w:val="center"/>
            </w:pPr>
            <w:r>
              <w:rPr>
                <w:rFonts w:eastAsiaTheme="minorEastAsia"/>
                <w:color w:val="000000" w:themeColor="text1"/>
                <w:kern w:val="0"/>
              </w:rPr>
              <w:t>0.41%</w:t>
            </w:r>
          </w:p>
        </w:tc>
      </w:tr>
      <w:tr w:rsidR="004936FE">
        <w:tc>
          <w:tcPr>
            <w:tcW w:w="1395" w:type="dxa"/>
            <w:vAlign w:val="center"/>
          </w:tcPr>
          <w:p w:rsidR="004936FE" w:rsidRDefault="00E72983">
            <w:pPr>
              <w:jc w:val="left"/>
            </w:pPr>
            <w:r>
              <w:rPr>
                <w:rFonts w:eastAsiaTheme="minorEastAsia"/>
                <w:color w:val="000000" w:themeColor="text1"/>
                <w:kern w:val="0"/>
              </w:rPr>
              <w:t>过去一年</w:t>
            </w:r>
          </w:p>
        </w:tc>
        <w:tc>
          <w:tcPr>
            <w:tcW w:w="1092" w:type="dxa"/>
            <w:vAlign w:val="center"/>
          </w:tcPr>
          <w:p w:rsidR="004936FE" w:rsidRDefault="00E72983">
            <w:pPr>
              <w:jc w:val="center"/>
            </w:pPr>
            <w:r>
              <w:rPr>
                <w:rFonts w:eastAsiaTheme="minorEastAsia"/>
                <w:color w:val="000000" w:themeColor="text1"/>
                <w:kern w:val="0"/>
              </w:rPr>
              <w:t>11.70%</w:t>
            </w:r>
          </w:p>
        </w:tc>
        <w:tc>
          <w:tcPr>
            <w:tcW w:w="1161" w:type="dxa"/>
            <w:vAlign w:val="center"/>
          </w:tcPr>
          <w:p w:rsidR="004936FE" w:rsidRDefault="00E72983">
            <w:pPr>
              <w:jc w:val="center"/>
            </w:pPr>
            <w:r>
              <w:rPr>
                <w:rFonts w:eastAsiaTheme="minorEastAsia"/>
                <w:color w:val="000000" w:themeColor="text1"/>
                <w:kern w:val="0"/>
              </w:rPr>
              <w:t>1.24%</w:t>
            </w:r>
          </w:p>
        </w:tc>
        <w:tc>
          <w:tcPr>
            <w:tcW w:w="1181" w:type="dxa"/>
            <w:vAlign w:val="center"/>
          </w:tcPr>
          <w:p w:rsidR="004936FE" w:rsidRDefault="00E72983">
            <w:pPr>
              <w:jc w:val="center"/>
            </w:pPr>
            <w:r>
              <w:rPr>
                <w:rFonts w:eastAsiaTheme="minorEastAsia"/>
                <w:color w:val="000000" w:themeColor="text1"/>
                <w:kern w:val="0"/>
              </w:rPr>
              <w:t>13.56%</w:t>
            </w:r>
          </w:p>
        </w:tc>
        <w:tc>
          <w:tcPr>
            <w:tcW w:w="1188" w:type="dxa"/>
            <w:vAlign w:val="center"/>
          </w:tcPr>
          <w:p w:rsidR="004936FE" w:rsidRDefault="00E72983">
            <w:pPr>
              <w:jc w:val="center"/>
            </w:pPr>
            <w:r>
              <w:rPr>
                <w:rFonts w:eastAsiaTheme="minorEastAsia"/>
                <w:color w:val="000000" w:themeColor="text1"/>
                <w:kern w:val="0"/>
              </w:rPr>
              <w:t>0.76%</w:t>
            </w:r>
          </w:p>
        </w:tc>
        <w:tc>
          <w:tcPr>
            <w:tcW w:w="1199" w:type="dxa"/>
            <w:vAlign w:val="center"/>
          </w:tcPr>
          <w:p w:rsidR="004936FE" w:rsidRDefault="00E72983">
            <w:pPr>
              <w:jc w:val="center"/>
            </w:pPr>
            <w:r>
              <w:rPr>
                <w:rFonts w:eastAsiaTheme="minorEastAsia"/>
                <w:color w:val="000000" w:themeColor="text1"/>
                <w:kern w:val="0"/>
              </w:rPr>
              <w:t>-1.86%</w:t>
            </w:r>
          </w:p>
        </w:tc>
        <w:tc>
          <w:tcPr>
            <w:tcW w:w="1204" w:type="dxa"/>
            <w:vAlign w:val="center"/>
          </w:tcPr>
          <w:p w:rsidR="004936FE" w:rsidRDefault="00E72983">
            <w:pPr>
              <w:jc w:val="center"/>
            </w:pPr>
            <w:r>
              <w:rPr>
                <w:rFonts w:eastAsiaTheme="minorEastAsia"/>
                <w:color w:val="000000" w:themeColor="text1"/>
                <w:kern w:val="0"/>
              </w:rPr>
              <w:t>0.48%</w:t>
            </w:r>
          </w:p>
        </w:tc>
      </w:tr>
      <w:tr w:rsidR="004936FE">
        <w:tc>
          <w:tcPr>
            <w:tcW w:w="1395" w:type="dxa"/>
            <w:vAlign w:val="center"/>
          </w:tcPr>
          <w:p w:rsidR="004936FE" w:rsidRDefault="00E72983">
            <w:pPr>
              <w:jc w:val="left"/>
            </w:pPr>
            <w:r>
              <w:rPr>
                <w:rFonts w:eastAsiaTheme="minorEastAsia"/>
                <w:color w:val="000000" w:themeColor="text1"/>
                <w:kern w:val="0"/>
              </w:rPr>
              <w:t>过去三年</w:t>
            </w:r>
          </w:p>
        </w:tc>
        <w:tc>
          <w:tcPr>
            <w:tcW w:w="1092" w:type="dxa"/>
            <w:vAlign w:val="center"/>
          </w:tcPr>
          <w:p w:rsidR="004936FE" w:rsidRDefault="00E72983">
            <w:pPr>
              <w:jc w:val="center"/>
            </w:pPr>
            <w:r>
              <w:rPr>
                <w:rFonts w:eastAsiaTheme="minorEastAsia"/>
                <w:color w:val="000000" w:themeColor="text1"/>
                <w:kern w:val="0"/>
              </w:rPr>
              <w:t>50.24%</w:t>
            </w:r>
          </w:p>
        </w:tc>
        <w:tc>
          <w:tcPr>
            <w:tcW w:w="1161" w:type="dxa"/>
            <w:vAlign w:val="center"/>
          </w:tcPr>
          <w:p w:rsidR="004936FE" w:rsidRDefault="00E72983">
            <w:pPr>
              <w:jc w:val="center"/>
            </w:pPr>
            <w:r>
              <w:rPr>
                <w:rFonts w:eastAsiaTheme="minorEastAsia"/>
                <w:color w:val="000000" w:themeColor="text1"/>
                <w:kern w:val="0"/>
              </w:rPr>
              <w:t>1.29%</w:t>
            </w:r>
          </w:p>
        </w:tc>
        <w:tc>
          <w:tcPr>
            <w:tcW w:w="1181" w:type="dxa"/>
            <w:vAlign w:val="center"/>
          </w:tcPr>
          <w:p w:rsidR="004936FE" w:rsidRDefault="00E72983">
            <w:pPr>
              <w:jc w:val="center"/>
            </w:pPr>
            <w:r>
              <w:rPr>
                <w:rFonts w:eastAsiaTheme="minorEastAsia"/>
                <w:color w:val="000000" w:themeColor="text1"/>
                <w:kern w:val="0"/>
              </w:rPr>
              <w:t>28.24%</w:t>
            </w:r>
          </w:p>
        </w:tc>
        <w:tc>
          <w:tcPr>
            <w:tcW w:w="1188" w:type="dxa"/>
            <w:vAlign w:val="center"/>
          </w:tcPr>
          <w:p w:rsidR="004936FE" w:rsidRDefault="00E72983">
            <w:pPr>
              <w:jc w:val="center"/>
            </w:pPr>
            <w:r>
              <w:rPr>
                <w:rFonts w:eastAsiaTheme="minorEastAsia"/>
                <w:color w:val="000000" w:themeColor="text1"/>
                <w:kern w:val="0"/>
              </w:rPr>
              <w:t>0.81%</w:t>
            </w:r>
          </w:p>
        </w:tc>
        <w:tc>
          <w:tcPr>
            <w:tcW w:w="1199" w:type="dxa"/>
            <w:vAlign w:val="center"/>
          </w:tcPr>
          <w:p w:rsidR="004936FE" w:rsidRDefault="00E72983">
            <w:pPr>
              <w:jc w:val="center"/>
            </w:pPr>
            <w:r>
              <w:rPr>
                <w:rFonts w:eastAsiaTheme="minorEastAsia"/>
                <w:color w:val="000000" w:themeColor="text1"/>
                <w:kern w:val="0"/>
              </w:rPr>
              <w:t>22.00%</w:t>
            </w:r>
          </w:p>
        </w:tc>
        <w:tc>
          <w:tcPr>
            <w:tcW w:w="1204" w:type="dxa"/>
            <w:vAlign w:val="center"/>
          </w:tcPr>
          <w:p w:rsidR="004936FE" w:rsidRDefault="00E72983">
            <w:pPr>
              <w:jc w:val="center"/>
            </w:pPr>
            <w:r>
              <w:rPr>
                <w:rFonts w:eastAsiaTheme="minorEastAsia"/>
                <w:color w:val="000000" w:themeColor="text1"/>
                <w:kern w:val="0"/>
              </w:rPr>
              <w:t>0.48%</w:t>
            </w:r>
          </w:p>
        </w:tc>
      </w:tr>
      <w:tr w:rsidR="004936FE">
        <w:tc>
          <w:tcPr>
            <w:tcW w:w="1395" w:type="dxa"/>
            <w:vAlign w:val="center"/>
          </w:tcPr>
          <w:p w:rsidR="004936FE" w:rsidRDefault="00E72983">
            <w:pPr>
              <w:jc w:val="left"/>
            </w:pPr>
            <w:r>
              <w:rPr>
                <w:rFonts w:eastAsiaTheme="minorEastAsia"/>
                <w:color w:val="000000" w:themeColor="text1"/>
                <w:kern w:val="0"/>
              </w:rPr>
              <w:t>过去五年</w:t>
            </w:r>
          </w:p>
        </w:tc>
        <w:tc>
          <w:tcPr>
            <w:tcW w:w="1092" w:type="dxa"/>
            <w:vAlign w:val="center"/>
          </w:tcPr>
          <w:p w:rsidR="004936FE" w:rsidRDefault="00E72983">
            <w:pPr>
              <w:jc w:val="center"/>
            </w:pPr>
            <w:r>
              <w:rPr>
                <w:rFonts w:eastAsiaTheme="minorEastAsia"/>
                <w:color w:val="000000" w:themeColor="text1"/>
                <w:kern w:val="0"/>
              </w:rPr>
              <w:t>-</w:t>
            </w:r>
          </w:p>
        </w:tc>
        <w:tc>
          <w:tcPr>
            <w:tcW w:w="1161" w:type="dxa"/>
            <w:vAlign w:val="center"/>
          </w:tcPr>
          <w:p w:rsidR="004936FE" w:rsidRDefault="00E72983">
            <w:pPr>
              <w:jc w:val="center"/>
            </w:pPr>
            <w:r>
              <w:rPr>
                <w:rFonts w:eastAsiaTheme="minorEastAsia"/>
                <w:color w:val="000000" w:themeColor="text1"/>
                <w:kern w:val="0"/>
              </w:rPr>
              <w:t>-</w:t>
            </w:r>
          </w:p>
        </w:tc>
        <w:tc>
          <w:tcPr>
            <w:tcW w:w="1181" w:type="dxa"/>
            <w:vAlign w:val="center"/>
          </w:tcPr>
          <w:p w:rsidR="004936FE" w:rsidRDefault="00E72983">
            <w:pPr>
              <w:jc w:val="center"/>
            </w:pPr>
            <w:r>
              <w:rPr>
                <w:rFonts w:eastAsiaTheme="minorEastAsia"/>
                <w:color w:val="000000" w:themeColor="text1"/>
                <w:kern w:val="0"/>
              </w:rPr>
              <w:t>-</w:t>
            </w:r>
          </w:p>
        </w:tc>
        <w:tc>
          <w:tcPr>
            <w:tcW w:w="1188" w:type="dxa"/>
            <w:vAlign w:val="center"/>
          </w:tcPr>
          <w:p w:rsidR="004936FE" w:rsidRDefault="00E72983">
            <w:pPr>
              <w:jc w:val="center"/>
            </w:pPr>
            <w:r>
              <w:rPr>
                <w:rFonts w:eastAsiaTheme="minorEastAsia"/>
                <w:color w:val="000000" w:themeColor="text1"/>
                <w:kern w:val="0"/>
              </w:rPr>
              <w:t>-</w:t>
            </w:r>
          </w:p>
        </w:tc>
        <w:tc>
          <w:tcPr>
            <w:tcW w:w="1199" w:type="dxa"/>
            <w:vAlign w:val="center"/>
          </w:tcPr>
          <w:p w:rsidR="004936FE" w:rsidRDefault="00E72983">
            <w:pPr>
              <w:jc w:val="center"/>
            </w:pPr>
            <w:r>
              <w:rPr>
                <w:rFonts w:eastAsiaTheme="minorEastAsia"/>
                <w:color w:val="000000" w:themeColor="text1"/>
                <w:kern w:val="0"/>
              </w:rPr>
              <w:t>-</w:t>
            </w:r>
          </w:p>
        </w:tc>
        <w:tc>
          <w:tcPr>
            <w:tcW w:w="1204" w:type="dxa"/>
            <w:vAlign w:val="center"/>
          </w:tcPr>
          <w:p w:rsidR="004936FE" w:rsidRDefault="00E72983">
            <w:pPr>
              <w:jc w:val="center"/>
            </w:pPr>
            <w:r>
              <w:rPr>
                <w:rFonts w:eastAsiaTheme="minorEastAsia"/>
                <w:color w:val="000000" w:themeColor="text1"/>
                <w:kern w:val="0"/>
              </w:rPr>
              <w:t>-</w:t>
            </w:r>
          </w:p>
        </w:tc>
      </w:tr>
      <w:tr w:rsidR="004936FE">
        <w:tc>
          <w:tcPr>
            <w:tcW w:w="1395" w:type="dxa"/>
            <w:vAlign w:val="center"/>
          </w:tcPr>
          <w:p w:rsidR="004936FE" w:rsidRDefault="00E72983">
            <w:pPr>
              <w:jc w:val="left"/>
            </w:pPr>
            <w:r>
              <w:rPr>
                <w:rFonts w:eastAsiaTheme="minorEastAsia"/>
                <w:color w:val="000000" w:themeColor="text1"/>
                <w:kern w:val="0"/>
              </w:rPr>
              <w:t>自基金合同生效起至今</w:t>
            </w:r>
          </w:p>
        </w:tc>
        <w:tc>
          <w:tcPr>
            <w:tcW w:w="1092" w:type="dxa"/>
            <w:vAlign w:val="center"/>
          </w:tcPr>
          <w:p w:rsidR="004936FE" w:rsidRDefault="00E72983">
            <w:pPr>
              <w:jc w:val="center"/>
            </w:pPr>
            <w:r>
              <w:rPr>
                <w:rFonts w:eastAsiaTheme="minorEastAsia"/>
                <w:color w:val="000000" w:themeColor="text1"/>
                <w:kern w:val="0"/>
              </w:rPr>
              <w:t>39.21%</w:t>
            </w:r>
          </w:p>
        </w:tc>
        <w:tc>
          <w:tcPr>
            <w:tcW w:w="1161" w:type="dxa"/>
            <w:vAlign w:val="center"/>
          </w:tcPr>
          <w:p w:rsidR="004936FE" w:rsidRDefault="00E72983">
            <w:pPr>
              <w:jc w:val="center"/>
            </w:pPr>
            <w:r>
              <w:rPr>
                <w:rFonts w:eastAsiaTheme="minorEastAsia"/>
                <w:color w:val="000000" w:themeColor="text1"/>
                <w:kern w:val="0"/>
              </w:rPr>
              <w:t>1.26%</w:t>
            </w:r>
          </w:p>
        </w:tc>
        <w:tc>
          <w:tcPr>
            <w:tcW w:w="1181" w:type="dxa"/>
            <w:vAlign w:val="center"/>
          </w:tcPr>
          <w:p w:rsidR="004936FE" w:rsidRDefault="00E72983">
            <w:pPr>
              <w:jc w:val="center"/>
            </w:pPr>
            <w:r>
              <w:rPr>
                <w:rFonts w:eastAsiaTheme="minorEastAsia"/>
                <w:color w:val="000000" w:themeColor="text1"/>
                <w:kern w:val="0"/>
              </w:rPr>
              <w:t>14.43%</w:t>
            </w:r>
          </w:p>
        </w:tc>
        <w:tc>
          <w:tcPr>
            <w:tcW w:w="1188" w:type="dxa"/>
            <w:vAlign w:val="center"/>
          </w:tcPr>
          <w:p w:rsidR="004936FE" w:rsidRDefault="00E72983">
            <w:pPr>
              <w:jc w:val="center"/>
            </w:pPr>
            <w:r>
              <w:rPr>
                <w:rFonts w:eastAsiaTheme="minorEastAsia"/>
                <w:color w:val="000000" w:themeColor="text1"/>
                <w:kern w:val="0"/>
              </w:rPr>
              <w:t>0.80%</w:t>
            </w:r>
          </w:p>
        </w:tc>
        <w:tc>
          <w:tcPr>
            <w:tcW w:w="1199" w:type="dxa"/>
            <w:vAlign w:val="center"/>
          </w:tcPr>
          <w:p w:rsidR="004936FE" w:rsidRDefault="00E72983">
            <w:pPr>
              <w:jc w:val="center"/>
            </w:pPr>
            <w:r>
              <w:rPr>
                <w:rFonts w:eastAsiaTheme="minorEastAsia"/>
                <w:color w:val="000000" w:themeColor="text1"/>
                <w:kern w:val="0"/>
              </w:rPr>
              <w:t>24.78%</w:t>
            </w:r>
          </w:p>
        </w:tc>
        <w:tc>
          <w:tcPr>
            <w:tcW w:w="1204" w:type="dxa"/>
            <w:vAlign w:val="center"/>
          </w:tcPr>
          <w:p w:rsidR="004936FE" w:rsidRDefault="00E72983">
            <w:pPr>
              <w:jc w:val="center"/>
            </w:pPr>
            <w:r>
              <w:rPr>
                <w:rFonts w:eastAsiaTheme="minorEastAsia"/>
                <w:color w:val="000000" w:themeColor="text1"/>
                <w:kern w:val="0"/>
              </w:rPr>
              <w:t>0.46%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上投摩根量化多因子灵活配置混合型证券投资基金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19</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936FE" w:rsidRDefault="00E7298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4936FE">
        <w:tc>
          <w:tcPr>
            <w:tcW w:w="851" w:type="dxa"/>
            <w:vAlign w:val="center"/>
          </w:tcPr>
          <w:p w:rsidR="004936FE" w:rsidRDefault="00E72983">
            <w:pPr>
              <w:jc w:val="center"/>
            </w:pPr>
            <w:r>
              <w:rPr>
                <w:rFonts w:eastAsiaTheme="minorEastAsia"/>
                <w:color w:val="000000" w:themeColor="text1"/>
              </w:rPr>
              <w:t>胡迪</w:t>
            </w:r>
          </w:p>
        </w:tc>
        <w:tc>
          <w:tcPr>
            <w:tcW w:w="850" w:type="dxa"/>
            <w:vAlign w:val="center"/>
          </w:tcPr>
          <w:p w:rsidR="004936FE" w:rsidRDefault="00E72983">
            <w:pPr>
              <w:jc w:val="center"/>
            </w:pPr>
            <w:r>
              <w:rPr>
                <w:rFonts w:eastAsiaTheme="minorEastAsia"/>
                <w:color w:val="000000" w:themeColor="text1"/>
              </w:rPr>
              <w:t>本基金基金经理、指数及量化投资部总监</w:t>
            </w:r>
          </w:p>
        </w:tc>
        <w:tc>
          <w:tcPr>
            <w:tcW w:w="1560" w:type="dxa"/>
            <w:vAlign w:val="center"/>
          </w:tcPr>
          <w:p w:rsidR="004936FE" w:rsidRDefault="00E72983">
            <w:pPr>
              <w:jc w:val="center"/>
            </w:pPr>
            <w:r>
              <w:rPr>
                <w:rFonts w:eastAsiaTheme="minorEastAsia"/>
                <w:color w:val="000000" w:themeColor="text1"/>
              </w:rPr>
              <w:t>2021-01-07</w:t>
            </w:r>
          </w:p>
        </w:tc>
        <w:tc>
          <w:tcPr>
            <w:tcW w:w="1559" w:type="dxa"/>
            <w:vAlign w:val="center"/>
          </w:tcPr>
          <w:p w:rsidR="004936FE" w:rsidRDefault="00E72983">
            <w:pPr>
              <w:jc w:val="center"/>
            </w:pPr>
            <w:r>
              <w:rPr>
                <w:rFonts w:eastAsiaTheme="minorEastAsia"/>
                <w:color w:val="000000" w:themeColor="text1"/>
              </w:rPr>
              <w:t>-</w:t>
            </w:r>
          </w:p>
        </w:tc>
        <w:tc>
          <w:tcPr>
            <w:tcW w:w="1417" w:type="dxa"/>
            <w:vAlign w:val="center"/>
          </w:tcPr>
          <w:p w:rsidR="004936FE" w:rsidRDefault="00E72983">
            <w:pPr>
              <w:jc w:val="center"/>
            </w:pPr>
            <w:r>
              <w:rPr>
                <w:rFonts w:eastAsiaTheme="minorEastAsia"/>
                <w:color w:val="000000" w:themeColor="text1"/>
              </w:rPr>
              <w:t>13</w:t>
            </w:r>
            <w:r>
              <w:rPr>
                <w:rFonts w:eastAsiaTheme="minorEastAsia"/>
                <w:color w:val="000000" w:themeColor="text1"/>
              </w:rPr>
              <w:t>年</w:t>
            </w:r>
          </w:p>
        </w:tc>
        <w:tc>
          <w:tcPr>
            <w:tcW w:w="2694" w:type="dxa"/>
            <w:vAlign w:val="center"/>
          </w:tcPr>
          <w:p w:rsidR="004936FE" w:rsidRDefault="00E72983">
            <w:r>
              <w:rPr>
                <w:rFonts w:eastAsiaTheme="minorEastAsia"/>
                <w:color w:val="000000" w:themeColor="text1"/>
              </w:rPr>
              <w:t>胡迪女士，</w:t>
            </w:r>
            <w:r>
              <w:rPr>
                <w:rFonts w:eastAsiaTheme="minorEastAsia"/>
                <w:color w:val="000000" w:themeColor="text1"/>
              </w:rPr>
              <w:t>CFA</w:t>
            </w:r>
            <w:r>
              <w:rPr>
                <w:rFonts w:eastAsiaTheme="minorEastAsia"/>
                <w:color w:val="000000" w:themeColor="text1"/>
              </w:rPr>
              <w:t>，</w:t>
            </w:r>
            <w:r>
              <w:rPr>
                <w:rFonts w:eastAsiaTheme="minorEastAsia"/>
                <w:color w:val="000000" w:themeColor="text1"/>
              </w:rPr>
              <w:t>FRM</w:t>
            </w:r>
            <w:r>
              <w:rPr>
                <w:rFonts w:eastAsiaTheme="minorEastAsia"/>
                <w:color w:val="000000" w:themeColor="text1"/>
              </w:rPr>
              <w:t>，美国哥伦比亚大学金融工程硕士，现任指数及量化投资部总监。胡迪女士自</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月在纽约美林证券担任全球资产管理部高级经理；自</w:t>
            </w:r>
            <w:r>
              <w:rPr>
                <w:rFonts w:eastAsiaTheme="minorEastAsia"/>
                <w:color w:val="000000" w:themeColor="text1"/>
              </w:rPr>
              <w:t>2010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月在纽约标准普尔担任量化投资主管；自</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月在中国国际金融股份有限公司担任资产管理部执行总经理；自</w:t>
            </w:r>
            <w:r>
              <w:rPr>
                <w:rFonts w:eastAsiaTheme="minorEastAsia"/>
                <w:color w:val="000000" w:themeColor="text1"/>
              </w:rPr>
              <w:t>2020</w:t>
            </w:r>
            <w:r>
              <w:rPr>
                <w:rFonts w:eastAsiaTheme="minorEastAsia"/>
                <w:color w:val="000000" w:themeColor="text1"/>
              </w:rPr>
              <w:lastRenderedPageBreak/>
              <w:t>年</w:t>
            </w:r>
            <w:r>
              <w:rPr>
                <w:rFonts w:eastAsiaTheme="minorEastAsia"/>
                <w:color w:val="000000" w:themeColor="text1"/>
              </w:rPr>
              <w:t>5</w:t>
            </w:r>
            <w:r>
              <w:rPr>
                <w:rFonts w:eastAsiaTheme="minorEastAsia"/>
                <w:color w:val="000000" w:themeColor="text1"/>
              </w:rPr>
              <w:t>月加入上投摩根基金管理有限公司，现任指数及量化投资部总监，自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月起同时担任上投摩根量化多因子灵活配置混合型证券投资基金、上投摩根优选多因子股票型证券投资基金、上投摩根动态</w:t>
            </w:r>
            <w:r>
              <w:rPr>
                <w:rFonts w:eastAsiaTheme="minorEastAsia"/>
                <w:color w:val="000000" w:themeColor="text1"/>
              </w:rPr>
              <w:t>多因子策略灵活配置混合型证券投资基金、上投摩根中证消费服务领先指数证券投资基金、上投摩根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股交易型开放式指数证券投资基金联接基金、上投摩根标普港股通低波红利指数型证券投资基金基金经理。</w:t>
            </w:r>
          </w:p>
        </w:tc>
      </w:tr>
      <w:tr w:rsidR="004936FE">
        <w:tc>
          <w:tcPr>
            <w:tcW w:w="851" w:type="dxa"/>
            <w:vAlign w:val="center"/>
          </w:tcPr>
          <w:p w:rsidR="004936FE" w:rsidRDefault="00E72983">
            <w:pPr>
              <w:jc w:val="center"/>
            </w:pPr>
            <w:r>
              <w:rPr>
                <w:rFonts w:eastAsiaTheme="minorEastAsia"/>
                <w:color w:val="000000" w:themeColor="text1"/>
              </w:rPr>
              <w:lastRenderedPageBreak/>
              <w:t>何智豪</w:t>
            </w:r>
          </w:p>
        </w:tc>
        <w:tc>
          <w:tcPr>
            <w:tcW w:w="850" w:type="dxa"/>
            <w:vAlign w:val="center"/>
          </w:tcPr>
          <w:p w:rsidR="004936FE" w:rsidRDefault="00E72983">
            <w:pPr>
              <w:jc w:val="center"/>
            </w:pPr>
            <w:r>
              <w:rPr>
                <w:rFonts w:eastAsiaTheme="minorEastAsia"/>
                <w:color w:val="000000" w:themeColor="text1"/>
              </w:rPr>
              <w:t>本基金基金经理</w:t>
            </w:r>
          </w:p>
        </w:tc>
        <w:tc>
          <w:tcPr>
            <w:tcW w:w="1560" w:type="dxa"/>
            <w:vAlign w:val="center"/>
          </w:tcPr>
          <w:p w:rsidR="004936FE" w:rsidRDefault="00E72983">
            <w:pPr>
              <w:jc w:val="center"/>
            </w:pPr>
            <w:r>
              <w:rPr>
                <w:rFonts w:eastAsiaTheme="minorEastAsia"/>
                <w:color w:val="000000" w:themeColor="text1"/>
              </w:rPr>
              <w:t>2021-02-05</w:t>
            </w:r>
          </w:p>
        </w:tc>
        <w:tc>
          <w:tcPr>
            <w:tcW w:w="1559" w:type="dxa"/>
            <w:vAlign w:val="center"/>
          </w:tcPr>
          <w:p w:rsidR="004936FE" w:rsidRDefault="00E72983">
            <w:pPr>
              <w:jc w:val="center"/>
            </w:pPr>
            <w:r>
              <w:rPr>
                <w:rFonts w:eastAsiaTheme="minorEastAsia"/>
                <w:color w:val="000000" w:themeColor="text1"/>
              </w:rPr>
              <w:t>-</w:t>
            </w:r>
          </w:p>
        </w:tc>
        <w:tc>
          <w:tcPr>
            <w:tcW w:w="1417" w:type="dxa"/>
            <w:vAlign w:val="center"/>
          </w:tcPr>
          <w:p w:rsidR="004936FE" w:rsidRDefault="00E72983">
            <w:pPr>
              <w:jc w:val="center"/>
            </w:pPr>
            <w:r>
              <w:rPr>
                <w:rFonts w:eastAsiaTheme="minorEastAsia"/>
                <w:color w:val="000000" w:themeColor="text1"/>
              </w:rPr>
              <w:t>7</w:t>
            </w:r>
            <w:r>
              <w:rPr>
                <w:rFonts w:eastAsiaTheme="minorEastAsia"/>
                <w:color w:val="000000" w:themeColor="text1"/>
              </w:rPr>
              <w:t>年</w:t>
            </w:r>
          </w:p>
        </w:tc>
        <w:tc>
          <w:tcPr>
            <w:tcW w:w="2694" w:type="dxa"/>
            <w:vAlign w:val="center"/>
          </w:tcPr>
          <w:p w:rsidR="004936FE" w:rsidRDefault="00E72983">
            <w:r>
              <w:rPr>
                <w:rFonts w:eastAsiaTheme="minorEastAsia"/>
                <w:color w:val="000000" w:themeColor="text1"/>
              </w:rPr>
              <w:t>何智豪先生，复旦大学应用数学硕士，现任指数及量化投资部基金经理。何智豪先生自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月，在中国国际金融股份有限公司担任组合与量化策略研究员、资产管理部高级经理；自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月起加入上投摩根基金管理有限公司。自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月起同时担任上投摩根量化多因子灵活配置混合型证券投资基金、上投摩根优选多因子股票型证券投资基金、上投摩根中证消费服务领先指数证券投资基金、上投摩根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股交易型开放式指数证券投资基金、上投摩根</w:t>
            </w:r>
            <w:r>
              <w:rPr>
                <w:rFonts w:eastAsiaTheme="minorEastAsia"/>
                <w:color w:val="000000" w:themeColor="text1"/>
              </w:rPr>
              <w:t>MSCI</w:t>
            </w:r>
            <w:r>
              <w:rPr>
                <w:rFonts w:eastAsiaTheme="minorEastAsia"/>
                <w:color w:val="000000" w:themeColor="text1"/>
              </w:rPr>
              <w:t>中国</w:t>
            </w:r>
            <w:r>
              <w:rPr>
                <w:rFonts w:eastAsiaTheme="minorEastAsia"/>
                <w:color w:val="000000" w:themeColor="text1"/>
              </w:rPr>
              <w:t>A</w:t>
            </w:r>
            <w:r>
              <w:rPr>
                <w:rFonts w:eastAsiaTheme="minorEastAsia"/>
                <w:color w:val="000000" w:themeColor="text1"/>
              </w:rPr>
              <w:t>股交易型开放式指数证券投资基金联接基金、上投摩根标普港股</w:t>
            </w:r>
            <w:r>
              <w:rPr>
                <w:rFonts w:eastAsiaTheme="minorEastAsia"/>
                <w:color w:val="000000" w:themeColor="text1"/>
              </w:rPr>
              <w:t>通低波红利指数型证券投资基金基金经理。</w:t>
            </w:r>
          </w:p>
        </w:tc>
      </w:tr>
    </w:tbl>
    <w:p w:rsidR="004936FE" w:rsidRDefault="00E7298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量化多因子灵活配置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年二季度，</w:t>
      </w:r>
      <w:r>
        <w:rPr>
          <w:rFonts w:eastAsiaTheme="minorEastAsia"/>
          <w:color w:val="000000" w:themeColor="text1"/>
        </w:rPr>
        <w:t>A</w:t>
      </w:r>
      <w:r>
        <w:rPr>
          <w:rFonts w:eastAsiaTheme="minorEastAsia"/>
          <w:color w:val="000000" w:themeColor="text1"/>
        </w:rPr>
        <w:t>股整体上行，但市场风格出现转变。一方面，中盘股开始崛起，显著跑赢大盘蓝筹，去年下半年起以消费为代表的高质量白马股强势行情告一段落，显示规模、质量等风格的收益出现了变化；另一方面，低估值股票的强势昙花一现，针对地产、金融板块的</w:t>
      </w:r>
      <w:r>
        <w:rPr>
          <w:rFonts w:eastAsiaTheme="minorEastAsia"/>
          <w:color w:val="000000" w:themeColor="text1"/>
        </w:rPr>
        <w:t>“</w:t>
      </w:r>
      <w:r>
        <w:rPr>
          <w:rFonts w:eastAsiaTheme="minorEastAsia"/>
          <w:color w:val="000000" w:themeColor="text1"/>
        </w:rPr>
        <w:t>低估值陷阱</w:t>
      </w:r>
      <w:r>
        <w:rPr>
          <w:rFonts w:eastAsiaTheme="minorEastAsia"/>
          <w:color w:val="000000" w:themeColor="text1"/>
        </w:rPr>
        <w:t>”</w:t>
      </w:r>
      <w:r>
        <w:rPr>
          <w:rFonts w:eastAsiaTheme="minorEastAsia"/>
          <w:color w:val="000000" w:themeColor="text1"/>
        </w:rPr>
        <w:t>仍然存在，成长股依旧独领风骚，新能源、医药等强势赛道收益瞩目，资金超预期个股的追捧依旧强烈，似乎又验证了成</w:t>
      </w:r>
      <w:r>
        <w:rPr>
          <w:rFonts w:eastAsiaTheme="minorEastAsia"/>
          <w:color w:val="000000" w:themeColor="text1"/>
        </w:rPr>
        <w:t>长、分析师情绪等另一部分风格强势依旧。本季度市场风格与前期相比呈现</w:t>
      </w:r>
      <w:r>
        <w:rPr>
          <w:rFonts w:eastAsiaTheme="minorEastAsia"/>
          <w:color w:val="000000" w:themeColor="text1"/>
        </w:rPr>
        <w:t>“</w:t>
      </w:r>
      <w:r>
        <w:rPr>
          <w:rFonts w:eastAsiaTheme="minorEastAsia"/>
          <w:color w:val="000000" w:themeColor="text1"/>
        </w:rPr>
        <w:t>求同存异</w:t>
      </w:r>
      <w:r>
        <w:rPr>
          <w:rFonts w:eastAsiaTheme="minorEastAsia"/>
          <w:color w:val="000000" w:themeColor="text1"/>
        </w:rPr>
        <w:t>”</w:t>
      </w:r>
      <w:r>
        <w:rPr>
          <w:rFonts w:eastAsiaTheme="minorEastAsia"/>
          <w:color w:val="000000" w:themeColor="text1"/>
        </w:rPr>
        <w:t>的格局，其背后原因大概率仍在于市场定价力量的行为模式：由于高质量高确定性个股的投资机会已在去年被充分挖掘，其高估值阻碍了增量资金的进一步介入。但也正因此，业务逻辑或是短期成长确定性方面并不完美，但是估值相对合适、或是想象空间较为充分的公司再次进入投资者视野，导致了中盘股的强势，也使得一些成长属性浓郁的板块大放异彩。但其背后，本质上仍体现出市场定价力量对成长性的长期偏好和对于超预期的短期偏好。本基金由于选股从多因子角度出发，偏重基本</w:t>
      </w:r>
      <w:r>
        <w:rPr>
          <w:rFonts w:eastAsiaTheme="minorEastAsia"/>
          <w:color w:val="000000" w:themeColor="text1"/>
        </w:rPr>
        <w:t>面因素，在行业板块分布和风格因子配置上相对均衡。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展望三季度，</w:t>
      </w:r>
      <w:r w:rsidRPr="00FF6B9A">
        <w:rPr>
          <w:rFonts w:eastAsiaTheme="minorEastAsia"/>
          <w:color w:val="000000" w:themeColor="text1"/>
        </w:rPr>
        <w:t>A</w:t>
      </w:r>
      <w:r w:rsidRPr="00FF6B9A">
        <w:rPr>
          <w:rFonts w:eastAsiaTheme="minorEastAsia"/>
          <w:color w:val="000000" w:themeColor="text1"/>
        </w:rPr>
        <w:t>股配置的核心仍然将是更为注重性价比，走业绩为主、估值为辅的投资逻辑。具体而言，在食品、家电、医药、新能源等长期看较为优异的赛道内，需要时刻在核心资产和优质二线龙头间进行权衡。同时，在经济景气整体上行背景下，前期表现落后，估值不振的周期板块，如金融、地产等也存在很好的安全边际，或值得阶段性择优介入。总体而言，龙头股估值溢价仍具备合理性，不可能完全消除，低质量的低估值仍然无意义，不值得长期介入。在实际投资中，投资者一方面在选股上面临</w:t>
      </w:r>
      <w:r w:rsidRPr="00FF6B9A">
        <w:rPr>
          <w:rFonts w:eastAsiaTheme="minorEastAsia"/>
          <w:color w:val="000000" w:themeColor="text1"/>
        </w:rPr>
        <w:t xml:space="preserve"> “</w:t>
      </w:r>
      <w:r w:rsidRPr="00FF6B9A">
        <w:rPr>
          <w:rFonts w:eastAsiaTheme="minorEastAsia"/>
          <w:color w:val="000000" w:themeColor="text1"/>
        </w:rPr>
        <w:t>高质量的贵</w:t>
      </w:r>
      <w:r w:rsidRPr="00FF6B9A">
        <w:rPr>
          <w:rFonts w:eastAsiaTheme="minorEastAsia"/>
          <w:color w:val="000000" w:themeColor="text1"/>
        </w:rPr>
        <w:t>”</w:t>
      </w:r>
      <w:r w:rsidRPr="00FF6B9A">
        <w:rPr>
          <w:rFonts w:eastAsiaTheme="minorEastAsia"/>
          <w:color w:val="000000" w:themeColor="text1"/>
        </w:rPr>
        <w:t>和</w:t>
      </w:r>
      <w:r w:rsidRPr="00FF6B9A">
        <w:rPr>
          <w:rFonts w:eastAsiaTheme="minorEastAsia"/>
          <w:color w:val="000000" w:themeColor="text1"/>
        </w:rPr>
        <w:t>“</w:t>
      </w:r>
      <w:r w:rsidRPr="00FF6B9A">
        <w:rPr>
          <w:rFonts w:eastAsiaTheme="minorEastAsia"/>
          <w:color w:val="000000" w:themeColor="text1"/>
        </w:rPr>
        <w:t>有缺陷的便宜</w:t>
      </w:r>
      <w:r w:rsidRPr="00FF6B9A">
        <w:rPr>
          <w:rFonts w:eastAsiaTheme="minorEastAsia"/>
          <w:color w:val="000000" w:themeColor="text1"/>
        </w:rPr>
        <w:t>”</w:t>
      </w:r>
      <w:r w:rsidRPr="00FF6B9A">
        <w:rPr>
          <w:rFonts w:eastAsiaTheme="minorEastAsia"/>
          <w:color w:val="000000" w:themeColor="text1"/>
        </w:rPr>
        <w:t>之间的权衡，另一方面在赛道抉择上也面临市场对优质赛道的预期打得过于充足的烦恼，市场对交易能力的考验在提升。在具体投资策略上，我们仍将坚持基本面出发的量化多因子选股策略，综合考虑个股的成长性、盈利能力、估值及买卖时点等多方面因素，力争构造风险收益特征优于业绩基准的投资组合。</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本报告期上投摩根量化多因子混合份额净值增长率为</w:t>
      </w:r>
      <w:r w:rsidRPr="00FF6B9A">
        <w:rPr>
          <w:rFonts w:eastAsiaTheme="minorEastAsia"/>
          <w:color w:val="000000" w:themeColor="text1"/>
        </w:rPr>
        <w:t>:6.25%</w:t>
      </w:r>
      <w:r w:rsidRPr="00FF6B9A">
        <w:rPr>
          <w:rFonts w:eastAsiaTheme="minorEastAsia"/>
          <w:color w:val="000000" w:themeColor="text1"/>
        </w:rPr>
        <w:t>，同期业绩比较基准收益率为</w:t>
      </w:r>
      <w:r w:rsidRPr="00FF6B9A">
        <w:rPr>
          <w:rFonts w:eastAsiaTheme="minorEastAsia"/>
          <w:color w:val="000000" w:themeColor="text1"/>
        </w:rPr>
        <w:t>:2.99%</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kern w:val="0"/>
        </w:rPr>
        <w:t>报告期内，本基金存在连续六十个工作</w:t>
      </w:r>
      <w:r>
        <w:rPr>
          <w:rFonts w:eastAsiaTheme="minorEastAsia"/>
          <w:color w:val="000000" w:themeColor="text1"/>
          <w:kern w:val="0"/>
        </w:rPr>
        <w:t>日基金资产净值低于五千万元的情况，出现该情</w:t>
      </w:r>
      <w:r>
        <w:rPr>
          <w:rFonts w:eastAsiaTheme="minorEastAsia"/>
          <w:color w:val="000000" w:themeColor="text1"/>
          <w:kern w:val="0"/>
        </w:rPr>
        <w:lastRenderedPageBreak/>
        <w:t>况的时间范围为</w:t>
      </w:r>
      <w:r>
        <w:rPr>
          <w:rFonts w:eastAsiaTheme="minorEastAsia"/>
          <w:color w:val="000000" w:themeColor="text1"/>
          <w:kern w:val="0"/>
        </w:rPr>
        <w:t>2021</w:t>
      </w:r>
      <w:r>
        <w:rPr>
          <w:rFonts w:eastAsiaTheme="minorEastAsia"/>
          <w:color w:val="000000" w:themeColor="text1"/>
          <w:kern w:val="0"/>
        </w:rPr>
        <w:t>年</w:t>
      </w:r>
      <w:r>
        <w:rPr>
          <w:rFonts w:eastAsiaTheme="minorEastAsia"/>
          <w:color w:val="000000" w:themeColor="text1"/>
          <w:kern w:val="0"/>
        </w:rPr>
        <w:t>04</w:t>
      </w:r>
      <w:r>
        <w:rPr>
          <w:rFonts w:eastAsiaTheme="minorEastAsia"/>
          <w:color w:val="000000" w:themeColor="text1"/>
          <w:kern w:val="0"/>
        </w:rPr>
        <w:t>月</w:t>
      </w:r>
      <w:r>
        <w:rPr>
          <w:rFonts w:eastAsiaTheme="minorEastAsia"/>
          <w:color w:val="000000" w:themeColor="text1"/>
          <w:kern w:val="0"/>
        </w:rPr>
        <w:t>01</w:t>
      </w:r>
      <w:r>
        <w:rPr>
          <w:rFonts w:eastAsiaTheme="minorEastAsia"/>
          <w:color w:val="000000" w:themeColor="text1"/>
          <w:kern w:val="0"/>
        </w:rPr>
        <w:t>日至</w:t>
      </w:r>
      <w:r>
        <w:rPr>
          <w:rFonts w:eastAsiaTheme="minorEastAsia"/>
          <w:color w:val="000000" w:themeColor="text1"/>
          <w:kern w:val="0"/>
        </w:rPr>
        <w:t>2021</w:t>
      </w:r>
      <w:r>
        <w:rPr>
          <w:rFonts w:eastAsiaTheme="minorEastAsia"/>
          <w:color w:val="000000" w:themeColor="text1"/>
          <w:kern w:val="0"/>
        </w:rPr>
        <w:t>年</w:t>
      </w:r>
      <w:r>
        <w:rPr>
          <w:rFonts w:eastAsiaTheme="minorEastAsia"/>
          <w:color w:val="000000" w:themeColor="text1"/>
          <w:kern w:val="0"/>
        </w:rPr>
        <w:t>06</w:t>
      </w:r>
      <w:r>
        <w:rPr>
          <w:rFonts w:eastAsiaTheme="minorEastAsia"/>
          <w:color w:val="000000" w:themeColor="text1"/>
          <w:kern w:val="0"/>
        </w:rPr>
        <w:t>月</w:t>
      </w:r>
      <w:r>
        <w:rPr>
          <w:rFonts w:eastAsiaTheme="minorEastAsia"/>
          <w:color w:val="000000" w:themeColor="text1"/>
          <w:kern w:val="0"/>
        </w:rPr>
        <w:t>30</w:t>
      </w:r>
      <w:r>
        <w:rPr>
          <w:rFonts w:eastAsiaTheme="minorEastAsia"/>
          <w:color w:val="000000" w:themeColor="text1"/>
          <w:kern w:val="0"/>
        </w:rPr>
        <w:t>日。</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基金管理人拟调整本基金运作方式，加大营销力度，提升基金规模，方案已报监管机关。</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23,051,380.94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90.58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23,051,380.94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90.58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13,048.09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13,048.09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2,373,159.20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9.33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10,463.92</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25,448,052.15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34,059.20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0.14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312,010.00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1.25</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15,459,491.28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62.01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174,395.00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0.70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282,146.08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558,872.00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263,733.00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731,298.40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3,665,117.96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14.70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44,832.00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556,175.49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287,647.67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40,820.00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25,328.32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311,698.54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303,756.00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23,051,380.94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92.47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4936FE">
        <w:tc>
          <w:tcPr>
            <w:tcW w:w="817" w:type="dxa"/>
            <w:vAlign w:val="center"/>
          </w:tcPr>
          <w:p w:rsidR="004936FE" w:rsidRDefault="00E72983">
            <w:pPr>
              <w:jc w:val="center"/>
            </w:pPr>
            <w:r>
              <w:rPr>
                <w:rFonts w:eastAsiaTheme="minorEastAsia"/>
                <w:kern w:val="0"/>
                <w:sz w:val="24"/>
                <w:szCs w:val="24"/>
              </w:rPr>
              <w:t>1</w:t>
            </w:r>
          </w:p>
        </w:tc>
        <w:tc>
          <w:tcPr>
            <w:tcW w:w="1276" w:type="dxa"/>
            <w:vAlign w:val="center"/>
          </w:tcPr>
          <w:p w:rsidR="004936FE" w:rsidRDefault="00E72983">
            <w:pPr>
              <w:jc w:val="center"/>
            </w:pPr>
            <w:r>
              <w:rPr>
                <w:rFonts w:eastAsiaTheme="minorEastAsia"/>
                <w:kern w:val="0"/>
                <w:sz w:val="24"/>
                <w:szCs w:val="24"/>
              </w:rPr>
              <w:t>600036</w:t>
            </w:r>
          </w:p>
        </w:tc>
        <w:tc>
          <w:tcPr>
            <w:tcW w:w="1701" w:type="dxa"/>
            <w:vAlign w:val="center"/>
          </w:tcPr>
          <w:p w:rsidR="004936FE" w:rsidRDefault="00E72983">
            <w:pPr>
              <w:jc w:val="center"/>
            </w:pPr>
            <w:r>
              <w:rPr>
                <w:rFonts w:eastAsiaTheme="minorEastAsia"/>
                <w:kern w:val="0"/>
                <w:sz w:val="24"/>
                <w:szCs w:val="24"/>
              </w:rPr>
              <w:t>招商银行</w:t>
            </w:r>
          </w:p>
        </w:tc>
        <w:tc>
          <w:tcPr>
            <w:tcW w:w="1276" w:type="dxa"/>
            <w:vAlign w:val="center"/>
          </w:tcPr>
          <w:p w:rsidR="004936FE" w:rsidRDefault="00E72983">
            <w:pPr>
              <w:jc w:val="right"/>
            </w:pPr>
            <w:r>
              <w:rPr>
                <w:rFonts w:eastAsiaTheme="minorEastAsia"/>
                <w:kern w:val="0"/>
                <w:sz w:val="24"/>
                <w:szCs w:val="24"/>
              </w:rPr>
              <w:t>18,100.00</w:t>
            </w:r>
          </w:p>
        </w:tc>
        <w:tc>
          <w:tcPr>
            <w:tcW w:w="1842" w:type="dxa"/>
            <w:vAlign w:val="center"/>
          </w:tcPr>
          <w:p w:rsidR="004936FE" w:rsidRDefault="00E72983">
            <w:pPr>
              <w:jc w:val="right"/>
            </w:pPr>
            <w:r>
              <w:rPr>
                <w:rFonts w:eastAsiaTheme="minorEastAsia"/>
                <w:kern w:val="0"/>
                <w:sz w:val="24"/>
                <w:szCs w:val="24"/>
              </w:rPr>
              <w:t>980,839.00</w:t>
            </w:r>
          </w:p>
        </w:tc>
        <w:tc>
          <w:tcPr>
            <w:tcW w:w="1616" w:type="dxa"/>
            <w:vAlign w:val="center"/>
          </w:tcPr>
          <w:p w:rsidR="004936FE" w:rsidRDefault="00E72983">
            <w:pPr>
              <w:jc w:val="right"/>
            </w:pPr>
            <w:r>
              <w:rPr>
                <w:rFonts w:eastAsiaTheme="minorEastAsia"/>
                <w:kern w:val="0"/>
                <w:sz w:val="24"/>
                <w:szCs w:val="24"/>
              </w:rPr>
              <w:t>3.93</w:t>
            </w:r>
          </w:p>
        </w:tc>
      </w:tr>
      <w:tr w:rsidR="004936FE">
        <w:tc>
          <w:tcPr>
            <w:tcW w:w="817" w:type="dxa"/>
            <w:vAlign w:val="center"/>
          </w:tcPr>
          <w:p w:rsidR="004936FE" w:rsidRDefault="00E72983">
            <w:pPr>
              <w:jc w:val="center"/>
            </w:pPr>
            <w:r>
              <w:rPr>
                <w:rFonts w:eastAsiaTheme="minorEastAsia"/>
                <w:kern w:val="0"/>
                <w:sz w:val="24"/>
                <w:szCs w:val="24"/>
              </w:rPr>
              <w:t>2</w:t>
            </w:r>
          </w:p>
        </w:tc>
        <w:tc>
          <w:tcPr>
            <w:tcW w:w="1276" w:type="dxa"/>
            <w:vAlign w:val="center"/>
          </w:tcPr>
          <w:p w:rsidR="004936FE" w:rsidRDefault="00E72983">
            <w:pPr>
              <w:jc w:val="center"/>
            </w:pPr>
            <w:r>
              <w:rPr>
                <w:rFonts w:eastAsiaTheme="minorEastAsia"/>
                <w:kern w:val="0"/>
                <w:sz w:val="24"/>
                <w:szCs w:val="24"/>
              </w:rPr>
              <w:t>601318</w:t>
            </w:r>
          </w:p>
        </w:tc>
        <w:tc>
          <w:tcPr>
            <w:tcW w:w="1701" w:type="dxa"/>
            <w:vAlign w:val="center"/>
          </w:tcPr>
          <w:p w:rsidR="004936FE" w:rsidRDefault="00E72983">
            <w:pPr>
              <w:jc w:val="center"/>
            </w:pPr>
            <w:r>
              <w:rPr>
                <w:rFonts w:eastAsiaTheme="minorEastAsia"/>
                <w:kern w:val="0"/>
                <w:sz w:val="24"/>
                <w:szCs w:val="24"/>
              </w:rPr>
              <w:t>中国平安</w:t>
            </w:r>
          </w:p>
        </w:tc>
        <w:tc>
          <w:tcPr>
            <w:tcW w:w="1276" w:type="dxa"/>
            <w:vAlign w:val="center"/>
          </w:tcPr>
          <w:p w:rsidR="004936FE" w:rsidRDefault="00E72983">
            <w:pPr>
              <w:jc w:val="right"/>
            </w:pPr>
            <w:r>
              <w:rPr>
                <w:rFonts w:eastAsiaTheme="minorEastAsia"/>
                <w:kern w:val="0"/>
                <w:sz w:val="24"/>
                <w:szCs w:val="24"/>
              </w:rPr>
              <w:t>13,600.00</w:t>
            </w:r>
          </w:p>
        </w:tc>
        <w:tc>
          <w:tcPr>
            <w:tcW w:w="1842" w:type="dxa"/>
            <w:vAlign w:val="center"/>
          </w:tcPr>
          <w:p w:rsidR="004936FE" w:rsidRDefault="00E72983">
            <w:pPr>
              <w:jc w:val="right"/>
            </w:pPr>
            <w:r>
              <w:rPr>
                <w:rFonts w:eastAsiaTheme="minorEastAsia"/>
                <w:kern w:val="0"/>
                <w:sz w:val="24"/>
                <w:szCs w:val="24"/>
              </w:rPr>
              <w:t>874,208.00</w:t>
            </w:r>
          </w:p>
        </w:tc>
        <w:tc>
          <w:tcPr>
            <w:tcW w:w="1616" w:type="dxa"/>
            <w:vAlign w:val="center"/>
          </w:tcPr>
          <w:p w:rsidR="004936FE" w:rsidRDefault="00E72983">
            <w:pPr>
              <w:jc w:val="right"/>
            </w:pPr>
            <w:r>
              <w:rPr>
                <w:rFonts w:eastAsiaTheme="minorEastAsia"/>
                <w:kern w:val="0"/>
                <w:sz w:val="24"/>
                <w:szCs w:val="24"/>
              </w:rPr>
              <w:t>3.51</w:t>
            </w:r>
          </w:p>
        </w:tc>
      </w:tr>
      <w:tr w:rsidR="004936FE">
        <w:tc>
          <w:tcPr>
            <w:tcW w:w="817" w:type="dxa"/>
            <w:vAlign w:val="center"/>
          </w:tcPr>
          <w:p w:rsidR="004936FE" w:rsidRDefault="00E72983">
            <w:pPr>
              <w:jc w:val="center"/>
            </w:pPr>
            <w:r>
              <w:rPr>
                <w:rFonts w:eastAsiaTheme="minorEastAsia"/>
                <w:kern w:val="0"/>
                <w:sz w:val="24"/>
                <w:szCs w:val="24"/>
              </w:rPr>
              <w:t>3</w:t>
            </w:r>
          </w:p>
        </w:tc>
        <w:tc>
          <w:tcPr>
            <w:tcW w:w="1276" w:type="dxa"/>
            <w:vAlign w:val="center"/>
          </w:tcPr>
          <w:p w:rsidR="004936FE" w:rsidRDefault="00E72983">
            <w:pPr>
              <w:jc w:val="center"/>
            </w:pPr>
            <w:r>
              <w:rPr>
                <w:rFonts w:eastAsiaTheme="minorEastAsia"/>
                <w:kern w:val="0"/>
                <w:sz w:val="24"/>
                <w:szCs w:val="24"/>
              </w:rPr>
              <w:t>600519</w:t>
            </w:r>
          </w:p>
        </w:tc>
        <w:tc>
          <w:tcPr>
            <w:tcW w:w="1701" w:type="dxa"/>
            <w:vAlign w:val="center"/>
          </w:tcPr>
          <w:p w:rsidR="004936FE" w:rsidRDefault="00E72983">
            <w:pPr>
              <w:jc w:val="center"/>
            </w:pPr>
            <w:r>
              <w:rPr>
                <w:rFonts w:eastAsiaTheme="minorEastAsia"/>
                <w:kern w:val="0"/>
                <w:sz w:val="24"/>
                <w:szCs w:val="24"/>
              </w:rPr>
              <w:t>贵州茅台</w:t>
            </w:r>
          </w:p>
        </w:tc>
        <w:tc>
          <w:tcPr>
            <w:tcW w:w="1276" w:type="dxa"/>
            <w:vAlign w:val="center"/>
          </w:tcPr>
          <w:p w:rsidR="004936FE" w:rsidRDefault="00E72983">
            <w:pPr>
              <w:jc w:val="right"/>
            </w:pPr>
            <w:r>
              <w:rPr>
                <w:rFonts w:eastAsiaTheme="minorEastAsia"/>
                <w:kern w:val="0"/>
                <w:sz w:val="24"/>
                <w:szCs w:val="24"/>
              </w:rPr>
              <w:t>400.00</w:t>
            </w:r>
          </w:p>
        </w:tc>
        <w:tc>
          <w:tcPr>
            <w:tcW w:w="1842" w:type="dxa"/>
            <w:vAlign w:val="center"/>
          </w:tcPr>
          <w:p w:rsidR="004936FE" w:rsidRDefault="00E72983">
            <w:pPr>
              <w:jc w:val="right"/>
            </w:pPr>
            <w:r>
              <w:rPr>
                <w:rFonts w:eastAsiaTheme="minorEastAsia"/>
                <w:kern w:val="0"/>
                <w:sz w:val="24"/>
                <w:szCs w:val="24"/>
              </w:rPr>
              <w:t>822,680.00</w:t>
            </w:r>
          </w:p>
        </w:tc>
        <w:tc>
          <w:tcPr>
            <w:tcW w:w="1616" w:type="dxa"/>
            <w:vAlign w:val="center"/>
          </w:tcPr>
          <w:p w:rsidR="004936FE" w:rsidRDefault="00E72983">
            <w:pPr>
              <w:jc w:val="right"/>
            </w:pPr>
            <w:r>
              <w:rPr>
                <w:rFonts w:eastAsiaTheme="minorEastAsia"/>
                <w:kern w:val="0"/>
                <w:sz w:val="24"/>
                <w:szCs w:val="24"/>
              </w:rPr>
              <w:t>3.30</w:t>
            </w:r>
          </w:p>
        </w:tc>
      </w:tr>
      <w:tr w:rsidR="004936FE">
        <w:tc>
          <w:tcPr>
            <w:tcW w:w="817" w:type="dxa"/>
            <w:vAlign w:val="center"/>
          </w:tcPr>
          <w:p w:rsidR="004936FE" w:rsidRDefault="00E72983">
            <w:pPr>
              <w:jc w:val="center"/>
            </w:pPr>
            <w:r>
              <w:rPr>
                <w:rFonts w:eastAsiaTheme="minorEastAsia"/>
                <w:kern w:val="0"/>
                <w:sz w:val="24"/>
                <w:szCs w:val="24"/>
              </w:rPr>
              <w:t>4</w:t>
            </w:r>
          </w:p>
        </w:tc>
        <w:tc>
          <w:tcPr>
            <w:tcW w:w="1276" w:type="dxa"/>
            <w:vAlign w:val="center"/>
          </w:tcPr>
          <w:p w:rsidR="004936FE" w:rsidRDefault="00E72983">
            <w:pPr>
              <w:jc w:val="center"/>
            </w:pPr>
            <w:r>
              <w:rPr>
                <w:rFonts w:eastAsiaTheme="minorEastAsia"/>
                <w:kern w:val="0"/>
                <w:sz w:val="24"/>
                <w:szCs w:val="24"/>
              </w:rPr>
              <w:t>600019</w:t>
            </w:r>
          </w:p>
        </w:tc>
        <w:tc>
          <w:tcPr>
            <w:tcW w:w="1701" w:type="dxa"/>
            <w:vAlign w:val="center"/>
          </w:tcPr>
          <w:p w:rsidR="004936FE" w:rsidRDefault="00E72983">
            <w:pPr>
              <w:jc w:val="center"/>
            </w:pPr>
            <w:r>
              <w:rPr>
                <w:rFonts w:eastAsiaTheme="minorEastAsia"/>
                <w:kern w:val="0"/>
                <w:sz w:val="24"/>
                <w:szCs w:val="24"/>
              </w:rPr>
              <w:t>宝钢股份</w:t>
            </w:r>
          </w:p>
        </w:tc>
        <w:tc>
          <w:tcPr>
            <w:tcW w:w="1276" w:type="dxa"/>
            <w:vAlign w:val="center"/>
          </w:tcPr>
          <w:p w:rsidR="004936FE" w:rsidRDefault="00E72983">
            <w:pPr>
              <w:jc w:val="right"/>
            </w:pPr>
            <w:r>
              <w:rPr>
                <w:rFonts w:eastAsiaTheme="minorEastAsia"/>
                <w:kern w:val="0"/>
                <w:sz w:val="24"/>
                <w:szCs w:val="24"/>
              </w:rPr>
              <w:t>87,400.00</w:t>
            </w:r>
          </w:p>
        </w:tc>
        <w:tc>
          <w:tcPr>
            <w:tcW w:w="1842" w:type="dxa"/>
            <w:vAlign w:val="center"/>
          </w:tcPr>
          <w:p w:rsidR="004936FE" w:rsidRDefault="00E72983">
            <w:pPr>
              <w:jc w:val="right"/>
            </w:pPr>
            <w:r>
              <w:rPr>
                <w:rFonts w:eastAsiaTheme="minorEastAsia"/>
                <w:kern w:val="0"/>
                <w:sz w:val="24"/>
                <w:szCs w:val="24"/>
              </w:rPr>
              <w:t>667,736.00</w:t>
            </w:r>
          </w:p>
        </w:tc>
        <w:tc>
          <w:tcPr>
            <w:tcW w:w="1616" w:type="dxa"/>
            <w:vAlign w:val="center"/>
          </w:tcPr>
          <w:p w:rsidR="004936FE" w:rsidRDefault="00E72983">
            <w:pPr>
              <w:jc w:val="right"/>
            </w:pPr>
            <w:r>
              <w:rPr>
                <w:rFonts w:eastAsiaTheme="minorEastAsia"/>
                <w:kern w:val="0"/>
                <w:sz w:val="24"/>
                <w:szCs w:val="24"/>
              </w:rPr>
              <w:t>2.68</w:t>
            </w:r>
          </w:p>
        </w:tc>
      </w:tr>
      <w:tr w:rsidR="004936FE">
        <w:tc>
          <w:tcPr>
            <w:tcW w:w="817" w:type="dxa"/>
            <w:vAlign w:val="center"/>
          </w:tcPr>
          <w:p w:rsidR="004936FE" w:rsidRDefault="00E72983">
            <w:pPr>
              <w:jc w:val="center"/>
            </w:pPr>
            <w:r>
              <w:rPr>
                <w:rFonts w:eastAsiaTheme="minorEastAsia"/>
                <w:kern w:val="0"/>
                <w:sz w:val="24"/>
                <w:szCs w:val="24"/>
              </w:rPr>
              <w:t>5</w:t>
            </w:r>
          </w:p>
        </w:tc>
        <w:tc>
          <w:tcPr>
            <w:tcW w:w="1276" w:type="dxa"/>
            <w:vAlign w:val="center"/>
          </w:tcPr>
          <w:p w:rsidR="004936FE" w:rsidRDefault="00E72983">
            <w:pPr>
              <w:jc w:val="center"/>
            </w:pPr>
            <w:r>
              <w:rPr>
                <w:rFonts w:eastAsiaTheme="minorEastAsia"/>
                <w:kern w:val="0"/>
                <w:sz w:val="24"/>
                <w:szCs w:val="24"/>
              </w:rPr>
              <w:t>600887</w:t>
            </w:r>
          </w:p>
        </w:tc>
        <w:tc>
          <w:tcPr>
            <w:tcW w:w="1701" w:type="dxa"/>
            <w:vAlign w:val="center"/>
          </w:tcPr>
          <w:p w:rsidR="004936FE" w:rsidRDefault="00E72983">
            <w:pPr>
              <w:jc w:val="center"/>
            </w:pPr>
            <w:r>
              <w:rPr>
                <w:rFonts w:eastAsiaTheme="minorEastAsia"/>
                <w:kern w:val="0"/>
                <w:sz w:val="24"/>
                <w:szCs w:val="24"/>
              </w:rPr>
              <w:t>伊利股份</w:t>
            </w:r>
          </w:p>
        </w:tc>
        <w:tc>
          <w:tcPr>
            <w:tcW w:w="1276" w:type="dxa"/>
            <w:vAlign w:val="center"/>
          </w:tcPr>
          <w:p w:rsidR="004936FE" w:rsidRDefault="00E72983">
            <w:pPr>
              <w:jc w:val="right"/>
            </w:pPr>
            <w:r>
              <w:rPr>
                <w:rFonts w:eastAsiaTheme="minorEastAsia"/>
                <w:kern w:val="0"/>
                <w:sz w:val="24"/>
                <w:szCs w:val="24"/>
              </w:rPr>
              <w:t>14,800.00</w:t>
            </w:r>
          </w:p>
        </w:tc>
        <w:tc>
          <w:tcPr>
            <w:tcW w:w="1842" w:type="dxa"/>
            <w:vAlign w:val="center"/>
          </w:tcPr>
          <w:p w:rsidR="004936FE" w:rsidRDefault="00E72983">
            <w:pPr>
              <w:jc w:val="right"/>
            </w:pPr>
            <w:r>
              <w:rPr>
                <w:rFonts w:eastAsiaTheme="minorEastAsia"/>
                <w:kern w:val="0"/>
                <w:sz w:val="24"/>
                <w:szCs w:val="24"/>
              </w:rPr>
              <w:t>545,084.00</w:t>
            </w:r>
          </w:p>
        </w:tc>
        <w:tc>
          <w:tcPr>
            <w:tcW w:w="1616" w:type="dxa"/>
            <w:vAlign w:val="center"/>
          </w:tcPr>
          <w:p w:rsidR="004936FE" w:rsidRDefault="00E72983">
            <w:pPr>
              <w:jc w:val="right"/>
            </w:pPr>
            <w:r>
              <w:rPr>
                <w:rFonts w:eastAsiaTheme="minorEastAsia"/>
                <w:kern w:val="0"/>
                <w:sz w:val="24"/>
                <w:szCs w:val="24"/>
              </w:rPr>
              <w:t>2.19</w:t>
            </w:r>
          </w:p>
        </w:tc>
      </w:tr>
      <w:tr w:rsidR="004936FE">
        <w:tc>
          <w:tcPr>
            <w:tcW w:w="817" w:type="dxa"/>
            <w:vAlign w:val="center"/>
          </w:tcPr>
          <w:p w:rsidR="004936FE" w:rsidRDefault="00E72983">
            <w:pPr>
              <w:jc w:val="center"/>
            </w:pPr>
            <w:r>
              <w:rPr>
                <w:rFonts w:eastAsiaTheme="minorEastAsia"/>
                <w:kern w:val="0"/>
                <w:sz w:val="24"/>
                <w:szCs w:val="24"/>
              </w:rPr>
              <w:t>6</w:t>
            </w:r>
          </w:p>
        </w:tc>
        <w:tc>
          <w:tcPr>
            <w:tcW w:w="1276" w:type="dxa"/>
            <w:vAlign w:val="center"/>
          </w:tcPr>
          <w:p w:rsidR="004936FE" w:rsidRDefault="00E72983">
            <w:pPr>
              <w:jc w:val="center"/>
            </w:pPr>
            <w:r>
              <w:rPr>
                <w:rFonts w:eastAsiaTheme="minorEastAsia"/>
                <w:kern w:val="0"/>
                <w:sz w:val="24"/>
                <w:szCs w:val="24"/>
              </w:rPr>
              <w:t>600096</w:t>
            </w:r>
          </w:p>
        </w:tc>
        <w:tc>
          <w:tcPr>
            <w:tcW w:w="1701" w:type="dxa"/>
            <w:vAlign w:val="center"/>
          </w:tcPr>
          <w:p w:rsidR="004936FE" w:rsidRDefault="00E72983">
            <w:pPr>
              <w:jc w:val="center"/>
            </w:pPr>
            <w:r>
              <w:rPr>
                <w:rFonts w:eastAsiaTheme="minorEastAsia"/>
                <w:kern w:val="0"/>
                <w:sz w:val="24"/>
                <w:szCs w:val="24"/>
              </w:rPr>
              <w:t>云天化</w:t>
            </w:r>
          </w:p>
        </w:tc>
        <w:tc>
          <w:tcPr>
            <w:tcW w:w="1276" w:type="dxa"/>
            <w:vAlign w:val="center"/>
          </w:tcPr>
          <w:p w:rsidR="004936FE" w:rsidRDefault="00E72983">
            <w:pPr>
              <w:jc w:val="right"/>
            </w:pPr>
            <w:r>
              <w:rPr>
                <w:rFonts w:eastAsiaTheme="minorEastAsia"/>
                <w:kern w:val="0"/>
                <w:sz w:val="24"/>
                <w:szCs w:val="24"/>
              </w:rPr>
              <w:t>37,900.00</w:t>
            </w:r>
          </w:p>
        </w:tc>
        <w:tc>
          <w:tcPr>
            <w:tcW w:w="1842" w:type="dxa"/>
            <w:vAlign w:val="center"/>
          </w:tcPr>
          <w:p w:rsidR="004936FE" w:rsidRDefault="00E72983">
            <w:pPr>
              <w:jc w:val="right"/>
            </w:pPr>
            <w:r>
              <w:rPr>
                <w:rFonts w:eastAsiaTheme="minorEastAsia"/>
                <w:kern w:val="0"/>
                <w:sz w:val="24"/>
                <w:szCs w:val="24"/>
              </w:rPr>
              <w:t>532,116.00</w:t>
            </w:r>
          </w:p>
        </w:tc>
        <w:tc>
          <w:tcPr>
            <w:tcW w:w="1616" w:type="dxa"/>
            <w:vAlign w:val="center"/>
          </w:tcPr>
          <w:p w:rsidR="004936FE" w:rsidRDefault="00E72983">
            <w:pPr>
              <w:jc w:val="right"/>
            </w:pPr>
            <w:r>
              <w:rPr>
                <w:rFonts w:eastAsiaTheme="minorEastAsia"/>
                <w:kern w:val="0"/>
                <w:sz w:val="24"/>
                <w:szCs w:val="24"/>
              </w:rPr>
              <w:t>2.13</w:t>
            </w:r>
          </w:p>
        </w:tc>
      </w:tr>
      <w:tr w:rsidR="004936FE">
        <w:tc>
          <w:tcPr>
            <w:tcW w:w="817" w:type="dxa"/>
            <w:vAlign w:val="center"/>
          </w:tcPr>
          <w:p w:rsidR="004936FE" w:rsidRDefault="00E72983">
            <w:pPr>
              <w:jc w:val="center"/>
            </w:pPr>
            <w:r>
              <w:rPr>
                <w:rFonts w:eastAsiaTheme="minorEastAsia"/>
                <w:kern w:val="0"/>
                <w:sz w:val="24"/>
                <w:szCs w:val="24"/>
              </w:rPr>
              <w:t>7</w:t>
            </w:r>
          </w:p>
        </w:tc>
        <w:tc>
          <w:tcPr>
            <w:tcW w:w="1276" w:type="dxa"/>
            <w:vAlign w:val="center"/>
          </w:tcPr>
          <w:p w:rsidR="004936FE" w:rsidRDefault="00E72983">
            <w:pPr>
              <w:jc w:val="center"/>
            </w:pPr>
            <w:r>
              <w:rPr>
                <w:rFonts w:eastAsiaTheme="minorEastAsia"/>
                <w:kern w:val="0"/>
                <w:sz w:val="24"/>
                <w:szCs w:val="24"/>
              </w:rPr>
              <w:t>601888</w:t>
            </w:r>
          </w:p>
        </w:tc>
        <w:tc>
          <w:tcPr>
            <w:tcW w:w="1701" w:type="dxa"/>
            <w:vAlign w:val="center"/>
          </w:tcPr>
          <w:p w:rsidR="004936FE" w:rsidRDefault="00E72983">
            <w:pPr>
              <w:jc w:val="center"/>
            </w:pPr>
            <w:r>
              <w:rPr>
                <w:rFonts w:eastAsiaTheme="minorEastAsia"/>
                <w:kern w:val="0"/>
                <w:sz w:val="24"/>
                <w:szCs w:val="24"/>
              </w:rPr>
              <w:t>中国中免</w:t>
            </w:r>
          </w:p>
        </w:tc>
        <w:tc>
          <w:tcPr>
            <w:tcW w:w="1276" w:type="dxa"/>
            <w:vAlign w:val="center"/>
          </w:tcPr>
          <w:p w:rsidR="004936FE" w:rsidRDefault="00E72983">
            <w:pPr>
              <w:jc w:val="right"/>
            </w:pPr>
            <w:r>
              <w:rPr>
                <w:rFonts w:eastAsiaTheme="minorEastAsia"/>
                <w:kern w:val="0"/>
                <w:sz w:val="24"/>
                <w:szCs w:val="24"/>
              </w:rPr>
              <w:t>1,700.00</w:t>
            </w:r>
          </w:p>
        </w:tc>
        <w:tc>
          <w:tcPr>
            <w:tcW w:w="1842" w:type="dxa"/>
            <w:vAlign w:val="center"/>
          </w:tcPr>
          <w:p w:rsidR="004936FE" w:rsidRDefault="00E72983">
            <w:pPr>
              <w:jc w:val="right"/>
            </w:pPr>
            <w:r>
              <w:rPr>
                <w:rFonts w:eastAsiaTheme="minorEastAsia"/>
                <w:kern w:val="0"/>
                <w:sz w:val="24"/>
                <w:szCs w:val="24"/>
              </w:rPr>
              <w:t>510,170.00</w:t>
            </w:r>
          </w:p>
        </w:tc>
        <w:tc>
          <w:tcPr>
            <w:tcW w:w="1616" w:type="dxa"/>
            <w:vAlign w:val="center"/>
          </w:tcPr>
          <w:p w:rsidR="004936FE" w:rsidRDefault="00E72983">
            <w:pPr>
              <w:jc w:val="right"/>
            </w:pPr>
            <w:r>
              <w:rPr>
                <w:rFonts w:eastAsiaTheme="minorEastAsia"/>
                <w:kern w:val="0"/>
                <w:sz w:val="24"/>
                <w:szCs w:val="24"/>
              </w:rPr>
              <w:t>2.05</w:t>
            </w:r>
          </w:p>
        </w:tc>
      </w:tr>
      <w:tr w:rsidR="004936FE">
        <w:tc>
          <w:tcPr>
            <w:tcW w:w="817" w:type="dxa"/>
            <w:vAlign w:val="center"/>
          </w:tcPr>
          <w:p w:rsidR="004936FE" w:rsidRDefault="00E72983">
            <w:pPr>
              <w:jc w:val="center"/>
            </w:pPr>
            <w:r>
              <w:rPr>
                <w:rFonts w:eastAsiaTheme="minorEastAsia"/>
                <w:kern w:val="0"/>
                <w:sz w:val="24"/>
                <w:szCs w:val="24"/>
              </w:rPr>
              <w:t>8</w:t>
            </w:r>
          </w:p>
        </w:tc>
        <w:tc>
          <w:tcPr>
            <w:tcW w:w="1276" w:type="dxa"/>
            <w:vAlign w:val="center"/>
          </w:tcPr>
          <w:p w:rsidR="004936FE" w:rsidRDefault="00E72983">
            <w:pPr>
              <w:jc w:val="center"/>
            </w:pPr>
            <w:r>
              <w:rPr>
                <w:rFonts w:eastAsiaTheme="minorEastAsia"/>
                <w:kern w:val="0"/>
                <w:sz w:val="24"/>
                <w:szCs w:val="24"/>
              </w:rPr>
              <w:t>000858</w:t>
            </w:r>
          </w:p>
        </w:tc>
        <w:tc>
          <w:tcPr>
            <w:tcW w:w="1701" w:type="dxa"/>
            <w:vAlign w:val="center"/>
          </w:tcPr>
          <w:p w:rsidR="004936FE" w:rsidRDefault="00E72983">
            <w:pPr>
              <w:jc w:val="center"/>
            </w:pPr>
            <w:r>
              <w:rPr>
                <w:rFonts w:eastAsiaTheme="minorEastAsia"/>
                <w:kern w:val="0"/>
                <w:sz w:val="24"/>
                <w:szCs w:val="24"/>
              </w:rPr>
              <w:t>五粮液</w:t>
            </w:r>
          </w:p>
        </w:tc>
        <w:tc>
          <w:tcPr>
            <w:tcW w:w="1276" w:type="dxa"/>
            <w:vAlign w:val="center"/>
          </w:tcPr>
          <w:p w:rsidR="004936FE" w:rsidRDefault="00E72983">
            <w:pPr>
              <w:jc w:val="right"/>
            </w:pPr>
            <w:r>
              <w:rPr>
                <w:rFonts w:eastAsiaTheme="minorEastAsia"/>
                <w:kern w:val="0"/>
                <w:sz w:val="24"/>
                <w:szCs w:val="24"/>
              </w:rPr>
              <w:t>1,669.00</w:t>
            </w:r>
          </w:p>
        </w:tc>
        <w:tc>
          <w:tcPr>
            <w:tcW w:w="1842" w:type="dxa"/>
            <w:vAlign w:val="center"/>
          </w:tcPr>
          <w:p w:rsidR="004936FE" w:rsidRDefault="00E72983">
            <w:pPr>
              <w:jc w:val="right"/>
            </w:pPr>
            <w:r>
              <w:rPr>
                <w:rFonts w:eastAsiaTheme="minorEastAsia"/>
                <w:kern w:val="0"/>
                <w:sz w:val="24"/>
                <w:szCs w:val="24"/>
              </w:rPr>
              <w:t>497,178.41</w:t>
            </w:r>
          </w:p>
        </w:tc>
        <w:tc>
          <w:tcPr>
            <w:tcW w:w="1616" w:type="dxa"/>
            <w:vAlign w:val="center"/>
          </w:tcPr>
          <w:p w:rsidR="004936FE" w:rsidRDefault="00E72983">
            <w:pPr>
              <w:jc w:val="right"/>
            </w:pPr>
            <w:r>
              <w:rPr>
                <w:rFonts w:eastAsiaTheme="minorEastAsia"/>
                <w:kern w:val="0"/>
                <w:sz w:val="24"/>
                <w:szCs w:val="24"/>
              </w:rPr>
              <w:t>1.99</w:t>
            </w:r>
          </w:p>
        </w:tc>
      </w:tr>
      <w:tr w:rsidR="004936FE">
        <w:tc>
          <w:tcPr>
            <w:tcW w:w="817" w:type="dxa"/>
            <w:vAlign w:val="center"/>
          </w:tcPr>
          <w:p w:rsidR="004936FE" w:rsidRDefault="00E72983">
            <w:pPr>
              <w:jc w:val="center"/>
            </w:pPr>
            <w:r>
              <w:rPr>
                <w:rFonts w:eastAsiaTheme="minorEastAsia"/>
                <w:kern w:val="0"/>
                <w:sz w:val="24"/>
                <w:szCs w:val="24"/>
              </w:rPr>
              <w:t>9</w:t>
            </w:r>
          </w:p>
        </w:tc>
        <w:tc>
          <w:tcPr>
            <w:tcW w:w="1276" w:type="dxa"/>
            <w:vAlign w:val="center"/>
          </w:tcPr>
          <w:p w:rsidR="004936FE" w:rsidRDefault="00E72983">
            <w:pPr>
              <w:jc w:val="center"/>
            </w:pPr>
            <w:r>
              <w:rPr>
                <w:rFonts w:eastAsiaTheme="minorEastAsia"/>
                <w:kern w:val="0"/>
                <w:sz w:val="24"/>
                <w:szCs w:val="24"/>
              </w:rPr>
              <w:t>000651</w:t>
            </w:r>
          </w:p>
        </w:tc>
        <w:tc>
          <w:tcPr>
            <w:tcW w:w="1701" w:type="dxa"/>
            <w:vAlign w:val="center"/>
          </w:tcPr>
          <w:p w:rsidR="004936FE" w:rsidRDefault="00E72983">
            <w:pPr>
              <w:jc w:val="center"/>
            </w:pPr>
            <w:r>
              <w:rPr>
                <w:rFonts w:eastAsiaTheme="minorEastAsia"/>
                <w:kern w:val="0"/>
                <w:sz w:val="24"/>
                <w:szCs w:val="24"/>
              </w:rPr>
              <w:t>格力电器</w:t>
            </w:r>
          </w:p>
        </w:tc>
        <w:tc>
          <w:tcPr>
            <w:tcW w:w="1276" w:type="dxa"/>
            <w:vAlign w:val="center"/>
          </w:tcPr>
          <w:p w:rsidR="004936FE" w:rsidRDefault="00E72983">
            <w:pPr>
              <w:jc w:val="right"/>
            </w:pPr>
            <w:r>
              <w:rPr>
                <w:rFonts w:eastAsiaTheme="minorEastAsia"/>
                <w:kern w:val="0"/>
                <w:sz w:val="24"/>
                <w:szCs w:val="24"/>
              </w:rPr>
              <w:t>9,080.00</w:t>
            </w:r>
          </w:p>
        </w:tc>
        <w:tc>
          <w:tcPr>
            <w:tcW w:w="1842" w:type="dxa"/>
            <w:vAlign w:val="center"/>
          </w:tcPr>
          <w:p w:rsidR="004936FE" w:rsidRDefault="00E72983">
            <w:pPr>
              <w:jc w:val="right"/>
            </w:pPr>
            <w:r>
              <w:rPr>
                <w:rFonts w:eastAsiaTheme="minorEastAsia"/>
                <w:kern w:val="0"/>
                <w:sz w:val="24"/>
                <w:szCs w:val="24"/>
              </w:rPr>
              <w:t>473,068.00</w:t>
            </w:r>
          </w:p>
        </w:tc>
        <w:tc>
          <w:tcPr>
            <w:tcW w:w="1616" w:type="dxa"/>
            <w:vAlign w:val="center"/>
          </w:tcPr>
          <w:p w:rsidR="004936FE" w:rsidRDefault="00E72983">
            <w:pPr>
              <w:jc w:val="right"/>
            </w:pPr>
            <w:r>
              <w:rPr>
                <w:rFonts w:eastAsiaTheme="minorEastAsia"/>
                <w:kern w:val="0"/>
                <w:sz w:val="24"/>
                <w:szCs w:val="24"/>
              </w:rPr>
              <w:t>1.90</w:t>
            </w:r>
          </w:p>
        </w:tc>
      </w:tr>
      <w:tr w:rsidR="004936FE">
        <w:tc>
          <w:tcPr>
            <w:tcW w:w="817" w:type="dxa"/>
            <w:vAlign w:val="center"/>
          </w:tcPr>
          <w:p w:rsidR="004936FE" w:rsidRDefault="00E72983">
            <w:pPr>
              <w:jc w:val="center"/>
            </w:pPr>
            <w:r>
              <w:rPr>
                <w:rFonts w:eastAsiaTheme="minorEastAsia"/>
                <w:kern w:val="0"/>
                <w:sz w:val="24"/>
                <w:szCs w:val="24"/>
              </w:rPr>
              <w:t>10</w:t>
            </w:r>
          </w:p>
        </w:tc>
        <w:tc>
          <w:tcPr>
            <w:tcW w:w="1276" w:type="dxa"/>
            <w:vAlign w:val="center"/>
          </w:tcPr>
          <w:p w:rsidR="004936FE" w:rsidRDefault="00E72983">
            <w:pPr>
              <w:jc w:val="center"/>
            </w:pPr>
            <w:r>
              <w:rPr>
                <w:rFonts w:eastAsiaTheme="minorEastAsia"/>
                <w:kern w:val="0"/>
                <w:sz w:val="24"/>
                <w:szCs w:val="24"/>
              </w:rPr>
              <w:t>000001</w:t>
            </w:r>
          </w:p>
        </w:tc>
        <w:tc>
          <w:tcPr>
            <w:tcW w:w="1701" w:type="dxa"/>
            <w:vAlign w:val="center"/>
          </w:tcPr>
          <w:p w:rsidR="004936FE" w:rsidRDefault="00E72983">
            <w:pPr>
              <w:jc w:val="center"/>
            </w:pPr>
            <w:r>
              <w:rPr>
                <w:rFonts w:eastAsiaTheme="minorEastAsia"/>
                <w:kern w:val="0"/>
                <w:sz w:val="24"/>
                <w:szCs w:val="24"/>
              </w:rPr>
              <w:t>平安银行</w:t>
            </w:r>
          </w:p>
        </w:tc>
        <w:tc>
          <w:tcPr>
            <w:tcW w:w="1276" w:type="dxa"/>
            <w:vAlign w:val="center"/>
          </w:tcPr>
          <w:p w:rsidR="004936FE" w:rsidRDefault="00E72983">
            <w:pPr>
              <w:jc w:val="right"/>
            </w:pPr>
            <w:r>
              <w:rPr>
                <w:rFonts w:eastAsiaTheme="minorEastAsia"/>
                <w:kern w:val="0"/>
                <w:sz w:val="24"/>
                <w:szCs w:val="24"/>
              </w:rPr>
              <w:t>19,454.00</w:t>
            </w:r>
          </w:p>
        </w:tc>
        <w:tc>
          <w:tcPr>
            <w:tcW w:w="1842" w:type="dxa"/>
            <w:vAlign w:val="center"/>
          </w:tcPr>
          <w:p w:rsidR="004936FE" w:rsidRDefault="00E72983">
            <w:pPr>
              <w:jc w:val="right"/>
            </w:pPr>
            <w:r>
              <w:rPr>
                <w:rFonts w:eastAsiaTheme="minorEastAsia"/>
                <w:kern w:val="0"/>
                <w:sz w:val="24"/>
                <w:szCs w:val="24"/>
              </w:rPr>
              <w:t>440,049.48</w:t>
            </w:r>
          </w:p>
        </w:tc>
        <w:tc>
          <w:tcPr>
            <w:tcW w:w="1616" w:type="dxa"/>
            <w:vAlign w:val="center"/>
          </w:tcPr>
          <w:p w:rsidR="004936FE" w:rsidRDefault="00E72983">
            <w:pPr>
              <w:jc w:val="right"/>
            </w:pPr>
            <w:r>
              <w:rPr>
                <w:rFonts w:eastAsiaTheme="minorEastAsia"/>
                <w:kern w:val="0"/>
                <w:sz w:val="24"/>
                <w:szCs w:val="24"/>
              </w:rPr>
              <w:t>1.77</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13,048.09</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13,048.09</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0.05</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4936FE">
        <w:tc>
          <w:tcPr>
            <w:tcW w:w="1252" w:type="dxa"/>
            <w:vAlign w:val="center"/>
          </w:tcPr>
          <w:p w:rsidR="004936FE" w:rsidRDefault="00E72983">
            <w:pPr>
              <w:jc w:val="center"/>
            </w:pPr>
            <w:r>
              <w:rPr>
                <w:rFonts w:eastAsiaTheme="minorEastAsia"/>
                <w:color w:val="000000" w:themeColor="text1"/>
                <w:kern w:val="0"/>
              </w:rPr>
              <w:t>1</w:t>
            </w:r>
          </w:p>
        </w:tc>
        <w:tc>
          <w:tcPr>
            <w:tcW w:w="1310" w:type="dxa"/>
            <w:vAlign w:val="center"/>
          </w:tcPr>
          <w:p w:rsidR="004936FE" w:rsidRDefault="00E72983">
            <w:pPr>
              <w:jc w:val="center"/>
            </w:pPr>
            <w:r>
              <w:rPr>
                <w:rFonts w:eastAsiaTheme="minorEastAsia"/>
                <w:color w:val="000000" w:themeColor="text1"/>
                <w:kern w:val="0"/>
              </w:rPr>
              <w:t>123107</w:t>
            </w:r>
          </w:p>
        </w:tc>
        <w:tc>
          <w:tcPr>
            <w:tcW w:w="1282" w:type="dxa"/>
            <w:vAlign w:val="center"/>
          </w:tcPr>
          <w:p w:rsidR="004936FE" w:rsidRDefault="00E72983">
            <w:pPr>
              <w:jc w:val="center"/>
            </w:pPr>
            <w:r>
              <w:rPr>
                <w:rFonts w:eastAsiaTheme="minorEastAsia"/>
                <w:color w:val="000000" w:themeColor="text1"/>
                <w:kern w:val="0"/>
              </w:rPr>
              <w:t>温氏转债</w:t>
            </w:r>
          </w:p>
        </w:tc>
        <w:tc>
          <w:tcPr>
            <w:tcW w:w="1426" w:type="dxa"/>
            <w:vAlign w:val="center"/>
          </w:tcPr>
          <w:p w:rsidR="004936FE" w:rsidRDefault="00E72983">
            <w:pPr>
              <w:jc w:val="right"/>
            </w:pPr>
            <w:r>
              <w:rPr>
                <w:rFonts w:eastAsiaTheme="minorEastAsia"/>
                <w:color w:val="000000" w:themeColor="text1"/>
                <w:kern w:val="0"/>
              </w:rPr>
              <w:t>79</w:t>
            </w:r>
          </w:p>
        </w:tc>
        <w:tc>
          <w:tcPr>
            <w:tcW w:w="1646" w:type="dxa"/>
            <w:vAlign w:val="center"/>
          </w:tcPr>
          <w:p w:rsidR="004936FE" w:rsidRDefault="00E72983">
            <w:pPr>
              <w:jc w:val="right"/>
            </w:pPr>
            <w:r>
              <w:rPr>
                <w:rFonts w:eastAsiaTheme="minorEastAsia"/>
                <w:color w:val="000000" w:themeColor="text1"/>
                <w:kern w:val="0"/>
              </w:rPr>
              <w:t>8,493.29</w:t>
            </w:r>
          </w:p>
        </w:tc>
        <w:tc>
          <w:tcPr>
            <w:tcW w:w="1612" w:type="dxa"/>
            <w:vAlign w:val="center"/>
          </w:tcPr>
          <w:p w:rsidR="004936FE" w:rsidRDefault="00E72983">
            <w:pPr>
              <w:jc w:val="right"/>
            </w:pPr>
            <w:r>
              <w:rPr>
                <w:rFonts w:eastAsiaTheme="minorEastAsia"/>
                <w:color w:val="000000" w:themeColor="text1"/>
                <w:kern w:val="0"/>
              </w:rPr>
              <w:t>0.03</w:t>
            </w:r>
          </w:p>
        </w:tc>
      </w:tr>
      <w:tr w:rsidR="004936FE">
        <w:tc>
          <w:tcPr>
            <w:tcW w:w="1252" w:type="dxa"/>
            <w:vAlign w:val="center"/>
          </w:tcPr>
          <w:p w:rsidR="004936FE" w:rsidRDefault="00E72983">
            <w:pPr>
              <w:jc w:val="center"/>
            </w:pPr>
            <w:r>
              <w:rPr>
                <w:rFonts w:eastAsiaTheme="minorEastAsia"/>
                <w:color w:val="000000" w:themeColor="text1"/>
                <w:kern w:val="0"/>
              </w:rPr>
              <w:t>2</w:t>
            </w:r>
          </w:p>
        </w:tc>
        <w:tc>
          <w:tcPr>
            <w:tcW w:w="1310" w:type="dxa"/>
            <w:vAlign w:val="center"/>
          </w:tcPr>
          <w:p w:rsidR="004936FE" w:rsidRDefault="00E72983">
            <w:pPr>
              <w:jc w:val="center"/>
            </w:pPr>
            <w:r>
              <w:rPr>
                <w:rFonts w:eastAsiaTheme="minorEastAsia"/>
                <w:color w:val="000000" w:themeColor="text1"/>
                <w:kern w:val="0"/>
              </w:rPr>
              <w:t>110079</w:t>
            </w:r>
          </w:p>
        </w:tc>
        <w:tc>
          <w:tcPr>
            <w:tcW w:w="1282" w:type="dxa"/>
            <w:vAlign w:val="center"/>
          </w:tcPr>
          <w:p w:rsidR="004936FE" w:rsidRDefault="00E72983">
            <w:pPr>
              <w:jc w:val="center"/>
            </w:pPr>
            <w:r>
              <w:rPr>
                <w:rFonts w:eastAsiaTheme="minorEastAsia"/>
                <w:color w:val="000000" w:themeColor="text1"/>
                <w:kern w:val="0"/>
              </w:rPr>
              <w:t>杭银转债</w:t>
            </w:r>
          </w:p>
        </w:tc>
        <w:tc>
          <w:tcPr>
            <w:tcW w:w="1426" w:type="dxa"/>
            <w:vAlign w:val="center"/>
          </w:tcPr>
          <w:p w:rsidR="004936FE" w:rsidRDefault="00E72983">
            <w:pPr>
              <w:jc w:val="right"/>
            </w:pPr>
            <w:r>
              <w:rPr>
                <w:rFonts w:eastAsiaTheme="minorEastAsia"/>
                <w:color w:val="000000" w:themeColor="text1"/>
                <w:kern w:val="0"/>
              </w:rPr>
              <w:t>40</w:t>
            </w:r>
          </w:p>
        </w:tc>
        <w:tc>
          <w:tcPr>
            <w:tcW w:w="1646" w:type="dxa"/>
            <w:vAlign w:val="center"/>
          </w:tcPr>
          <w:p w:rsidR="004936FE" w:rsidRDefault="00E72983">
            <w:pPr>
              <w:jc w:val="right"/>
            </w:pPr>
            <w:r>
              <w:rPr>
                <w:rFonts w:eastAsiaTheme="minorEastAsia"/>
                <w:color w:val="000000" w:themeColor="text1"/>
                <w:kern w:val="0"/>
              </w:rPr>
              <w:t>4,554.80</w:t>
            </w:r>
          </w:p>
        </w:tc>
        <w:tc>
          <w:tcPr>
            <w:tcW w:w="1612" w:type="dxa"/>
            <w:vAlign w:val="center"/>
          </w:tcPr>
          <w:p w:rsidR="004936FE" w:rsidRDefault="00E72983">
            <w:pPr>
              <w:jc w:val="right"/>
            </w:pPr>
            <w:r>
              <w:rPr>
                <w:rFonts w:eastAsiaTheme="minorEastAsia"/>
                <w:color w:val="000000" w:themeColor="text1"/>
                <w:kern w:val="0"/>
              </w:rPr>
              <w:t>0.02</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9,702.14</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271.85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489.93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10,463.92</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19,132,912.72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162,853.99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1,388,214.78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17,907,551.93</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、中国证监会准予上投摩根量化多因子灵活配置混合型证券投资基金募集注册的文件</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、《上投摩根量化多因子灵活配置混合型证券投资基金基金合同》</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、《上投摩根量化多因子灵活配置混合型证券投资基金托管协议》</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、法律意见书</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、基金托管人业务资格批件、营业执照</w:t>
      </w:r>
    </w:p>
    <w:p w:rsidR="004936FE" w:rsidRDefault="00E72983">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E72983" w:rsidRPr="00E72983">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72983">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上投摩根量化多因子灵活配置混合型证券投资基金</w:t>
    </w:r>
    <w:r>
      <w:rPr>
        <w:rFonts w:hint="eastAsia"/>
      </w:rPr>
      <w:t>2021</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36FE"/>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72983"/>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CE8E3-46A4-45F5-8045-7F11529D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Chen,Richard</cp:lastModifiedBy>
  <cp:revision>268</cp:revision>
  <dcterms:created xsi:type="dcterms:W3CDTF">2012-10-16T06:07:00Z</dcterms:created>
  <dcterms:modified xsi:type="dcterms:W3CDTF">2021-07-20T02:53:00Z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