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bookmarkStart w:id="0" w:name="_GoBack"/>
      <w:bookmarkEnd w:id="0"/>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上投摩根量化多因子灵活配置混合型证券投资基金</w:t>
      </w:r>
    </w:p>
    <w:p w:rsidR="00D06738" w:rsidRDefault="00454D20">
      <w:pPr>
        <w:spacing w:line="360" w:lineRule="auto"/>
        <w:jc w:val="center"/>
        <w:rPr>
          <w:rFonts w:asciiTheme="minorEastAsia" w:eastAsiaTheme="minorEastAsia" w:hAnsiTheme="minorEastAsia"/>
          <w:b/>
          <w:color w:val="000000" w:themeColor="text1"/>
          <w:sz w:val="36"/>
          <w:szCs w:val="36"/>
        </w:rPr>
      </w:pPr>
      <w:r>
        <w:rPr>
          <w:rFonts w:asciiTheme="minorEastAsia" w:eastAsiaTheme="minorEastAsia" w:hAnsiTheme="minorEastAsia" w:hint="eastAsia"/>
          <w:b/>
          <w:color w:val="000000" w:themeColor="text1"/>
          <w:sz w:val="36"/>
          <w:szCs w:val="36"/>
        </w:rPr>
        <w:t>2021年第1季度报告</w:t>
      </w:r>
    </w:p>
    <w:p w:rsidR="00D06738" w:rsidRDefault="00454D20">
      <w:pPr>
        <w:spacing w:line="360" w:lineRule="auto"/>
        <w:jc w:val="center"/>
        <w:rPr>
          <w:rFonts w:asciiTheme="minorEastAsia" w:eastAsiaTheme="minorEastAsia" w:hAnsiTheme="minorEastAsia"/>
          <w:b/>
          <w:color w:val="000000" w:themeColor="text1"/>
          <w:sz w:val="24"/>
          <w:szCs w:val="24"/>
        </w:rPr>
      </w:pPr>
      <w:r>
        <w:rPr>
          <w:rFonts w:asciiTheme="minorEastAsia" w:eastAsiaTheme="minorEastAsia" w:hAnsiTheme="minorEastAsia"/>
          <w:b/>
          <w:color w:val="000000" w:themeColor="text1"/>
          <w:sz w:val="24"/>
          <w:szCs w:val="24"/>
        </w:rPr>
        <w:t>2021年3月31日</w:t>
      </w: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jc w:val="center"/>
        <w:rPr>
          <w:rFonts w:asciiTheme="minorEastAsia" w:eastAsiaTheme="minorEastAsia" w:hAnsiTheme="minorEastAsia"/>
          <w:b/>
          <w:bCs/>
          <w:color w:val="000000" w:themeColor="text1"/>
          <w:sz w:val="24"/>
          <w:szCs w:val="24"/>
        </w:rPr>
      </w:pPr>
    </w:p>
    <w:p w:rsidR="00D06738" w:rsidRDefault="00D06738">
      <w:pPr>
        <w:spacing w:line="360" w:lineRule="auto"/>
        <w:rPr>
          <w:rFonts w:asciiTheme="minorEastAsia" w:eastAsiaTheme="minorEastAsia" w:hAnsiTheme="minorEastAsia"/>
          <w:b/>
          <w:bCs/>
          <w:color w:val="000000" w:themeColor="text1"/>
          <w:sz w:val="24"/>
          <w:szCs w:val="24"/>
        </w:rPr>
      </w:pP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基金管理人：</w:t>
      </w:r>
      <w:r>
        <w:rPr>
          <w:rFonts w:asciiTheme="minorEastAsia" w:eastAsiaTheme="minorEastAsia" w:hAnsiTheme="minorEastAsia"/>
          <w:b/>
          <w:color w:val="000000" w:themeColor="text1"/>
          <w:sz w:val="24"/>
          <w:szCs w:val="24"/>
        </w:rPr>
        <w:t>上投摩根基金管理有限公司</w:t>
      </w: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基金托管人：</w:t>
      </w:r>
      <w:r>
        <w:rPr>
          <w:rFonts w:asciiTheme="minorEastAsia" w:eastAsiaTheme="minorEastAsia" w:hAnsiTheme="minorEastAsia"/>
          <w:b/>
          <w:color w:val="000000" w:themeColor="text1"/>
          <w:sz w:val="24"/>
          <w:szCs w:val="24"/>
        </w:rPr>
        <w:t>中国工商银行股份有限公司</w:t>
      </w:r>
    </w:p>
    <w:p w:rsidR="00D06738" w:rsidRDefault="00454D20">
      <w:pPr>
        <w:spacing w:line="360" w:lineRule="auto"/>
        <w:ind w:firstLineChars="900" w:firstLine="2168"/>
        <w:rPr>
          <w:rFonts w:asciiTheme="minorEastAsia" w:eastAsiaTheme="minorEastAsia" w:hAnsiTheme="minorEastAsia"/>
          <w:b/>
          <w:color w:val="000000" w:themeColor="text1"/>
          <w:sz w:val="24"/>
          <w:szCs w:val="24"/>
        </w:rPr>
        <w:sectPr w:rsidR="00D06738">
          <w:headerReference w:type="default" r:id="rId8"/>
          <w:footerReference w:type="default" r:id="rId9"/>
          <w:pgSz w:w="11926" w:h="15840"/>
          <w:pgMar w:top="1418" w:right="1418" w:bottom="851" w:left="1418" w:header="851" w:footer="992" w:gutter="0"/>
          <w:cols w:space="720"/>
        </w:sectPr>
      </w:pPr>
      <w:r>
        <w:rPr>
          <w:rFonts w:asciiTheme="minorEastAsia" w:eastAsiaTheme="minorEastAsia" w:hAnsiTheme="minorEastAsia" w:hint="eastAsia"/>
          <w:b/>
          <w:color w:val="000000" w:themeColor="text1"/>
          <w:sz w:val="24"/>
          <w:szCs w:val="24"/>
        </w:rPr>
        <w:t>报告送出日期：</w:t>
      </w:r>
      <w:r>
        <w:rPr>
          <w:rFonts w:asciiTheme="minorEastAsia" w:eastAsiaTheme="minorEastAsia" w:hAnsiTheme="minorEastAsia"/>
          <w:b/>
          <w:color w:val="000000" w:themeColor="text1"/>
          <w:sz w:val="24"/>
          <w:szCs w:val="24"/>
        </w:rPr>
        <w:t>二〇二一年四月二十二日</w:t>
      </w:r>
    </w:p>
    <w:p w:rsidR="00D06738" w:rsidRDefault="00454D20">
      <w:pPr>
        <w:pStyle w:val="1"/>
        <w:spacing w:beforeLines="100" w:before="312" w:afterLines="100" w:after="312" w:line="360" w:lineRule="auto"/>
        <w:jc w:val="center"/>
        <w:rPr>
          <w:rFonts w:asciiTheme="minorEastAsia" w:eastAsiaTheme="minorEastAsia" w:hAnsiTheme="minorEastAsia"/>
          <w:b w:val="0"/>
          <w:bCs w:val="0"/>
          <w:color w:val="000000" w:themeColor="text1"/>
          <w:kern w:val="0"/>
          <w:sz w:val="24"/>
          <w:szCs w:val="24"/>
        </w:rPr>
      </w:pPr>
      <w:r>
        <w:rPr>
          <w:rFonts w:asciiTheme="minorEastAsia" w:eastAsiaTheme="minorEastAsia" w:hAnsiTheme="minorEastAsia" w:hint="eastAsia"/>
          <w:color w:val="000000" w:themeColor="text1"/>
          <w:kern w:val="0"/>
          <w:sz w:val="24"/>
          <w:szCs w:val="24"/>
        </w:rPr>
        <w:lastRenderedPageBreak/>
        <w:t>§</w:t>
      </w:r>
      <w:r>
        <w:rPr>
          <w:rFonts w:asciiTheme="minorEastAsia" w:eastAsiaTheme="minorEastAsia" w:hAnsiTheme="minorEastAsia"/>
          <w:color w:val="000000" w:themeColor="text1"/>
          <w:kern w:val="0"/>
          <w:sz w:val="24"/>
          <w:szCs w:val="24"/>
        </w:rPr>
        <w:t xml:space="preserve">1  </w:t>
      </w:r>
      <w:r>
        <w:rPr>
          <w:rFonts w:asciiTheme="minorEastAsia" w:eastAsiaTheme="minorEastAsia" w:hAnsiTheme="minorEastAsia" w:hint="eastAsia"/>
          <w:color w:val="000000" w:themeColor="text1"/>
          <w:kern w:val="0"/>
          <w:sz w:val="24"/>
          <w:szCs w:val="24"/>
        </w:rPr>
        <w:t>重要提示</w:t>
      </w:r>
    </w:p>
    <w:p w:rsidR="00353FA4" w:rsidRDefault="00B7315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基金管理人的董事会及董事保证本报告所载资料不存在虚假记载、误导性陈述或重大遗漏，并对其内容的真实性、准确性和完整性承担个别及连带责任。</w:t>
      </w:r>
      <w:r>
        <w:rPr>
          <w:rFonts w:asciiTheme="minorEastAsia" w:eastAsiaTheme="minorEastAsia" w:hAnsiTheme="minorEastAsia"/>
          <w:color w:val="000000" w:themeColor="text1"/>
        </w:rPr>
        <w:t xml:space="preserve"> </w:t>
      </w:r>
    </w:p>
    <w:p w:rsidR="00353FA4" w:rsidRDefault="00B7315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基金托管人中国工商银行股份有限公司根据本基金合同规定，于</w:t>
      </w:r>
      <w:r>
        <w:rPr>
          <w:rFonts w:asciiTheme="minorEastAsia" w:eastAsiaTheme="minorEastAsia" w:hAnsiTheme="minorEastAsia"/>
          <w:color w:val="000000" w:themeColor="text1"/>
        </w:rPr>
        <w:t>2021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4</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21</w:t>
      </w:r>
      <w:r>
        <w:rPr>
          <w:rFonts w:asciiTheme="minorEastAsia" w:eastAsiaTheme="minorEastAsia" w:hAnsiTheme="minorEastAsia"/>
          <w:color w:val="000000" w:themeColor="text1"/>
        </w:rPr>
        <w:t>日复核了本报告中的财务指标、净值表现和投资组合报告等内容，保证复核内容不存在虚假记载、误导性陈述或者重大遗漏。</w:t>
      </w:r>
      <w:r>
        <w:rPr>
          <w:rFonts w:asciiTheme="minorEastAsia" w:eastAsiaTheme="minorEastAsia" w:hAnsiTheme="minorEastAsia"/>
          <w:color w:val="000000" w:themeColor="text1"/>
        </w:rPr>
        <w:t xml:space="preserve"> </w:t>
      </w:r>
    </w:p>
    <w:p w:rsidR="00353FA4" w:rsidRDefault="00B7315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基金管理人承诺以诚实信用、勤勉尽责的原则管理和运用基金资产，但不保证基金一定盈利。</w:t>
      </w:r>
      <w:r>
        <w:rPr>
          <w:rFonts w:asciiTheme="minorEastAsia" w:eastAsiaTheme="minorEastAsia" w:hAnsiTheme="minorEastAsia"/>
          <w:color w:val="000000" w:themeColor="text1"/>
        </w:rPr>
        <w:t xml:space="preserve"> </w:t>
      </w:r>
    </w:p>
    <w:p w:rsidR="00353FA4" w:rsidRDefault="00B7315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基金的过往业绩并不代表其未来表现。投资有风险，投资者在作出投资决策前应仔细阅读本基金的招募说明书。</w:t>
      </w:r>
      <w:r>
        <w:rPr>
          <w:rFonts w:asciiTheme="minorEastAsia" w:eastAsiaTheme="minorEastAsia" w:hAnsiTheme="minorEastAsia"/>
          <w:color w:val="000000" w:themeColor="text1"/>
        </w:rPr>
        <w:t xml:space="preserve"> </w:t>
      </w:r>
    </w:p>
    <w:p w:rsidR="00353FA4" w:rsidRDefault="00B7315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本报告中财务资料未经审计。</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本报告期自2021年1月1日起至3月31日止。</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2  </w:t>
      </w:r>
      <w:r>
        <w:rPr>
          <w:rFonts w:asciiTheme="minorEastAsia" w:eastAsiaTheme="minorEastAsia" w:hAnsiTheme="minorEastAsia" w:hint="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基金简称</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上投摩根量化多因子混合</w:t>
            </w:r>
          </w:p>
        </w:tc>
      </w:tr>
      <w:tr w:rsidR="00D06738">
        <w:tc>
          <w:tcPr>
            <w:tcW w:w="2835"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005120</w:t>
            </w:r>
          </w:p>
        </w:tc>
      </w:tr>
      <w:tr w:rsidR="00D06738">
        <w:tc>
          <w:tcPr>
            <w:tcW w:w="2835"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005120</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基金运作方式</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契约型开放式</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基金合同生效日</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2018年1月19日</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报告期末基金份额总额</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19,132,912.72</w:t>
            </w:r>
            <w:r>
              <w:rPr>
                <w:rFonts w:asciiTheme="minorEastAsia" w:eastAsiaTheme="minorEastAsia" w:hAnsiTheme="minorEastAsia" w:hint="eastAsia"/>
                <w:color w:val="000000" w:themeColor="text1"/>
                <w:kern w:val="0"/>
              </w:rPr>
              <w:t>份</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投资目标</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采用量化投资对基金资产进行积极管理，力争获取超越业绩基准的投资收益。</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投资策略</w:t>
            </w:r>
          </w:p>
        </w:tc>
        <w:tc>
          <w:tcPr>
            <w:tcW w:w="5479" w:type="dxa"/>
            <w:vAlign w:val="center"/>
          </w:tcPr>
          <w:p w:rsidR="00353FA4" w:rsidRDefault="00B73153">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本基金采用</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量化多因子模型</w:t>
            </w:r>
            <w:r>
              <w:rPr>
                <w:rFonts w:asciiTheme="minorEastAsia" w:eastAsiaTheme="minorEastAsia" w:hAnsiTheme="minorEastAsia"/>
                <w:color w:val="000000" w:themeColor="text1"/>
                <w:kern w:val="0"/>
              </w:rPr>
              <w:t>”</w:t>
            </w:r>
            <w:r>
              <w:rPr>
                <w:rFonts w:asciiTheme="minorEastAsia" w:eastAsiaTheme="minorEastAsia" w:hAnsiTheme="minorEastAsia"/>
                <w:color w:val="000000" w:themeColor="text1"/>
                <w:kern w:val="0"/>
              </w:rPr>
              <w:t>进行个股选择，并结合适当的资产配置策略搭建基金投资组合。</w:t>
            </w:r>
          </w:p>
          <w:p w:rsidR="00353FA4" w:rsidRDefault="00B73153">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资产配置方面，本基金通过对宏观经济、国家政策、资金面和市场情绪等影响证券市场的等因素进行深入分析，确定基金资产在股票、债券及现金等类别资产间的分配比</w:t>
            </w:r>
            <w:r>
              <w:rPr>
                <w:rFonts w:asciiTheme="minorEastAsia" w:eastAsiaTheme="minorEastAsia" w:hAnsiTheme="minorEastAsia"/>
                <w:color w:val="000000" w:themeColor="text1"/>
                <w:kern w:val="0"/>
              </w:rPr>
              <w:lastRenderedPageBreak/>
              <w:t>例，并动态优化投资组合。</w:t>
            </w:r>
          </w:p>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在股票投资过程中，本基金将运用“量化多因子模型”选股构建股票投资组合的投资策略，对基金资产进行积极管理，力争获取超越业绩基准的投资收益。</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lastRenderedPageBreak/>
              <w:t>业绩比较基准</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中证800 指数收益率×60%+中债总指数收益率×40%</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风险收益特征</w:t>
            </w:r>
          </w:p>
        </w:tc>
        <w:tc>
          <w:tcPr>
            <w:tcW w:w="5479" w:type="dxa"/>
            <w:vAlign w:val="center"/>
          </w:tcPr>
          <w:p w:rsidR="00353FA4" w:rsidRDefault="00B73153">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本基金属于混合型基金产品，预期风险和收益水平高于债券型基金和货币市场基金，低于股票型基金，属于较高风险收益水平的基金产品。</w:t>
            </w:r>
          </w:p>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根据2017年7月1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基金管理人</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上投摩根基金管理有限公司</w:t>
            </w:r>
          </w:p>
        </w:tc>
      </w:tr>
      <w:tr w:rsidR="00D06738">
        <w:tc>
          <w:tcPr>
            <w:tcW w:w="2835"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kern w:val="0"/>
              </w:rPr>
              <w:t>基金托管人</w:t>
            </w:r>
          </w:p>
        </w:tc>
        <w:tc>
          <w:tcPr>
            <w:tcW w:w="5479"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中国工商银行股份有限公司</w:t>
            </w:r>
          </w:p>
        </w:tc>
      </w:tr>
    </w:tbl>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3  </w:t>
      </w:r>
      <w:r>
        <w:rPr>
          <w:rFonts w:asciiTheme="minorEastAsia" w:eastAsiaTheme="minorEastAsia" w:hAnsiTheme="minorEastAsia" w:hint="eastAsia"/>
          <w:color w:val="000000" w:themeColor="text1"/>
          <w:kern w:val="0"/>
          <w:sz w:val="24"/>
          <w:szCs w:val="24"/>
        </w:rPr>
        <w:t>主要财务指标和基金净值表现</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3.1 </w:t>
      </w:r>
      <w:r>
        <w:rPr>
          <w:rFonts w:asciiTheme="minorEastAsia" w:eastAsiaTheme="minorEastAsia" w:hAnsiTheme="minorEastAsia" w:hint="eastAsia"/>
          <w:b/>
          <w:bCs/>
          <w:color w:val="000000" w:themeColor="text1"/>
          <w:kern w:val="0"/>
          <w:sz w:val="24"/>
          <w:szCs w:val="24"/>
        </w:rPr>
        <w:t>主要财务指标</w:t>
      </w:r>
    </w:p>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B73153" w:rsidTr="00B73153">
        <w:tc>
          <w:tcPr>
            <w:tcW w:w="3402" w:type="dxa"/>
            <w:vAlign w:val="center"/>
          </w:tcPr>
          <w:p w:rsidR="00D06738" w:rsidRDefault="00454D20">
            <w:pPr>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主要财务指标</w:t>
            </w:r>
          </w:p>
        </w:tc>
        <w:tc>
          <w:tcPr>
            <w:tcW w:w="4962" w:type="dxa"/>
            <w:vAlign w:val="center"/>
          </w:tcPr>
          <w:p w:rsidR="00D06738" w:rsidRDefault="00454D20">
            <w:pPr>
              <w:adjustRightInd w:val="0"/>
              <w:spacing w:before="29" w:line="360" w:lineRule="auto"/>
              <w:ind w:left="17"/>
              <w:jc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报告期</w:t>
            </w:r>
          </w:p>
          <w:p w:rsidR="00D06738" w:rsidRDefault="00454D20">
            <w:pPr>
              <w:adjustRightInd w:val="0"/>
              <w:spacing w:before="29" w:line="360" w:lineRule="auto"/>
              <w:ind w:left="17"/>
              <w:jc w:val="center"/>
              <w:rPr>
                <w:rFonts w:asciiTheme="minorEastAsia" w:eastAsiaTheme="minorEastAsia" w:hAnsiTheme="minorEastAsia"/>
                <w:color w:val="000000" w:themeColor="text1"/>
              </w:rPr>
            </w:pPr>
            <w:r>
              <w:rPr>
                <w:rFonts w:asciiTheme="minorEastAsia" w:eastAsiaTheme="minorEastAsia" w:hAnsiTheme="minorEastAsia" w:cs="宋体" w:hint="eastAsia"/>
                <w:color w:val="000000" w:themeColor="text1"/>
              </w:rPr>
              <w:t>(</w:t>
            </w:r>
            <w:r>
              <w:rPr>
                <w:rFonts w:asciiTheme="minorEastAsia" w:eastAsiaTheme="minorEastAsia" w:hAnsiTheme="minorEastAsia" w:cs="宋体"/>
                <w:color w:val="000000" w:themeColor="text1"/>
              </w:rPr>
              <w:t>2021年1月1日-2021年3月31日</w:t>
            </w:r>
            <w:r>
              <w:rPr>
                <w:rFonts w:asciiTheme="minorEastAsia" w:eastAsiaTheme="minorEastAsia" w:hAnsiTheme="minorEastAsia" w:cs="宋体" w:hint="eastAsia"/>
                <w:color w:val="000000" w:themeColor="text1"/>
              </w:rPr>
              <w:t>)</w:t>
            </w:r>
          </w:p>
        </w:tc>
      </w:tr>
      <w:tr w:rsidR="00B73153" w:rsidTr="00B73153">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1.</w:t>
            </w:r>
            <w:r>
              <w:rPr>
                <w:rFonts w:asciiTheme="minorEastAsia" w:eastAsiaTheme="minorEastAsia" w:hAnsiTheme="minorEastAsia" w:cs="宋体" w:hint="eastAsia"/>
                <w:color w:val="000000" w:themeColor="text1"/>
                <w:kern w:val="0"/>
              </w:rPr>
              <w:t>本期已实现收益</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424,796.62</w:t>
            </w:r>
          </w:p>
        </w:tc>
      </w:tr>
      <w:tr w:rsidR="00B73153" w:rsidTr="00B73153">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2.</w:t>
            </w:r>
            <w:r>
              <w:rPr>
                <w:rFonts w:asciiTheme="minorEastAsia" w:eastAsiaTheme="minorEastAsia" w:hAnsiTheme="minorEastAsia" w:cs="宋体" w:hint="eastAsia"/>
                <w:color w:val="000000" w:themeColor="text1"/>
                <w:kern w:val="0"/>
              </w:rPr>
              <w:t>本期利润</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-633,752.00</w:t>
            </w:r>
          </w:p>
        </w:tc>
      </w:tr>
      <w:tr w:rsidR="00B73153" w:rsidTr="00B73153">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3.</w:t>
            </w:r>
            <w:r>
              <w:rPr>
                <w:rFonts w:asciiTheme="minorEastAsia" w:eastAsiaTheme="minorEastAsia" w:hAnsiTheme="minorEastAsia" w:cs="宋体" w:hint="eastAsia"/>
                <w:color w:val="000000" w:themeColor="text1"/>
                <w:kern w:val="0"/>
              </w:rPr>
              <w:t>加权平均基金份额本期利润</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-0.0276</w:t>
            </w:r>
          </w:p>
        </w:tc>
      </w:tr>
      <w:tr w:rsidR="00B73153" w:rsidTr="00B73153">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4.</w:t>
            </w:r>
            <w:r>
              <w:rPr>
                <w:rFonts w:asciiTheme="minorEastAsia" w:eastAsiaTheme="minorEastAsia" w:hAnsiTheme="minorEastAsia" w:cs="宋体" w:hint="eastAsia"/>
                <w:color w:val="000000" w:themeColor="text1"/>
                <w:kern w:val="0"/>
              </w:rPr>
              <w:t>期末基金资产净值</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25,067,785.45</w:t>
            </w:r>
          </w:p>
        </w:tc>
      </w:tr>
      <w:tr w:rsidR="00B73153" w:rsidTr="00B73153">
        <w:trPr>
          <w:trHeight w:val="158"/>
        </w:trPr>
        <w:tc>
          <w:tcPr>
            <w:tcW w:w="3402" w:type="dxa"/>
            <w:vAlign w:val="center"/>
          </w:tcPr>
          <w:p w:rsidR="00D06738" w:rsidRDefault="00454D20">
            <w:pPr>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方正仿宋简体"/>
                <w:color w:val="000000" w:themeColor="text1"/>
                <w:kern w:val="0"/>
              </w:rPr>
              <w:t>5.</w:t>
            </w:r>
            <w:r>
              <w:rPr>
                <w:rFonts w:asciiTheme="minorEastAsia" w:eastAsiaTheme="minorEastAsia" w:hAnsiTheme="minorEastAsia" w:cs="宋体" w:hint="eastAsia"/>
                <w:color w:val="000000" w:themeColor="text1"/>
                <w:kern w:val="0"/>
              </w:rPr>
              <w:t>期末基金份额净值</w:t>
            </w:r>
          </w:p>
        </w:tc>
        <w:tc>
          <w:tcPr>
            <w:tcW w:w="4962" w:type="dxa"/>
            <w:vAlign w:val="center"/>
          </w:tcPr>
          <w:p w:rsidR="00D06738" w:rsidRDefault="00454D20">
            <w:pPr>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1.3102</w:t>
            </w:r>
          </w:p>
        </w:tc>
      </w:tr>
    </w:tbl>
    <w:p w:rsidR="00353FA4" w:rsidRDefault="00B73153">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注：本期已实现收益指基金本期利息收入、投资收益、其他收入</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不含公允价值变动收益</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lastRenderedPageBreak/>
        <w:t>扣除相关费用后的余额，本期利润为本期已实现收益加上本期公允价值变动收益。</w:t>
      </w:r>
      <w:r>
        <w:rPr>
          <w:rFonts w:asciiTheme="minorEastAsia" w:eastAsiaTheme="minorEastAsia" w:hAnsiTheme="minorEastAsia"/>
          <w:color w:val="000000" w:themeColor="text1"/>
        </w:rPr>
        <w:t xml:space="preserve"> </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 </w:t>
      </w:r>
      <w:r>
        <w:rPr>
          <w:rFonts w:asciiTheme="minorEastAsia" w:eastAsiaTheme="minorEastAsia" w:hAnsiTheme="minorEastAsia" w:hint="eastAsia"/>
          <w:b/>
          <w:bCs/>
          <w:color w:val="000000" w:themeColor="text1"/>
          <w:kern w:val="0"/>
          <w:sz w:val="24"/>
          <w:szCs w:val="24"/>
        </w:rPr>
        <w:t>基金净值表现</w:t>
      </w:r>
    </w:p>
    <w:p w:rsidR="00D06738" w:rsidRDefault="00454D20">
      <w:pPr>
        <w:autoSpaceDE w:val="0"/>
        <w:autoSpaceDN w:val="0"/>
        <w:adjustRightInd w:val="0"/>
        <w:spacing w:line="360" w:lineRule="auto"/>
        <w:jc w:val="left"/>
        <w:rPr>
          <w:rFonts w:asciiTheme="minorEastAsia" w:eastAsiaTheme="minorEastAsia" w:hAnsiTheme="minorEastAsia" w:cs="宋体"/>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3.2.1 </w:t>
      </w:r>
      <w:r>
        <w:rPr>
          <w:rFonts w:asciiTheme="minorEastAsia" w:eastAsiaTheme="minorEastAsia" w:hAnsiTheme="minorEastAsia" w:cs="宋体" w:hint="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tc>
          <w:tcPr>
            <w:tcW w:w="1395"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阶段</w:t>
            </w:r>
          </w:p>
        </w:tc>
        <w:tc>
          <w:tcPr>
            <w:tcW w:w="1092"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净值增长率①</w:t>
            </w:r>
          </w:p>
        </w:tc>
        <w:tc>
          <w:tcPr>
            <w:tcW w:w="1161"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净值增长率标准差②</w:t>
            </w:r>
          </w:p>
        </w:tc>
        <w:tc>
          <w:tcPr>
            <w:tcW w:w="1181"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业绩比较基准收益率③</w:t>
            </w:r>
          </w:p>
        </w:tc>
        <w:tc>
          <w:tcPr>
            <w:tcW w:w="1188"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业绩比较基准收益率标准差④</w:t>
            </w:r>
          </w:p>
        </w:tc>
        <w:tc>
          <w:tcPr>
            <w:tcW w:w="1199"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①</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③</w:t>
            </w:r>
          </w:p>
        </w:tc>
        <w:tc>
          <w:tcPr>
            <w:tcW w:w="1204"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②</w:t>
            </w:r>
            <w:r>
              <w:rPr>
                <w:rFonts w:asciiTheme="minorEastAsia" w:eastAsiaTheme="minorEastAsia" w:hAnsiTheme="minorEastAsia" w:cs="Arial"/>
                <w:color w:val="000000" w:themeColor="text1"/>
                <w:kern w:val="0"/>
              </w:rPr>
              <w:t>-</w:t>
            </w:r>
            <w:r>
              <w:rPr>
                <w:rFonts w:asciiTheme="minorEastAsia" w:eastAsiaTheme="minorEastAsia" w:hAnsiTheme="minorEastAsia" w:cs="Arial" w:hint="eastAsia"/>
                <w:color w:val="000000" w:themeColor="text1"/>
                <w:kern w:val="0"/>
              </w:rPr>
              <w:t>④</w:t>
            </w:r>
          </w:p>
        </w:tc>
      </w:tr>
      <w:tr w:rsidR="00353FA4">
        <w:tc>
          <w:tcPr>
            <w:tcW w:w="1395" w:type="dxa"/>
            <w:vAlign w:val="center"/>
          </w:tcPr>
          <w:p w:rsidR="00353FA4" w:rsidRDefault="00B73153">
            <w:pPr>
              <w:jc w:val="left"/>
            </w:pPr>
            <w:r>
              <w:rPr>
                <w:rFonts w:asciiTheme="minorEastAsia" w:eastAsiaTheme="minorEastAsia" w:hAnsiTheme="minorEastAsia"/>
                <w:color w:val="000000" w:themeColor="text1"/>
                <w:kern w:val="0"/>
              </w:rPr>
              <w:t>过去三个月</w:t>
            </w:r>
          </w:p>
        </w:tc>
        <w:tc>
          <w:tcPr>
            <w:tcW w:w="1092" w:type="dxa"/>
            <w:vAlign w:val="center"/>
          </w:tcPr>
          <w:p w:rsidR="00353FA4" w:rsidRDefault="00B73153">
            <w:pPr>
              <w:jc w:val="center"/>
            </w:pPr>
            <w:r>
              <w:rPr>
                <w:rFonts w:asciiTheme="minorEastAsia" w:eastAsiaTheme="minorEastAsia" w:hAnsiTheme="minorEastAsia"/>
                <w:color w:val="000000" w:themeColor="text1"/>
                <w:kern w:val="0"/>
              </w:rPr>
              <w:t>-3.16%</w:t>
            </w:r>
          </w:p>
        </w:tc>
        <w:tc>
          <w:tcPr>
            <w:tcW w:w="1161" w:type="dxa"/>
            <w:vAlign w:val="center"/>
          </w:tcPr>
          <w:p w:rsidR="00353FA4" w:rsidRDefault="00B73153">
            <w:pPr>
              <w:jc w:val="center"/>
            </w:pPr>
            <w:r>
              <w:rPr>
                <w:rFonts w:asciiTheme="minorEastAsia" w:eastAsiaTheme="minorEastAsia" w:hAnsiTheme="minorEastAsia"/>
                <w:color w:val="000000" w:themeColor="text1"/>
                <w:kern w:val="0"/>
              </w:rPr>
              <w:t>1.37%</w:t>
            </w:r>
          </w:p>
        </w:tc>
        <w:tc>
          <w:tcPr>
            <w:tcW w:w="1181" w:type="dxa"/>
            <w:vAlign w:val="center"/>
          </w:tcPr>
          <w:p w:rsidR="00353FA4" w:rsidRDefault="00B73153">
            <w:pPr>
              <w:jc w:val="center"/>
            </w:pPr>
            <w:r>
              <w:rPr>
                <w:rFonts w:asciiTheme="minorEastAsia" w:eastAsiaTheme="minorEastAsia" w:hAnsiTheme="minorEastAsia"/>
                <w:color w:val="000000" w:themeColor="text1"/>
                <w:kern w:val="0"/>
              </w:rPr>
              <w:t>-1.78%</w:t>
            </w:r>
          </w:p>
        </w:tc>
        <w:tc>
          <w:tcPr>
            <w:tcW w:w="1188" w:type="dxa"/>
            <w:vAlign w:val="center"/>
          </w:tcPr>
          <w:p w:rsidR="00353FA4" w:rsidRDefault="00B73153">
            <w:pPr>
              <w:jc w:val="center"/>
            </w:pPr>
            <w:r>
              <w:rPr>
                <w:rFonts w:asciiTheme="minorEastAsia" w:eastAsiaTheme="minorEastAsia" w:hAnsiTheme="minorEastAsia"/>
                <w:color w:val="000000" w:themeColor="text1"/>
                <w:kern w:val="0"/>
              </w:rPr>
              <w:t>0.89%</w:t>
            </w:r>
          </w:p>
        </w:tc>
        <w:tc>
          <w:tcPr>
            <w:tcW w:w="1199" w:type="dxa"/>
            <w:vAlign w:val="center"/>
          </w:tcPr>
          <w:p w:rsidR="00353FA4" w:rsidRDefault="00B73153">
            <w:pPr>
              <w:jc w:val="center"/>
            </w:pPr>
            <w:r>
              <w:rPr>
                <w:rFonts w:asciiTheme="minorEastAsia" w:eastAsiaTheme="minorEastAsia" w:hAnsiTheme="minorEastAsia"/>
                <w:color w:val="000000" w:themeColor="text1"/>
                <w:kern w:val="0"/>
              </w:rPr>
              <w:t>-1.38%</w:t>
            </w:r>
          </w:p>
        </w:tc>
        <w:tc>
          <w:tcPr>
            <w:tcW w:w="1204" w:type="dxa"/>
            <w:vAlign w:val="center"/>
          </w:tcPr>
          <w:p w:rsidR="00353FA4" w:rsidRDefault="00B73153">
            <w:pPr>
              <w:jc w:val="center"/>
            </w:pPr>
            <w:r>
              <w:rPr>
                <w:rFonts w:asciiTheme="minorEastAsia" w:eastAsiaTheme="minorEastAsia" w:hAnsiTheme="minorEastAsia"/>
                <w:color w:val="000000" w:themeColor="text1"/>
                <w:kern w:val="0"/>
              </w:rPr>
              <w:t>0.48%</w:t>
            </w:r>
          </w:p>
        </w:tc>
      </w:tr>
      <w:tr w:rsidR="00353FA4">
        <w:tc>
          <w:tcPr>
            <w:tcW w:w="1395" w:type="dxa"/>
            <w:vAlign w:val="center"/>
          </w:tcPr>
          <w:p w:rsidR="00353FA4" w:rsidRDefault="00B73153">
            <w:pPr>
              <w:jc w:val="left"/>
            </w:pPr>
            <w:r>
              <w:rPr>
                <w:rFonts w:asciiTheme="minorEastAsia" w:eastAsiaTheme="minorEastAsia" w:hAnsiTheme="minorEastAsia"/>
                <w:color w:val="000000" w:themeColor="text1"/>
                <w:kern w:val="0"/>
              </w:rPr>
              <w:t>过去六个月</w:t>
            </w:r>
          </w:p>
        </w:tc>
        <w:tc>
          <w:tcPr>
            <w:tcW w:w="1092" w:type="dxa"/>
            <w:vAlign w:val="center"/>
          </w:tcPr>
          <w:p w:rsidR="00353FA4" w:rsidRDefault="00B73153">
            <w:pPr>
              <w:jc w:val="center"/>
            </w:pPr>
            <w:r>
              <w:rPr>
                <w:rFonts w:asciiTheme="minorEastAsia" w:eastAsiaTheme="minorEastAsia" w:hAnsiTheme="minorEastAsia"/>
                <w:color w:val="000000" w:themeColor="text1"/>
                <w:kern w:val="0"/>
              </w:rPr>
              <w:t>-3.56%</w:t>
            </w:r>
          </w:p>
        </w:tc>
        <w:tc>
          <w:tcPr>
            <w:tcW w:w="1161" w:type="dxa"/>
            <w:vAlign w:val="center"/>
          </w:tcPr>
          <w:p w:rsidR="00353FA4" w:rsidRDefault="00B73153">
            <w:pPr>
              <w:jc w:val="center"/>
            </w:pPr>
            <w:r>
              <w:rPr>
                <w:rFonts w:asciiTheme="minorEastAsia" w:eastAsiaTheme="minorEastAsia" w:hAnsiTheme="minorEastAsia"/>
                <w:color w:val="000000" w:themeColor="text1"/>
                <w:kern w:val="0"/>
              </w:rPr>
              <w:t>1.26%</w:t>
            </w:r>
          </w:p>
        </w:tc>
        <w:tc>
          <w:tcPr>
            <w:tcW w:w="1181" w:type="dxa"/>
            <w:vAlign w:val="center"/>
          </w:tcPr>
          <w:p w:rsidR="00353FA4" w:rsidRDefault="00B73153">
            <w:pPr>
              <w:jc w:val="center"/>
            </w:pPr>
            <w:r>
              <w:rPr>
                <w:rFonts w:asciiTheme="minorEastAsia" w:eastAsiaTheme="minorEastAsia" w:hAnsiTheme="minorEastAsia"/>
                <w:color w:val="000000" w:themeColor="text1"/>
                <w:kern w:val="0"/>
              </w:rPr>
              <w:t>5.04%</w:t>
            </w:r>
          </w:p>
        </w:tc>
        <w:tc>
          <w:tcPr>
            <w:tcW w:w="1188" w:type="dxa"/>
            <w:vAlign w:val="center"/>
          </w:tcPr>
          <w:p w:rsidR="00353FA4" w:rsidRDefault="00B73153">
            <w:pPr>
              <w:jc w:val="center"/>
            </w:pPr>
            <w:r>
              <w:rPr>
                <w:rFonts w:asciiTheme="minorEastAsia" w:eastAsiaTheme="minorEastAsia" w:hAnsiTheme="minorEastAsia"/>
                <w:color w:val="000000" w:themeColor="text1"/>
                <w:kern w:val="0"/>
              </w:rPr>
              <w:t>0.76%</w:t>
            </w:r>
          </w:p>
        </w:tc>
        <w:tc>
          <w:tcPr>
            <w:tcW w:w="1199" w:type="dxa"/>
            <w:vAlign w:val="center"/>
          </w:tcPr>
          <w:p w:rsidR="00353FA4" w:rsidRDefault="00B73153">
            <w:pPr>
              <w:jc w:val="center"/>
            </w:pPr>
            <w:r>
              <w:rPr>
                <w:rFonts w:asciiTheme="minorEastAsia" w:eastAsiaTheme="minorEastAsia" w:hAnsiTheme="minorEastAsia"/>
                <w:color w:val="000000" w:themeColor="text1"/>
                <w:kern w:val="0"/>
              </w:rPr>
              <w:t>-8.60%</w:t>
            </w:r>
          </w:p>
        </w:tc>
        <w:tc>
          <w:tcPr>
            <w:tcW w:w="1204" w:type="dxa"/>
            <w:vAlign w:val="center"/>
          </w:tcPr>
          <w:p w:rsidR="00353FA4" w:rsidRDefault="00B73153">
            <w:pPr>
              <w:jc w:val="center"/>
            </w:pPr>
            <w:r>
              <w:rPr>
                <w:rFonts w:asciiTheme="minorEastAsia" w:eastAsiaTheme="minorEastAsia" w:hAnsiTheme="minorEastAsia"/>
                <w:color w:val="000000" w:themeColor="text1"/>
                <w:kern w:val="0"/>
              </w:rPr>
              <w:t>0.50%</w:t>
            </w:r>
          </w:p>
        </w:tc>
      </w:tr>
      <w:tr w:rsidR="00353FA4">
        <w:tc>
          <w:tcPr>
            <w:tcW w:w="1395" w:type="dxa"/>
            <w:vAlign w:val="center"/>
          </w:tcPr>
          <w:p w:rsidR="00353FA4" w:rsidRDefault="00B73153">
            <w:pPr>
              <w:jc w:val="left"/>
            </w:pPr>
            <w:r>
              <w:rPr>
                <w:rFonts w:asciiTheme="minorEastAsia" w:eastAsiaTheme="minorEastAsia" w:hAnsiTheme="minorEastAsia"/>
                <w:color w:val="000000" w:themeColor="text1"/>
                <w:kern w:val="0"/>
              </w:rPr>
              <w:t>过去一年</w:t>
            </w:r>
          </w:p>
        </w:tc>
        <w:tc>
          <w:tcPr>
            <w:tcW w:w="1092" w:type="dxa"/>
            <w:vAlign w:val="center"/>
          </w:tcPr>
          <w:p w:rsidR="00353FA4" w:rsidRDefault="00B73153">
            <w:pPr>
              <w:jc w:val="center"/>
            </w:pPr>
            <w:r>
              <w:rPr>
                <w:rFonts w:asciiTheme="minorEastAsia" w:eastAsiaTheme="minorEastAsia" w:hAnsiTheme="minorEastAsia"/>
                <w:color w:val="000000" w:themeColor="text1"/>
                <w:kern w:val="0"/>
              </w:rPr>
              <w:t>24.30%</w:t>
            </w:r>
          </w:p>
        </w:tc>
        <w:tc>
          <w:tcPr>
            <w:tcW w:w="1161" w:type="dxa"/>
            <w:vAlign w:val="center"/>
          </w:tcPr>
          <w:p w:rsidR="00353FA4" w:rsidRDefault="00B73153">
            <w:pPr>
              <w:jc w:val="center"/>
            </w:pPr>
            <w:r>
              <w:rPr>
                <w:rFonts w:asciiTheme="minorEastAsia" w:eastAsiaTheme="minorEastAsia" w:hAnsiTheme="minorEastAsia"/>
                <w:color w:val="000000" w:themeColor="text1"/>
                <w:kern w:val="0"/>
              </w:rPr>
              <w:t>1.25%</w:t>
            </w:r>
          </w:p>
        </w:tc>
        <w:tc>
          <w:tcPr>
            <w:tcW w:w="1181" w:type="dxa"/>
            <w:vAlign w:val="center"/>
          </w:tcPr>
          <w:p w:rsidR="00353FA4" w:rsidRDefault="00B73153">
            <w:pPr>
              <w:jc w:val="center"/>
            </w:pPr>
            <w:r>
              <w:rPr>
                <w:rFonts w:asciiTheme="minorEastAsia" w:eastAsiaTheme="minorEastAsia" w:hAnsiTheme="minorEastAsia"/>
                <w:color w:val="000000" w:themeColor="text1"/>
                <w:kern w:val="0"/>
              </w:rPr>
              <w:t>19.14%</w:t>
            </w:r>
          </w:p>
        </w:tc>
        <w:tc>
          <w:tcPr>
            <w:tcW w:w="1188" w:type="dxa"/>
            <w:vAlign w:val="center"/>
          </w:tcPr>
          <w:p w:rsidR="00353FA4" w:rsidRDefault="00B73153">
            <w:pPr>
              <w:jc w:val="center"/>
            </w:pPr>
            <w:r>
              <w:rPr>
                <w:rFonts w:asciiTheme="minorEastAsia" w:eastAsiaTheme="minorEastAsia" w:hAnsiTheme="minorEastAsia"/>
                <w:color w:val="000000" w:themeColor="text1"/>
                <w:kern w:val="0"/>
              </w:rPr>
              <w:t>0.77%</w:t>
            </w:r>
          </w:p>
        </w:tc>
        <w:tc>
          <w:tcPr>
            <w:tcW w:w="1199" w:type="dxa"/>
            <w:vAlign w:val="center"/>
          </w:tcPr>
          <w:p w:rsidR="00353FA4" w:rsidRDefault="00B73153">
            <w:pPr>
              <w:jc w:val="center"/>
            </w:pPr>
            <w:r>
              <w:rPr>
                <w:rFonts w:asciiTheme="minorEastAsia" w:eastAsiaTheme="minorEastAsia" w:hAnsiTheme="minorEastAsia"/>
                <w:color w:val="000000" w:themeColor="text1"/>
                <w:kern w:val="0"/>
              </w:rPr>
              <w:t>5.16%</w:t>
            </w:r>
          </w:p>
        </w:tc>
        <w:tc>
          <w:tcPr>
            <w:tcW w:w="1204" w:type="dxa"/>
            <w:vAlign w:val="center"/>
          </w:tcPr>
          <w:p w:rsidR="00353FA4" w:rsidRDefault="00B73153">
            <w:pPr>
              <w:jc w:val="center"/>
            </w:pPr>
            <w:r>
              <w:rPr>
                <w:rFonts w:asciiTheme="minorEastAsia" w:eastAsiaTheme="minorEastAsia" w:hAnsiTheme="minorEastAsia"/>
                <w:color w:val="000000" w:themeColor="text1"/>
                <w:kern w:val="0"/>
              </w:rPr>
              <w:t>0.48%</w:t>
            </w:r>
          </w:p>
        </w:tc>
      </w:tr>
      <w:tr w:rsidR="00353FA4">
        <w:tc>
          <w:tcPr>
            <w:tcW w:w="1395" w:type="dxa"/>
            <w:vAlign w:val="center"/>
          </w:tcPr>
          <w:p w:rsidR="00353FA4" w:rsidRDefault="00B73153">
            <w:pPr>
              <w:jc w:val="left"/>
            </w:pPr>
            <w:r>
              <w:rPr>
                <w:rFonts w:asciiTheme="minorEastAsia" w:eastAsiaTheme="minorEastAsia" w:hAnsiTheme="minorEastAsia"/>
                <w:color w:val="000000" w:themeColor="text1"/>
                <w:kern w:val="0"/>
              </w:rPr>
              <w:t>过去三年</w:t>
            </w:r>
          </w:p>
        </w:tc>
        <w:tc>
          <w:tcPr>
            <w:tcW w:w="1092" w:type="dxa"/>
            <w:vAlign w:val="center"/>
          </w:tcPr>
          <w:p w:rsidR="00353FA4" w:rsidRDefault="00B73153">
            <w:pPr>
              <w:jc w:val="center"/>
            </w:pPr>
            <w:r>
              <w:rPr>
                <w:rFonts w:asciiTheme="minorEastAsia" w:eastAsiaTheme="minorEastAsia" w:hAnsiTheme="minorEastAsia"/>
                <w:color w:val="000000" w:themeColor="text1"/>
                <w:kern w:val="0"/>
              </w:rPr>
              <w:t>33.22%</w:t>
            </w:r>
          </w:p>
        </w:tc>
        <w:tc>
          <w:tcPr>
            <w:tcW w:w="1161" w:type="dxa"/>
            <w:vAlign w:val="center"/>
          </w:tcPr>
          <w:p w:rsidR="00353FA4" w:rsidRDefault="00B73153">
            <w:pPr>
              <w:jc w:val="center"/>
            </w:pPr>
            <w:r>
              <w:rPr>
                <w:rFonts w:asciiTheme="minorEastAsia" w:eastAsiaTheme="minorEastAsia" w:hAnsiTheme="minorEastAsia"/>
                <w:color w:val="000000" w:themeColor="text1"/>
                <w:kern w:val="0"/>
              </w:rPr>
              <w:t>1.31%</w:t>
            </w:r>
          </w:p>
        </w:tc>
        <w:tc>
          <w:tcPr>
            <w:tcW w:w="1181" w:type="dxa"/>
            <w:vAlign w:val="center"/>
          </w:tcPr>
          <w:p w:rsidR="00353FA4" w:rsidRDefault="00B73153">
            <w:pPr>
              <w:jc w:val="center"/>
            </w:pPr>
            <w:r>
              <w:rPr>
                <w:rFonts w:asciiTheme="minorEastAsia" w:eastAsiaTheme="minorEastAsia" w:hAnsiTheme="minorEastAsia"/>
                <w:color w:val="000000" w:themeColor="text1"/>
                <w:kern w:val="0"/>
              </w:rPr>
              <w:t>15.67%</w:t>
            </w:r>
          </w:p>
        </w:tc>
        <w:tc>
          <w:tcPr>
            <w:tcW w:w="1188" w:type="dxa"/>
            <w:vAlign w:val="center"/>
          </w:tcPr>
          <w:p w:rsidR="00353FA4" w:rsidRDefault="00B73153">
            <w:pPr>
              <w:jc w:val="center"/>
            </w:pPr>
            <w:r>
              <w:rPr>
                <w:rFonts w:asciiTheme="minorEastAsia" w:eastAsiaTheme="minorEastAsia" w:hAnsiTheme="minorEastAsia"/>
                <w:color w:val="000000" w:themeColor="text1"/>
                <w:kern w:val="0"/>
              </w:rPr>
              <w:t>0.82%</w:t>
            </w:r>
          </w:p>
        </w:tc>
        <w:tc>
          <w:tcPr>
            <w:tcW w:w="1199" w:type="dxa"/>
            <w:vAlign w:val="center"/>
          </w:tcPr>
          <w:p w:rsidR="00353FA4" w:rsidRDefault="00B73153">
            <w:pPr>
              <w:jc w:val="center"/>
            </w:pPr>
            <w:r>
              <w:rPr>
                <w:rFonts w:asciiTheme="minorEastAsia" w:eastAsiaTheme="minorEastAsia" w:hAnsiTheme="minorEastAsia"/>
                <w:color w:val="000000" w:themeColor="text1"/>
                <w:kern w:val="0"/>
              </w:rPr>
              <w:t>17.55%</w:t>
            </w:r>
          </w:p>
        </w:tc>
        <w:tc>
          <w:tcPr>
            <w:tcW w:w="1204" w:type="dxa"/>
            <w:vAlign w:val="center"/>
          </w:tcPr>
          <w:p w:rsidR="00353FA4" w:rsidRDefault="00B73153">
            <w:pPr>
              <w:jc w:val="center"/>
            </w:pPr>
            <w:r>
              <w:rPr>
                <w:rFonts w:asciiTheme="minorEastAsia" w:eastAsiaTheme="minorEastAsia" w:hAnsiTheme="minorEastAsia"/>
                <w:color w:val="000000" w:themeColor="text1"/>
                <w:kern w:val="0"/>
              </w:rPr>
              <w:t>0.49%</w:t>
            </w:r>
          </w:p>
        </w:tc>
      </w:tr>
      <w:tr w:rsidR="00353FA4">
        <w:tc>
          <w:tcPr>
            <w:tcW w:w="1395" w:type="dxa"/>
            <w:vAlign w:val="center"/>
          </w:tcPr>
          <w:p w:rsidR="00353FA4" w:rsidRDefault="00B73153">
            <w:pPr>
              <w:jc w:val="left"/>
            </w:pPr>
            <w:r>
              <w:rPr>
                <w:rFonts w:asciiTheme="minorEastAsia" w:eastAsiaTheme="minorEastAsia" w:hAnsiTheme="minorEastAsia"/>
                <w:color w:val="000000" w:themeColor="text1"/>
                <w:kern w:val="0"/>
              </w:rPr>
              <w:t>过去五年</w:t>
            </w:r>
          </w:p>
        </w:tc>
        <w:tc>
          <w:tcPr>
            <w:tcW w:w="1092" w:type="dxa"/>
            <w:vAlign w:val="center"/>
          </w:tcPr>
          <w:p w:rsidR="00353FA4" w:rsidRDefault="00B73153">
            <w:pPr>
              <w:jc w:val="center"/>
            </w:pPr>
            <w:r>
              <w:rPr>
                <w:rFonts w:asciiTheme="minorEastAsia" w:eastAsiaTheme="minorEastAsia" w:hAnsiTheme="minorEastAsia"/>
                <w:color w:val="000000" w:themeColor="text1"/>
                <w:kern w:val="0"/>
              </w:rPr>
              <w:t>-</w:t>
            </w:r>
          </w:p>
        </w:tc>
        <w:tc>
          <w:tcPr>
            <w:tcW w:w="1161" w:type="dxa"/>
            <w:vAlign w:val="center"/>
          </w:tcPr>
          <w:p w:rsidR="00353FA4" w:rsidRDefault="00B73153">
            <w:pPr>
              <w:jc w:val="center"/>
            </w:pPr>
            <w:r>
              <w:rPr>
                <w:rFonts w:asciiTheme="minorEastAsia" w:eastAsiaTheme="minorEastAsia" w:hAnsiTheme="minorEastAsia"/>
                <w:color w:val="000000" w:themeColor="text1"/>
                <w:kern w:val="0"/>
              </w:rPr>
              <w:t>-</w:t>
            </w:r>
          </w:p>
        </w:tc>
        <w:tc>
          <w:tcPr>
            <w:tcW w:w="1181" w:type="dxa"/>
            <w:vAlign w:val="center"/>
          </w:tcPr>
          <w:p w:rsidR="00353FA4" w:rsidRDefault="00B73153">
            <w:pPr>
              <w:jc w:val="center"/>
            </w:pPr>
            <w:r>
              <w:rPr>
                <w:rFonts w:asciiTheme="minorEastAsia" w:eastAsiaTheme="minorEastAsia" w:hAnsiTheme="minorEastAsia"/>
                <w:color w:val="000000" w:themeColor="text1"/>
                <w:kern w:val="0"/>
              </w:rPr>
              <w:t>-</w:t>
            </w:r>
          </w:p>
        </w:tc>
        <w:tc>
          <w:tcPr>
            <w:tcW w:w="1188" w:type="dxa"/>
            <w:vAlign w:val="center"/>
          </w:tcPr>
          <w:p w:rsidR="00353FA4" w:rsidRDefault="00B73153">
            <w:pPr>
              <w:jc w:val="center"/>
            </w:pPr>
            <w:r>
              <w:rPr>
                <w:rFonts w:asciiTheme="minorEastAsia" w:eastAsiaTheme="minorEastAsia" w:hAnsiTheme="minorEastAsia"/>
                <w:color w:val="000000" w:themeColor="text1"/>
                <w:kern w:val="0"/>
              </w:rPr>
              <w:t>-</w:t>
            </w:r>
          </w:p>
        </w:tc>
        <w:tc>
          <w:tcPr>
            <w:tcW w:w="1199" w:type="dxa"/>
            <w:vAlign w:val="center"/>
          </w:tcPr>
          <w:p w:rsidR="00353FA4" w:rsidRDefault="00B73153">
            <w:pPr>
              <w:jc w:val="center"/>
            </w:pPr>
            <w:r>
              <w:rPr>
                <w:rFonts w:asciiTheme="minorEastAsia" w:eastAsiaTheme="minorEastAsia" w:hAnsiTheme="minorEastAsia"/>
                <w:color w:val="000000" w:themeColor="text1"/>
                <w:kern w:val="0"/>
              </w:rPr>
              <w:t>-</w:t>
            </w:r>
          </w:p>
        </w:tc>
        <w:tc>
          <w:tcPr>
            <w:tcW w:w="1204" w:type="dxa"/>
            <w:vAlign w:val="center"/>
          </w:tcPr>
          <w:p w:rsidR="00353FA4" w:rsidRDefault="00B73153">
            <w:pPr>
              <w:jc w:val="center"/>
            </w:pPr>
            <w:r>
              <w:rPr>
                <w:rFonts w:asciiTheme="minorEastAsia" w:eastAsiaTheme="minorEastAsia" w:hAnsiTheme="minorEastAsia"/>
                <w:color w:val="000000" w:themeColor="text1"/>
                <w:kern w:val="0"/>
              </w:rPr>
              <w:t>-</w:t>
            </w:r>
          </w:p>
        </w:tc>
      </w:tr>
      <w:tr w:rsidR="00353FA4">
        <w:tc>
          <w:tcPr>
            <w:tcW w:w="1395" w:type="dxa"/>
            <w:vAlign w:val="center"/>
          </w:tcPr>
          <w:p w:rsidR="00353FA4" w:rsidRDefault="00B73153">
            <w:pPr>
              <w:jc w:val="left"/>
            </w:pPr>
            <w:r>
              <w:rPr>
                <w:rFonts w:asciiTheme="minorEastAsia" w:eastAsiaTheme="minorEastAsia" w:hAnsiTheme="minorEastAsia"/>
                <w:color w:val="000000" w:themeColor="text1"/>
                <w:kern w:val="0"/>
              </w:rPr>
              <w:t>自基金合同生效起至今</w:t>
            </w:r>
          </w:p>
        </w:tc>
        <w:tc>
          <w:tcPr>
            <w:tcW w:w="1092" w:type="dxa"/>
            <w:vAlign w:val="center"/>
          </w:tcPr>
          <w:p w:rsidR="00353FA4" w:rsidRDefault="00B73153">
            <w:pPr>
              <w:jc w:val="center"/>
            </w:pPr>
            <w:r>
              <w:rPr>
                <w:rFonts w:asciiTheme="minorEastAsia" w:eastAsiaTheme="minorEastAsia" w:hAnsiTheme="minorEastAsia"/>
                <w:color w:val="000000" w:themeColor="text1"/>
                <w:kern w:val="0"/>
              </w:rPr>
              <w:t>31.02%</w:t>
            </w:r>
          </w:p>
        </w:tc>
        <w:tc>
          <w:tcPr>
            <w:tcW w:w="1161" w:type="dxa"/>
            <w:vAlign w:val="center"/>
          </w:tcPr>
          <w:p w:rsidR="00353FA4" w:rsidRDefault="00B73153">
            <w:pPr>
              <w:jc w:val="center"/>
            </w:pPr>
            <w:r>
              <w:rPr>
                <w:rFonts w:asciiTheme="minorEastAsia" w:eastAsiaTheme="minorEastAsia" w:hAnsiTheme="minorEastAsia"/>
                <w:color w:val="000000" w:themeColor="text1"/>
                <w:kern w:val="0"/>
              </w:rPr>
              <w:t>1.29%</w:t>
            </w:r>
          </w:p>
        </w:tc>
        <w:tc>
          <w:tcPr>
            <w:tcW w:w="1181" w:type="dxa"/>
            <w:vAlign w:val="center"/>
          </w:tcPr>
          <w:p w:rsidR="00353FA4" w:rsidRDefault="00B73153">
            <w:pPr>
              <w:jc w:val="center"/>
            </w:pPr>
            <w:r>
              <w:rPr>
                <w:rFonts w:asciiTheme="minorEastAsia" w:eastAsiaTheme="minorEastAsia" w:hAnsiTheme="minorEastAsia"/>
                <w:color w:val="000000" w:themeColor="text1"/>
                <w:kern w:val="0"/>
              </w:rPr>
              <w:t>11.04%</w:t>
            </w:r>
          </w:p>
        </w:tc>
        <w:tc>
          <w:tcPr>
            <w:tcW w:w="1188" w:type="dxa"/>
            <w:vAlign w:val="center"/>
          </w:tcPr>
          <w:p w:rsidR="00353FA4" w:rsidRDefault="00B73153">
            <w:pPr>
              <w:jc w:val="center"/>
            </w:pPr>
            <w:r>
              <w:rPr>
                <w:rFonts w:asciiTheme="minorEastAsia" w:eastAsiaTheme="minorEastAsia" w:hAnsiTheme="minorEastAsia"/>
                <w:color w:val="000000" w:themeColor="text1"/>
                <w:kern w:val="0"/>
              </w:rPr>
              <w:t>0.81%</w:t>
            </w:r>
          </w:p>
        </w:tc>
        <w:tc>
          <w:tcPr>
            <w:tcW w:w="1199" w:type="dxa"/>
            <w:vAlign w:val="center"/>
          </w:tcPr>
          <w:p w:rsidR="00353FA4" w:rsidRDefault="00B73153">
            <w:pPr>
              <w:jc w:val="center"/>
            </w:pPr>
            <w:r>
              <w:rPr>
                <w:rFonts w:asciiTheme="minorEastAsia" w:eastAsiaTheme="minorEastAsia" w:hAnsiTheme="minorEastAsia"/>
                <w:color w:val="000000" w:themeColor="text1"/>
                <w:kern w:val="0"/>
              </w:rPr>
              <w:t>19.98%</w:t>
            </w:r>
          </w:p>
        </w:tc>
        <w:tc>
          <w:tcPr>
            <w:tcW w:w="1204" w:type="dxa"/>
            <w:vAlign w:val="center"/>
          </w:tcPr>
          <w:p w:rsidR="00353FA4" w:rsidRDefault="00B73153">
            <w:pPr>
              <w:jc w:val="center"/>
            </w:pPr>
            <w:r>
              <w:rPr>
                <w:rFonts w:asciiTheme="minorEastAsia" w:eastAsiaTheme="minorEastAsia" w:hAnsiTheme="minorEastAsia"/>
                <w:color w:val="000000" w:themeColor="text1"/>
                <w:kern w:val="0"/>
              </w:rPr>
              <w:t>0.48%</w:t>
            </w:r>
          </w:p>
        </w:tc>
      </w:tr>
    </w:tbl>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3.2.2</w:t>
      </w:r>
      <w:r>
        <w:rPr>
          <w:rStyle w:val="afe"/>
          <w:rFonts w:hint="eastAsia"/>
          <w:color w:val="000000" w:themeColor="text1"/>
          <w:sz w:val="24"/>
          <w:szCs w:val="24"/>
          <w:shd w:val="clear" w:color="auto" w:fill="FFFFFF"/>
        </w:rPr>
        <w:t>自基金合同生效以来</w:t>
      </w:r>
      <w:r>
        <w:rPr>
          <w:rFonts w:asciiTheme="minorEastAsia" w:eastAsiaTheme="minorEastAsia" w:hAnsiTheme="minorEastAsia" w:hint="eastAsia"/>
          <w:b/>
          <w:bCs/>
          <w:color w:val="000000" w:themeColor="text1"/>
          <w:kern w:val="0"/>
          <w:sz w:val="24"/>
          <w:szCs w:val="24"/>
        </w:rPr>
        <w:t>基金累计净值增长率变动及其与同期业绩比较基准收益率变动的比较</w:t>
      </w:r>
    </w:p>
    <w:p w:rsidR="00D06738" w:rsidRDefault="00454D20">
      <w:pPr>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上投摩根量化多因子灵活配置混合型证券投资基金</w:t>
      </w:r>
    </w:p>
    <w:p w:rsidR="00D06738" w:rsidRDefault="00454D20">
      <w:pPr>
        <w:pStyle w:val="ae"/>
        <w:snapToGrid w:val="0"/>
        <w:spacing w:line="360" w:lineRule="auto"/>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累计净值增长率与业绩比较基准收益率历史走势对比图</w:t>
      </w:r>
    </w:p>
    <w:p w:rsidR="00D06738" w:rsidRDefault="00454D20">
      <w:pPr>
        <w:pStyle w:val="ae"/>
        <w:snapToGrid w:val="0"/>
        <w:spacing w:line="360" w:lineRule="auto"/>
        <w:ind w:firstLine="480"/>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2018年1月19日</w:t>
      </w:r>
      <w:r>
        <w:rPr>
          <w:rFonts w:asciiTheme="minorEastAsia" w:eastAsiaTheme="minorEastAsia" w:hAnsiTheme="minorEastAsia" w:hint="eastAsia"/>
          <w:color w:val="000000" w:themeColor="text1"/>
        </w:rPr>
        <w:t>至2021年3月31日)</w:t>
      </w:r>
    </w:p>
    <w:p w:rsidR="00D06738" w:rsidRDefault="00454D20">
      <w:pPr>
        <w:pStyle w:val="ae"/>
        <w:snapToGrid w:val="0"/>
        <w:spacing w:before="120" w:line="360" w:lineRule="auto"/>
        <w:jc w:val="center"/>
        <w:rPr>
          <w:rFonts w:asciiTheme="minorEastAsia" w:eastAsiaTheme="minorEastAsia" w:hAnsiTheme="minorEastAsia"/>
          <w:color w:val="000000" w:themeColor="text1"/>
          <w:sz w:val="24"/>
          <w:szCs w:val="24"/>
        </w:rPr>
      </w:pPr>
      <w:r>
        <w:rPr>
          <w:rFonts w:asciiTheme="minorEastAsia" w:eastAsiaTheme="minorEastAsia" w:hAnsiTheme="minorEastAsia"/>
          <w:noProof/>
          <w:color w:val="000000" w:themeColor="text1"/>
          <w:sz w:val="24"/>
          <w:szCs w:val="24"/>
        </w:rPr>
        <w:lastRenderedPageBreak/>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353FA4" w:rsidRDefault="00B73153">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注：本基金合同生效日为</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w:t>
      </w:r>
      <w:r>
        <w:rPr>
          <w:rFonts w:asciiTheme="minorEastAsia" w:eastAsiaTheme="minorEastAsia" w:hAnsiTheme="minorEastAsia"/>
          <w:color w:val="000000" w:themeColor="text1"/>
        </w:rPr>
        <w:t>19</w:t>
      </w:r>
      <w:r>
        <w:rPr>
          <w:rFonts w:asciiTheme="minorEastAsia" w:eastAsiaTheme="minorEastAsia" w:hAnsiTheme="minorEastAsia"/>
          <w:color w:val="000000" w:themeColor="text1"/>
        </w:rPr>
        <w:t>日，图示的时间段为合同生效日至本报告期末。</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本基金建仓期为本基金合同生效日起6个月，建仓期结束时资产配置比例符合本基金基金合同规定。</w:t>
      </w:r>
    </w:p>
    <w:p w:rsidR="00D06738" w:rsidRDefault="00D06738">
      <w:pPr>
        <w:tabs>
          <w:tab w:val="left" w:pos="1800"/>
        </w:tabs>
        <w:spacing w:line="360" w:lineRule="auto"/>
        <w:rPr>
          <w:rFonts w:asciiTheme="minorEastAsia" w:eastAsiaTheme="minorEastAsia" w:hAnsiTheme="minorEastAsia"/>
          <w:color w:val="000000" w:themeColor="text1"/>
          <w:sz w:val="24"/>
          <w:szCs w:val="24"/>
        </w:rPr>
      </w:pPr>
    </w:p>
    <w:p w:rsidR="00D06738" w:rsidRDefault="00D06738">
      <w:pPr>
        <w:tabs>
          <w:tab w:val="left" w:pos="1800"/>
        </w:tabs>
        <w:spacing w:line="288" w:lineRule="auto"/>
        <w:rPr>
          <w:rFonts w:asciiTheme="minorEastAsia" w:eastAsiaTheme="minorEastAsia" w:hAnsiTheme="minorEastAsia"/>
          <w:color w:val="000000" w:themeColor="text1"/>
          <w:sz w:val="24"/>
          <w:szCs w:val="24"/>
        </w:rPr>
      </w:pP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4  </w:t>
      </w:r>
      <w:r>
        <w:rPr>
          <w:rFonts w:asciiTheme="minorEastAsia" w:eastAsiaTheme="minorEastAsia" w:hAnsiTheme="minorEastAsia" w:hint="eastAsia"/>
          <w:color w:val="000000" w:themeColor="text1"/>
          <w:kern w:val="0"/>
          <w:sz w:val="24"/>
          <w:szCs w:val="24"/>
        </w:rPr>
        <w:t>管理人报告</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4.1 </w:t>
      </w:r>
      <w:r>
        <w:rPr>
          <w:rFonts w:asciiTheme="minorEastAsia" w:eastAsiaTheme="minorEastAsia" w:hAnsiTheme="minorEastAsia" w:hint="eastAsia"/>
          <w:b/>
          <w:bCs/>
          <w:color w:val="000000" w:themeColor="text1"/>
          <w:kern w:val="0"/>
          <w:sz w:val="24"/>
          <w:szCs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trPr>
          <w:cantSplit/>
          <w:trHeight w:val="292"/>
        </w:trPr>
        <w:tc>
          <w:tcPr>
            <w:tcW w:w="851"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姓名</w:t>
            </w:r>
          </w:p>
        </w:tc>
        <w:tc>
          <w:tcPr>
            <w:tcW w:w="850"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职务</w:t>
            </w:r>
          </w:p>
        </w:tc>
        <w:tc>
          <w:tcPr>
            <w:tcW w:w="3119" w:type="dxa"/>
            <w:gridSpan w:val="2"/>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任本基金的基金经理期限</w:t>
            </w:r>
          </w:p>
        </w:tc>
        <w:tc>
          <w:tcPr>
            <w:tcW w:w="1417" w:type="dxa"/>
            <w:vMerge w:val="restart"/>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证券从业年限</w:t>
            </w:r>
          </w:p>
        </w:tc>
        <w:tc>
          <w:tcPr>
            <w:tcW w:w="2694" w:type="dxa"/>
            <w:vMerge w:val="restart"/>
            <w:vAlign w:val="center"/>
          </w:tcPr>
          <w:p w:rsidR="00D06738" w:rsidRDefault="00454D20">
            <w:pPr>
              <w:widowControl/>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说明</w:t>
            </w:r>
          </w:p>
        </w:tc>
      </w:tr>
      <w:tr w:rsidR="00D06738">
        <w:trPr>
          <w:cantSplit/>
        </w:trPr>
        <w:tc>
          <w:tcPr>
            <w:tcW w:w="851"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850"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1560"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任职日期</w:t>
            </w:r>
          </w:p>
        </w:tc>
        <w:tc>
          <w:tcPr>
            <w:tcW w:w="1559"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离任日期</w:t>
            </w:r>
          </w:p>
        </w:tc>
        <w:tc>
          <w:tcPr>
            <w:tcW w:w="1417"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c>
          <w:tcPr>
            <w:tcW w:w="2694" w:type="dxa"/>
            <w:vMerge/>
            <w:vAlign w:val="center"/>
          </w:tcPr>
          <w:p w:rsidR="00D06738" w:rsidRDefault="00D06738">
            <w:pPr>
              <w:widowControl/>
              <w:spacing w:line="360" w:lineRule="auto"/>
              <w:jc w:val="left"/>
              <w:rPr>
                <w:rFonts w:asciiTheme="minorEastAsia" w:eastAsiaTheme="minorEastAsia" w:hAnsiTheme="minorEastAsia"/>
                <w:color w:val="000000" w:themeColor="text1"/>
                <w:kern w:val="0"/>
              </w:rPr>
            </w:pPr>
          </w:p>
        </w:tc>
      </w:tr>
      <w:tr w:rsidR="00353FA4">
        <w:tc>
          <w:tcPr>
            <w:tcW w:w="851" w:type="dxa"/>
            <w:vAlign w:val="center"/>
          </w:tcPr>
          <w:p w:rsidR="00353FA4" w:rsidRDefault="00B73153">
            <w:pPr>
              <w:jc w:val="center"/>
            </w:pPr>
            <w:r>
              <w:rPr>
                <w:rFonts w:asciiTheme="minorEastAsia" w:eastAsiaTheme="minorEastAsia" w:hAnsiTheme="minorEastAsia"/>
                <w:color w:val="000000" w:themeColor="text1"/>
              </w:rPr>
              <w:t>施虓文</w:t>
            </w:r>
          </w:p>
        </w:tc>
        <w:tc>
          <w:tcPr>
            <w:tcW w:w="850" w:type="dxa"/>
            <w:vAlign w:val="center"/>
          </w:tcPr>
          <w:p w:rsidR="00353FA4" w:rsidRDefault="00B73153">
            <w:pPr>
              <w:jc w:val="center"/>
            </w:pPr>
            <w:r>
              <w:rPr>
                <w:rFonts w:asciiTheme="minorEastAsia" w:eastAsiaTheme="minorEastAsia" w:hAnsiTheme="minorEastAsia"/>
                <w:color w:val="000000" w:themeColor="text1"/>
              </w:rPr>
              <w:t>本基金基金经理</w:t>
            </w:r>
          </w:p>
        </w:tc>
        <w:tc>
          <w:tcPr>
            <w:tcW w:w="1560" w:type="dxa"/>
            <w:vAlign w:val="center"/>
          </w:tcPr>
          <w:p w:rsidR="00353FA4" w:rsidRDefault="00B73153">
            <w:pPr>
              <w:jc w:val="center"/>
            </w:pPr>
            <w:r>
              <w:rPr>
                <w:rFonts w:asciiTheme="minorEastAsia" w:eastAsiaTheme="minorEastAsia" w:hAnsiTheme="minorEastAsia"/>
                <w:color w:val="000000" w:themeColor="text1"/>
              </w:rPr>
              <w:t>2019-12-27</w:t>
            </w:r>
          </w:p>
        </w:tc>
        <w:tc>
          <w:tcPr>
            <w:tcW w:w="1559" w:type="dxa"/>
            <w:vAlign w:val="center"/>
          </w:tcPr>
          <w:p w:rsidR="00353FA4" w:rsidRDefault="00B73153">
            <w:pPr>
              <w:jc w:val="center"/>
            </w:pPr>
            <w:r>
              <w:rPr>
                <w:rFonts w:asciiTheme="minorEastAsia" w:eastAsiaTheme="minorEastAsia" w:hAnsiTheme="minorEastAsia"/>
                <w:color w:val="000000" w:themeColor="text1"/>
              </w:rPr>
              <w:t>2021-01-07</w:t>
            </w:r>
          </w:p>
        </w:tc>
        <w:tc>
          <w:tcPr>
            <w:tcW w:w="1417" w:type="dxa"/>
            <w:vAlign w:val="center"/>
          </w:tcPr>
          <w:p w:rsidR="00353FA4" w:rsidRDefault="00B73153">
            <w:pPr>
              <w:jc w:val="center"/>
            </w:pP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年</w:t>
            </w:r>
          </w:p>
        </w:tc>
        <w:tc>
          <w:tcPr>
            <w:tcW w:w="2694" w:type="dxa"/>
            <w:vAlign w:val="center"/>
          </w:tcPr>
          <w:p w:rsidR="00353FA4" w:rsidRDefault="00B73153">
            <w:r>
              <w:rPr>
                <w:rFonts w:asciiTheme="minorEastAsia" w:eastAsiaTheme="minorEastAsia" w:hAnsiTheme="minorEastAsia"/>
                <w:color w:val="000000" w:themeColor="text1"/>
              </w:rPr>
              <w:t>基金经理施虓文先生，北京大学经济学硕士，</w:t>
            </w:r>
            <w:r>
              <w:rPr>
                <w:rFonts w:asciiTheme="minorEastAsia" w:eastAsiaTheme="minorEastAsia" w:hAnsiTheme="minorEastAsia"/>
                <w:color w:val="000000" w:themeColor="text1"/>
              </w:rPr>
              <w:t>2012</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月起加入上投摩根基金管理有限公司，先后担任助理研究员、研究员</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基金经理助理、基金经理，主要承担量化支持方面的工作。</w:t>
            </w:r>
            <w:r>
              <w:rPr>
                <w:rFonts w:asciiTheme="minorEastAsia" w:eastAsiaTheme="minorEastAsia" w:hAnsiTheme="minorEastAsia"/>
                <w:color w:val="000000" w:themeColor="text1"/>
              </w:rPr>
              <w:t>2017</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月担任上投摩根安丰回报混合型证券投资基金基金经理，</w:t>
            </w:r>
            <w:r>
              <w:rPr>
                <w:rFonts w:asciiTheme="minorEastAsia" w:eastAsiaTheme="minorEastAsia" w:hAnsiTheme="minorEastAsia"/>
                <w:color w:val="000000" w:themeColor="text1"/>
              </w:rPr>
              <w:t>2017</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月同时担任上投摩根安泽回报混合型证券投资基金</w:t>
            </w:r>
            <w:r>
              <w:rPr>
                <w:rFonts w:asciiTheme="minorEastAsia" w:eastAsiaTheme="minorEastAsia" w:hAnsiTheme="minorEastAsia"/>
                <w:color w:val="000000" w:themeColor="text1"/>
              </w:rPr>
              <w:lastRenderedPageBreak/>
              <w:t>基金经理，</w:t>
            </w:r>
            <w:r>
              <w:rPr>
                <w:rFonts w:asciiTheme="minorEastAsia" w:eastAsiaTheme="minorEastAsia" w:hAnsiTheme="minorEastAsia"/>
                <w:color w:val="000000" w:themeColor="text1"/>
              </w:rPr>
              <w:t>2017</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2021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月担任上投摩根标普港股通低波红利指数型证券投资基金基金经理，</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4</w:t>
            </w:r>
            <w:r>
              <w:rPr>
                <w:rFonts w:asciiTheme="minorEastAsia" w:eastAsiaTheme="minorEastAsia" w:hAnsiTheme="minorEastAsia"/>
                <w:color w:val="000000" w:themeColor="text1"/>
              </w:rPr>
              <w:t>月同时担任上投摩根安隆回报混合型证券投资基金基金经理，</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月同时担任上投摩根安腾回报混合型证券投资基金基金经理，</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4</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2021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月同时担任上投摩根富时发达市场</w:t>
            </w:r>
            <w:r>
              <w:rPr>
                <w:rFonts w:asciiTheme="minorEastAsia" w:eastAsiaTheme="minorEastAsia" w:hAnsiTheme="minorEastAsia"/>
                <w:color w:val="000000" w:themeColor="text1"/>
              </w:rPr>
              <w:t>REITs</w:t>
            </w:r>
            <w:r>
              <w:rPr>
                <w:rFonts w:asciiTheme="minorEastAsia" w:eastAsiaTheme="minorEastAsia" w:hAnsiTheme="minorEastAsia"/>
                <w:color w:val="000000" w:themeColor="text1"/>
              </w:rPr>
              <w:t>指数型证券投资基金（</w:t>
            </w:r>
            <w:r>
              <w:rPr>
                <w:rFonts w:asciiTheme="minorEastAsia" w:eastAsiaTheme="minorEastAsia" w:hAnsiTheme="minorEastAsia"/>
                <w:color w:val="000000" w:themeColor="text1"/>
              </w:rPr>
              <w:t>QDII</w:t>
            </w:r>
            <w:r>
              <w:rPr>
                <w:rFonts w:asciiTheme="minorEastAsia" w:eastAsiaTheme="minorEastAsia" w:hAnsiTheme="minorEastAsia"/>
                <w:color w:val="000000" w:themeColor="text1"/>
              </w:rPr>
              <w:t>）基金经理，</w:t>
            </w:r>
            <w:r>
              <w:rPr>
                <w:rFonts w:asciiTheme="minorEastAsia" w:eastAsiaTheme="minorEastAsia" w:hAnsiTheme="minorEastAsia"/>
                <w:color w:val="000000" w:themeColor="text1"/>
              </w:rPr>
              <w:t>2018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9</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月同时担任上投摩根安裕回报混合型证券投资基金基金经理，</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4</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月同时担任上投摩根安通回报混合型证券投资基金基金经理，</w:t>
            </w:r>
            <w:r>
              <w:rPr>
                <w:rFonts w:asciiTheme="minorEastAsia" w:eastAsiaTheme="minorEastAsia" w:hAnsiTheme="minorEastAsia"/>
                <w:color w:val="000000" w:themeColor="text1"/>
              </w:rPr>
              <w:t>2019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2021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月同时担任上投摩根动态多因子策略灵活配置混合型证券投资基金、上投摩根量化多因子灵活配置混合型证券投资基金、上投摩根优选多因子股票型证券投资基金及上投摩</w:t>
            </w:r>
            <w:r>
              <w:rPr>
                <w:rFonts w:asciiTheme="minorEastAsia" w:eastAsiaTheme="minorEastAsia" w:hAnsiTheme="minorEastAsia"/>
                <w:color w:val="000000" w:themeColor="text1"/>
              </w:rPr>
              <w:t>根中证消费服务领先指数证券投资基金基金经理；</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2021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月同时担任上投摩根</w:t>
            </w:r>
            <w:r>
              <w:rPr>
                <w:rFonts w:asciiTheme="minorEastAsia" w:eastAsiaTheme="minorEastAsia" w:hAnsiTheme="minorEastAsia"/>
                <w:color w:val="000000" w:themeColor="text1"/>
              </w:rPr>
              <w:t>MSCI</w:t>
            </w:r>
            <w:r>
              <w:rPr>
                <w:rFonts w:asciiTheme="minorEastAsia" w:eastAsiaTheme="minorEastAsia" w:hAnsiTheme="minorEastAsia"/>
                <w:color w:val="000000" w:themeColor="text1"/>
              </w:rPr>
              <w:t>中国</w:t>
            </w:r>
            <w:r>
              <w:rPr>
                <w:rFonts w:asciiTheme="minorEastAsia" w:eastAsiaTheme="minorEastAsia" w:hAnsiTheme="minorEastAsia"/>
                <w:color w:val="000000" w:themeColor="text1"/>
              </w:rPr>
              <w:t>A</w:t>
            </w:r>
            <w:r>
              <w:rPr>
                <w:rFonts w:asciiTheme="minorEastAsia" w:eastAsiaTheme="minorEastAsia" w:hAnsiTheme="minorEastAsia"/>
                <w:color w:val="000000" w:themeColor="text1"/>
              </w:rPr>
              <w:t>股交易型开放式指数证券投资基金基金经理，</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2021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月同时担任上投摩根</w:t>
            </w:r>
            <w:r>
              <w:rPr>
                <w:rFonts w:asciiTheme="minorEastAsia" w:eastAsiaTheme="minorEastAsia" w:hAnsiTheme="minorEastAsia"/>
                <w:color w:val="000000" w:themeColor="text1"/>
              </w:rPr>
              <w:t>MSCI</w:t>
            </w:r>
            <w:r>
              <w:rPr>
                <w:rFonts w:asciiTheme="minorEastAsia" w:eastAsiaTheme="minorEastAsia" w:hAnsiTheme="minorEastAsia"/>
                <w:color w:val="000000" w:themeColor="text1"/>
              </w:rPr>
              <w:t>中国</w:t>
            </w:r>
            <w:r>
              <w:rPr>
                <w:rFonts w:asciiTheme="minorEastAsia" w:eastAsiaTheme="minorEastAsia" w:hAnsiTheme="minorEastAsia"/>
                <w:color w:val="000000" w:themeColor="text1"/>
              </w:rPr>
              <w:t>A</w:t>
            </w:r>
            <w:r>
              <w:rPr>
                <w:rFonts w:asciiTheme="minorEastAsia" w:eastAsiaTheme="minorEastAsia" w:hAnsiTheme="minorEastAsia"/>
                <w:color w:val="000000" w:themeColor="text1"/>
              </w:rPr>
              <w:t>股交易型开放式指数证券投资基金联接基金基金经理。</w:t>
            </w:r>
          </w:p>
        </w:tc>
      </w:tr>
      <w:tr w:rsidR="00353FA4">
        <w:tc>
          <w:tcPr>
            <w:tcW w:w="851" w:type="dxa"/>
            <w:vAlign w:val="center"/>
          </w:tcPr>
          <w:p w:rsidR="00353FA4" w:rsidRDefault="00B73153">
            <w:pPr>
              <w:jc w:val="center"/>
            </w:pPr>
            <w:r>
              <w:rPr>
                <w:rFonts w:asciiTheme="minorEastAsia" w:eastAsiaTheme="minorEastAsia" w:hAnsiTheme="minorEastAsia"/>
                <w:color w:val="000000" w:themeColor="text1"/>
              </w:rPr>
              <w:lastRenderedPageBreak/>
              <w:t>胡迪</w:t>
            </w:r>
          </w:p>
        </w:tc>
        <w:tc>
          <w:tcPr>
            <w:tcW w:w="850" w:type="dxa"/>
            <w:vAlign w:val="center"/>
          </w:tcPr>
          <w:p w:rsidR="00353FA4" w:rsidRDefault="00B73153">
            <w:pPr>
              <w:jc w:val="center"/>
            </w:pPr>
            <w:r>
              <w:rPr>
                <w:rFonts w:asciiTheme="minorEastAsia" w:eastAsiaTheme="minorEastAsia" w:hAnsiTheme="minorEastAsia"/>
                <w:color w:val="000000" w:themeColor="text1"/>
              </w:rPr>
              <w:t>本基金基金经理、指数及量化投资</w:t>
            </w:r>
            <w:r>
              <w:rPr>
                <w:rFonts w:asciiTheme="minorEastAsia" w:eastAsiaTheme="minorEastAsia" w:hAnsiTheme="minorEastAsia"/>
                <w:color w:val="000000" w:themeColor="text1"/>
              </w:rPr>
              <w:lastRenderedPageBreak/>
              <w:t>部总监</w:t>
            </w:r>
          </w:p>
        </w:tc>
        <w:tc>
          <w:tcPr>
            <w:tcW w:w="1560" w:type="dxa"/>
            <w:vAlign w:val="center"/>
          </w:tcPr>
          <w:p w:rsidR="00353FA4" w:rsidRDefault="00B73153">
            <w:pPr>
              <w:jc w:val="center"/>
            </w:pPr>
            <w:r>
              <w:rPr>
                <w:rFonts w:asciiTheme="minorEastAsia" w:eastAsiaTheme="minorEastAsia" w:hAnsiTheme="minorEastAsia"/>
                <w:color w:val="000000" w:themeColor="text1"/>
              </w:rPr>
              <w:lastRenderedPageBreak/>
              <w:t>2021-01-07</w:t>
            </w:r>
          </w:p>
        </w:tc>
        <w:tc>
          <w:tcPr>
            <w:tcW w:w="1559" w:type="dxa"/>
            <w:vAlign w:val="center"/>
          </w:tcPr>
          <w:p w:rsidR="00353FA4" w:rsidRDefault="00B73153">
            <w:pPr>
              <w:jc w:val="center"/>
            </w:pPr>
            <w:r>
              <w:rPr>
                <w:rFonts w:asciiTheme="minorEastAsia" w:eastAsiaTheme="minorEastAsia" w:hAnsiTheme="minorEastAsia"/>
                <w:color w:val="000000" w:themeColor="text1"/>
              </w:rPr>
              <w:t>-</w:t>
            </w:r>
          </w:p>
        </w:tc>
        <w:tc>
          <w:tcPr>
            <w:tcW w:w="1417" w:type="dxa"/>
            <w:vAlign w:val="center"/>
          </w:tcPr>
          <w:p w:rsidR="00353FA4" w:rsidRDefault="00B73153">
            <w:pPr>
              <w:jc w:val="center"/>
            </w:pPr>
            <w:r>
              <w:rPr>
                <w:rFonts w:asciiTheme="minorEastAsia" w:eastAsiaTheme="minorEastAsia" w:hAnsiTheme="minorEastAsia"/>
                <w:color w:val="000000" w:themeColor="text1"/>
              </w:rPr>
              <w:t>13</w:t>
            </w:r>
            <w:r>
              <w:rPr>
                <w:rFonts w:asciiTheme="minorEastAsia" w:eastAsiaTheme="minorEastAsia" w:hAnsiTheme="minorEastAsia"/>
                <w:color w:val="000000" w:themeColor="text1"/>
              </w:rPr>
              <w:t>年</w:t>
            </w:r>
          </w:p>
        </w:tc>
        <w:tc>
          <w:tcPr>
            <w:tcW w:w="2694" w:type="dxa"/>
            <w:vAlign w:val="center"/>
          </w:tcPr>
          <w:p w:rsidR="00353FA4" w:rsidRDefault="00B73153">
            <w:r>
              <w:rPr>
                <w:rFonts w:asciiTheme="minorEastAsia" w:eastAsiaTheme="minorEastAsia" w:hAnsiTheme="minorEastAsia"/>
                <w:color w:val="000000" w:themeColor="text1"/>
              </w:rPr>
              <w:t>胡迪女士，</w:t>
            </w:r>
            <w:r>
              <w:rPr>
                <w:rFonts w:asciiTheme="minorEastAsia" w:eastAsiaTheme="minorEastAsia" w:hAnsiTheme="minorEastAsia"/>
                <w:color w:val="000000" w:themeColor="text1"/>
              </w:rPr>
              <w:t>CFA</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FRM</w:t>
            </w:r>
            <w:r>
              <w:rPr>
                <w:rFonts w:asciiTheme="minorEastAsia" w:eastAsiaTheme="minorEastAsia" w:hAnsiTheme="minorEastAsia"/>
                <w:color w:val="000000" w:themeColor="text1"/>
              </w:rPr>
              <w:t>，美国哥伦比亚大学金融工程硕士，现任指数及量化投资部总监。胡迪女士自</w:t>
            </w:r>
            <w:r>
              <w:rPr>
                <w:rFonts w:asciiTheme="minorEastAsia" w:eastAsiaTheme="minorEastAsia" w:hAnsiTheme="minorEastAsia"/>
                <w:color w:val="000000" w:themeColor="text1"/>
              </w:rPr>
              <w:t>2008</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2009</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12</w:t>
            </w:r>
            <w:r>
              <w:rPr>
                <w:rFonts w:asciiTheme="minorEastAsia" w:eastAsiaTheme="minorEastAsia" w:hAnsiTheme="minorEastAsia"/>
                <w:color w:val="000000" w:themeColor="text1"/>
              </w:rPr>
              <w:t>月在纽约美</w:t>
            </w:r>
            <w:r>
              <w:rPr>
                <w:rFonts w:asciiTheme="minorEastAsia" w:eastAsiaTheme="minorEastAsia" w:hAnsiTheme="minorEastAsia"/>
                <w:color w:val="000000" w:themeColor="text1"/>
              </w:rPr>
              <w:lastRenderedPageBreak/>
              <w:t>林证券担任全球资产管理部高级经理；自</w:t>
            </w:r>
            <w:r>
              <w:rPr>
                <w:rFonts w:asciiTheme="minorEastAsia" w:eastAsiaTheme="minorEastAsia" w:hAnsiTheme="minorEastAsia"/>
                <w:color w:val="000000" w:themeColor="text1"/>
              </w:rPr>
              <w:t>2010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2012</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10</w:t>
            </w:r>
            <w:r>
              <w:rPr>
                <w:rFonts w:asciiTheme="minorEastAsia" w:eastAsiaTheme="minorEastAsia" w:hAnsiTheme="minorEastAsia"/>
                <w:color w:val="000000" w:themeColor="text1"/>
              </w:rPr>
              <w:t>月在纽约标准普尔担任量化投资主管；自</w:t>
            </w:r>
            <w:r>
              <w:rPr>
                <w:rFonts w:asciiTheme="minorEastAsia" w:eastAsiaTheme="minorEastAsia" w:hAnsiTheme="minorEastAsia"/>
                <w:color w:val="000000" w:themeColor="text1"/>
              </w:rPr>
              <w:t>2012</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11</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4</w:t>
            </w:r>
            <w:r>
              <w:rPr>
                <w:rFonts w:asciiTheme="minorEastAsia" w:eastAsiaTheme="minorEastAsia" w:hAnsiTheme="minorEastAsia"/>
                <w:color w:val="000000" w:themeColor="text1"/>
              </w:rPr>
              <w:t>月在中国国际金融股份有限公司担任资产管理部执行总经理；自</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5</w:t>
            </w:r>
            <w:r>
              <w:rPr>
                <w:rFonts w:asciiTheme="minorEastAsia" w:eastAsiaTheme="minorEastAsia" w:hAnsiTheme="minorEastAsia"/>
                <w:color w:val="000000" w:themeColor="text1"/>
              </w:rPr>
              <w:t>月加入上投摩根基金管理有限公司，现任指数及量化投资部总监，自</w:t>
            </w:r>
            <w:r>
              <w:rPr>
                <w:rFonts w:asciiTheme="minorEastAsia" w:eastAsiaTheme="minorEastAsia" w:hAnsiTheme="minorEastAsia"/>
                <w:color w:val="000000" w:themeColor="text1"/>
              </w:rPr>
              <w:t>2021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月起同时担任上投摩根量化多因子灵活配置混合型证券投资基金、上投摩根优选多因子股票型证券投资基金、上投摩根动态</w:t>
            </w:r>
            <w:r>
              <w:rPr>
                <w:rFonts w:asciiTheme="minorEastAsia" w:eastAsiaTheme="minorEastAsia" w:hAnsiTheme="minorEastAsia"/>
                <w:color w:val="000000" w:themeColor="text1"/>
              </w:rPr>
              <w:t>多因子策略灵活配置混合型证券投资基金、上投摩根中证消费服务领先指数证券投资基金、上投摩根</w:t>
            </w:r>
            <w:r>
              <w:rPr>
                <w:rFonts w:asciiTheme="minorEastAsia" w:eastAsiaTheme="minorEastAsia" w:hAnsiTheme="minorEastAsia"/>
                <w:color w:val="000000" w:themeColor="text1"/>
              </w:rPr>
              <w:t>MSCI</w:t>
            </w:r>
            <w:r>
              <w:rPr>
                <w:rFonts w:asciiTheme="minorEastAsia" w:eastAsiaTheme="minorEastAsia" w:hAnsiTheme="minorEastAsia"/>
                <w:color w:val="000000" w:themeColor="text1"/>
              </w:rPr>
              <w:t>中国</w:t>
            </w:r>
            <w:r>
              <w:rPr>
                <w:rFonts w:asciiTheme="minorEastAsia" w:eastAsiaTheme="minorEastAsia" w:hAnsiTheme="minorEastAsia"/>
                <w:color w:val="000000" w:themeColor="text1"/>
              </w:rPr>
              <w:t>A</w:t>
            </w:r>
            <w:r>
              <w:rPr>
                <w:rFonts w:asciiTheme="minorEastAsia" w:eastAsiaTheme="minorEastAsia" w:hAnsiTheme="minorEastAsia"/>
                <w:color w:val="000000" w:themeColor="text1"/>
              </w:rPr>
              <w:t>股交易型开放式指数证券投资基金、上投摩根</w:t>
            </w:r>
            <w:r>
              <w:rPr>
                <w:rFonts w:asciiTheme="minorEastAsia" w:eastAsiaTheme="minorEastAsia" w:hAnsiTheme="minorEastAsia"/>
                <w:color w:val="000000" w:themeColor="text1"/>
              </w:rPr>
              <w:t>MSCI</w:t>
            </w:r>
            <w:r>
              <w:rPr>
                <w:rFonts w:asciiTheme="minorEastAsia" w:eastAsiaTheme="minorEastAsia" w:hAnsiTheme="minorEastAsia"/>
                <w:color w:val="000000" w:themeColor="text1"/>
              </w:rPr>
              <w:t>中国</w:t>
            </w:r>
            <w:r>
              <w:rPr>
                <w:rFonts w:asciiTheme="minorEastAsia" w:eastAsiaTheme="minorEastAsia" w:hAnsiTheme="minorEastAsia"/>
                <w:color w:val="000000" w:themeColor="text1"/>
              </w:rPr>
              <w:t>A</w:t>
            </w:r>
            <w:r>
              <w:rPr>
                <w:rFonts w:asciiTheme="minorEastAsia" w:eastAsiaTheme="minorEastAsia" w:hAnsiTheme="minorEastAsia"/>
                <w:color w:val="000000" w:themeColor="text1"/>
              </w:rPr>
              <w:t>股交易型开放式指数证券投资基金联接基金、上投摩根标普港股通低波红利指数型证券投资基金基金经理。</w:t>
            </w:r>
          </w:p>
        </w:tc>
      </w:tr>
      <w:tr w:rsidR="00353FA4">
        <w:tc>
          <w:tcPr>
            <w:tcW w:w="851" w:type="dxa"/>
            <w:vAlign w:val="center"/>
          </w:tcPr>
          <w:p w:rsidR="00353FA4" w:rsidRDefault="00B73153">
            <w:pPr>
              <w:jc w:val="center"/>
            </w:pPr>
            <w:r>
              <w:rPr>
                <w:rFonts w:asciiTheme="minorEastAsia" w:eastAsiaTheme="minorEastAsia" w:hAnsiTheme="minorEastAsia"/>
                <w:color w:val="000000" w:themeColor="text1"/>
              </w:rPr>
              <w:lastRenderedPageBreak/>
              <w:t>何智豪</w:t>
            </w:r>
          </w:p>
        </w:tc>
        <w:tc>
          <w:tcPr>
            <w:tcW w:w="850" w:type="dxa"/>
            <w:vAlign w:val="center"/>
          </w:tcPr>
          <w:p w:rsidR="00353FA4" w:rsidRDefault="00B73153">
            <w:pPr>
              <w:jc w:val="center"/>
            </w:pPr>
            <w:r>
              <w:rPr>
                <w:rFonts w:asciiTheme="minorEastAsia" w:eastAsiaTheme="minorEastAsia" w:hAnsiTheme="minorEastAsia"/>
                <w:color w:val="000000" w:themeColor="text1"/>
              </w:rPr>
              <w:t>本基金基金经理</w:t>
            </w:r>
          </w:p>
        </w:tc>
        <w:tc>
          <w:tcPr>
            <w:tcW w:w="1560" w:type="dxa"/>
            <w:vAlign w:val="center"/>
          </w:tcPr>
          <w:p w:rsidR="00353FA4" w:rsidRDefault="00B73153">
            <w:pPr>
              <w:jc w:val="center"/>
            </w:pPr>
            <w:r>
              <w:rPr>
                <w:rFonts w:asciiTheme="minorEastAsia" w:eastAsiaTheme="minorEastAsia" w:hAnsiTheme="minorEastAsia"/>
                <w:color w:val="000000" w:themeColor="text1"/>
              </w:rPr>
              <w:t>2021-02-05</w:t>
            </w:r>
          </w:p>
        </w:tc>
        <w:tc>
          <w:tcPr>
            <w:tcW w:w="1559" w:type="dxa"/>
            <w:vAlign w:val="center"/>
          </w:tcPr>
          <w:p w:rsidR="00353FA4" w:rsidRDefault="00B73153">
            <w:pPr>
              <w:jc w:val="center"/>
            </w:pPr>
            <w:r>
              <w:rPr>
                <w:rFonts w:asciiTheme="minorEastAsia" w:eastAsiaTheme="minorEastAsia" w:hAnsiTheme="minorEastAsia"/>
                <w:color w:val="000000" w:themeColor="text1"/>
              </w:rPr>
              <w:t>-</w:t>
            </w:r>
          </w:p>
        </w:tc>
        <w:tc>
          <w:tcPr>
            <w:tcW w:w="1417" w:type="dxa"/>
            <w:vAlign w:val="center"/>
          </w:tcPr>
          <w:p w:rsidR="00353FA4" w:rsidRDefault="00B73153">
            <w:pPr>
              <w:jc w:val="center"/>
            </w:pP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年</w:t>
            </w:r>
          </w:p>
        </w:tc>
        <w:tc>
          <w:tcPr>
            <w:tcW w:w="2694" w:type="dxa"/>
            <w:vAlign w:val="center"/>
          </w:tcPr>
          <w:p w:rsidR="00353FA4" w:rsidRDefault="00B73153">
            <w:r>
              <w:rPr>
                <w:rFonts w:asciiTheme="minorEastAsia" w:eastAsiaTheme="minorEastAsia" w:hAnsiTheme="minorEastAsia"/>
                <w:color w:val="000000" w:themeColor="text1"/>
              </w:rPr>
              <w:t>何智豪先生，复旦大学应用数学硕士，现任指数及量化投资部基金经理。何智豪先生自</w:t>
            </w:r>
            <w:r>
              <w:rPr>
                <w:rFonts w:asciiTheme="minorEastAsia" w:eastAsiaTheme="minorEastAsia" w:hAnsiTheme="minorEastAsia"/>
                <w:color w:val="000000" w:themeColor="text1"/>
              </w:rPr>
              <w:t>2014</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月至</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月，在中国国际金融股份有限公司担任组合与量化策略研究员、资产管理部高级经理；自</w:t>
            </w:r>
            <w:r>
              <w:rPr>
                <w:rFonts w:asciiTheme="minorEastAsia" w:eastAsiaTheme="minorEastAsia" w:hAnsiTheme="minorEastAsia"/>
                <w:color w:val="000000" w:themeColor="text1"/>
              </w:rPr>
              <w:t>2020</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7</w:t>
            </w:r>
            <w:r>
              <w:rPr>
                <w:rFonts w:asciiTheme="minorEastAsia" w:eastAsiaTheme="minorEastAsia" w:hAnsiTheme="minorEastAsia"/>
                <w:color w:val="000000" w:themeColor="text1"/>
              </w:rPr>
              <w:t>月起加入</w:t>
            </w:r>
            <w:r>
              <w:rPr>
                <w:rFonts w:asciiTheme="minorEastAsia" w:eastAsiaTheme="minorEastAsia" w:hAnsiTheme="minorEastAsia"/>
                <w:color w:val="000000" w:themeColor="text1"/>
              </w:rPr>
              <w:t>上投摩根基金管理有限公司。自</w:t>
            </w:r>
            <w:r>
              <w:rPr>
                <w:rFonts w:asciiTheme="minorEastAsia" w:eastAsiaTheme="minorEastAsia" w:hAnsiTheme="minorEastAsia"/>
                <w:color w:val="000000" w:themeColor="text1"/>
              </w:rPr>
              <w:t>2021</w:t>
            </w:r>
            <w:r>
              <w:rPr>
                <w:rFonts w:asciiTheme="minorEastAsia" w:eastAsiaTheme="minorEastAsia" w:hAnsiTheme="minorEastAsia"/>
                <w:color w:val="000000" w:themeColor="text1"/>
              </w:rPr>
              <w:t>年</w:t>
            </w:r>
            <w:r>
              <w:rPr>
                <w:rFonts w:asciiTheme="minorEastAsia" w:eastAsiaTheme="minorEastAsia" w:hAnsiTheme="minorEastAsia"/>
                <w:color w:val="000000" w:themeColor="text1"/>
              </w:rPr>
              <w:t>2</w:t>
            </w:r>
            <w:r>
              <w:rPr>
                <w:rFonts w:asciiTheme="minorEastAsia" w:eastAsiaTheme="minorEastAsia" w:hAnsiTheme="minorEastAsia"/>
                <w:color w:val="000000" w:themeColor="text1"/>
              </w:rPr>
              <w:t>月起同时担任上投摩根量化多因子灵活配置混合型证券投资基金、上投摩根优选多因子股票型证券投资基金、上投摩根中证消费服务领先指数证券投资基金、上投摩根</w:t>
            </w:r>
            <w:r>
              <w:rPr>
                <w:rFonts w:asciiTheme="minorEastAsia" w:eastAsiaTheme="minorEastAsia" w:hAnsiTheme="minorEastAsia"/>
                <w:color w:val="000000" w:themeColor="text1"/>
              </w:rPr>
              <w:t>MSCI</w:t>
            </w:r>
            <w:r>
              <w:rPr>
                <w:rFonts w:asciiTheme="minorEastAsia" w:eastAsiaTheme="minorEastAsia" w:hAnsiTheme="minorEastAsia"/>
                <w:color w:val="000000" w:themeColor="text1"/>
              </w:rPr>
              <w:t>中国</w:t>
            </w:r>
            <w:r>
              <w:rPr>
                <w:rFonts w:asciiTheme="minorEastAsia" w:eastAsiaTheme="minorEastAsia" w:hAnsiTheme="minorEastAsia"/>
                <w:color w:val="000000" w:themeColor="text1"/>
              </w:rPr>
              <w:t>A</w:t>
            </w:r>
            <w:r>
              <w:rPr>
                <w:rFonts w:asciiTheme="minorEastAsia" w:eastAsiaTheme="minorEastAsia" w:hAnsiTheme="minorEastAsia"/>
                <w:color w:val="000000" w:themeColor="text1"/>
              </w:rPr>
              <w:t>股交易型</w:t>
            </w:r>
            <w:r>
              <w:rPr>
                <w:rFonts w:asciiTheme="minorEastAsia" w:eastAsiaTheme="minorEastAsia" w:hAnsiTheme="minorEastAsia"/>
                <w:color w:val="000000" w:themeColor="text1"/>
              </w:rPr>
              <w:lastRenderedPageBreak/>
              <w:t>开放式指数证券投资基金、上投摩根</w:t>
            </w:r>
            <w:r>
              <w:rPr>
                <w:rFonts w:asciiTheme="minorEastAsia" w:eastAsiaTheme="minorEastAsia" w:hAnsiTheme="minorEastAsia"/>
                <w:color w:val="000000" w:themeColor="text1"/>
              </w:rPr>
              <w:t>MSCI</w:t>
            </w:r>
            <w:r>
              <w:rPr>
                <w:rFonts w:asciiTheme="minorEastAsia" w:eastAsiaTheme="minorEastAsia" w:hAnsiTheme="minorEastAsia"/>
                <w:color w:val="000000" w:themeColor="text1"/>
              </w:rPr>
              <w:t>中国</w:t>
            </w:r>
            <w:r>
              <w:rPr>
                <w:rFonts w:asciiTheme="minorEastAsia" w:eastAsiaTheme="minorEastAsia" w:hAnsiTheme="minorEastAsia"/>
                <w:color w:val="000000" w:themeColor="text1"/>
              </w:rPr>
              <w:t>A</w:t>
            </w:r>
            <w:r>
              <w:rPr>
                <w:rFonts w:asciiTheme="minorEastAsia" w:eastAsiaTheme="minorEastAsia" w:hAnsiTheme="minorEastAsia"/>
                <w:color w:val="000000" w:themeColor="text1"/>
              </w:rPr>
              <w:t>股交易型开放式指数证券投资基金联接基金、上投摩根标普港股通低波红利指数型证券投资基金基金经理。</w:t>
            </w:r>
          </w:p>
        </w:tc>
      </w:tr>
    </w:tbl>
    <w:p w:rsidR="00353FA4" w:rsidRDefault="00B73153">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lastRenderedPageBreak/>
        <w:t>注：</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任职日期和离任日期均指根据公司决定确定的聘任日期和解聘日期。</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2.证券从业的含义遵从行业协会《证券业从业人员资格管理办法》的相关规定。</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4.2 </w:t>
      </w:r>
      <w:r>
        <w:rPr>
          <w:rFonts w:asciiTheme="minorEastAsia" w:eastAsiaTheme="minorEastAsia" w:hAnsiTheme="minorEastAsia" w:hint="eastAsia"/>
          <w:b/>
          <w:bCs/>
          <w:color w:val="000000" w:themeColor="text1"/>
          <w:kern w:val="0"/>
          <w:sz w:val="24"/>
          <w:szCs w:val="24"/>
        </w:rPr>
        <w:t>管理人对报告期内本基金运作遵规守信情况的说明</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量化多因子灵活配置混合型证券投资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4.3 </w:t>
      </w:r>
      <w:r>
        <w:rPr>
          <w:rFonts w:asciiTheme="minorEastAsia" w:eastAsiaTheme="minorEastAsia" w:hAnsiTheme="minorEastAsia" w:hint="eastAsia"/>
          <w:b/>
          <w:bCs/>
          <w:color w:val="000000" w:themeColor="text1"/>
          <w:kern w:val="0"/>
          <w:sz w:val="24"/>
          <w:szCs w:val="24"/>
        </w:rPr>
        <w:t>公平交易专项说明</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4.3.1 </w:t>
      </w:r>
      <w:r>
        <w:rPr>
          <w:rFonts w:asciiTheme="minorEastAsia" w:eastAsiaTheme="minorEastAsia" w:hAnsiTheme="minorEastAsia" w:hint="eastAsia"/>
          <w:color w:val="000000" w:themeColor="text1"/>
          <w:sz w:val="24"/>
          <w:szCs w:val="24"/>
        </w:rPr>
        <w:t>公平交易制度的执行情况</w:t>
      </w:r>
    </w:p>
    <w:p w:rsidR="00353FA4" w:rsidRDefault="00B7315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353FA4" w:rsidRDefault="00B7315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对于交易所市场投资活动，本公司执行集中交易制度，确保不同投资组合在买卖同一证券时，按照时间优先、比例分配的原则在各投资组合间</w:t>
      </w:r>
      <w:r>
        <w:rPr>
          <w:rFonts w:asciiTheme="minorEastAsia" w:eastAsiaTheme="minorEastAsia" w:hAnsiTheme="minorEastAsia"/>
          <w:color w:val="000000" w:themeColor="text1"/>
        </w:rPr>
        <w:t>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 xml:space="preserve">4.3.2 </w:t>
      </w:r>
      <w:r>
        <w:rPr>
          <w:rFonts w:asciiTheme="minorEastAsia" w:eastAsiaTheme="minorEastAsia" w:hAnsiTheme="minorEastAsia" w:hint="eastAsia"/>
          <w:color w:val="000000" w:themeColor="text1"/>
          <w:sz w:val="24"/>
          <w:szCs w:val="24"/>
        </w:rPr>
        <w:t>异常交易行为的专项说明</w:t>
      </w:r>
    </w:p>
    <w:p w:rsidR="00353FA4" w:rsidRDefault="00B7315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报告期内，通过对交易价格、交易时间、交易方向等的分析，未发现有可能导致不公平交易和利益输送的异常交易行为。</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所有投资组合参与的交易所公开竞价同日反向交易成交较少的单边交易量超过该证券当日成交量的5%的情形：无。</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4.4 </w:t>
      </w:r>
      <w:r>
        <w:rPr>
          <w:rFonts w:asciiTheme="minorEastAsia" w:eastAsiaTheme="minorEastAsia" w:hAnsiTheme="minorEastAsia" w:hint="eastAsia"/>
          <w:b/>
          <w:bCs/>
          <w:color w:val="000000" w:themeColor="text1"/>
          <w:kern w:val="0"/>
          <w:sz w:val="24"/>
          <w:szCs w:val="24"/>
        </w:rPr>
        <w:t>报告期内基金的投资策略和业绩表现说明</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4.4.1</w:t>
      </w:r>
      <w:r>
        <w:rPr>
          <w:rFonts w:asciiTheme="minorEastAsia" w:eastAsiaTheme="minorEastAsia" w:hAnsiTheme="minorEastAsia" w:cs="宋体" w:hint="eastAsia"/>
          <w:color w:val="000000" w:themeColor="text1"/>
          <w:sz w:val="24"/>
          <w:szCs w:val="24"/>
        </w:rPr>
        <w:t>报告期内基金投资策略和运作分析</w:t>
      </w:r>
    </w:p>
    <w:p w:rsidR="00353FA4" w:rsidRDefault="00B7315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2021</w:t>
      </w:r>
      <w:r>
        <w:rPr>
          <w:rFonts w:asciiTheme="minorEastAsia" w:eastAsiaTheme="minorEastAsia" w:hAnsiTheme="minorEastAsia"/>
          <w:color w:val="000000" w:themeColor="text1"/>
        </w:rPr>
        <w:t>年一季度，</w:t>
      </w:r>
      <w:r>
        <w:rPr>
          <w:rFonts w:asciiTheme="minorEastAsia" w:eastAsiaTheme="minorEastAsia" w:hAnsiTheme="minorEastAsia"/>
          <w:color w:val="000000" w:themeColor="text1"/>
        </w:rPr>
        <w:t>A</w:t>
      </w:r>
      <w:r>
        <w:rPr>
          <w:rFonts w:asciiTheme="minorEastAsia" w:eastAsiaTheme="minorEastAsia" w:hAnsiTheme="minorEastAsia"/>
          <w:color w:val="000000" w:themeColor="text1"/>
        </w:rPr>
        <w:t>股整体震荡加剧的同时，市场结构从市值、风格到主题均经历显著切换，以春节长假为分界点，市场走势迥异。节前</w:t>
      </w:r>
      <w:r>
        <w:rPr>
          <w:rFonts w:asciiTheme="minorEastAsia" w:eastAsiaTheme="minorEastAsia" w:hAnsiTheme="minorEastAsia"/>
          <w:color w:val="000000" w:themeColor="text1"/>
        </w:rPr>
        <w:t>A</w:t>
      </w:r>
      <w:r>
        <w:rPr>
          <w:rFonts w:asciiTheme="minorEastAsia" w:eastAsiaTheme="minorEastAsia" w:hAnsiTheme="minorEastAsia"/>
          <w:color w:val="000000" w:themeColor="text1"/>
        </w:rPr>
        <w:t>股整体延续去年年末上行趋势，呈现大盘强小盘弱，成长强价值弱、新兴产业强传统行业弱的特征。新能源、食品、消费者服务延续强势，化工、银行由于业绩超预期亦显著崛起。其背后主要原因一是政策及内外围环境延</w:t>
      </w:r>
      <w:r>
        <w:rPr>
          <w:rFonts w:asciiTheme="minorEastAsia" w:eastAsiaTheme="minorEastAsia" w:hAnsiTheme="minorEastAsia"/>
          <w:color w:val="000000" w:themeColor="text1"/>
        </w:rPr>
        <w:t>续前期，二是爆款不断的新发基金建仓和北向资金持续流入提供市场动量效应。节后市场风格突变，核心资产大幅下跌，低估值时隔</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年半再度崛起，中盘股久违跑赢蓝筹股，市场宽幅震荡的同时热点扩散。其主要是由于：第一，核心资产经历过去</w:t>
      </w:r>
      <w:r>
        <w:rPr>
          <w:rFonts w:asciiTheme="minorEastAsia" w:eastAsiaTheme="minorEastAsia" w:hAnsiTheme="minorEastAsia"/>
          <w:color w:val="000000" w:themeColor="text1"/>
        </w:rPr>
        <w:t>1</w:t>
      </w:r>
      <w:r>
        <w:rPr>
          <w:rFonts w:asciiTheme="minorEastAsia" w:eastAsiaTheme="minorEastAsia" w:hAnsiTheme="minorEastAsia"/>
          <w:color w:val="000000" w:themeColor="text1"/>
        </w:rPr>
        <w:t>年的持续上行后，整体估值水平过高；第二，基金公司</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开门红</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发行结束，没有新流入资金对核心资产整体估值进行进一步支撑；第三，疫情对国内外影响的边际减弱带来了市场对高确定性成长的要求降低，一些</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有缺陷</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的高成长低估值个股重新纳入投资者视野；第四，美元加息带来的潜在升息压力动摇了核心资产上行的理论</w:t>
      </w:r>
      <w:r>
        <w:rPr>
          <w:rFonts w:asciiTheme="minorEastAsia" w:eastAsiaTheme="minorEastAsia" w:hAnsiTheme="minorEastAsia"/>
          <w:color w:val="000000" w:themeColor="text1"/>
        </w:rPr>
        <w:t>基础，即</w:t>
      </w:r>
      <w:r>
        <w:rPr>
          <w:rFonts w:asciiTheme="minorEastAsia" w:eastAsiaTheme="minorEastAsia" w:hAnsiTheme="minorEastAsia"/>
          <w:color w:val="000000" w:themeColor="text1"/>
        </w:rPr>
        <w:t>DCF</w:t>
      </w:r>
      <w:r>
        <w:rPr>
          <w:rFonts w:asciiTheme="minorEastAsia" w:eastAsiaTheme="minorEastAsia" w:hAnsiTheme="minorEastAsia"/>
          <w:color w:val="000000" w:themeColor="text1"/>
        </w:rPr>
        <w:t>估值体系，使得估值相对于成长的性价比有所提高；第五，两会召开带来的主题轮动效应，</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碳中和</w:t>
      </w:r>
      <w:r>
        <w:rPr>
          <w:rFonts w:asciiTheme="minorEastAsia" w:eastAsiaTheme="minorEastAsia" w:hAnsiTheme="minorEastAsia"/>
          <w:color w:val="000000" w:themeColor="text1"/>
        </w:rPr>
        <w:t>”</w:t>
      </w:r>
      <w:r>
        <w:rPr>
          <w:rFonts w:asciiTheme="minorEastAsia" w:eastAsiaTheme="minorEastAsia" w:hAnsiTheme="minorEastAsia"/>
          <w:color w:val="000000" w:themeColor="text1"/>
        </w:rPr>
        <w:t>等概念开始崛起。本基金由于选股从多因子角度出发，偏重基本面因素，在行业板块分布和风格因子配置上相对均衡，故而在市场本轮风格切换时相对收益未遭受明显冲击。</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展望二季度，A股配置的核心将大概率既不是纯粹寻找高质量高确定性优质成长股，也不是纯粹进行估值修复，而是更为注重性价比，走估值和业绩并重的投资逻辑。具体而言，在食品、家电、医药、新能源等长期看较为优异的赛道内，需要时刻在核心资产和优质二线龙头间进行权衡。同时，在经济景气整体上行背景下，前期表现落后，估值不振的周期板块，如金融、地产等也存在很好的安全边际，或值得阶段性择优介入。总体而言，龙头股估值溢价仍具备合理性，不可能完全消除，低质量的低估值仍然无意义，不值得长期介入。但在实际投资中，投资者将不得不面临“高质量的贵”和“有缺陷的便宜”之间的权衡，市场对交易能力的考验在提升。在具体投资策略上，我们仍将坚持基本面出发的量化多因子选股策略，综合考虑个股的成长性、盈利能力、估值及买卖时点等多方面因素，力争构造风险收益特征</w:t>
      </w:r>
      <w:r>
        <w:rPr>
          <w:rFonts w:asciiTheme="minorEastAsia" w:eastAsiaTheme="minorEastAsia" w:hAnsiTheme="minorEastAsia"/>
          <w:color w:val="000000" w:themeColor="text1"/>
        </w:rPr>
        <w:lastRenderedPageBreak/>
        <w:t>优于市场的投资组合。</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cs="宋体"/>
          <w:color w:val="000000" w:themeColor="text1"/>
          <w:sz w:val="24"/>
          <w:szCs w:val="24"/>
        </w:rPr>
        <w:t>4.4.2</w:t>
      </w:r>
      <w:r>
        <w:rPr>
          <w:rFonts w:asciiTheme="minorEastAsia" w:eastAsiaTheme="minorEastAsia" w:hAnsiTheme="minorEastAsia" w:cs="宋体" w:hint="eastAsia"/>
          <w:color w:val="000000" w:themeColor="text1"/>
          <w:sz w:val="24"/>
          <w:szCs w:val="24"/>
        </w:rPr>
        <w:t>报告期内基金的业绩表现</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本报告期上投摩根量化多因子混合份额净值增长率为:-3.16%，同期业绩比较基准收益率为:-1.78%。</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b/>
          <w:color w:val="000000" w:themeColor="text1"/>
          <w:kern w:val="0"/>
          <w:sz w:val="24"/>
          <w:szCs w:val="24"/>
        </w:rPr>
        <w:t>4</w:t>
      </w:r>
      <w:r>
        <w:rPr>
          <w:rFonts w:asciiTheme="minorEastAsia" w:eastAsiaTheme="minorEastAsia" w:hAnsiTheme="minorEastAsia" w:hint="eastAsia"/>
          <w:b/>
          <w:color w:val="000000" w:themeColor="text1"/>
          <w:kern w:val="0"/>
          <w:sz w:val="24"/>
          <w:szCs w:val="24"/>
        </w:rPr>
        <w:t>.5报告期内基金持有人数或基金资产净值预警说明</w:t>
      </w:r>
    </w:p>
    <w:p w:rsidR="00353FA4" w:rsidRDefault="00B7315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报告期内，本基金存在连续二十个工作日基金资产净值低于五千万元的情况，出现该情况的时间范围为</w:t>
      </w:r>
      <w:r>
        <w:rPr>
          <w:rFonts w:asciiTheme="minorEastAsia" w:eastAsiaTheme="minorEastAsia" w:hAnsiTheme="minorEastAsia"/>
          <w:color w:val="000000" w:themeColor="text1"/>
          <w:kern w:val="0"/>
        </w:rPr>
        <w:t>2021</w:t>
      </w:r>
      <w:r>
        <w:rPr>
          <w:rFonts w:asciiTheme="minorEastAsia" w:eastAsiaTheme="minorEastAsia" w:hAnsiTheme="minorEastAsia"/>
          <w:color w:val="000000" w:themeColor="text1"/>
          <w:kern w:val="0"/>
        </w:rPr>
        <w:t>年</w:t>
      </w:r>
      <w:r>
        <w:rPr>
          <w:rFonts w:asciiTheme="minorEastAsia" w:eastAsiaTheme="minorEastAsia" w:hAnsiTheme="minorEastAsia"/>
          <w:color w:val="000000" w:themeColor="text1"/>
          <w:kern w:val="0"/>
        </w:rPr>
        <w:t>01</w:t>
      </w:r>
      <w:r>
        <w:rPr>
          <w:rFonts w:asciiTheme="minorEastAsia" w:eastAsiaTheme="minorEastAsia" w:hAnsiTheme="minorEastAsia"/>
          <w:color w:val="000000" w:themeColor="text1"/>
          <w:kern w:val="0"/>
        </w:rPr>
        <w:t>月</w:t>
      </w:r>
      <w:r>
        <w:rPr>
          <w:rFonts w:asciiTheme="minorEastAsia" w:eastAsiaTheme="minorEastAsia" w:hAnsiTheme="minorEastAsia"/>
          <w:color w:val="000000" w:themeColor="text1"/>
          <w:kern w:val="0"/>
        </w:rPr>
        <w:t>04</w:t>
      </w:r>
      <w:r>
        <w:rPr>
          <w:rFonts w:asciiTheme="minorEastAsia" w:eastAsiaTheme="minorEastAsia" w:hAnsiTheme="minorEastAsia"/>
          <w:color w:val="000000" w:themeColor="text1"/>
          <w:kern w:val="0"/>
        </w:rPr>
        <w:t>日至</w:t>
      </w:r>
      <w:r>
        <w:rPr>
          <w:rFonts w:asciiTheme="minorEastAsia" w:eastAsiaTheme="minorEastAsia" w:hAnsiTheme="minorEastAsia"/>
          <w:color w:val="000000" w:themeColor="text1"/>
          <w:kern w:val="0"/>
        </w:rPr>
        <w:t>2021</w:t>
      </w:r>
      <w:r>
        <w:rPr>
          <w:rFonts w:asciiTheme="minorEastAsia" w:eastAsiaTheme="minorEastAsia" w:hAnsiTheme="minorEastAsia"/>
          <w:color w:val="000000" w:themeColor="text1"/>
          <w:kern w:val="0"/>
        </w:rPr>
        <w:t>年</w:t>
      </w:r>
      <w:r>
        <w:rPr>
          <w:rFonts w:asciiTheme="minorEastAsia" w:eastAsiaTheme="minorEastAsia" w:hAnsiTheme="minorEastAsia"/>
          <w:color w:val="000000" w:themeColor="text1"/>
          <w:kern w:val="0"/>
        </w:rPr>
        <w:t>03</w:t>
      </w:r>
      <w:r>
        <w:rPr>
          <w:rFonts w:asciiTheme="minorEastAsia" w:eastAsiaTheme="minorEastAsia" w:hAnsiTheme="minorEastAsia"/>
          <w:color w:val="000000" w:themeColor="text1"/>
          <w:kern w:val="0"/>
        </w:rPr>
        <w:t>月</w:t>
      </w:r>
      <w:r>
        <w:rPr>
          <w:rFonts w:asciiTheme="minorEastAsia" w:eastAsiaTheme="minorEastAsia" w:hAnsiTheme="minorEastAsia"/>
          <w:color w:val="000000" w:themeColor="text1"/>
          <w:kern w:val="0"/>
        </w:rPr>
        <w:t>31</w:t>
      </w:r>
      <w:r>
        <w:rPr>
          <w:rFonts w:asciiTheme="minorEastAsia" w:eastAsiaTheme="minorEastAsia" w:hAnsiTheme="minorEastAsia"/>
          <w:color w:val="000000" w:themeColor="text1"/>
          <w:kern w:val="0"/>
        </w:rPr>
        <w:t>日。</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kern w:val="0"/>
        </w:rPr>
        <w:t>基金管理人拟调整本基金运作方式，加大营销力度，提升基金规模，方案已报监管机关。</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§5</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投资组合报告</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5.1 </w:t>
      </w:r>
      <w:r>
        <w:rPr>
          <w:rFonts w:asciiTheme="minorEastAsia" w:eastAsiaTheme="minorEastAsia" w:hAnsiTheme="minorEastAsia" w:hint="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序号</w:t>
            </w:r>
          </w:p>
        </w:tc>
        <w:tc>
          <w:tcPr>
            <w:tcW w:w="3357"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项目</w:t>
            </w:r>
          </w:p>
        </w:tc>
        <w:tc>
          <w:tcPr>
            <w:tcW w:w="2977"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金额(元)</w:t>
            </w:r>
          </w:p>
        </w:tc>
        <w:tc>
          <w:tcPr>
            <w:tcW w:w="1843"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占基金总资产的比例(</w:t>
            </w:r>
            <w:r>
              <w:rPr>
                <w:rFonts w:asciiTheme="minorEastAsia" w:eastAsiaTheme="minorEastAsia" w:hAnsiTheme="minorEastAsia"/>
                <w:color w:val="000000" w:themeColor="text1"/>
                <w:kern w:val="0"/>
              </w:rPr>
              <w:t>%</w:t>
            </w:r>
            <w:r>
              <w:rPr>
                <w:rFonts w:asciiTheme="minorEastAsia" w:eastAsiaTheme="minorEastAsia" w:hAnsiTheme="minorEastAsia"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权益投资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24,370,385.72</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92.67</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其中：股票</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24,370,385.72</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92.67</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固定收益投资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11,900.00</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0.05</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其中：债券</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11,900.00</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0.05</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autoSpaceDE w:val="0"/>
              <w:autoSpaceDN w:val="0"/>
              <w:adjustRightInd w:val="0"/>
              <w:spacing w:before="29" w:line="360" w:lineRule="auto"/>
              <w:ind w:left="17" w:firstLineChars="250" w:firstLine="525"/>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资产支持证券</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357" w:type="dxa"/>
          </w:tcPr>
          <w:p w:rsidR="00D06738" w:rsidRDefault="00454D20">
            <w:pPr>
              <w:spacing w:before="29" w:line="360" w:lineRule="auto"/>
              <w:ind w:leftChars="50" w:left="10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贵金属投资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357"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金融衍生品投资</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5</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买入返售金融资产</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D06738">
            <w:pPr>
              <w:spacing w:before="29" w:line="360" w:lineRule="auto"/>
              <w:ind w:left="17"/>
              <w:jc w:val="center"/>
              <w:rPr>
                <w:rFonts w:asciiTheme="minorEastAsia" w:eastAsiaTheme="minorEastAsia" w:hAnsiTheme="minorEastAsia"/>
                <w:color w:val="000000" w:themeColor="text1"/>
                <w:kern w:val="0"/>
              </w:rPr>
            </w:pP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其中：买断式回购的买入返售金融资产</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6</w:t>
            </w:r>
          </w:p>
        </w:tc>
        <w:tc>
          <w:tcPr>
            <w:tcW w:w="3357" w:type="dxa"/>
            <w:vAlign w:val="center"/>
          </w:tcPr>
          <w:p w:rsidR="00D06738" w:rsidRDefault="00454D20">
            <w:pPr>
              <w:spacing w:before="29" w:line="360" w:lineRule="auto"/>
              <w:ind w:left="17"/>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银行存款和结算备付金合计</w:t>
            </w:r>
          </w:p>
        </w:tc>
        <w:tc>
          <w:tcPr>
            <w:tcW w:w="2977"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1,879,127.47</w:t>
            </w:r>
          </w:p>
        </w:tc>
        <w:tc>
          <w:tcPr>
            <w:tcW w:w="1843"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7.15</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7</w:t>
            </w:r>
          </w:p>
        </w:tc>
        <w:tc>
          <w:tcPr>
            <w:tcW w:w="3357" w:type="dxa"/>
            <w:vAlign w:val="center"/>
          </w:tcPr>
          <w:p w:rsidR="00D06738" w:rsidRDefault="00454D20">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其他各项资产</w:t>
            </w:r>
          </w:p>
        </w:tc>
        <w:tc>
          <w:tcPr>
            <w:tcW w:w="2977"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36,275.60</w:t>
            </w:r>
          </w:p>
        </w:tc>
        <w:tc>
          <w:tcPr>
            <w:tcW w:w="1843"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0.14</w:t>
            </w:r>
          </w:p>
        </w:tc>
      </w:tr>
      <w:tr w:rsidR="00D06738">
        <w:trPr>
          <w:jc w:val="center"/>
        </w:trPr>
        <w:tc>
          <w:tcPr>
            <w:tcW w:w="720" w:type="dxa"/>
            <w:vAlign w:val="center"/>
          </w:tcPr>
          <w:p w:rsidR="00D06738" w:rsidRDefault="00454D20">
            <w:pPr>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8</w:t>
            </w:r>
          </w:p>
        </w:tc>
        <w:tc>
          <w:tcPr>
            <w:tcW w:w="3357" w:type="dxa"/>
            <w:vAlign w:val="center"/>
          </w:tcPr>
          <w:p w:rsidR="00D06738" w:rsidRDefault="00454D20">
            <w:pPr>
              <w:jc w:val="left"/>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2977"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26,297,688.79</w:t>
            </w:r>
          </w:p>
        </w:tc>
        <w:tc>
          <w:tcPr>
            <w:tcW w:w="1843" w:type="dxa"/>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100.00</w:t>
            </w:r>
          </w:p>
        </w:tc>
      </w:tr>
    </w:tbl>
    <w:p w:rsidR="00D06738" w:rsidRDefault="00D06738">
      <w:pPr>
        <w:autoSpaceDE w:val="0"/>
        <w:autoSpaceDN w:val="0"/>
        <w:adjustRightInd w:val="0"/>
        <w:spacing w:line="360" w:lineRule="auto"/>
        <w:jc w:val="left"/>
        <w:rPr>
          <w:rFonts w:asciiTheme="minorEastAsia" w:eastAsiaTheme="minorEastAsia" w:hAnsiTheme="minorEastAsia" w:cs="宋体"/>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lastRenderedPageBreak/>
        <w:t xml:space="preserve">5.2 </w:t>
      </w:r>
      <w:r>
        <w:rPr>
          <w:rFonts w:asciiTheme="minorEastAsia" w:eastAsiaTheme="minorEastAsia" w:hAnsiTheme="minorEastAsia" w:hint="eastAsia"/>
          <w:b/>
          <w:bCs/>
          <w:color w:val="000000" w:themeColor="text1"/>
          <w:kern w:val="0"/>
          <w:sz w:val="24"/>
          <w:szCs w:val="24"/>
        </w:rPr>
        <w:t>报告期末按行业分类的股票投资组合</w:t>
      </w:r>
    </w:p>
    <w:p w:rsidR="00D06738" w:rsidRDefault="00454D20">
      <w:pPr>
        <w:rPr>
          <w:b/>
        </w:rPr>
      </w:pPr>
      <w:r>
        <w:rPr>
          <w:rFonts w:eastAsiaTheme="minorEastAsia" w:hint="eastAsia"/>
          <w:b/>
          <w:color w:val="000000" w:themeColor="text1"/>
          <w:kern w:val="0"/>
        </w:rPr>
        <w:t>5.2.1</w:t>
      </w:r>
      <w:r>
        <w:rPr>
          <w:rFonts w:eastAsiaTheme="minorEastAsia" w:hint="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占基金资产净值比例（％）</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391,458.00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1.56</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351,890.00</w:t>
            </w:r>
          </w:p>
          <w:p w:rsidR="00D06738" w:rsidRDefault="00D06738">
            <w:pPr>
              <w:jc w:val="right"/>
              <w:rPr>
                <w:rFonts w:asciiTheme="minorEastAsia" w:eastAsiaTheme="minorEastAsia" w:hAnsiTheme="minorEastAsia" w:cs="宋体"/>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1.40</w:t>
            </w:r>
          </w:p>
          <w:p w:rsidR="00D06738" w:rsidRDefault="00D06738">
            <w:pPr>
              <w:jc w:val="right"/>
              <w:rPr>
                <w:rFonts w:asciiTheme="minorEastAsia" w:eastAsiaTheme="minorEastAsia" w:hAnsiTheme="minorEastAsia" w:cs="宋体"/>
                <w:color w:val="000000" w:themeColor="text1"/>
                <w:kern w:val="0"/>
              </w:rPr>
            </w:pP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15,268,243.06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60.91</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727,116.00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2.90</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357,825.00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1.43</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55,582.00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0.22</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144,699.00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0.58</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138,975.00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0.55</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624,277.00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2.49</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4,627,269.94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18.46</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146,443.00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0.58</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682,467.92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2.72</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478,228.80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1.91</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67,608.00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0.27</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131,452.00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0.52</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176,851.00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0.71</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adjustRightInd w:val="0"/>
              <w:snapToGrid w:val="0"/>
              <w:spacing w:line="400" w:lineRule="exact"/>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D06738">
            <w:pPr>
              <w:adjustRightInd w:val="0"/>
              <w:snapToGrid w:val="0"/>
              <w:spacing w:line="400" w:lineRule="exact"/>
              <w:jc w:val="center"/>
              <w:rPr>
                <w:rFonts w:asciiTheme="minorEastAsia" w:eastAsiaTheme="minorEastAsia" w:hAnsiTheme="minorEastAsia" w:cs="宋体"/>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Default="00454D20">
            <w:pPr>
              <w:adjustRightInd w:val="0"/>
              <w:snapToGrid w:val="0"/>
              <w:spacing w:line="400" w:lineRule="exac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24,370,385.72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Default="00454D20">
            <w:pPr>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97.22</w:t>
            </w:r>
          </w:p>
        </w:tc>
      </w:tr>
    </w:tbl>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5.3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报告期末按公允价值占基金资产净值比例大小排序的前十名股票投资明细</w:t>
      </w:r>
    </w:p>
    <w:tbl>
      <w:tblPr>
        <w:tblStyle w:val="aff4"/>
        <w:tblW w:w="8528" w:type="dxa"/>
        <w:tblLayout w:type="fixed"/>
        <w:tblLook w:val="04A0" w:firstRow="1" w:lastRow="0" w:firstColumn="1" w:lastColumn="0" w:noHBand="0" w:noVBand="1"/>
      </w:tblPr>
      <w:tblGrid>
        <w:gridCol w:w="817"/>
        <w:gridCol w:w="1276"/>
        <w:gridCol w:w="1701"/>
        <w:gridCol w:w="1276"/>
        <w:gridCol w:w="1842"/>
        <w:gridCol w:w="1616"/>
      </w:tblGrid>
      <w:tr w:rsidR="00D06738">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27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股票代码</w:t>
            </w:r>
          </w:p>
        </w:tc>
        <w:tc>
          <w:tcPr>
            <w:tcW w:w="1701"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股票名称</w:t>
            </w:r>
          </w:p>
        </w:tc>
        <w:tc>
          <w:tcPr>
            <w:tcW w:w="127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数量(股)</w:t>
            </w:r>
          </w:p>
        </w:tc>
        <w:tc>
          <w:tcPr>
            <w:tcW w:w="1842"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353FA4">
        <w:tc>
          <w:tcPr>
            <w:tcW w:w="817" w:type="dxa"/>
            <w:vAlign w:val="center"/>
          </w:tcPr>
          <w:p w:rsidR="00353FA4" w:rsidRDefault="00B73153">
            <w:pPr>
              <w:jc w:val="center"/>
            </w:pPr>
            <w:r>
              <w:rPr>
                <w:rFonts w:asciiTheme="minorEastAsia" w:eastAsiaTheme="minorEastAsia" w:hAnsiTheme="minorEastAsia" w:cs="宋体"/>
                <w:color w:val="000000" w:themeColor="text1"/>
                <w:kern w:val="0"/>
              </w:rPr>
              <w:t>1</w:t>
            </w:r>
          </w:p>
        </w:tc>
        <w:tc>
          <w:tcPr>
            <w:tcW w:w="1276" w:type="dxa"/>
            <w:vAlign w:val="center"/>
          </w:tcPr>
          <w:p w:rsidR="00353FA4" w:rsidRDefault="00B73153">
            <w:pPr>
              <w:jc w:val="center"/>
            </w:pPr>
            <w:r>
              <w:rPr>
                <w:rFonts w:asciiTheme="minorEastAsia" w:eastAsiaTheme="minorEastAsia" w:hAnsiTheme="minorEastAsia" w:cs="宋体"/>
                <w:color w:val="000000" w:themeColor="text1"/>
                <w:kern w:val="0"/>
              </w:rPr>
              <w:t>601318</w:t>
            </w:r>
          </w:p>
        </w:tc>
        <w:tc>
          <w:tcPr>
            <w:tcW w:w="1701" w:type="dxa"/>
            <w:vAlign w:val="center"/>
          </w:tcPr>
          <w:p w:rsidR="00353FA4" w:rsidRDefault="00B73153">
            <w:pPr>
              <w:jc w:val="center"/>
            </w:pPr>
            <w:r>
              <w:rPr>
                <w:rFonts w:asciiTheme="minorEastAsia" w:eastAsiaTheme="minorEastAsia" w:hAnsiTheme="minorEastAsia" w:cs="宋体"/>
                <w:color w:val="000000" w:themeColor="text1"/>
                <w:kern w:val="0"/>
              </w:rPr>
              <w:t>中国平安</w:t>
            </w:r>
          </w:p>
        </w:tc>
        <w:tc>
          <w:tcPr>
            <w:tcW w:w="1276" w:type="dxa"/>
            <w:vAlign w:val="center"/>
          </w:tcPr>
          <w:p w:rsidR="00353FA4" w:rsidRDefault="00B73153">
            <w:pPr>
              <w:jc w:val="right"/>
            </w:pPr>
            <w:r>
              <w:rPr>
                <w:rFonts w:asciiTheme="minorEastAsia" w:eastAsiaTheme="minorEastAsia" w:hAnsiTheme="minorEastAsia" w:cs="宋体"/>
                <w:color w:val="000000" w:themeColor="text1"/>
                <w:kern w:val="0"/>
              </w:rPr>
              <w:t>15,800.00</w:t>
            </w:r>
          </w:p>
        </w:tc>
        <w:tc>
          <w:tcPr>
            <w:tcW w:w="1842" w:type="dxa"/>
            <w:vAlign w:val="center"/>
          </w:tcPr>
          <w:p w:rsidR="00353FA4" w:rsidRDefault="00B73153">
            <w:pPr>
              <w:jc w:val="right"/>
            </w:pPr>
            <w:r>
              <w:rPr>
                <w:rFonts w:asciiTheme="minorEastAsia" w:eastAsiaTheme="minorEastAsia" w:hAnsiTheme="minorEastAsia" w:cs="宋体"/>
                <w:color w:val="000000" w:themeColor="text1"/>
                <w:kern w:val="0"/>
              </w:rPr>
              <w:t>1,243,460.00</w:t>
            </w:r>
          </w:p>
        </w:tc>
        <w:tc>
          <w:tcPr>
            <w:tcW w:w="1616" w:type="dxa"/>
            <w:vAlign w:val="center"/>
          </w:tcPr>
          <w:p w:rsidR="00353FA4" w:rsidRDefault="00B73153">
            <w:pPr>
              <w:jc w:val="right"/>
            </w:pPr>
            <w:r>
              <w:rPr>
                <w:rFonts w:asciiTheme="minorEastAsia" w:eastAsiaTheme="minorEastAsia" w:hAnsiTheme="minorEastAsia" w:cs="宋体"/>
                <w:color w:val="000000" w:themeColor="text1"/>
                <w:kern w:val="0"/>
              </w:rPr>
              <w:t>4.96</w:t>
            </w:r>
          </w:p>
        </w:tc>
      </w:tr>
      <w:tr w:rsidR="00353FA4">
        <w:tc>
          <w:tcPr>
            <w:tcW w:w="817" w:type="dxa"/>
            <w:vAlign w:val="center"/>
          </w:tcPr>
          <w:p w:rsidR="00353FA4" w:rsidRDefault="00B73153">
            <w:pPr>
              <w:jc w:val="center"/>
            </w:pPr>
            <w:r>
              <w:rPr>
                <w:rFonts w:asciiTheme="minorEastAsia" w:eastAsiaTheme="minorEastAsia" w:hAnsiTheme="minorEastAsia" w:cs="宋体"/>
                <w:color w:val="000000" w:themeColor="text1"/>
                <w:kern w:val="0"/>
              </w:rPr>
              <w:t>2</w:t>
            </w:r>
          </w:p>
        </w:tc>
        <w:tc>
          <w:tcPr>
            <w:tcW w:w="1276" w:type="dxa"/>
            <w:vAlign w:val="center"/>
          </w:tcPr>
          <w:p w:rsidR="00353FA4" w:rsidRDefault="00B73153">
            <w:pPr>
              <w:jc w:val="center"/>
            </w:pPr>
            <w:r>
              <w:rPr>
                <w:rFonts w:asciiTheme="minorEastAsia" w:eastAsiaTheme="minorEastAsia" w:hAnsiTheme="minorEastAsia" w:cs="宋体"/>
                <w:color w:val="000000" w:themeColor="text1"/>
                <w:kern w:val="0"/>
              </w:rPr>
              <w:t>600036</w:t>
            </w:r>
          </w:p>
        </w:tc>
        <w:tc>
          <w:tcPr>
            <w:tcW w:w="1701" w:type="dxa"/>
            <w:vAlign w:val="center"/>
          </w:tcPr>
          <w:p w:rsidR="00353FA4" w:rsidRDefault="00B73153">
            <w:pPr>
              <w:jc w:val="center"/>
            </w:pPr>
            <w:r>
              <w:rPr>
                <w:rFonts w:asciiTheme="minorEastAsia" w:eastAsiaTheme="minorEastAsia" w:hAnsiTheme="minorEastAsia" w:cs="宋体"/>
                <w:color w:val="000000" w:themeColor="text1"/>
                <w:kern w:val="0"/>
              </w:rPr>
              <w:t>招商银行</w:t>
            </w:r>
          </w:p>
        </w:tc>
        <w:tc>
          <w:tcPr>
            <w:tcW w:w="1276" w:type="dxa"/>
            <w:vAlign w:val="center"/>
          </w:tcPr>
          <w:p w:rsidR="00353FA4" w:rsidRDefault="00B73153">
            <w:pPr>
              <w:jc w:val="right"/>
            </w:pPr>
            <w:r>
              <w:rPr>
                <w:rFonts w:asciiTheme="minorEastAsia" w:eastAsiaTheme="minorEastAsia" w:hAnsiTheme="minorEastAsia" w:cs="宋体"/>
                <w:color w:val="000000" w:themeColor="text1"/>
                <w:kern w:val="0"/>
              </w:rPr>
              <w:t>20,900.00</w:t>
            </w:r>
          </w:p>
        </w:tc>
        <w:tc>
          <w:tcPr>
            <w:tcW w:w="1842" w:type="dxa"/>
            <w:vAlign w:val="center"/>
          </w:tcPr>
          <w:p w:rsidR="00353FA4" w:rsidRDefault="00B73153">
            <w:pPr>
              <w:jc w:val="right"/>
            </w:pPr>
            <w:r>
              <w:rPr>
                <w:rFonts w:asciiTheme="minorEastAsia" w:eastAsiaTheme="minorEastAsia" w:hAnsiTheme="minorEastAsia" w:cs="宋体"/>
                <w:color w:val="000000" w:themeColor="text1"/>
                <w:kern w:val="0"/>
              </w:rPr>
              <w:t>1,067,990.00</w:t>
            </w:r>
          </w:p>
        </w:tc>
        <w:tc>
          <w:tcPr>
            <w:tcW w:w="1616" w:type="dxa"/>
            <w:vAlign w:val="center"/>
          </w:tcPr>
          <w:p w:rsidR="00353FA4" w:rsidRDefault="00B73153">
            <w:pPr>
              <w:jc w:val="right"/>
            </w:pPr>
            <w:r>
              <w:rPr>
                <w:rFonts w:asciiTheme="minorEastAsia" w:eastAsiaTheme="minorEastAsia" w:hAnsiTheme="minorEastAsia" w:cs="宋体"/>
                <w:color w:val="000000" w:themeColor="text1"/>
                <w:kern w:val="0"/>
              </w:rPr>
              <w:t>4.26</w:t>
            </w:r>
          </w:p>
        </w:tc>
      </w:tr>
      <w:tr w:rsidR="00353FA4">
        <w:tc>
          <w:tcPr>
            <w:tcW w:w="817" w:type="dxa"/>
            <w:vAlign w:val="center"/>
          </w:tcPr>
          <w:p w:rsidR="00353FA4" w:rsidRDefault="00B73153">
            <w:pPr>
              <w:jc w:val="center"/>
            </w:pPr>
            <w:r>
              <w:rPr>
                <w:rFonts w:asciiTheme="minorEastAsia" w:eastAsiaTheme="minorEastAsia" w:hAnsiTheme="minorEastAsia" w:cs="宋体"/>
                <w:color w:val="000000" w:themeColor="text1"/>
                <w:kern w:val="0"/>
              </w:rPr>
              <w:t>3</w:t>
            </w:r>
          </w:p>
        </w:tc>
        <w:tc>
          <w:tcPr>
            <w:tcW w:w="1276" w:type="dxa"/>
            <w:vAlign w:val="center"/>
          </w:tcPr>
          <w:p w:rsidR="00353FA4" w:rsidRDefault="00B73153">
            <w:pPr>
              <w:jc w:val="center"/>
            </w:pPr>
            <w:r>
              <w:rPr>
                <w:rFonts w:asciiTheme="minorEastAsia" w:eastAsiaTheme="minorEastAsia" w:hAnsiTheme="minorEastAsia" w:cs="宋体"/>
                <w:color w:val="000000" w:themeColor="text1"/>
                <w:kern w:val="0"/>
              </w:rPr>
              <w:t>600519</w:t>
            </w:r>
          </w:p>
        </w:tc>
        <w:tc>
          <w:tcPr>
            <w:tcW w:w="1701" w:type="dxa"/>
            <w:vAlign w:val="center"/>
          </w:tcPr>
          <w:p w:rsidR="00353FA4" w:rsidRDefault="00B73153">
            <w:pPr>
              <w:jc w:val="center"/>
            </w:pPr>
            <w:r>
              <w:rPr>
                <w:rFonts w:asciiTheme="minorEastAsia" w:eastAsiaTheme="minorEastAsia" w:hAnsiTheme="minorEastAsia" w:cs="宋体"/>
                <w:color w:val="000000" w:themeColor="text1"/>
                <w:kern w:val="0"/>
              </w:rPr>
              <w:t>贵州茅台</w:t>
            </w:r>
          </w:p>
        </w:tc>
        <w:tc>
          <w:tcPr>
            <w:tcW w:w="1276" w:type="dxa"/>
            <w:vAlign w:val="center"/>
          </w:tcPr>
          <w:p w:rsidR="00353FA4" w:rsidRDefault="00B73153">
            <w:pPr>
              <w:jc w:val="right"/>
            </w:pPr>
            <w:r>
              <w:rPr>
                <w:rFonts w:asciiTheme="minorEastAsia" w:eastAsiaTheme="minorEastAsia" w:hAnsiTheme="minorEastAsia" w:cs="宋体"/>
                <w:color w:val="000000" w:themeColor="text1"/>
                <w:kern w:val="0"/>
              </w:rPr>
              <w:t>500.00</w:t>
            </w:r>
          </w:p>
        </w:tc>
        <w:tc>
          <w:tcPr>
            <w:tcW w:w="1842" w:type="dxa"/>
            <w:vAlign w:val="center"/>
          </w:tcPr>
          <w:p w:rsidR="00353FA4" w:rsidRDefault="00B73153">
            <w:pPr>
              <w:jc w:val="right"/>
            </w:pPr>
            <w:r>
              <w:rPr>
                <w:rFonts w:asciiTheme="minorEastAsia" w:eastAsiaTheme="minorEastAsia" w:hAnsiTheme="minorEastAsia" w:cs="宋体"/>
                <w:color w:val="000000" w:themeColor="text1"/>
                <w:kern w:val="0"/>
              </w:rPr>
              <w:t>1,004,500.00</w:t>
            </w:r>
          </w:p>
        </w:tc>
        <w:tc>
          <w:tcPr>
            <w:tcW w:w="1616" w:type="dxa"/>
            <w:vAlign w:val="center"/>
          </w:tcPr>
          <w:p w:rsidR="00353FA4" w:rsidRDefault="00B73153">
            <w:pPr>
              <w:jc w:val="right"/>
            </w:pPr>
            <w:r>
              <w:rPr>
                <w:rFonts w:asciiTheme="minorEastAsia" w:eastAsiaTheme="minorEastAsia" w:hAnsiTheme="minorEastAsia" w:cs="宋体"/>
                <w:color w:val="000000" w:themeColor="text1"/>
                <w:kern w:val="0"/>
              </w:rPr>
              <w:t>4.01</w:t>
            </w:r>
          </w:p>
        </w:tc>
      </w:tr>
      <w:tr w:rsidR="00353FA4">
        <w:tc>
          <w:tcPr>
            <w:tcW w:w="817" w:type="dxa"/>
            <w:vAlign w:val="center"/>
          </w:tcPr>
          <w:p w:rsidR="00353FA4" w:rsidRDefault="00B73153">
            <w:pPr>
              <w:jc w:val="center"/>
            </w:pPr>
            <w:r>
              <w:rPr>
                <w:rFonts w:asciiTheme="minorEastAsia" w:eastAsiaTheme="minorEastAsia" w:hAnsiTheme="minorEastAsia" w:cs="宋体"/>
                <w:color w:val="000000" w:themeColor="text1"/>
                <w:kern w:val="0"/>
              </w:rPr>
              <w:t>4</w:t>
            </w:r>
          </w:p>
        </w:tc>
        <w:tc>
          <w:tcPr>
            <w:tcW w:w="1276" w:type="dxa"/>
            <w:vAlign w:val="center"/>
          </w:tcPr>
          <w:p w:rsidR="00353FA4" w:rsidRDefault="00B73153">
            <w:pPr>
              <w:jc w:val="center"/>
            </w:pPr>
            <w:r>
              <w:rPr>
                <w:rFonts w:asciiTheme="minorEastAsia" w:eastAsiaTheme="minorEastAsia" w:hAnsiTheme="minorEastAsia" w:cs="宋体"/>
                <w:color w:val="000000" w:themeColor="text1"/>
                <w:kern w:val="0"/>
              </w:rPr>
              <w:t>601166</w:t>
            </w:r>
          </w:p>
        </w:tc>
        <w:tc>
          <w:tcPr>
            <w:tcW w:w="1701" w:type="dxa"/>
            <w:vAlign w:val="center"/>
          </w:tcPr>
          <w:p w:rsidR="00353FA4" w:rsidRDefault="00B73153">
            <w:pPr>
              <w:jc w:val="center"/>
            </w:pPr>
            <w:r>
              <w:rPr>
                <w:rFonts w:asciiTheme="minorEastAsia" w:eastAsiaTheme="minorEastAsia" w:hAnsiTheme="minorEastAsia" w:cs="宋体"/>
                <w:color w:val="000000" w:themeColor="text1"/>
                <w:kern w:val="0"/>
              </w:rPr>
              <w:t>兴业银行</w:t>
            </w:r>
          </w:p>
        </w:tc>
        <w:tc>
          <w:tcPr>
            <w:tcW w:w="1276" w:type="dxa"/>
            <w:vAlign w:val="center"/>
          </w:tcPr>
          <w:p w:rsidR="00353FA4" w:rsidRDefault="00B73153">
            <w:pPr>
              <w:jc w:val="right"/>
            </w:pPr>
            <w:r>
              <w:rPr>
                <w:rFonts w:asciiTheme="minorEastAsia" w:eastAsiaTheme="minorEastAsia" w:hAnsiTheme="minorEastAsia" w:cs="宋体"/>
                <w:color w:val="000000" w:themeColor="text1"/>
                <w:kern w:val="0"/>
              </w:rPr>
              <w:t>32,800.00</w:t>
            </w:r>
          </w:p>
        </w:tc>
        <w:tc>
          <w:tcPr>
            <w:tcW w:w="1842" w:type="dxa"/>
            <w:vAlign w:val="center"/>
          </w:tcPr>
          <w:p w:rsidR="00353FA4" w:rsidRDefault="00B73153">
            <w:pPr>
              <w:jc w:val="right"/>
            </w:pPr>
            <w:r>
              <w:rPr>
                <w:rFonts w:asciiTheme="minorEastAsia" w:eastAsiaTheme="minorEastAsia" w:hAnsiTheme="minorEastAsia" w:cs="宋体"/>
                <w:color w:val="000000" w:themeColor="text1"/>
                <w:kern w:val="0"/>
              </w:rPr>
              <w:t>790,152.00</w:t>
            </w:r>
          </w:p>
        </w:tc>
        <w:tc>
          <w:tcPr>
            <w:tcW w:w="1616" w:type="dxa"/>
            <w:vAlign w:val="center"/>
          </w:tcPr>
          <w:p w:rsidR="00353FA4" w:rsidRDefault="00B73153">
            <w:pPr>
              <w:jc w:val="right"/>
            </w:pPr>
            <w:r>
              <w:rPr>
                <w:rFonts w:asciiTheme="minorEastAsia" w:eastAsiaTheme="minorEastAsia" w:hAnsiTheme="minorEastAsia" w:cs="宋体"/>
                <w:color w:val="000000" w:themeColor="text1"/>
                <w:kern w:val="0"/>
              </w:rPr>
              <w:t>3.15</w:t>
            </w:r>
          </w:p>
        </w:tc>
      </w:tr>
      <w:tr w:rsidR="00353FA4">
        <w:tc>
          <w:tcPr>
            <w:tcW w:w="817" w:type="dxa"/>
            <w:vAlign w:val="center"/>
          </w:tcPr>
          <w:p w:rsidR="00353FA4" w:rsidRDefault="00B73153">
            <w:pPr>
              <w:jc w:val="center"/>
            </w:pPr>
            <w:r>
              <w:rPr>
                <w:rFonts w:asciiTheme="minorEastAsia" w:eastAsiaTheme="minorEastAsia" w:hAnsiTheme="minorEastAsia" w:cs="宋体"/>
                <w:color w:val="000000" w:themeColor="text1"/>
                <w:kern w:val="0"/>
              </w:rPr>
              <w:lastRenderedPageBreak/>
              <w:t>5</w:t>
            </w:r>
          </w:p>
        </w:tc>
        <w:tc>
          <w:tcPr>
            <w:tcW w:w="1276" w:type="dxa"/>
            <w:vAlign w:val="center"/>
          </w:tcPr>
          <w:p w:rsidR="00353FA4" w:rsidRDefault="00B73153">
            <w:pPr>
              <w:jc w:val="center"/>
            </w:pPr>
            <w:r>
              <w:rPr>
                <w:rFonts w:asciiTheme="minorEastAsia" w:eastAsiaTheme="minorEastAsia" w:hAnsiTheme="minorEastAsia" w:cs="宋体"/>
                <w:color w:val="000000" w:themeColor="text1"/>
                <w:kern w:val="0"/>
              </w:rPr>
              <w:t>000725</w:t>
            </w:r>
          </w:p>
        </w:tc>
        <w:tc>
          <w:tcPr>
            <w:tcW w:w="1701" w:type="dxa"/>
            <w:vAlign w:val="center"/>
          </w:tcPr>
          <w:p w:rsidR="00353FA4" w:rsidRDefault="00B73153">
            <w:pPr>
              <w:jc w:val="center"/>
            </w:pPr>
            <w:r>
              <w:rPr>
                <w:rFonts w:asciiTheme="minorEastAsia" w:eastAsiaTheme="minorEastAsia" w:hAnsiTheme="minorEastAsia" w:cs="宋体"/>
                <w:color w:val="000000" w:themeColor="text1"/>
                <w:kern w:val="0"/>
              </w:rPr>
              <w:t>京东方Ａ</w:t>
            </w:r>
          </w:p>
        </w:tc>
        <w:tc>
          <w:tcPr>
            <w:tcW w:w="1276" w:type="dxa"/>
            <w:vAlign w:val="center"/>
          </w:tcPr>
          <w:p w:rsidR="00353FA4" w:rsidRDefault="00B73153">
            <w:pPr>
              <w:jc w:val="right"/>
            </w:pPr>
            <w:r>
              <w:rPr>
                <w:rFonts w:asciiTheme="minorEastAsia" w:eastAsiaTheme="minorEastAsia" w:hAnsiTheme="minorEastAsia" w:cs="宋体"/>
                <w:color w:val="000000" w:themeColor="text1"/>
                <w:kern w:val="0"/>
              </w:rPr>
              <w:t>97,042.00</w:t>
            </w:r>
          </w:p>
        </w:tc>
        <w:tc>
          <w:tcPr>
            <w:tcW w:w="1842" w:type="dxa"/>
            <w:vAlign w:val="center"/>
          </w:tcPr>
          <w:p w:rsidR="00353FA4" w:rsidRDefault="00B73153">
            <w:pPr>
              <w:jc w:val="right"/>
            </w:pPr>
            <w:r>
              <w:rPr>
                <w:rFonts w:asciiTheme="minorEastAsia" w:eastAsiaTheme="minorEastAsia" w:hAnsiTheme="minorEastAsia" w:cs="宋体"/>
                <w:color w:val="000000" w:themeColor="text1"/>
                <w:kern w:val="0"/>
              </w:rPr>
              <w:t>608,453.34</w:t>
            </w:r>
          </w:p>
        </w:tc>
        <w:tc>
          <w:tcPr>
            <w:tcW w:w="1616" w:type="dxa"/>
            <w:vAlign w:val="center"/>
          </w:tcPr>
          <w:p w:rsidR="00353FA4" w:rsidRDefault="00B73153">
            <w:pPr>
              <w:jc w:val="right"/>
            </w:pPr>
            <w:r>
              <w:rPr>
                <w:rFonts w:asciiTheme="minorEastAsia" w:eastAsiaTheme="minorEastAsia" w:hAnsiTheme="minorEastAsia" w:cs="宋体"/>
                <w:color w:val="000000" w:themeColor="text1"/>
                <w:kern w:val="0"/>
              </w:rPr>
              <w:t>2.43</w:t>
            </w:r>
          </w:p>
        </w:tc>
      </w:tr>
      <w:tr w:rsidR="00353FA4">
        <w:tc>
          <w:tcPr>
            <w:tcW w:w="817" w:type="dxa"/>
            <w:vAlign w:val="center"/>
          </w:tcPr>
          <w:p w:rsidR="00353FA4" w:rsidRDefault="00B73153">
            <w:pPr>
              <w:jc w:val="center"/>
            </w:pPr>
            <w:r>
              <w:rPr>
                <w:rFonts w:asciiTheme="minorEastAsia" w:eastAsiaTheme="minorEastAsia" w:hAnsiTheme="minorEastAsia" w:cs="宋体"/>
                <w:color w:val="000000" w:themeColor="text1"/>
                <w:kern w:val="0"/>
              </w:rPr>
              <w:t>6</w:t>
            </w:r>
          </w:p>
        </w:tc>
        <w:tc>
          <w:tcPr>
            <w:tcW w:w="1276" w:type="dxa"/>
            <w:vAlign w:val="center"/>
          </w:tcPr>
          <w:p w:rsidR="00353FA4" w:rsidRDefault="00B73153">
            <w:pPr>
              <w:jc w:val="center"/>
            </w:pPr>
            <w:r>
              <w:rPr>
                <w:rFonts w:asciiTheme="minorEastAsia" w:eastAsiaTheme="minorEastAsia" w:hAnsiTheme="minorEastAsia" w:cs="宋体"/>
                <w:color w:val="000000" w:themeColor="text1"/>
                <w:kern w:val="0"/>
              </w:rPr>
              <w:t>600900</w:t>
            </w:r>
          </w:p>
        </w:tc>
        <w:tc>
          <w:tcPr>
            <w:tcW w:w="1701" w:type="dxa"/>
            <w:vAlign w:val="center"/>
          </w:tcPr>
          <w:p w:rsidR="00353FA4" w:rsidRDefault="00B73153">
            <w:pPr>
              <w:jc w:val="center"/>
            </w:pPr>
            <w:r>
              <w:rPr>
                <w:rFonts w:asciiTheme="minorEastAsia" w:eastAsiaTheme="minorEastAsia" w:hAnsiTheme="minorEastAsia" w:cs="宋体"/>
                <w:color w:val="000000" w:themeColor="text1"/>
                <w:kern w:val="0"/>
              </w:rPr>
              <w:t>长江电力</w:t>
            </w:r>
          </w:p>
        </w:tc>
        <w:tc>
          <w:tcPr>
            <w:tcW w:w="1276" w:type="dxa"/>
            <w:vAlign w:val="center"/>
          </w:tcPr>
          <w:p w:rsidR="00353FA4" w:rsidRDefault="00B73153">
            <w:pPr>
              <w:jc w:val="right"/>
            </w:pPr>
            <w:r>
              <w:rPr>
                <w:rFonts w:asciiTheme="minorEastAsia" w:eastAsiaTheme="minorEastAsia" w:hAnsiTheme="minorEastAsia" w:cs="宋体"/>
                <w:color w:val="000000" w:themeColor="text1"/>
                <w:kern w:val="0"/>
              </w:rPr>
              <w:t>27,700.00</w:t>
            </w:r>
          </w:p>
        </w:tc>
        <w:tc>
          <w:tcPr>
            <w:tcW w:w="1842" w:type="dxa"/>
            <w:vAlign w:val="center"/>
          </w:tcPr>
          <w:p w:rsidR="00353FA4" w:rsidRDefault="00B73153">
            <w:pPr>
              <w:jc w:val="right"/>
            </w:pPr>
            <w:r>
              <w:rPr>
                <w:rFonts w:asciiTheme="minorEastAsia" w:eastAsiaTheme="minorEastAsia" w:hAnsiTheme="minorEastAsia" w:cs="宋体"/>
                <w:color w:val="000000" w:themeColor="text1"/>
                <w:kern w:val="0"/>
              </w:rPr>
              <w:t>593,888.00</w:t>
            </w:r>
          </w:p>
        </w:tc>
        <w:tc>
          <w:tcPr>
            <w:tcW w:w="1616" w:type="dxa"/>
            <w:vAlign w:val="center"/>
          </w:tcPr>
          <w:p w:rsidR="00353FA4" w:rsidRDefault="00B73153">
            <w:pPr>
              <w:jc w:val="right"/>
            </w:pPr>
            <w:r>
              <w:rPr>
                <w:rFonts w:asciiTheme="minorEastAsia" w:eastAsiaTheme="minorEastAsia" w:hAnsiTheme="minorEastAsia" w:cs="宋体"/>
                <w:color w:val="000000" w:themeColor="text1"/>
                <w:kern w:val="0"/>
              </w:rPr>
              <w:t>2.37</w:t>
            </w:r>
          </w:p>
        </w:tc>
      </w:tr>
      <w:tr w:rsidR="00353FA4">
        <w:tc>
          <w:tcPr>
            <w:tcW w:w="817" w:type="dxa"/>
            <w:vAlign w:val="center"/>
          </w:tcPr>
          <w:p w:rsidR="00353FA4" w:rsidRDefault="00B73153">
            <w:pPr>
              <w:jc w:val="center"/>
            </w:pPr>
            <w:r>
              <w:rPr>
                <w:rFonts w:asciiTheme="minorEastAsia" w:eastAsiaTheme="minorEastAsia" w:hAnsiTheme="minorEastAsia" w:cs="宋体"/>
                <w:color w:val="000000" w:themeColor="text1"/>
                <w:kern w:val="0"/>
              </w:rPr>
              <w:t>7</w:t>
            </w:r>
          </w:p>
        </w:tc>
        <w:tc>
          <w:tcPr>
            <w:tcW w:w="1276" w:type="dxa"/>
            <w:vAlign w:val="center"/>
          </w:tcPr>
          <w:p w:rsidR="00353FA4" w:rsidRDefault="00B73153">
            <w:pPr>
              <w:jc w:val="center"/>
            </w:pPr>
            <w:r>
              <w:rPr>
                <w:rFonts w:asciiTheme="minorEastAsia" w:eastAsiaTheme="minorEastAsia" w:hAnsiTheme="minorEastAsia" w:cs="宋体"/>
                <w:color w:val="000000" w:themeColor="text1"/>
                <w:kern w:val="0"/>
              </w:rPr>
              <w:t>601888</w:t>
            </w:r>
          </w:p>
        </w:tc>
        <w:tc>
          <w:tcPr>
            <w:tcW w:w="1701" w:type="dxa"/>
            <w:vAlign w:val="center"/>
          </w:tcPr>
          <w:p w:rsidR="00353FA4" w:rsidRDefault="00B73153">
            <w:pPr>
              <w:jc w:val="center"/>
            </w:pPr>
            <w:r>
              <w:rPr>
                <w:rFonts w:asciiTheme="minorEastAsia" w:eastAsiaTheme="minorEastAsia" w:hAnsiTheme="minorEastAsia" w:cs="宋体"/>
                <w:color w:val="000000" w:themeColor="text1"/>
                <w:kern w:val="0"/>
              </w:rPr>
              <w:t>中国中免</w:t>
            </w:r>
          </w:p>
        </w:tc>
        <w:tc>
          <w:tcPr>
            <w:tcW w:w="1276" w:type="dxa"/>
            <w:vAlign w:val="center"/>
          </w:tcPr>
          <w:p w:rsidR="00353FA4" w:rsidRDefault="00B73153">
            <w:pPr>
              <w:jc w:val="right"/>
            </w:pPr>
            <w:r>
              <w:rPr>
                <w:rFonts w:asciiTheme="minorEastAsia" w:eastAsiaTheme="minorEastAsia" w:hAnsiTheme="minorEastAsia" w:cs="宋体"/>
                <w:color w:val="000000" w:themeColor="text1"/>
                <w:kern w:val="0"/>
              </w:rPr>
              <w:t>1,900.00</w:t>
            </w:r>
          </w:p>
        </w:tc>
        <w:tc>
          <w:tcPr>
            <w:tcW w:w="1842" w:type="dxa"/>
            <w:vAlign w:val="center"/>
          </w:tcPr>
          <w:p w:rsidR="00353FA4" w:rsidRDefault="00B73153">
            <w:pPr>
              <w:jc w:val="right"/>
            </w:pPr>
            <w:r>
              <w:rPr>
                <w:rFonts w:asciiTheme="minorEastAsia" w:eastAsiaTheme="minorEastAsia" w:hAnsiTheme="minorEastAsia" w:cs="宋体"/>
                <w:color w:val="000000" w:themeColor="text1"/>
                <w:kern w:val="0"/>
              </w:rPr>
              <w:t>581,552.00</w:t>
            </w:r>
          </w:p>
        </w:tc>
        <w:tc>
          <w:tcPr>
            <w:tcW w:w="1616" w:type="dxa"/>
            <w:vAlign w:val="center"/>
          </w:tcPr>
          <w:p w:rsidR="00353FA4" w:rsidRDefault="00B73153">
            <w:pPr>
              <w:jc w:val="right"/>
            </w:pPr>
            <w:r>
              <w:rPr>
                <w:rFonts w:asciiTheme="minorEastAsia" w:eastAsiaTheme="minorEastAsia" w:hAnsiTheme="minorEastAsia" w:cs="宋体"/>
                <w:color w:val="000000" w:themeColor="text1"/>
                <w:kern w:val="0"/>
              </w:rPr>
              <w:t>2.32</w:t>
            </w:r>
          </w:p>
        </w:tc>
      </w:tr>
      <w:tr w:rsidR="00353FA4">
        <w:tc>
          <w:tcPr>
            <w:tcW w:w="817" w:type="dxa"/>
            <w:vAlign w:val="center"/>
          </w:tcPr>
          <w:p w:rsidR="00353FA4" w:rsidRDefault="00B73153">
            <w:pPr>
              <w:jc w:val="center"/>
            </w:pPr>
            <w:r>
              <w:rPr>
                <w:rFonts w:asciiTheme="minorEastAsia" w:eastAsiaTheme="minorEastAsia" w:hAnsiTheme="minorEastAsia" w:cs="宋体"/>
                <w:color w:val="000000" w:themeColor="text1"/>
                <w:kern w:val="0"/>
              </w:rPr>
              <w:t>8</w:t>
            </w:r>
          </w:p>
        </w:tc>
        <w:tc>
          <w:tcPr>
            <w:tcW w:w="1276" w:type="dxa"/>
            <w:vAlign w:val="center"/>
          </w:tcPr>
          <w:p w:rsidR="00353FA4" w:rsidRDefault="00B73153">
            <w:pPr>
              <w:jc w:val="center"/>
            </w:pPr>
            <w:r>
              <w:rPr>
                <w:rFonts w:asciiTheme="minorEastAsia" w:eastAsiaTheme="minorEastAsia" w:hAnsiTheme="minorEastAsia" w:cs="宋体"/>
                <w:color w:val="000000" w:themeColor="text1"/>
                <w:kern w:val="0"/>
              </w:rPr>
              <w:t>600019</w:t>
            </w:r>
          </w:p>
        </w:tc>
        <w:tc>
          <w:tcPr>
            <w:tcW w:w="1701" w:type="dxa"/>
            <w:vAlign w:val="center"/>
          </w:tcPr>
          <w:p w:rsidR="00353FA4" w:rsidRDefault="00B73153">
            <w:pPr>
              <w:jc w:val="center"/>
            </w:pPr>
            <w:r>
              <w:rPr>
                <w:rFonts w:asciiTheme="minorEastAsia" w:eastAsiaTheme="minorEastAsia" w:hAnsiTheme="minorEastAsia" w:cs="宋体"/>
                <w:color w:val="000000" w:themeColor="text1"/>
                <w:kern w:val="0"/>
              </w:rPr>
              <w:t>宝钢股份</w:t>
            </w:r>
          </w:p>
        </w:tc>
        <w:tc>
          <w:tcPr>
            <w:tcW w:w="1276" w:type="dxa"/>
            <w:vAlign w:val="center"/>
          </w:tcPr>
          <w:p w:rsidR="00353FA4" w:rsidRDefault="00B73153">
            <w:pPr>
              <w:jc w:val="right"/>
            </w:pPr>
            <w:r>
              <w:rPr>
                <w:rFonts w:asciiTheme="minorEastAsia" w:eastAsiaTheme="minorEastAsia" w:hAnsiTheme="minorEastAsia" w:cs="宋体"/>
                <w:color w:val="000000" w:themeColor="text1"/>
                <w:kern w:val="0"/>
              </w:rPr>
              <w:t>71,300.00</w:t>
            </w:r>
          </w:p>
        </w:tc>
        <w:tc>
          <w:tcPr>
            <w:tcW w:w="1842" w:type="dxa"/>
            <w:vAlign w:val="center"/>
          </w:tcPr>
          <w:p w:rsidR="00353FA4" w:rsidRDefault="00B73153">
            <w:pPr>
              <w:jc w:val="right"/>
            </w:pPr>
            <w:r>
              <w:rPr>
                <w:rFonts w:asciiTheme="minorEastAsia" w:eastAsiaTheme="minorEastAsia" w:hAnsiTheme="minorEastAsia" w:cs="宋体"/>
                <w:color w:val="000000" w:themeColor="text1"/>
                <w:kern w:val="0"/>
              </w:rPr>
              <w:t>576,104.00</w:t>
            </w:r>
          </w:p>
        </w:tc>
        <w:tc>
          <w:tcPr>
            <w:tcW w:w="1616" w:type="dxa"/>
            <w:vAlign w:val="center"/>
          </w:tcPr>
          <w:p w:rsidR="00353FA4" w:rsidRDefault="00B73153">
            <w:pPr>
              <w:jc w:val="right"/>
            </w:pPr>
            <w:r>
              <w:rPr>
                <w:rFonts w:asciiTheme="minorEastAsia" w:eastAsiaTheme="minorEastAsia" w:hAnsiTheme="minorEastAsia" w:cs="宋体"/>
                <w:color w:val="000000" w:themeColor="text1"/>
                <w:kern w:val="0"/>
              </w:rPr>
              <w:t>2.30</w:t>
            </w:r>
          </w:p>
        </w:tc>
      </w:tr>
      <w:tr w:rsidR="00353FA4">
        <w:tc>
          <w:tcPr>
            <w:tcW w:w="817" w:type="dxa"/>
            <w:vAlign w:val="center"/>
          </w:tcPr>
          <w:p w:rsidR="00353FA4" w:rsidRDefault="00B73153">
            <w:pPr>
              <w:jc w:val="center"/>
            </w:pPr>
            <w:r>
              <w:rPr>
                <w:rFonts w:asciiTheme="minorEastAsia" w:eastAsiaTheme="minorEastAsia" w:hAnsiTheme="minorEastAsia" w:cs="宋体"/>
                <w:color w:val="000000" w:themeColor="text1"/>
                <w:kern w:val="0"/>
              </w:rPr>
              <w:t>9</w:t>
            </w:r>
          </w:p>
        </w:tc>
        <w:tc>
          <w:tcPr>
            <w:tcW w:w="1276" w:type="dxa"/>
            <w:vAlign w:val="center"/>
          </w:tcPr>
          <w:p w:rsidR="00353FA4" w:rsidRDefault="00B73153">
            <w:pPr>
              <w:jc w:val="center"/>
            </w:pPr>
            <w:r>
              <w:rPr>
                <w:rFonts w:asciiTheme="minorEastAsia" w:eastAsiaTheme="minorEastAsia" w:hAnsiTheme="minorEastAsia" w:cs="宋体"/>
                <w:color w:val="000000" w:themeColor="text1"/>
                <w:kern w:val="0"/>
              </w:rPr>
              <w:t>000858</w:t>
            </w:r>
          </w:p>
        </w:tc>
        <w:tc>
          <w:tcPr>
            <w:tcW w:w="1701" w:type="dxa"/>
            <w:vAlign w:val="center"/>
          </w:tcPr>
          <w:p w:rsidR="00353FA4" w:rsidRDefault="00B73153">
            <w:pPr>
              <w:jc w:val="center"/>
            </w:pPr>
            <w:r>
              <w:rPr>
                <w:rFonts w:asciiTheme="minorEastAsia" w:eastAsiaTheme="minorEastAsia" w:hAnsiTheme="minorEastAsia" w:cs="宋体"/>
                <w:color w:val="000000" w:themeColor="text1"/>
                <w:kern w:val="0"/>
              </w:rPr>
              <w:t>五</w:t>
            </w:r>
            <w:r>
              <w:rPr>
                <w:rFonts w:asciiTheme="minorEastAsia" w:eastAsiaTheme="minorEastAsia" w:hAnsiTheme="minorEastAsia" w:cs="宋体"/>
                <w:color w:val="000000" w:themeColor="text1"/>
                <w:kern w:val="0"/>
              </w:rPr>
              <w:t xml:space="preserve"> </w:t>
            </w:r>
            <w:r>
              <w:rPr>
                <w:rFonts w:asciiTheme="minorEastAsia" w:eastAsiaTheme="minorEastAsia" w:hAnsiTheme="minorEastAsia" w:cs="宋体"/>
                <w:color w:val="000000" w:themeColor="text1"/>
                <w:kern w:val="0"/>
              </w:rPr>
              <w:t>粮</w:t>
            </w:r>
            <w:r>
              <w:rPr>
                <w:rFonts w:asciiTheme="minorEastAsia" w:eastAsiaTheme="minorEastAsia" w:hAnsiTheme="minorEastAsia" w:cs="宋体"/>
                <w:color w:val="000000" w:themeColor="text1"/>
                <w:kern w:val="0"/>
              </w:rPr>
              <w:t xml:space="preserve"> </w:t>
            </w:r>
            <w:r>
              <w:rPr>
                <w:rFonts w:asciiTheme="minorEastAsia" w:eastAsiaTheme="minorEastAsia" w:hAnsiTheme="minorEastAsia" w:cs="宋体"/>
                <w:color w:val="000000" w:themeColor="text1"/>
                <w:kern w:val="0"/>
              </w:rPr>
              <w:t>液</w:t>
            </w:r>
          </w:p>
        </w:tc>
        <w:tc>
          <w:tcPr>
            <w:tcW w:w="1276" w:type="dxa"/>
            <w:vAlign w:val="center"/>
          </w:tcPr>
          <w:p w:rsidR="00353FA4" w:rsidRDefault="00B73153">
            <w:pPr>
              <w:jc w:val="right"/>
            </w:pPr>
            <w:r>
              <w:rPr>
                <w:rFonts w:asciiTheme="minorEastAsia" w:eastAsiaTheme="minorEastAsia" w:hAnsiTheme="minorEastAsia" w:cs="宋体"/>
                <w:color w:val="000000" w:themeColor="text1"/>
                <w:kern w:val="0"/>
              </w:rPr>
              <w:t>2,069.00</w:t>
            </w:r>
          </w:p>
        </w:tc>
        <w:tc>
          <w:tcPr>
            <w:tcW w:w="1842" w:type="dxa"/>
            <w:vAlign w:val="center"/>
          </w:tcPr>
          <w:p w:rsidR="00353FA4" w:rsidRDefault="00B73153">
            <w:pPr>
              <w:jc w:val="right"/>
            </w:pPr>
            <w:r>
              <w:rPr>
                <w:rFonts w:asciiTheme="minorEastAsia" w:eastAsiaTheme="minorEastAsia" w:hAnsiTheme="minorEastAsia" w:cs="宋体"/>
                <w:color w:val="000000" w:themeColor="text1"/>
                <w:kern w:val="0"/>
              </w:rPr>
              <w:t>554,450.62</w:t>
            </w:r>
          </w:p>
        </w:tc>
        <w:tc>
          <w:tcPr>
            <w:tcW w:w="1616" w:type="dxa"/>
            <w:vAlign w:val="center"/>
          </w:tcPr>
          <w:p w:rsidR="00353FA4" w:rsidRDefault="00B73153">
            <w:pPr>
              <w:jc w:val="right"/>
            </w:pPr>
            <w:r>
              <w:rPr>
                <w:rFonts w:asciiTheme="minorEastAsia" w:eastAsiaTheme="minorEastAsia" w:hAnsiTheme="minorEastAsia" w:cs="宋体"/>
                <w:color w:val="000000" w:themeColor="text1"/>
                <w:kern w:val="0"/>
              </w:rPr>
              <w:t>2.21</w:t>
            </w:r>
          </w:p>
        </w:tc>
      </w:tr>
      <w:tr w:rsidR="00353FA4">
        <w:tc>
          <w:tcPr>
            <w:tcW w:w="817" w:type="dxa"/>
            <w:vAlign w:val="center"/>
          </w:tcPr>
          <w:p w:rsidR="00353FA4" w:rsidRDefault="00B73153">
            <w:pPr>
              <w:jc w:val="center"/>
            </w:pPr>
            <w:r>
              <w:rPr>
                <w:rFonts w:asciiTheme="minorEastAsia" w:eastAsiaTheme="minorEastAsia" w:hAnsiTheme="minorEastAsia" w:cs="宋体"/>
                <w:color w:val="000000" w:themeColor="text1"/>
                <w:kern w:val="0"/>
              </w:rPr>
              <w:t>10</w:t>
            </w:r>
          </w:p>
        </w:tc>
        <w:tc>
          <w:tcPr>
            <w:tcW w:w="1276" w:type="dxa"/>
            <w:vAlign w:val="center"/>
          </w:tcPr>
          <w:p w:rsidR="00353FA4" w:rsidRDefault="00B73153">
            <w:pPr>
              <w:jc w:val="center"/>
            </w:pPr>
            <w:r>
              <w:rPr>
                <w:rFonts w:asciiTheme="minorEastAsia" w:eastAsiaTheme="minorEastAsia" w:hAnsiTheme="minorEastAsia" w:cs="宋体"/>
                <w:color w:val="000000" w:themeColor="text1"/>
                <w:kern w:val="0"/>
              </w:rPr>
              <w:t>000651</w:t>
            </w:r>
          </w:p>
        </w:tc>
        <w:tc>
          <w:tcPr>
            <w:tcW w:w="1701" w:type="dxa"/>
            <w:vAlign w:val="center"/>
          </w:tcPr>
          <w:p w:rsidR="00353FA4" w:rsidRDefault="00B73153">
            <w:pPr>
              <w:jc w:val="center"/>
            </w:pPr>
            <w:r>
              <w:rPr>
                <w:rFonts w:asciiTheme="minorEastAsia" w:eastAsiaTheme="minorEastAsia" w:hAnsiTheme="minorEastAsia" w:cs="宋体"/>
                <w:color w:val="000000" w:themeColor="text1"/>
                <w:kern w:val="0"/>
              </w:rPr>
              <w:t>格力电器</w:t>
            </w:r>
          </w:p>
        </w:tc>
        <w:tc>
          <w:tcPr>
            <w:tcW w:w="1276" w:type="dxa"/>
            <w:vAlign w:val="center"/>
          </w:tcPr>
          <w:p w:rsidR="00353FA4" w:rsidRDefault="00B73153">
            <w:pPr>
              <w:jc w:val="right"/>
            </w:pPr>
            <w:r>
              <w:rPr>
                <w:rFonts w:asciiTheme="minorEastAsia" w:eastAsiaTheme="minorEastAsia" w:hAnsiTheme="minorEastAsia" w:cs="宋体"/>
                <w:color w:val="000000" w:themeColor="text1"/>
                <w:kern w:val="0"/>
              </w:rPr>
              <w:t>7,680.00</w:t>
            </w:r>
          </w:p>
        </w:tc>
        <w:tc>
          <w:tcPr>
            <w:tcW w:w="1842" w:type="dxa"/>
            <w:vAlign w:val="center"/>
          </w:tcPr>
          <w:p w:rsidR="00353FA4" w:rsidRDefault="00B73153">
            <w:pPr>
              <w:jc w:val="right"/>
            </w:pPr>
            <w:r>
              <w:rPr>
                <w:rFonts w:asciiTheme="minorEastAsia" w:eastAsiaTheme="minorEastAsia" w:hAnsiTheme="minorEastAsia" w:cs="宋体"/>
                <w:color w:val="000000" w:themeColor="text1"/>
                <w:kern w:val="0"/>
              </w:rPr>
              <w:t>481,536.00</w:t>
            </w:r>
          </w:p>
        </w:tc>
        <w:tc>
          <w:tcPr>
            <w:tcW w:w="1616" w:type="dxa"/>
            <w:vAlign w:val="center"/>
          </w:tcPr>
          <w:p w:rsidR="00353FA4" w:rsidRDefault="00B73153">
            <w:pPr>
              <w:jc w:val="right"/>
            </w:pPr>
            <w:r>
              <w:rPr>
                <w:rFonts w:asciiTheme="minorEastAsia" w:eastAsiaTheme="minorEastAsia" w:hAnsiTheme="minorEastAsia" w:cs="宋体"/>
                <w:color w:val="000000" w:themeColor="text1"/>
                <w:kern w:val="0"/>
              </w:rPr>
              <w:t>1.92</w:t>
            </w:r>
          </w:p>
        </w:tc>
      </w:tr>
    </w:tbl>
    <w:p w:rsidR="00D06738" w:rsidRDefault="00D0673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5.4 </w:t>
      </w:r>
      <w:r>
        <w:rPr>
          <w:rFonts w:asciiTheme="minorEastAsia" w:eastAsiaTheme="minorEastAsia" w:hAnsiTheme="minorEastAsia" w:hint="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3260"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债券品种</w:t>
            </w:r>
          </w:p>
        </w:tc>
        <w:tc>
          <w:tcPr>
            <w:tcW w:w="2949"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公允价值(元)</w:t>
            </w:r>
          </w:p>
        </w:tc>
        <w:tc>
          <w:tcPr>
            <w:tcW w:w="1729"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国家债券</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央行票据</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金融债券</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jc w:val="center"/>
        </w:trPr>
        <w:tc>
          <w:tcPr>
            <w:tcW w:w="817" w:type="dxa"/>
            <w:vAlign w:val="center"/>
          </w:tcPr>
          <w:p w:rsidR="00D06738" w:rsidRDefault="00D06738">
            <w:pPr>
              <w:spacing w:before="29" w:line="360" w:lineRule="auto"/>
              <w:ind w:left="17"/>
              <w:jc w:val="center"/>
              <w:rPr>
                <w:rFonts w:asciiTheme="minorEastAsia" w:eastAsiaTheme="minorEastAsia" w:hAnsiTheme="minorEastAsia" w:cs="宋体"/>
                <w:color w:val="000000" w:themeColor="text1"/>
                <w:kern w:val="0"/>
              </w:rPr>
            </w:pP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其中：政策性金融债</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企业债券</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企业短期融资券</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6</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中期票据</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7</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可转债（可交换债）</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11,900.00</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0.05</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同业存单</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9</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其他</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w:t>
            </w:r>
          </w:p>
        </w:tc>
      </w:tr>
      <w:tr w:rsidR="00D06738">
        <w:trPr>
          <w:jc w:val="center"/>
        </w:trPr>
        <w:tc>
          <w:tcPr>
            <w:tcW w:w="817"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10</w:t>
            </w:r>
          </w:p>
        </w:tc>
        <w:tc>
          <w:tcPr>
            <w:tcW w:w="3260" w:type="dxa"/>
            <w:vAlign w:val="center"/>
          </w:tcPr>
          <w:p w:rsidR="00D06738" w:rsidRDefault="00454D20">
            <w:pPr>
              <w:spacing w:before="29" w:line="360" w:lineRule="auto"/>
              <w:ind w:left="17"/>
              <w:jc w:val="left"/>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合计</w:t>
            </w:r>
          </w:p>
        </w:tc>
        <w:tc>
          <w:tcPr>
            <w:tcW w:w="294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11,900.00</w:t>
            </w:r>
          </w:p>
        </w:tc>
        <w:tc>
          <w:tcPr>
            <w:tcW w:w="1729" w:type="dxa"/>
            <w:vAlign w:val="center"/>
          </w:tcPr>
          <w:p w:rsidR="00D06738" w:rsidRDefault="00454D20">
            <w:pPr>
              <w:spacing w:before="29" w:line="360" w:lineRule="auto"/>
              <w:ind w:left="17"/>
              <w:jc w:val="right"/>
              <w:rPr>
                <w:rFonts w:asciiTheme="minorEastAsia" w:eastAsiaTheme="minorEastAsia" w:hAnsiTheme="minorEastAsia" w:cs="宋体"/>
                <w:color w:val="000000" w:themeColor="text1"/>
                <w:kern w:val="0"/>
              </w:rPr>
            </w:pPr>
            <w:r>
              <w:rPr>
                <w:rFonts w:asciiTheme="minorEastAsia" w:eastAsiaTheme="minorEastAsia" w:hAnsiTheme="minorEastAsia" w:cs="宋体"/>
                <w:color w:val="000000" w:themeColor="text1"/>
                <w:kern w:val="0"/>
              </w:rPr>
              <w:t>0.05</w:t>
            </w:r>
          </w:p>
        </w:tc>
      </w:tr>
    </w:tbl>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5.5 </w:t>
      </w:r>
      <w:r>
        <w:rPr>
          <w:rFonts w:asciiTheme="minorEastAsia" w:eastAsiaTheme="minorEastAsia" w:hAnsiTheme="minorEastAsia" w:hint="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tc>
          <w:tcPr>
            <w:tcW w:w="1252"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序号</w:t>
            </w:r>
          </w:p>
        </w:tc>
        <w:tc>
          <w:tcPr>
            <w:tcW w:w="1310"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债券代码</w:t>
            </w:r>
          </w:p>
        </w:tc>
        <w:tc>
          <w:tcPr>
            <w:tcW w:w="1282"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债券名称</w:t>
            </w:r>
          </w:p>
        </w:tc>
        <w:tc>
          <w:tcPr>
            <w:tcW w:w="142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数量(张)</w:t>
            </w:r>
          </w:p>
        </w:tc>
        <w:tc>
          <w:tcPr>
            <w:tcW w:w="1646"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公允价值</w:t>
            </w:r>
            <w:r>
              <w:rPr>
                <w:rFonts w:asciiTheme="minorEastAsia" w:eastAsiaTheme="minorEastAsia" w:hAnsiTheme="minorEastAsia" w:cs="宋体"/>
                <w:color w:val="000000" w:themeColor="text1"/>
                <w:kern w:val="0"/>
              </w:rPr>
              <w:t>(</w:t>
            </w:r>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color w:val="000000" w:themeColor="text1"/>
                <w:kern w:val="0"/>
              </w:rPr>
              <w:t>)</w:t>
            </w:r>
          </w:p>
        </w:tc>
        <w:tc>
          <w:tcPr>
            <w:tcW w:w="1612" w:type="dxa"/>
            <w:vAlign w:val="center"/>
          </w:tcPr>
          <w:p w:rsidR="00D06738" w:rsidRDefault="00454D20">
            <w:pPr>
              <w:spacing w:before="29" w:line="360" w:lineRule="auto"/>
              <w:ind w:left="17"/>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占基金资产净值比例(％)</w:t>
            </w:r>
          </w:p>
        </w:tc>
      </w:tr>
      <w:tr w:rsidR="00353FA4">
        <w:tc>
          <w:tcPr>
            <w:tcW w:w="1252" w:type="dxa"/>
            <w:vAlign w:val="center"/>
          </w:tcPr>
          <w:p w:rsidR="00353FA4" w:rsidRDefault="00B73153">
            <w:pPr>
              <w:jc w:val="center"/>
            </w:pPr>
            <w:r>
              <w:rPr>
                <w:rFonts w:asciiTheme="minorEastAsia" w:eastAsiaTheme="minorEastAsia" w:hAnsiTheme="minorEastAsia" w:cs="宋体"/>
                <w:color w:val="000000" w:themeColor="text1"/>
                <w:kern w:val="0"/>
              </w:rPr>
              <w:t>1</w:t>
            </w:r>
          </w:p>
        </w:tc>
        <w:tc>
          <w:tcPr>
            <w:tcW w:w="1310" w:type="dxa"/>
            <w:vAlign w:val="center"/>
          </w:tcPr>
          <w:p w:rsidR="00353FA4" w:rsidRDefault="00B73153">
            <w:pPr>
              <w:jc w:val="center"/>
            </w:pPr>
            <w:r>
              <w:rPr>
                <w:rFonts w:asciiTheme="minorEastAsia" w:eastAsiaTheme="minorEastAsia" w:hAnsiTheme="minorEastAsia" w:cs="宋体"/>
                <w:color w:val="000000" w:themeColor="text1"/>
                <w:kern w:val="0"/>
              </w:rPr>
              <w:t>123107</w:t>
            </w:r>
          </w:p>
        </w:tc>
        <w:tc>
          <w:tcPr>
            <w:tcW w:w="1282" w:type="dxa"/>
            <w:vAlign w:val="center"/>
          </w:tcPr>
          <w:p w:rsidR="00353FA4" w:rsidRDefault="00B73153">
            <w:pPr>
              <w:jc w:val="center"/>
            </w:pPr>
            <w:r>
              <w:rPr>
                <w:rFonts w:asciiTheme="minorEastAsia" w:eastAsiaTheme="minorEastAsia" w:hAnsiTheme="minorEastAsia" w:cs="宋体"/>
                <w:color w:val="000000" w:themeColor="text1"/>
                <w:kern w:val="0"/>
              </w:rPr>
              <w:t>温氏转债</w:t>
            </w:r>
          </w:p>
        </w:tc>
        <w:tc>
          <w:tcPr>
            <w:tcW w:w="1426" w:type="dxa"/>
            <w:vAlign w:val="center"/>
          </w:tcPr>
          <w:p w:rsidR="00353FA4" w:rsidRDefault="00B73153">
            <w:pPr>
              <w:jc w:val="right"/>
            </w:pPr>
            <w:r>
              <w:rPr>
                <w:rFonts w:asciiTheme="minorEastAsia" w:eastAsiaTheme="minorEastAsia" w:hAnsiTheme="minorEastAsia" w:cs="宋体"/>
                <w:color w:val="000000" w:themeColor="text1"/>
                <w:kern w:val="0"/>
              </w:rPr>
              <w:t>79</w:t>
            </w:r>
          </w:p>
        </w:tc>
        <w:tc>
          <w:tcPr>
            <w:tcW w:w="1646" w:type="dxa"/>
            <w:vAlign w:val="center"/>
          </w:tcPr>
          <w:p w:rsidR="00353FA4" w:rsidRDefault="00B73153">
            <w:pPr>
              <w:jc w:val="right"/>
            </w:pPr>
            <w:r>
              <w:rPr>
                <w:rFonts w:asciiTheme="minorEastAsia" w:eastAsiaTheme="minorEastAsia" w:hAnsiTheme="minorEastAsia" w:cs="宋体"/>
                <w:color w:val="000000" w:themeColor="text1"/>
                <w:kern w:val="0"/>
              </w:rPr>
              <w:t>7,900.00</w:t>
            </w:r>
          </w:p>
        </w:tc>
        <w:tc>
          <w:tcPr>
            <w:tcW w:w="1612" w:type="dxa"/>
            <w:vAlign w:val="center"/>
          </w:tcPr>
          <w:p w:rsidR="00353FA4" w:rsidRDefault="00B73153">
            <w:pPr>
              <w:jc w:val="right"/>
            </w:pPr>
            <w:r>
              <w:rPr>
                <w:rFonts w:asciiTheme="minorEastAsia" w:eastAsiaTheme="minorEastAsia" w:hAnsiTheme="minorEastAsia" w:cs="宋体"/>
                <w:color w:val="000000" w:themeColor="text1"/>
                <w:kern w:val="0"/>
              </w:rPr>
              <w:t>0.03</w:t>
            </w:r>
          </w:p>
        </w:tc>
      </w:tr>
      <w:tr w:rsidR="00353FA4">
        <w:tc>
          <w:tcPr>
            <w:tcW w:w="1252" w:type="dxa"/>
            <w:vAlign w:val="center"/>
          </w:tcPr>
          <w:p w:rsidR="00353FA4" w:rsidRDefault="00B73153">
            <w:pPr>
              <w:jc w:val="center"/>
            </w:pPr>
            <w:r>
              <w:rPr>
                <w:rFonts w:asciiTheme="minorEastAsia" w:eastAsiaTheme="minorEastAsia" w:hAnsiTheme="minorEastAsia" w:cs="宋体"/>
                <w:color w:val="000000" w:themeColor="text1"/>
                <w:kern w:val="0"/>
              </w:rPr>
              <w:t>2</w:t>
            </w:r>
          </w:p>
        </w:tc>
        <w:tc>
          <w:tcPr>
            <w:tcW w:w="1310" w:type="dxa"/>
            <w:vAlign w:val="center"/>
          </w:tcPr>
          <w:p w:rsidR="00353FA4" w:rsidRDefault="00B73153">
            <w:pPr>
              <w:jc w:val="center"/>
            </w:pPr>
            <w:r>
              <w:rPr>
                <w:rFonts w:asciiTheme="minorEastAsia" w:eastAsiaTheme="minorEastAsia" w:hAnsiTheme="minorEastAsia" w:cs="宋体"/>
                <w:color w:val="000000" w:themeColor="text1"/>
                <w:kern w:val="0"/>
              </w:rPr>
              <w:t>110079</w:t>
            </w:r>
          </w:p>
        </w:tc>
        <w:tc>
          <w:tcPr>
            <w:tcW w:w="1282" w:type="dxa"/>
            <w:vAlign w:val="center"/>
          </w:tcPr>
          <w:p w:rsidR="00353FA4" w:rsidRDefault="00B73153">
            <w:pPr>
              <w:jc w:val="center"/>
            </w:pPr>
            <w:r>
              <w:rPr>
                <w:rFonts w:asciiTheme="minorEastAsia" w:eastAsiaTheme="minorEastAsia" w:hAnsiTheme="minorEastAsia" w:cs="宋体"/>
                <w:color w:val="000000" w:themeColor="text1"/>
                <w:kern w:val="0"/>
              </w:rPr>
              <w:t>杭银转债</w:t>
            </w:r>
          </w:p>
        </w:tc>
        <w:tc>
          <w:tcPr>
            <w:tcW w:w="1426" w:type="dxa"/>
            <w:vAlign w:val="center"/>
          </w:tcPr>
          <w:p w:rsidR="00353FA4" w:rsidRDefault="00B73153">
            <w:pPr>
              <w:jc w:val="right"/>
            </w:pPr>
            <w:r>
              <w:rPr>
                <w:rFonts w:asciiTheme="minorEastAsia" w:eastAsiaTheme="minorEastAsia" w:hAnsiTheme="minorEastAsia" w:cs="宋体"/>
                <w:color w:val="000000" w:themeColor="text1"/>
                <w:kern w:val="0"/>
              </w:rPr>
              <w:t>40</w:t>
            </w:r>
          </w:p>
        </w:tc>
        <w:tc>
          <w:tcPr>
            <w:tcW w:w="1646" w:type="dxa"/>
            <w:vAlign w:val="center"/>
          </w:tcPr>
          <w:p w:rsidR="00353FA4" w:rsidRDefault="00B73153">
            <w:pPr>
              <w:jc w:val="right"/>
            </w:pPr>
            <w:r>
              <w:rPr>
                <w:rFonts w:asciiTheme="minorEastAsia" w:eastAsiaTheme="minorEastAsia" w:hAnsiTheme="minorEastAsia" w:cs="宋体"/>
                <w:color w:val="000000" w:themeColor="text1"/>
                <w:kern w:val="0"/>
              </w:rPr>
              <w:t>4,000.00</w:t>
            </w:r>
          </w:p>
        </w:tc>
        <w:tc>
          <w:tcPr>
            <w:tcW w:w="1612" w:type="dxa"/>
            <w:vAlign w:val="center"/>
          </w:tcPr>
          <w:p w:rsidR="00353FA4" w:rsidRDefault="00B73153">
            <w:pPr>
              <w:jc w:val="right"/>
            </w:pPr>
            <w:r>
              <w:rPr>
                <w:rFonts w:asciiTheme="minorEastAsia" w:eastAsiaTheme="minorEastAsia" w:hAnsiTheme="minorEastAsia" w:cs="宋体"/>
                <w:color w:val="000000" w:themeColor="text1"/>
                <w:kern w:val="0"/>
              </w:rPr>
              <w:t>0.02</w:t>
            </w:r>
          </w:p>
        </w:tc>
      </w:tr>
    </w:tbl>
    <w:p w:rsidR="00D06738" w:rsidRDefault="00D06738">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 xml:space="preserve">5.6 </w:t>
      </w:r>
      <w:r>
        <w:rPr>
          <w:rFonts w:asciiTheme="minorEastAsia" w:eastAsiaTheme="minorEastAsia" w:hAnsiTheme="minorEastAsia" w:hint="eastAsia"/>
          <w:b/>
          <w:bCs/>
          <w:color w:val="000000" w:themeColor="text1"/>
          <w:kern w:val="0"/>
          <w:sz w:val="24"/>
          <w:szCs w:val="24"/>
        </w:rPr>
        <w:t>报告期末按公允价值占基金资产净值比例大小排序的前十名资产支持证券投资明细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本基金本报告期末未持有资产支持证券。</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5.7 报告期末按公允价值占基金资产净值比例大小排序的前五名贵金属投资明细</w:t>
      </w:r>
    </w:p>
    <w:p w:rsidR="00D06738" w:rsidRDefault="00454D20">
      <w:pPr>
        <w:widowControl/>
        <w:spacing w:line="360" w:lineRule="auto"/>
        <w:jc w:val="left"/>
        <w:rPr>
          <w:rFonts w:ascii="宋体" w:hAnsi="宋体"/>
          <w:color w:val="000000" w:themeColor="text1"/>
        </w:rPr>
      </w:pPr>
      <w:r>
        <w:rPr>
          <w:rFonts w:ascii="宋体" w:hAnsi="宋体"/>
          <w:color w:val="000000" w:themeColor="text1"/>
        </w:rPr>
        <w:t>本基金本报告期末未持有贵金属。</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5.8</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报告期末按公允价值占基金资产净值比例大小排序的前五名权证投资明细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本基金本报告期末未持有权证。</w:t>
      </w:r>
    </w:p>
    <w:p w:rsidR="00D06738" w:rsidRDefault="00D06738">
      <w:pPr>
        <w:autoSpaceDE w:val="0"/>
        <w:autoSpaceDN w:val="0"/>
        <w:adjustRightInd w:val="0"/>
        <w:spacing w:line="360" w:lineRule="auto"/>
        <w:jc w:val="left"/>
        <w:rPr>
          <w:rFonts w:asciiTheme="minorEastAsia" w:eastAsiaTheme="minorEastAsia" w:hAnsiTheme="minorEastAsia"/>
          <w:color w:val="000000" w:themeColor="text1"/>
          <w:kern w:val="0"/>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5.9 报告期末本基金投资的股指期货交易情况说明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本基金本报告期末未持有股指期货。</w:t>
      </w:r>
    </w:p>
    <w:p w:rsidR="00D06738" w:rsidRDefault="00D06738">
      <w:pPr>
        <w:adjustRightInd w:val="0"/>
        <w:snapToGrid w:val="0"/>
        <w:spacing w:line="360" w:lineRule="exact"/>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5.10报告期末本基金投资的国债期货交易情况说明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sz w:val="24"/>
          <w:szCs w:val="24"/>
        </w:rPr>
      </w:pPr>
      <w:r>
        <w:rPr>
          <w:rFonts w:asciiTheme="minorEastAsia" w:eastAsiaTheme="minorEastAsia" w:hAnsiTheme="minorEastAsia"/>
          <w:color w:val="000000" w:themeColor="text1"/>
          <w:sz w:val="24"/>
          <w:szCs w:val="24"/>
        </w:rPr>
        <w:t>本基金本报告期末未持有国债期货。</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b/>
          <w:bCs/>
          <w:color w:val="000000" w:themeColor="text1"/>
          <w:kern w:val="0"/>
          <w:sz w:val="24"/>
          <w:szCs w:val="24"/>
        </w:rPr>
        <w:t>5.</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投资组合报告附注</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w:t>
      </w:r>
      <w:r>
        <w:rPr>
          <w:rFonts w:asciiTheme="minorEastAsia" w:eastAsiaTheme="minorEastAsia" w:hAnsiTheme="minorEastAsia"/>
          <w:color w:val="000000" w:themeColor="text1"/>
          <w:sz w:val="24"/>
          <w:szCs w:val="24"/>
        </w:rPr>
        <w:t>报告期内本基金投资的前十名证券的发行主体本期没有出现被监管部门立案调查，或在报告编制日前一年内受到公开谴责、处罚的情形。</w:t>
      </w:r>
    </w:p>
    <w:p w:rsidR="00D06738" w:rsidRDefault="00454D20">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11</w:t>
      </w:r>
      <w:r>
        <w:rPr>
          <w:rFonts w:asciiTheme="minorEastAsia" w:eastAsiaTheme="minorEastAsia" w:hAnsiTheme="minorEastAsia"/>
          <w:color w:val="000000" w:themeColor="text1"/>
          <w:sz w:val="24"/>
          <w:szCs w:val="24"/>
        </w:rPr>
        <w:t>.</w:t>
      </w:r>
      <w:r>
        <w:rPr>
          <w:rFonts w:asciiTheme="minorEastAsia" w:eastAsiaTheme="minorEastAsia" w:hAnsiTheme="minorEastAsia" w:hint="eastAsia"/>
          <w:color w:val="000000" w:themeColor="text1"/>
          <w:sz w:val="24"/>
          <w:szCs w:val="24"/>
        </w:rPr>
        <w:t>2</w:t>
      </w:r>
      <w:r>
        <w:rPr>
          <w:rFonts w:asciiTheme="minorEastAsia" w:eastAsiaTheme="minorEastAsia" w:hAnsiTheme="minorEastAsia"/>
          <w:color w:val="000000" w:themeColor="text1"/>
          <w:sz w:val="24"/>
          <w:szCs w:val="24"/>
        </w:rPr>
        <w:t>报告期内本基金投资的前十名股票中没有在基金合同规定备选股票库之外的股票。</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tc>
          <w:tcPr>
            <w:tcW w:w="1235"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序号</w:t>
            </w:r>
          </w:p>
        </w:tc>
        <w:tc>
          <w:tcPr>
            <w:tcW w:w="2470"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名称</w:t>
            </w:r>
          </w:p>
        </w:tc>
        <w:tc>
          <w:tcPr>
            <w:tcW w:w="4808" w:type="dxa"/>
            <w:vAlign w:val="center"/>
          </w:tcPr>
          <w:p w:rsidR="00D06738" w:rsidRDefault="00454D20">
            <w:pPr>
              <w:autoSpaceDE w:val="0"/>
              <w:autoSpaceDN w:val="0"/>
              <w:adjustRightInd w:val="0"/>
              <w:spacing w:before="29" w:line="360" w:lineRule="auto"/>
              <w:ind w:left="17"/>
              <w:jc w:val="center"/>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金额(元)</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1</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存出保证金</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35,681.27</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应收证券清算款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应收股利</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4</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应收利息</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292.77</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5</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应收申购款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301.56</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6</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其他应收款</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7</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待摊费用</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8</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其他</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w:t>
            </w:r>
          </w:p>
        </w:tc>
      </w:tr>
      <w:tr w:rsidR="00D06738">
        <w:tc>
          <w:tcPr>
            <w:tcW w:w="1235" w:type="dxa"/>
            <w:vAlign w:val="center"/>
          </w:tcPr>
          <w:p w:rsidR="00D06738" w:rsidRDefault="00454D20">
            <w:pPr>
              <w:autoSpaceDE w:val="0"/>
              <w:autoSpaceDN w:val="0"/>
              <w:adjustRightInd w:val="0"/>
              <w:spacing w:before="29" w:line="360" w:lineRule="auto"/>
              <w:ind w:left="15"/>
              <w:jc w:val="center"/>
              <w:rPr>
                <w:rFonts w:asciiTheme="minorEastAsia" w:eastAsiaTheme="minorEastAsia" w:hAnsiTheme="minorEastAsia"/>
                <w:color w:val="000000" w:themeColor="text1"/>
                <w:kern w:val="0"/>
              </w:rPr>
            </w:pPr>
            <w:r>
              <w:rPr>
                <w:rFonts w:asciiTheme="minorEastAsia" w:eastAsiaTheme="minorEastAsia" w:hAnsiTheme="minorEastAsia" w:hint="eastAsia"/>
                <w:color w:val="000000" w:themeColor="text1"/>
                <w:kern w:val="0"/>
              </w:rPr>
              <w:t>9</w:t>
            </w:r>
          </w:p>
        </w:tc>
        <w:tc>
          <w:tcPr>
            <w:tcW w:w="2470" w:type="dxa"/>
            <w:vAlign w:val="center"/>
          </w:tcPr>
          <w:p w:rsidR="00D06738" w:rsidRDefault="00454D20">
            <w:pPr>
              <w:autoSpaceDE w:val="0"/>
              <w:autoSpaceDN w:val="0"/>
              <w:adjustRightInd w:val="0"/>
              <w:spacing w:before="29" w:line="360" w:lineRule="auto"/>
              <w:ind w:left="15"/>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合计</w:t>
            </w:r>
          </w:p>
        </w:tc>
        <w:tc>
          <w:tcPr>
            <w:tcW w:w="4808" w:type="dxa"/>
            <w:vAlign w:val="center"/>
          </w:tcPr>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rPr>
            </w:pPr>
            <w:r>
              <w:rPr>
                <w:rFonts w:asciiTheme="minorEastAsia" w:eastAsiaTheme="minorEastAsia" w:hAnsiTheme="minorEastAsia"/>
                <w:color w:val="000000" w:themeColor="text1"/>
                <w:kern w:val="0"/>
              </w:rPr>
              <w:t>36,275.60</w:t>
            </w:r>
          </w:p>
        </w:tc>
      </w:tr>
    </w:tbl>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4报告期末持有的处于转股期的可转换债券明细</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本基金本报告期末未持有处于转股期的可转换债券。</w:t>
      </w:r>
    </w:p>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5报告期末前十名股票中存在流通受限情况的说明</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t>本基金本报告期末前十名股票中不存在流通受限情况。</w:t>
      </w:r>
    </w:p>
    <w:p w:rsidR="00D06738" w:rsidRDefault="00D06738">
      <w:pPr>
        <w:autoSpaceDE w:val="0"/>
        <w:autoSpaceDN w:val="0"/>
        <w:adjustRightInd w:val="0"/>
        <w:spacing w:line="360" w:lineRule="auto"/>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5</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11</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6投资组合报告附注的其他文字描述部分</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color w:val="000000" w:themeColor="text1"/>
        </w:rPr>
        <w:t>因四舍五入原因，投资组合报告中分项之和与合计可能存在尾差。</w:t>
      </w: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w:t>
      </w:r>
      <w:r>
        <w:rPr>
          <w:rFonts w:asciiTheme="minorEastAsia" w:eastAsiaTheme="minorEastAsia" w:hAnsiTheme="minorEastAsia"/>
          <w:color w:val="000000" w:themeColor="text1"/>
          <w:kern w:val="0"/>
          <w:sz w:val="24"/>
          <w:szCs w:val="24"/>
        </w:rPr>
        <w:t xml:space="preserve">6  </w:t>
      </w:r>
      <w:r>
        <w:rPr>
          <w:rFonts w:asciiTheme="minorEastAsia" w:eastAsiaTheme="minorEastAsia" w:hAnsiTheme="minorEastAsia" w:hint="eastAsia"/>
          <w:color w:val="000000" w:themeColor="text1"/>
          <w:kern w:val="0"/>
          <w:sz w:val="24"/>
          <w:szCs w:val="24"/>
        </w:rPr>
        <w:t>开放式基金份额变动</w:t>
      </w:r>
    </w:p>
    <w:p w:rsidR="00D06738" w:rsidRDefault="00454D20">
      <w:pPr>
        <w:autoSpaceDE w:val="0"/>
        <w:autoSpaceDN w:val="0"/>
        <w:adjustRightInd w:val="0"/>
        <w:spacing w:before="29" w:line="360" w:lineRule="auto"/>
        <w:ind w:left="15"/>
        <w:jc w:val="right"/>
        <w:rPr>
          <w:rFonts w:asciiTheme="minorEastAsia" w:eastAsiaTheme="minorEastAsia" w:hAnsiTheme="minorEastAsia"/>
          <w:color w:val="000000" w:themeColor="text1"/>
          <w:kern w:val="0"/>
          <w:sz w:val="24"/>
          <w:szCs w:val="24"/>
        </w:rPr>
      </w:pPr>
      <w:r>
        <w:rPr>
          <w:rFonts w:asciiTheme="minorEastAsia" w:eastAsiaTheme="minorEastAsia" w:hAnsiTheme="minorEastAsia" w:cs="宋体" w:hint="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35,511,446.37</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报告期期间</w:t>
            </w:r>
            <w:r>
              <w:rPr>
                <w:rFonts w:asciiTheme="minorEastAsia" w:eastAsiaTheme="minorEastAsia" w:hAnsiTheme="minorEastAsia" w:cs="宋体" w:hint="eastAsia"/>
                <w:color w:val="000000" w:themeColor="text1"/>
                <w:kern w:val="0"/>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422,381.14</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减：</w:t>
            </w:r>
            <w:r>
              <w:rPr>
                <w:rFonts w:asciiTheme="minorEastAsia" w:eastAsiaTheme="minorEastAsia" w:hAnsiTheme="minorEastAsia" w:cs="宋体"/>
                <w:color w:val="000000" w:themeColor="text1"/>
                <w:kern w:val="0"/>
              </w:rPr>
              <w:t>报告期期间</w:t>
            </w:r>
            <w:r>
              <w:rPr>
                <w:rFonts w:asciiTheme="minorEastAsia" w:eastAsiaTheme="minorEastAsia" w:hAnsiTheme="minorEastAsia" w:cs="宋体" w:hint="eastAsia"/>
                <w:color w:val="000000" w:themeColor="text1"/>
                <w:kern w:val="0"/>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16,800,914.79</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color w:val="000000" w:themeColor="text1"/>
                <w:kern w:val="0"/>
              </w:rPr>
              <w:t>报告期期间</w:t>
            </w:r>
            <w:r>
              <w:rPr>
                <w:rFonts w:asciiTheme="minorEastAsia" w:eastAsiaTheme="minorEastAsia" w:hAnsiTheme="minorEastAsia" w:cs="宋体" w:hint="eastAsia"/>
                <w:color w:val="000000" w:themeColor="text1"/>
                <w:kern w:val="0"/>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color w:val="000000" w:themeColor="text1"/>
              </w:rPr>
              <w:t>-</w:t>
            </w:r>
          </w:p>
        </w:tc>
      </w:tr>
      <w:tr w:rsidR="00D06738">
        <w:tc>
          <w:tcPr>
            <w:tcW w:w="4609"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rPr>
                <w:rFonts w:asciiTheme="minorEastAsia" w:eastAsiaTheme="minorEastAsia" w:hAnsiTheme="minorEastAsia"/>
                <w:color w:val="000000" w:themeColor="text1"/>
                <w:kern w:val="0"/>
              </w:rPr>
            </w:pPr>
            <w:r>
              <w:rPr>
                <w:rFonts w:asciiTheme="minorEastAsia" w:eastAsiaTheme="minorEastAsia" w:hAnsiTheme="minorEastAsia" w:cs="宋体" w:hint="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Default="00454D20">
            <w:pPr>
              <w:autoSpaceDE w:val="0"/>
              <w:autoSpaceDN w:val="0"/>
              <w:adjustRightInd w:val="0"/>
              <w:spacing w:before="29" w:line="360" w:lineRule="auto"/>
              <w:ind w:left="17"/>
              <w:jc w:val="right"/>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19,132,912.72</w:t>
            </w:r>
          </w:p>
        </w:tc>
      </w:tr>
    </w:tbl>
    <w:p w:rsidR="00D06738" w:rsidRDefault="00454D20">
      <w:pPr>
        <w:pStyle w:val="1"/>
        <w:tabs>
          <w:tab w:val="center" w:pos="4156"/>
          <w:tab w:val="right" w:pos="8312"/>
        </w:tabs>
        <w:spacing w:beforeLines="100" w:before="312" w:afterLines="100" w:after="312" w:line="360" w:lineRule="auto"/>
        <w:jc w:val="center"/>
        <w:rPr>
          <w:rFonts w:ascii="方正仿宋简体"/>
          <w:color w:val="000000" w:themeColor="text1"/>
          <w:sz w:val="24"/>
          <w:szCs w:val="24"/>
        </w:rPr>
      </w:pPr>
      <w:r>
        <w:rPr>
          <w:rFonts w:asciiTheme="minorEastAsia" w:eastAsiaTheme="minorEastAsia" w:hAnsiTheme="minorEastAsia" w:cs="Arial" w:hint="eastAsia"/>
          <w:color w:val="000000" w:themeColor="text1"/>
          <w:kern w:val="0"/>
          <w:sz w:val="24"/>
          <w:szCs w:val="24"/>
        </w:rPr>
        <w:t xml:space="preserve">§7  </w:t>
      </w:r>
      <w:r>
        <w:rPr>
          <w:rFonts w:ascii="方正仿宋简体" w:hint="eastAsia"/>
          <w:color w:val="000000" w:themeColor="text1"/>
          <w:sz w:val="24"/>
          <w:szCs w:val="24"/>
        </w:rPr>
        <w:t>基金管理人运用固有资金投资本基金情况</w:t>
      </w:r>
    </w:p>
    <w:p w:rsidR="00D06738" w:rsidRDefault="00454D20">
      <w:pPr>
        <w:spacing w:line="360" w:lineRule="auto"/>
        <w:jc w:val="left"/>
        <w:rPr>
          <w:color w:val="000000" w:themeColor="text1"/>
          <w:sz w:val="24"/>
          <w:szCs w:val="24"/>
        </w:rPr>
      </w:pPr>
      <w:r>
        <w:rPr>
          <w:b/>
          <w:color w:val="000000" w:themeColor="text1"/>
          <w:sz w:val="24"/>
        </w:rPr>
        <w:t xml:space="preserve">7.1 </w:t>
      </w:r>
      <w:r>
        <w:rPr>
          <w:rFonts w:hint="eastAsia"/>
          <w:b/>
          <w:color w:val="000000" w:themeColor="text1"/>
          <w:sz w:val="24"/>
        </w:rPr>
        <w:t>基金管理人持有本基金份额变动情况</w:t>
      </w:r>
    </w:p>
    <w:p w:rsidR="00D06738" w:rsidRDefault="00454D20">
      <w:pPr>
        <w:autoSpaceDE w:val="0"/>
        <w:autoSpaceDN w:val="0"/>
        <w:adjustRightInd w:val="0"/>
        <w:spacing w:line="360" w:lineRule="auto"/>
        <w:jc w:val="left"/>
        <w:rPr>
          <w:rFonts w:asciiTheme="minorEastAsia" w:eastAsiaTheme="minorEastAsia" w:hAnsiTheme="minorEastAsia"/>
          <w:color w:val="000000" w:themeColor="text1"/>
        </w:rPr>
      </w:pPr>
      <w:r>
        <w:rPr>
          <w:rFonts w:asciiTheme="minorEastAsia" w:eastAsiaTheme="minorEastAsia" w:hAnsiTheme="minorEastAsia" w:cs="宋体"/>
          <w:color w:val="000000" w:themeColor="text1"/>
          <w:kern w:val="0"/>
        </w:rPr>
        <w:t>无。</w:t>
      </w:r>
    </w:p>
    <w:p w:rsidR="00D06738" w:rsidRDefault="00D06738">
      <w:pPr>
        <w:autoSpaceDE w:val="0"/>
        <w:autoSpaceDN w:val="0"/>
        <w:adjustRightInd w:val="0"/>
        <w:spacing w:line="360" w:lineRule="auto"/>
        <w:jc w:val="left"/>
        <w:rPr>
          <w:rFonts w:asciiTheme="minorEastAsia" w:eastAsiaTheme="minorEastAsia" w:hAnsiTheme="minorEastAsia" w:cs="宋体"/>
          <w:color w:val="000000" w:themeColor="text1"/>
          <w:kern w:val="0"/>
          <w:sz w:val="24"/>
        </w:rPr>
      </w:pPr>
    </w:p>
    <w:p w:rsidR="00D06738" w:rsidRDefault="00454D20">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§8</w:t>
      </w:r>
      <w:r>
        <w:rPr>
          <w:rFonts w:asciiTheme="minorEastAsia" w:eastAsiaTheme="minorEastAsia" w:hAnsiTheme="minorEastAsia"/>
          <w:color w:val="000000" w:themeColor="text1"/>
          <w:kern w:val="0"/>
          <w:sz w:val="24"/>
          <w:szCs w:val="24"/>
        </w:rPr>
        <w:t xml:space="preserve">  </w:t>
      </w:r>
      <w:r>
        <w:rPr>
          <w:rFonts w:asciiTheme="minorEastAsia" w:eastAsiaTheme="minorEastAsia" w:hAnsiTheme="minorEastAsia" w:hint="eastAsia"/>
          <w:color w:val="000000" w:themeColor="text1"/>
          <w:kern w:val="0"/>
          <w:sz w:val="24"/>
          <w:szCs w:val="24"/>
        </w:rPr>
        <w:t>备查文件目录</w:t>
      </w: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1</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备查文件目录</w:t>
      </w:r>
    </w:p>
    <w:p w:rsidR="00353FA4" w:rsidRDefault="00B7315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Pr>
          <w:rFonts w:asciiTheme="minorEastAsia" w:eastAsiaTheme="minorEastAsia" w:hAnsiTheme="minorEastAsia" w:hint="eastAsia"/>
          <w:color w:val="000000" w:themeColor="text1"/>
        </w:rPr>
        <w:t>、中国证监会准予上投摩根量化多因子灵活配置混合型证券投资基金募集注册的文件</w:t>
      </w:r>
    </w:p>
    <w:p w:rsidR="00353FA4" w:rsidRDefault="00B7315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w:t>
      </w:r>
      <w:r>
        <w:rPr>
          <w:rFonts w:asciiTheme="minorEastAsia" w:eastAsiaTheme="minorEastAsia" w:hAnsiTheme="minorEastAsia" w:hint="eastAsia"/>
          <w:color w:val="000000" w:themeColor="text1"/>
        </w:rPr>
        <w:t>、《上投摩根量化多因子灵活配置混合型证券投资基金基金合同》</w:t>
      </w:r>
    </w:p>
    <w:p w:rsidR="00353FA4" w:rsidRDefault="00B7315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3</w:t>
      </w:r>
      <w:r>
        <w:rPr>
          <w:rFonts w:asciiTheme="minorEastAsia" w:eastAsiaTheme="minorEastAsia" w:hAnsiTheme="minorEastAsia" w:hint="eastAsia"/>
          <w:color w:val="000000" w:themeColor="text1"/>
        </w:rPr>
        <w:t>、《上投摩根量化多因子灵活配置混合型证券投资基金托管协议》</w:t>
      </w:r>
    </w:p>
    <w:p w:rsidR="00353FA4" w:rsidRDefault="00B7315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lastRenderedPageBreak/>
        <w:t>4</w:t>
      </w:r>
      <w:r>
        <w:rPr>
          <w:rFonts w:asciiTheme="minorEastAsia" w:eastAsiaTheme="minorEastAsia" w:hAnsiTheme="minorEastAsia" w:hint="eastAsia"/>
          <w:color w:val="000000" w:themeColor="text1"/>
        </w:rPr>
        <w:t>、法律意见书</w:t>
      </w:r>
    </w:p>
    <w:p w:rsidR="00353FA4" w:rsidRDefault="00B7315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5</w:t>
      </w:r>
      <w:r>
        <w:rPr>
          <w:rFonts w:asciiTheme="minorEastAsia" w:eastAsiaTheme="minorEastAsia" w:hAnsiTheme="minorEastAsia" w:hint="eastAsia"/>
          <w:color w:val="000000" w:themeColor="text1"/>
        </w:rPr>
        <w:t>、基金管理人业务资格批件、营业执照</w:t>
      </w:r>
    </w:p>
    <w:p w:rsidR="00353FA4" w:rsidRDefault="00B7315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6</w:t>
      </w:r>
      <w:r>
        <w:rPr>
          <w:rFonts w:asciiTheme="minorEastAsia" w:eastAsiaTheme="minorEastAsia" w:hAnsiTheme="minorEastAsia" w:hint="eastAsia"/>
          <w:color w:val="000000" w:themeColor="text1"/>
        </w:rPr>
        <w:t>、基金托管人业务资格批件、营业执照</w:t>
      </w:r>
    </w:p>
    <w:p w:rsidR="00353FA4" w:rsidRDefault="00B73153">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7</w:t>
      </w:r>
      <w:r>
        <w:rPr>
          <w:rFonts w:asciiTheme="minorEastAsia" w:eastAsiaTheme="minorEastAsia" w:hAnsiTheme="minorEastAsia" w:hint="eastAsia"/>
          <w:color w:val="000000" w:themeColor="text1"/>
        </w:rPr>
        <w:t>、《上投摩根基金管理有限公司开放式基金业务规则》</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8、中国证监会要求的其他文件</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2</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存放地点</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基金管理人或基金托管人处。</w:t>
      </w:r>
    </w:p>
    <w:p w:rsidR="00D06738" w:rsidRDefault="00D06738">
      <w:pPr>
        <w:spacing w:line="360" w:lineRule="auto"/>
        <w:ind w:firstLineChars="200" w:firstLine="480"/>
        <w:rPr>
          <w:rFonts w:asciiTheme="minorEastAsia" w:eastAsiaTheme="minorEastAsia" w:hAnsiTheme="minorEastAsia"/>
          <w:color w:val="000000" w:themeColor="text1"/>
          <w:sz w:val="24"/>
          <w:szCs w:val="24"/>
        </w:rPr>
      </w:pPr>
    </w:p>
    <w:p w:rsidR="00D06738" w:rsidRDefault="00454D20">
      <w:pPr>
        <w:autoSpaceDE w:val="0"/>
        <w:autoSpaceDN w:val="0"/>
        <w:adjustRightInd w:val="0"/>
        <w:spacing w:line="360" w:lineRule="auto"/>
        <w:jc w:val="left"/>
        <w:rPr>
          <w:rFonts w:asciiTheme="minorEastAsia" w:eastAsiaTheme="minorEastAsia" w:hAnsiTheme="minorEastAsia"/>
          <w:b/>
          <w:bCs/>
          <w:color w:val="000000" w:themeColor="text1"/>
          <w:kern w:val="0"/>
          <w:sz w:val="24"/>
          <w:szCs w:val="24"/>
        </w:rPr>
      </w:pPr>
      <w:r>
        <w:rPr>
          <w:rFonts w:asciiTheme="minorEastAsia" w:eastAsiaTheme="minorEastAsia" w:hAnsiTheme="minorEastAsia" w:hint="eastAsia"/>
          <w:b/>
          <w:bCs/>
          <w:color w:val="000000" w:themeColor="text1"/>
          <w:kern w:val="0"/>
          <w:sz w:val="24"/>
          <w:szCs w:val="24"/>
        </w:rPr>
        <w:t>8</w:t>
      </w:r>
      <w:r>
        <w:rPr>
          <w:rFonts w:asciiTheme="minorEastAsia" w:eastAsiaTheme="minorEastAsia" w:hAnsiTheme="minorEastAsia"/>
          <w:b/>
          <w:bCs/>
          <w:color w:val="000000" w:themeColor="text1"/>
          <w:kern w:val="0"/>
          <w:sz w:val="24"/>
          <w:szCs w:val="24"/>
        </w:rPr>
        <w:t>.</w:t>
      </w:r>
      <w:r>
        <w:rPr>
          <w:rFonts w:asciiTheme="minorEastAsia" w:eastAsiaTheme="minorEastAsia" w:hAnsiTheme="minorEastAsia" w:hint="eastAsia"/>
          <w:b/>
          <w:bCs/>
          <w:color w:val="000000" w:themeColor="text1"/>
          <w:kern w:val="0"/>
          <w:sz w:val="24"/>
          <w:szCs w:val="24"/>
        </w:rPr>
        <w:t>3</w:t>
      </w:r>
      <w:r>
        <w:rPr>
          <w:rFonts w:asciiTheme="minorEastAsia" w:eastAsiaTheme="minorEastAsia" w:hAnsiTheme="minorEastAsia"/>
          <w:b/>
          <w:bCs/>
          <w:color w:val="000000" w:themeColor="text1"/>
          <w:kern w:val="0"/>
          <w:sz w:val="24"/>
          <w:szCs w:val="24"/>
        </w:rPr>
        <w:t xml:space="preserve"> </w:t>
      </w:r>
      <w:r>
        <w:rPr>
          <w:rFonts w:asciiTheme="minorEastAsia" w:eastAsiaTheme="minorEastAsia" w:hAnsiTheme="minorEastAsia" w:hint="eastAsia"/>
          <w:b/>
          <w:bCs/>
          <w:color w:val="000000" w:themeColor="text1"/>
          <w:kern w:val="0"/>
          <w:sz w:val="24"/>
          <w:szCs w:val="24"/>
        </w:rPr>
        <w:t>查阅方式</w:t>
      </w:r>
    </w:p>
    <w:p w:rsidR="00D06738" w:rsidRDefault="00454D20">
      <w:pPr>
        <w:spacing w:line="360" w:lineRule="auto"/>
        <w:ind w:firstLineChars="200" w:firstLine="42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投资者可在营业时间免费查阅，也可按工本费购买复印件。</w:t>
      </w: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D06738">
      <w:pPr>
        <w:spacing w:line="360" w:lineRule="auto"/>
        <w:ind w:left="840"/>
        <w:jc w:val="right"/>
        <w:rPr>
          <w:rFonts w:asciiTheme="minorEastAsia" w:eastAsiaTheme="minorEastAsia" w:hAnsiTheme="minorEastAsia"/>
          <w:color w:val="000000" w:themeColor="text1"/>
          <w:sz w:val="24"/>
          <w:szCs w:val="24"/>
        </w:rPr>
      </w:pPr>
    </w:p>
    <w:p w:rsidR="00D06738" w:rsidRDefault="00454D20">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上投摩根基金管理有限公司</w:t>
      </w:r>
    </w:p>
    <w:p w:rsidR="00D06738" w:rsidRDefault="00454D20">
      <w:pPr>
        <w:spacing w:line="360" w:lineRule="auto"/>
        <w:jc w:val="righ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t>二〇二一年四月二十二日</w:t>
      </w:r>
    </w:p>
    <w:p w:rsidR="00D06738" w:rsidRDefault="00D06738">
      <w:pPr>
        <w:spacing w:line="360" w:lineRule="auto"/>
        <w:ind w:left="840"/>
        <w:jc w:val="right"/>
        <w:rPr>
          <w:rFonts w:asciiTheme="minorEastAsia" w:eastAsiaTheme="minorEastAsia" w:hAnsiTheme="minorEastAsia"/>
          <w:b/>
          <w:bCs/>
          <w:color w:val="000000" w:themeColor="text1"/>
          <w:sz w:val="24"/>
          <w:szCs w:val="24"/>
        </w:rPr>
      </w:pPr>
    </w:p>
    <w:p w:rsidR="00D06738" w:rsidRDefault="00D06738">
      <w:pPr>
        <w:rPr>
          <w:rFonts w:asciiTheme="minorEastAsia" w:eastAsiaTheme="minorEastAsia" w:hAnsiTheme="minorEastAsia"/>
          <w:color w:val="000000" w:themeColor="text1"/>
          <w:sz w:val="24"/>
          <w:szCs w:val="24"/>
        </w:rPr>
      </w:pPr>
    </w:p>
    <w:sectPr w:rsidR="00D06738">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FDA" w:rsidRDefault="003A7FDA">
      <w:r>
        <w:separator/>
      </w:r>
    </w:p>
  </w:endnote>
  <w:endnote w:type="continuationSeparator" w:id="0">
    <w:p w:rsidR="003A7FDA" w:rsidRDefault="003A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B73153" w:rsidRPr="00B73153">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B73153">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FDA" w:rsidRDefault="003A7FDA">
      <w:r>
        <w:separator/>
      </w:r>
    </w:p>
  </w:footnote>
  <w:footnote w:type="continuationSeparator" w:id="0">
    <w:p w:rsidR="003A7FDA" w:rsidRDefault="003A7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上投摩根量化多因子灵活配置混合型证券投资基金</w:t>
    </w:r>
    <w:r>
      <w:rPr>
        <w:rFonts w:hint="eastAsia"/>
      </w:rPr>
      <w:t>2021</w:t>
    </w:r>
    <w:r>
      <w:rPr>
        <w:rFonts w:hint="eastAsia"/>
      </w:rPr>
      <w:t>年第</w:t>
    </w:r>
    <w:r>
      <w:rPr>
        <w:rFonts w:hint="eastAsia"/>
      </w:rPr>
      <w:t>1</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3FA4"/>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153"/>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uiPriority w:val="9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50DF7D-0F3C-4F70-927C-70EE49979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1264</Words>
  <Characters>7207</Characters>
  <Application>Microsoft Office Word</Application>
  <DocSecurity>0</DocSecurity>
  <Lines>60</Lines>
  <Paragraphs>16</Paragraphs>
  <ScaleCrop>false</ScaleCrop>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Chen,Richard</cp:lastModifiedBy>
  <cp:revision>267</cp:revision>
  <dcterms:created xsi:type="dcterms:W3CDTF">2012-10-16T06:07:00Z</dcterms:created>
  <dcterms:modified xsi:type="dcterms:W3CDTF">2021-04-21T03:12:00Z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