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上投摩根量化多因子灵活配置混合型证券投资基金</w:t>
      </w:r>
    </w:p>
    <w:p w:rsidR="00D06738" w:rsidRDefault="00454D20">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2021年第1季度报告</w:t>
      </w:r>
    </w:p>
    <w:p w:rsidR="00D06738" w:rsidRDefault="00454D20">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2021年3月31日</w:t>
      </w: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rPr>
          <w:rFonts w:asciiTheme="minorEastAsia" w:eastAsiaTheme="minorEastAsia" w:hAnsiTheme="minorEastAsia"/>
          <w:b/>
          <w:bCs/>
          <w:color w:val="000000" w:themeColor="text1"/>
          <w:sz w:val="24"/>
          <w:szCs w:val="24"/>
        </w:rPr>
      </w:pP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中国工商银行股份有限公司</w:t>
      </w: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sectPr w:rsidR="00D06738">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二〇二一年四月二十二日</w:t>
      </w:r>
    </w:p>
    <w:p w:rsidR="00D06738" w:rsidRDefault="00454D20">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353FA4" w:rsidRDefault="00B7315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353FA4" w:rsidRDefault="00B7315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基金托管人中国工商银行股份有限公司根据本基金合同规定，于</w:t>
      </w:r>
      <w:r>
        <w:rPr>
          <w:rFonts w:asciiTheme="minorEastAsia" w:eastAsiaTheme="minorEastAsia" w:hAnsiTheme="minorEastAsia"/>
          <w:color w:val="000000" w:themeColor="text1"/>
        </w:rPr>
        <w:t>2021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21</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353FA4" w:rsidRDefault="00B7315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353FA4" w:rsidRDefault="00B7315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353FA4" w:rsidRDefault="00B7315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本报告期自2021年1月1日起至3月31日止。</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上投摩根量化多因子混合</w:t>
            </w:r>
          </w:p>
        </w:tc>
      </w:tr>
      <w:tr w:rsidR="00D06738">
        <w:tc>
          <w:tcPr>
            <w:tcW w:w="2835"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005120</w:t>
            </w:r>
          </w:p>
        </w:tc>
      </w:tr>
      <w:tr w:rsidR="00D06738">
        <w:tc>
          <w:tcPr>
            <w:tcW w:w="2835"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005120</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2018年1月19日</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19,132,912.72</w:t>
            </w:r>
            <w:r>
              <w:rPr>
                <w:rFonts w:asciiTheme="minorEastAsia" w:eastAsiaTheme="minorEastAsia" w:hAnsiTheme="minorEastAsia" w:hint="eastAsia"/>
                <w:color w:val="000000" w:themeColor="text1"/>
                <w:kern w:val="0"/>
              </w:rPr>
              <w:t>份</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采用量化投资对基金资产进行积极管理，力争获取超越业绩基准的投资收益。</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353FA4" w:rsidRDefault="00B7315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本基金采用</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量化多因子模型</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进行个股选择，并结合适当的资产配置策略搭建基金投资组合。</w:t>
            </w:r>
          </w:p>
          <w:p w:rsidR="00353FA4" w:rsidRDefault="00B7315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资产配置方面，本基金通过对宏观经济、国家政策、资金面和市场情绪等影响证券市场的等因素进行深入分析，确定基金资产在股票、债券及现金等类别资产间的分配比</w:t>
            </w:r>
            <w:r>
              <w:rPr>
                <w:rFonts w:asciiTheme="minorEastAsia" w:eastAsiaTheme="minorEastAsia" w:hAnsiTheme="minorEastAsia"/>
                <w:color w:val="000000" w:themeColor="text1"/>
                <w:kern w:val="0"/>
              </w:rPr>
              <w:lastRenderedPageBreak/>
              <w:t>例，并动态优化投资组合。</w:t>
            </w:r>
          </w:p>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在股票投资过程中，本基金将运用“量化多因子模型”选股构建股票投资组合的投资策略，对基金资产进行积极管理，力争获取超越业绩基准的投资收益。</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中证800 指数收益率×60%+中债总指数收益率×40%</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353FA4" w:rsidRDefault="00B7315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本基金属于混合型基金产品，预期风险和收益水平高于债券型基金和货币市场基金，低于股票型基金，属于较高风险收益水平的基金产品。</w:t>
            </w:r>
          </w:p>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中国工商银行股份有限公司</w:t>
            </w:r>
          </w:p>
        </w:tc>
      </w:tr>
    </w:tbl>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B73153" w:rsidTr="00B73153">
        <w:tc>
          <w:tcPr>
            <w:tcW w:w="3402" w:type="dxa"/>
            <w:vAlign w:val="center"/>
          </w:tcPr>
          <w:p w:rsidR="00D06738" w:rsidRDefault="00454D20">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D06738" w:rsidRDefault="00454D20">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D06738" w:rsidRDefault="00454D20">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2021年1月1日-2021年3月31日</w:t>
            </w:r>
            <w:r>
              <w:rPr>
                <w:rFonts w:asciiTheme="minorEastAsia" w:eastAsiaTheme="minorEastAsia" w:hAnsiTheme="minorEastAsia" w:cs="宋体" w:hint="eastAsia"/>
                <w:color w:val="000000" w:themeColor="text1"/>
              </w:rPr>
              <w:t>)</w:t>
            </w:r>
          </w:p>
        </w:tc>
      </w:tr>
      <w:tr w:rsidR="00B73153" w:rsidTr="00B73153">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424,796.62</w:t>
            </w:r>
          </w:p>
        </w:tc>
      </w:tr>
      <w:tr w:rsidR="00B73153" w:rsidTr="00B73153">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-633,752.00</w:t>
            </w:r>
          </w:p>
        </w:tc>
      </w:tr>
      <w:tr w:rsidR="00B73153" w:rsidTr="00B73153">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-0.0276</w:t>
            </w:r>
          </w:p>
        </w:tc>
      </w:tr>
      <w:tr w:rsidR="00B73153" w:rsidTr="00B73153">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25,067,785.45</w:t>
            </w:r>
          </w:p>
        </w:tc>
      </w:tr>
      <w:tr w:rsidR="00B73153" w:rsidTr="00B73153">
        <w:trPr>
          <w:trHeight w:val="158"/>
        </w:trPr>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1.3102</w:t>
            </w:r>
          </w:p>
        </w:tc>
      </w:tr>
    </w:tbl>
    <w:p w:rsidR="00353FA4" w:rsidRDefault="00B7315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lastRenderedPageBreak/>
        <w:t>扣除相关费用后的余额，本期利润为本期已实现收益加上本期公允价值变动收益。</w:t>
      </w:r>
      <w:r>
        <w:rPr>
          <w:rFonts w:asciiTheme="minorEastAsia" w:eastAsiaTheme="minorEastAsia" w:hAnsiTheme="minorEastAsia"/>
          <w:color w:val="000000" w:themeColor="text1"/>
        </w:rPr>
        <w:t xml:space="preserve"> </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D06738" w:rsidRDefault="00454D20">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tc>
          <w:tcPr>
            <w:tcW w:w="1395"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353FA4">
        <w:tc>
          <w:tcPr>
            <w:tcW w:w="1395" w:type="dxa"/>
            <w:vAlign w:val="center"/>
          </w:tcPr>
          <w:p w:rsidR="00353FA4" w:rsidRDefault="00B73153">
            <w:pPr>
              <w:jc w:val="left"/>
            </w:pPr>
            <w:r>
              <w:rPr>
                <w:rFonts w:asciiTheme="minorEastAsia" w:eastAsiaTheme="minorEastAsia" w:hAnsiTheme="minorEastAsia"/>
                <w:color w:val="000000" w:themeColor="text1"/>
                <w:kern w:val="0"/>
              </w:rPr>
              <w:t>过去三个月</w:t>
            </w:r>
          </w:p>
        </w:tc>
        <w:tc>
          <w:tcPr>
            <w:tcW w:w="1092" w:type="dxa"/>
            <w:vAlign w:val="center"/>
          </w:tcPr>
          <w:p w:rsidR="00353FA4" w:rsidRDefault="00B73153">
            <w:pPr>
              <w:jc w:val="center"/>
            </w:pPr>
            <w:r>
              <w:rPr>
                <w:rFonts w:asciiTheme="minorEastAsia" w:eastAsiaTheme="minorEastAsia" w:hAnsiTheme="minorEastAsia"/>
                <w:color w:val="000000" w:themeColor="text1"/>
                <w:kern w:val="0"/>
              </w:rPr>
              <w:t>-3.16%</w:t>
            </w:r>
          </w:p>
        </w:tc>
        <w:tc>
          <w:tcPr>
            <w:tcW w:w="1161" w:type="dxa"/>
            <w:vAlign w:val="center"/>
          </w:tcPr>
          <w:p w:rsidR="00353FA4" w:rsidRDefault="00B73153">
            <w:pPr>
              <w:jc w:val="center"/>
            </w:pPr>
            <w:r>
              <w:rPr>
                <w:rFonts w:asciiTheme="minorEastAsia" w:eastAsiaTheme="minorEastAsia" w:hAnsiTheme="minorEastAsia"/>
                <w:color w:val="000000" w:themeColor="text1"/>
                <w:kern w:val="0"/>
              </w:rPr>
              <w:t>1.37%</w:t>
            </w:r>
          </w:p>
        </w:tc>
        <w:tc>
          <w:tcPr>
            <w:tcW w:w="1181" w:type="dxa"/>
            <w:vAlign w:val="center"/>
          </w:tcPr>
          <w:p w:rsidR="00353FA4" w:rsidRDefault="00B73153">
            <w:pPr>
              <w:jc w:val="center"/>
            </w:pPr>
            <w:r>
              <w:rPr>
                <w:rFonts w:asciiTheme="minorEastAsia" w:eastAsiaTheme="minorEastAsia" w:hAnsiTheme="minorEastAsia"/>
                <w:color w:val="000000" w:themeColor="text1"/>
                <w:kern w:val="0"/>
              </w:rPr>
              <w:t>-1.78%</w:t>
            </w:r>
          </w:p>
        </w:tc>
        <w:tc>
          <w:tcPr>
            <w:tcW w:w="1188" w:type="dxa"/>
            <w:vAlign w:val="center"/>
          </w:tcPr>
          <w:p w:rsidR="00353FA4" w:rsidRDefault="00B73153">
            <w:pPr>
              <w:jc w:val="center"/>
            </w:pPr>
            <w:r>
              <w:rPr>
                <w:rFonts w:asciiTheme="minorEastAsia" w:eastAsiaTheme="minorEastAsia" w:hAnsiTheme="minorEastAsia"/>
                <w:color w:val="000000" w:themeColor="text1"/>
                <w:kern w:val="0"/>
              </w:rPr>
              <w:t>0.89%</w:t>
            </w:r>
          </w:p>
        </w:tc>
        <w:tc>
          <w:tcPr>
            <w:tcW w:w="1199" w:type="dxa"/>
            <w:vAlign w:val="center"/>
          </w:tcPr>
          <w:p w:rsidR="00353FA4" w:rsidRDefault="00B73153">
            <w:pPr>
              <w:jc w:val="center"/>
            </w:pPr>
            <w:r>
              <w:rPr>
                <w:rFonts w:asciiTheme="minorEastAsia" w:eastAsiaTheme="minorEastAsia" w:hAnsiTheme="minorEastAsia"/>
                <w:color w:val="000000" w:themeColor="text1"/>
                <w:kern w:val="0"/>
              </w:rPr>
              <w:t>-1.38%</w:t>
            </w:r>
          </w:p>
        </w:tc>
        <w:tc>
          <w:tcPr>
            <w:tcW w:w="1204" w:type="dxa"/>
            <w:vAlign w:val="center"/>
          </w:tcPr>
          <w:p w:rsidR="00353FA4" w:rsidRDefault="00B73153">
            <w:pPr>
              <w:jc w:val="center"/>
            </w:pPr>
            <w:r>
              <w:rPr>
                <w:rFonts w:asciiTheme="minorEastAsia" w:eastAsiaTheme="minorEastAsia" w:hAnsiTheme="minorEastAsia"/>
                <w:color w:val="000000" w:themeColor="text1"/>
                <w:kern w:val="0"/>
              </w:rPr>
              <w:t>0.48%</w:t>
            </w:r>
          </w:p>
        </w:tc>
      </w:tr>
      <w:tr w:rsidR="00353FA4">
        <w:tc>
          <w:tcPr>
            <w:tcW w:w="1395" w:type="dxa"/>
            <w:vAlign w:val="center"/>
          </w:tcPr>
          <w:p w:rsidR="00353FA4" w:rsidRDefault="00B73153">
            <w:pPr>
              <w:jc w:val="left"/>
            </w:pPr>
            <w:r>
              <w:rPr>
                <w:rFonts w:asciiTheme="minorEastAsia" w:eastAsiaTheme="minorEastAsia" w:hAnsiTheme="minorEastAsia"/>
                <w:color w:val="000000" w:themeColor="text1"/>
                <w:kern w:val="0"/>
              </w:rPr>
              <w:t>过去六个月</w:t>
            </w:r>
          </w:p>
        </w:tc>
        <w:tc>
          <w:tcPr>
            <w:tcW w:w="1092" w:type="dxa"/>
            <w:vAlign w:val="center"/>
          </w:tcPr>
          <w:p w:rsidR="00353FA4" w:rsidRDefault="00B73153">
            <w:pPr>
              <w:jc w:val="center"/>
            </w:pPr>
            <w:r>
              <w:rPr>
                <w:rFonts w:asciiTheme="minorEastAsia" w:eastAsiaTheme="minorEastAsia" w:hAnsiTheme="minorEastAsia"/>
                <w:color w:val="000000" w:themeColor="text1"/>
                <w:kern w:val="0"/>
              </w:rPr>
              <w:t>-3.56%</w:t>
            </w:r>
          </w:p>
        </w:tc>
        <w:tc>
          <w:tcPr>
            <w:tcW w:w="1161" w:type="dxa"/>
            <w:vAlign w:val="center"/>
          </w:tcPr>
          <w:p w:rsidR="00353FA4" w:rsidRDefault="00B73153">
            <w:pPr>
              <w:jc w:val="center"/>
            </w:pPr>
            <w:r>
              <w:rPr>
                <w:rFonts w:asciiTheme="minorEastAsia" w:eastAsiaTheme="minorEastAsia" w:hAnsiTheme="minorEastAsia"/>
                <w:color w:val="000000" w:themeColor="text1"/>
                <w:kern w:val="0"/>
              </w:rPr>
              <w:t>1.26%</w:t>
            </w:r>
          </w:p>
        </w:tc>
        <w:tc>
          <w:tcPr>
            <w:tcW w:w="1181" w:type="dxa"/>
            <w:vAlign w:val="center"/>
          </w:tcPr>
          <w:p w:rsidR="00353FA4" w:rsidRDefault="00B73153">
            <w:pPr>
              <w:jc w:val="center"/>
            </w:pPr>
            <w:r>
              <w:rPr>
                <w:rFonts w:asciiTheme="minorEastAsia" w:eastAsiaTheme="minorEastAsia" w:hAnsiTheme="minorEastAsia"/>
                <w:color w:val="000000" w:themeColor="text1"/>
                <w:kern w:val="0"/>
              </w:rPr>
              <w:t>5.04%</w:t>
            </w:r>
          </w:p>
        </w:tc>
        <w:tc>
          <w:tcPr>
            <w:tcW w:w="1188" w:type="dxa"/>
            <w:vAlign w:val="center"/>
          </w:tcPr>
          <w:p w:rsidR="00353FA4" w:rsidRDefault="00B73153">
            <w:pPr>
              <w:jc w:val="center"/>
            </w:pPr>
            <w:r>
              <w:rPr>
                <w:rFonts w:asciiTheme="minorEastAsia" w:eastAsiaTheme="minorEastAsia" w:hAnsiTheme="minorEastAsia"/>
                <w:color w:val="000000" w:themeColor="text1"/>
                <w:kern w:val="0"/>
              </w:rPr>
              <w:t>0.76%</w:t>
            </w:r>
          </w:p>
        </w:tc>
        <w:tc>
          <w:tcPr>
            <w:tcW w:w="1199" w:type="dxa"/>
            <w:vAlign w:val="center"/>
          </w:tcPr>
          <w:p w:rsidR="00353FA4" w:rsidRDefault="00B73153">
            <w:pPr>
              <w:jc w:val="center"/>
            </w:pPr>
            <w:r>
              <w:rPr>
                <w:rFonts w:asciiTheme="minorEastAsia" w:eastAsiaTheme="minorEastAsia" w:hAnsiTheme="minorEastAsia"/>
                <w:color w:val="000000" w:themeColor="text1"/>
                <w:kern w:val="0"/>
              </w:rPr>
              <w:t>-8.60%</w:t>
            </w:r>
          </w:p>
        </w:tc>
        <w:tc>
          <w:tcPr>
            <w:tcW w:w="1204" w:type="dxa"/>
            <w:vAlign w:val="center"/>
          </w:tcPr>
          <w:p w:rsidR="00353FA4" w:rsidRDefault="00B73153">
            <w:pPr>
              <w:jc w:val="center"/>
            </w:pPr>
            <w:r>
              <w:rPr>
                <w:rFonts w:asciiTheme="minorEastAsia" w:eastAsiaTheme="minorEastAsia" w:hAnsiTheme="minorEastAsia"/>
                <w:color w:val="000000" w:themeColor="text1"/>
                <w:kern w:val="0"/>
              </w:rPr>
              <w:t>0.50%</w:t>
            </w:r>
          </w:p>
        </w:tc>
      </w:tr>
      <w:tr w:rsidR="00353FA4">
        <w:tc>
          <w:tcPr>
            <w:tcW w:w="1395" w:type="dxa"/>
            <w:vAlign w:val="center"/>
          </w:tcPr>
          <w:p w:rsidR="00353FA4" w:rsidRDefault="00B73153">
            <w:pPr>
              <w:jc w:val="left"/>
            </w:pPr>
            <w:r>
              <w:rPr>
                <w:rFonts w:asciiTheme="minorEastAsia" w:eastAsiaTheme="minorEastAsia" w:hAnsiTheme="minorEastAsia"/>
                <w:color w:val="000000" w:themeColor="text1"/>
                <w:kern w:val="0"/>
              </w:rPr>
              <w:t>过去一年</w:t>
            </w:r>
          </w:p>
        </w:tc>
        <w:tc>
          <w:tcPr>
            <w:tcW w:w="1092" w:type="dxa"/>
            <w:vAlign w:val="center"/>
          </w:tcPr>
          <w:p w:rsidR="00353FA4" w:rsidRDefault="00B73153">
            <w:pPr>
              <w:jc w:val="center"/>
            </w:pPr>
            <w:r>
              <w:rPr>
                <w:rFonts w:asciiTheme="minorEastAsia" w:eastAsiaTheme="minorEastAsia" w:hAnsiTheme="minorEastAsia"/>
                <w:color w:val="000000" w:themeColor="text1"/>
                <w:kern w:val="0"/>
              </w:rPr>
              <w:t>24.30%</w:t>
            </w:r>
          </w:p>
        </w:tc>
        <w:tc>
          <w:tcPr>
            <w:tcW w:w="1161" w:type="dxa"/>
            <w:vAlign w:val="center"/>
          </w:tcPr>
          <w:p w:rsidR="00353FA4" w:rsidRDefault="00B73153">
            <w:pPr>
              <w:jc w:val="center"/>
            </w:pPr>
            <w:r>
              <w:rPr>
                <w:rFonts w:asciiTheme="minorEastAsia" w:eastAsiaTheme="minorEastAsia" w:hAnsiTheme="minorEastAsia"/>
                <w:color w:val="000000" w:themeColor="text1"/>
                <w:kern w:val="0"/>
              </w:rPr>
              <w:t>1.25%</w:t>
            </w:r>
          </w:p>
        </w:tc>
        <w:tc>
          <w:tcPr>
            <w:tcW w:w="1181" w:type="dxa"/>
            <w:vAlign w:val="center"/>
          </w:tcPr>
          <w:p w:rsidR="00353FA4" w:rsidRDefault="00B73153">
            <w:pPr>
              <w:jc w:val="center"/>
            </w:pPr>
            <w:r>
              <w:rPr>
                <w:rFonts w:asciiTheme="minorEastAsia" w:eastAsiaTheme="minorEastAsia" w:hAnsiTheme="minorEastAsia"/>
                <w:color w:val="000000" w:themeColor="text1"/>
                <w:kern w:val="0"/>
              </w:rPr>
              <w:t>19.14%</w:t>
            </w:r>
          </w:p>
        </w:tc>
        <w:tc>
          <w:tcPr>
            <w:tcW w:w="1188" w:type="dxa"/>
            <w:vAlign w:val="center"/>
          </w:tcPr>
          <w:p w:rsidR="00353FA4" w:rsidRDefault="00B73153">
            <w:pPr>
              <w:jc w:val="center"/>
            </w:pPr>
            <w:r>
              <w:rPr>
                <w:rFonts w:asciiTheme="minorEastAsia" w:eastAsiaTheme="minorEastAsia" w:hAnsiTheme="minorEastAsia"/>
                <w:color w:val="000000" w:themeColor="text1"/>
                <w:kern w:val="0"/>
              </w:rPr>
              <w:t>0.77%</w:t>
            </w:r>
          </w:p>
        </w:tc>
        <w:tc>
          <w:tcPr>
            <w:tcW w:w="1199" w:type="dxa"/>
            <w:vAlign w:val="center"/>
          </w:tcPr>
          <w:p w:rsidR="00353FA4" w:rsidRDefault="00B73153">
            <w:pPr>
              <w:jc w:val="center"/>
            </w:pPr>
            <w:r>
              <w:rPr>
                <w:rFonts w:asciiTheme="minorEastAsia" w:eastAsiaTheme="minorEastAsia" w:hAnsiTheme="minorEastAsia"/>
                <w:color w:val="000000" w:themeColor="text1"/>
                <w:kern w:val="0"/>
              </w:rPr>
              <w:t>5.16%</w:t>
            </w:r>
          </w:p>
        </w:tc>
        <w:tc>
          <w:tcPr>
            <w:tcW w:w="1204" w:type="dxa"/>
            <w:vAlign w:val="center"/>
          </w:tcPr>
          <w:p w:rsidR="00353FA4" w:rsidRDefault="00B73153">
            <w:pPr>
              <w:jc w:val="center"/>
            </w:pPr>
            <w:r>
              <w:rPr>
                <w:rFonts w:asciiTheme="minorEastAsia" w:eastAsiaTheme="minorEastAsia" w:hAnsiTheme="minorEastAsia"/>
                <w:color w:val="000000" w:themeColor="text1"/>
                <w:kern w:val="0"/>
              </w:rPr>
              <w:t>0.48%</w:t>
            </w:r>
          </w:p>
        </w:tc>
      </w:tr>
      <w:tr w:rsidR="00353FA4">
        <w:tc>
          <w:tcPr>
            <w:tcW w:w="1395" w:type="dxa"/>
            <w:vAlign w:val="center"/>
          </w:tcPr>
          <w:p w:rsidR="00353FA4" w:rsidRDefault="00B73153">
            <w:pPr>
              <w:jc w:val="left"/>
            </w:pPr>
            <w:r>
              <w:rPr>
                <w:rFonts w:asciiTheme="minorEastAsia" w:eastAsiaTheme="minorEastAsia" w:hAnsiTheme="minorEastAsia"/>
                <w:color w:val="000000" w:themeColor="text1"/>
                <w:kern w:val="0"/>
              </w:rPr>
              <w:t>过去三年</w:t>
            </w:r>
          </w:p>
        </w:tc>
        <w:tc>
          <w:tcPr>
            <w:tcW w:w="1092" w:type="dxa"/>
            <w:vAlign w:val="center"/>
          </w:tcPr>
          <w:p w:rsidR="00353FA4" w:rsidRDefault="00B73153">
            <w:pPr>
              <w:jc w:val="center"/>
            </w:pPr>
            <w:r>
              <w:rPr>
                <w:rFonts w:asciiTheme="minorEastAsia" w:eastAsiaTheme="minorEastAsia" w:hAnsiTheme="minorEastAsia"/>
                <w:color w:val="000000" w:themeColor="text1"/>
                <w:kern w:val="0"/>
              </w:rPr>
              <w:t>33.22%</w:t>
            </w:r>
          </w:p>
        </w:tc>
        <w:tc>
          <w:tcPr>
            <w:tcW w:w="1161" w:type="dxa"/>
            <w:vAlign w:val="center"/>
          </w:tcPr>
          <w:p w:rsidR="00353FA4" w:rsidRDefault="00B73153">
            <w:pPr>
              <w:jc w:val="center"/>
            </w:pPr>
            <w:r>
              <w:rPr>
                <w:rFonts w:asciiTheme="minorEastAsia" w:eastAsiaTheme="minorEastAsia" w:hAnsiTheme="minorEastAsia"/>
                <w:color w:val="000000" w:themeColor="text1"/>
                <w:kern w:val="0"/>
              </w:rPr>
              <w:t>1.31%</w:t>
            </w:r>
          </w:p>
        </w:tc>
        <w:tc>
          <w:tcPr>
            <w:tcW w:w="1181" w:type="dxa"/>
            <w:vAlign w:val="center"/>
          </w:tcPr>
          <w:p w:rsidR="00353FA4" w:rsidRDefault="00B73153">
            <w:pPr>
              <w:jc w:val="center"/>
            </w:pPr>
            <w:r>
              <w:rPr>
                <w:rFonts w:asciiTheme="minorEastAsia" w:eastAsiaTheme="minorEastAsia" w:hAnsiTheme="minorEastAsia"/>
                <w:color w:val="000000" w:themeColor="text1"/>
                <w:kern w:val="0"/>
              </w:rPr>
              <w:t>15.67%</w:t>
            </w:r>
          </w:p>
        </w:tc>
        <w:tc>
          <w:tcPr>
            <w:tcW w:w="1188" w:type="dxa"/>
            <w:vAlign w:val="center"/>
          </w:tcPr>
          <w:p w:rsidR="00353FA4" w:rsidRDefault="00B73153">
            <w:pPr>
              <w:jc w:val="center"/>
            </w:pPr>
            <w:r>
              <w:rPr>
                <w:rFonts w:asciiTheme="minorEastAsia" w:eastAsiaTheme="minorEastAsia" w:hAnsiTheme="minorEastAsia"/>
                <w:color w:val="000000" w:themeColor="text1"/>
                <w:kern w:val="0"/>
              </w:rPr>
              <w:t>0.82%</w:t>
            </w:r>
          </w:p>
        </w:tc>
        <w:tc>
          <w:tcPr>
            <w:tcW w:w="1199" w:type="dxa"/>
            <w:vAlign w:val="center"/>
          </w:tcPr>
          <w:p w:rsidR="00353FA4" w:rsidRDefault="00B73153">
            <w:pPr>
              <w:jc w:val="center"/>
            </w:pPr>
            <w:r>
              <w:rPr>
                <w:rFonts w:asciiTheme="minorEastAsia" w:eastAsiaTheme="minorEastAsia" w:hAnsiTheme="minorEastAsia"/>
                <w:color w:val="000000" w:themeColor="text1"/>
                <w:kern w:val="0"/>
              </w:rPr>
              <w:t>17.55%</w:t>
            </w:r>
          </w:p>
        </w:tc>
        <w:tc>
          <w:tcPr>
            <w:tcW w:w="1204" w:type="dxa"/>
            <w:vAlign w:val="center"/>
          </w:tcPr>
          <w:p w:rsidR="00353FA4" w:rsidRDefault="00B73153">
            <w:pPr>
              <w:jc w:val="center"/>
            </w:pPr>
            <w:r>
              <w:rPr>
                <w:rFonts w:asciiTheme="minorEastAsia" w:eastAsiaTheme="minorEastAsia" w:hAnsiTheme="minorEastAsia"/>
                <w:color w:val="000000" w:themeColor="text1"/>
                <w:kern w:val="0"/>
              </w:rPr>
              <w:t>0.49%</w:t>
            </w:r>
          </w:p>
        </w:tc>
      </w:tr>
      <w:tr w:rsidR="00353FA4">
        <w:tc>
          <w:tcPr>
            <w:tcW w:w="1395" w:type="dxa"/>
            <w:vAlign w:val="center"/>
          </w:tcPr>
          <w:p w:rsidR="00353FA4" w:rsidRDefault="00B73153">
            <w:pPr>
              <w:jc w:val="left"/>
            </w:pPr>
            <w:r>
              <w:rPr>
                <w:rFonts w:asciiTheme="minorEastAsia" w:eastAsiaTheme="minorEastAsia" w:hAnsiTheme="minorEastAsia"/>
                <w:color w:val="000000" w:themeColor="text1"/>
                <w:kern w:val="0"/>
              </w:rPr>
              <w:t>过去五年</w:t>
            </w:r>
          </w:p>
        </w:tc>
        <w:tc>
          <w:tcPr>
            <w:tcW w:w="1092" w:type="dxa"/>
            <w:vAlign w:val="center"/>
          </w:tcPr>
          <w:p w:rsidR="00353FA4" w:rsidRDefault="00B73153">
            <w:pPr>
              <w:jc w:val="center"/>
            </w:pPr>
            <w:r>
              <w:rPr>
                <w:rFonts w:asciiTheme="minorEastAsia" w:eastAsiaTheme="minorEastAsia" w:hAnsiTheme="minorEastAsia"/>
                <w:color w:val="000000" w:themeColor="text1"/>
                <w:kern w:val="0"/>
              </w:rPr>
              <w:t>-</w:t>
            </w:r>
          </w:p>
        </w:tc>
        <w:tc>
          <w:tcPr>
            <w:tcW w:w="1161" w:type="dxa"/>
            <w:vAlign w:val="center"/>
          </w:tcPr>
          <w:p w:rsidR="00353FA4" w:rsidRDefault="00B73153">
            <w:pPr>
              <w:jc w:val="center"/>
            </w:pPr>
            <w:r>
              <w:rPr>
                <w:rFonts w:asciiTheme="minorEastAsia" w:eastAsiaTheme="minorEastAsia" w:hAnsiTheme="minorEastAsia"/>
                <w:color w:val="000000" w:themeColor="text1"/>
                <w:kern w:val="0"/>
              </w:rPr>
              <w:t>-</w:t>
            </w:r>
          </w:p>
        </w:tc>
        <w:tc>
          <w:tcPr>
            <w:tcW w:w="1181" w:type="dxa"/>
            <w:vAlign w:val="center"/>
          </w:tcPr>
          <w:p w:rsidR="00353FA4" w:rsidRDefault="00B73153">
            <w:pPr>
              <w:jc w:val="center"/>
            </w:pPr>
            <w:r>
              <w:rPr>
                <w:rFonts w:asciiTheme="minorEastAsia" w:eastAsiaTheme="minorEastAsia" w:hAnsiTheme="minorEastAsia"/>
                <w:color w:val="000000" w:themeColor="text1"/>
                <w:kern w:val="0"/>
              </w:rPr>
              <w:t>-</w:t>
            </w:r>
          </w:p>
        </w:tc>
        <w:tc>
          <w:tcPr>
            <w:tcW w:w="1188" w:type="dxa"/>
            <w:vAlign w:val="center"/>
          </w:tcPr>
          <w:p w:rsidR="00353FA4" w:rsidRDefault="00B73153">
            <w:pPr>
              <w:jc w:val="center"/>
            </w:pPr>
            <w:r>
              <w:rPr>
                <w:rFonts w:asciiTheme="minorEastAsia" w:eastAsiaTheme="minorEastAsia" w:hAnsiTheme="minorEastAsia"/>
                <w:color w:val="000000" w:themeColor="text1"/>
                <w:kern w:val="0"/>
              </w:rPr>
              <w:t>-</w:t>
            </w:r>
          </w:p>
        </w:tc>
        <w:tc>
          <w:tcPr>
            <w:tcW w:w="1199" w:type="dxa"/>
            <w:vAlign w:val="center"/>
          </w:tcPr>
          <w:p w:rsidR="00353FA4" w:rsidRDefault="00B73153">
            <w:pPr>
              <w:jc w:val="center"/>
            </w:pPr>
            <w:r>
              <w:rPr>
                <w:rFonts w:asciiTheme="minorEastAsia" w:eastAsiaTheme="minorEastAsia" w:hAnsiTheme="minorEastAsia"/>
                <w:color w:val="000000" w:themeColor="text1"/>
                <w:kern w:val="0"/>
              </w:rPr>
              <w:t>-</w:t>
            </w:r>
          </w:p>
        </w:tc>
        <w:tc>
          <w:tcPr>
            <w:tcW w:w="1204" w:type="dxa"/>
            <w:vAlign w:val="center"/>
          </w:tcPr>
          <w:p w:rsidR="00353FA4" w:rsidRDefault="00B73153">
            <w:pPr>
              <w:jc w:val="center"/>
            </w:pPr>
            <w:r>
              <w:rPr>
                <w:rFonts w:asciiTheme="minorEastAsia" w:eastAsiaTheme="minorEastAsia" w:hAnsiTheme="minorEastAsia"/>
                <w:color w:val="000000" w:themeColor="text1"/>
                <w:kern w:val="0"/>
              </w:rPr>
              <w:t>-</w:t>
            </w:r>
          </w:p>
        </w:tc>
      </w:tr>
      <w:tr w:rsidR="00353FA4">
        <w:tc>
          <w:tcPr>
            <w:tcW w:w="1395" w:type="dxa"/>
            <w:vAlign w:val="center"/>
          </w:tcPr>
          <w:p w:rsidR="00353FA4" w:rsidRDefault="00B73153">
            <w:pPr>
              <w:jc w:val="left"/>
            </w:pPr>
            <w:r>
              <w:rPr>
                <w:rFonts w:asciiTheme="minorEastAsia" w:eastAsiaTheme="minorEastAsia" w:hAnsiTheme="minorEastAsia"/>
                <w:color w:val="000000" w:themeColor="text1"/>
                <w:kern w:val="0"/>
              </w:rPr>
              <w:t>自基金合同生效起至今</w:t>
            </w:r>
          </w:p>
        </w:tc>
        <w:tc>
          <w:tcPr>
            <w:tcW w:w="1092" w:type="dxa"/>
            <w:vAlign w:val="center"/>
          </w:tcPr>
          <w:p w:rsidR="00353FA4" w:rsidRDefault="00B73153">
            <w:pPr>
              <w:jc w:val="center"/>
            </w:pPr>
            <w:r>
              <w:rPr>
                <w:rFonts w:asciiTheme="minorEastAsia" w:eastAsiaTheme="minorEastAsia" w:hAnsiTheme="minorEastAsia"/>
                <w:color w:val="000000" w:themeColor="text1"/>
                <w:kern w:val="0"/>
              </w:rPr>
              <w:t>31.02%</w:t>
            </w:r>
          </w:p>
        </w:tc>
        <w:tc>
          <w:tcPr>
            <w:tcW w:w="1161" w:type="dxa"/>
            <w:vAlign w:val="center"/>
          </w:tcPr>
          <w:p w:rsidR="00353FA4" w:rsidRDefault="00B73153">
            <w:pPr>
              <w:jc w:val="center"/>
            </w:pPr>
            <w:r>
              <w:rPr>
                <w:rFonts w:asciiTheme="minorEastAsia" w:eastAsiaTheme="minorEastAsia" w:hAnsiTheme="minorEastAsia"/>
                <w:color w:val="000000" w:themeColor="text1"/>
                <w:kern w:val="0"/>
              </w:rPr>
              <w:t>1.29%</w:t>
            </w:r>
          </w:p>
        </w:tc>
        <w:tc>
          <w:tcPr>
            <w:tcW w:w="1181" w:type="dxa"/>
            <w:vAlign w:val="center"/>
          </w:tcPr>
          <w:p w:rsidR="00353FA4" w:rsidRDefault="00B73153">
            <w:pPr>
              <w:jc w:val="center"/>
            </w:pPr>
            <w:r>
              <w:rPr>
                <w:rFonts w:asciiTheme="minorEastAsia" w:eastAsiaTheme="minorEastAsia" w:hAnsiTheme="minorEastAsia"/>
                <w:color w:val="000000" w:themeColor="text1"/>
                <w:kern w:val="0"/>
              </w:rPr>
              <w:t>11.04%</w:t>
            </w:r>
          </w:p>
        </w:tc>
        <w:tc>
          <w:tcPr>
            <w:tcW w:w="1188" w:type="dxa"/>
            <w:vAlign w:val="center"/>
          </w:tcPr>
          <w:p w:rsidR="00353FA4" w:rsidRDefault="00B73153">
            <w:pPr>
              <w:jc w:val="center"/>
            </w:pPr>
            <w:r>
              <w:rPr>
                <w:rFonts w:asciiTheme="minorEastAsia" w:eastAsiaTheme="minorEastAsia" w:hAnsiTheme="minorEastAsia"/>
                <w:color w:val="000000" w:themeColor="text1"/>
                <w:kern w:val="0"/>
              </w:rPr>
              <w:t>0.81%</w:t>
            </w:r>
          </w:p>
        </w:tc>
        <w:tc>
          <w:tcPr>
            <w:tcW w:w="1199" w:type="dxa"/>
            <w:vAlign w:val="center"/>
          </w:tcPr>
          <w:p w:rsidR="00353FA4" w:rsidRDefault="00B73153">
            <w:pPr>
              <w:jc w:val="center"/>
            </w:pPr>
            <w:r>
              <w:rPr>
                <w:rFonts w:asciiTheme="minorEastAsia" w:eastAsiaTheme="minorEastAsia" w:hAnsiTheme="minorEastAsia"/>
                <w:color w:val="000000" w:themeColor="text1"/>
                <w:kern w:val="0"/>
              </w:rPr>
              <w:t>19.98%</w:t>
            </w:r>
          </w:p>
        </w:tc>
        <w:tc>
          <w:tcPr>
            <w:tcW w:w="1204" w:type="dxa"/>
            <w:vAlign w:val="center"/>
          </w:tcPr>
          <w:p w:rsidR="00353FA4" w:rsidRDefault="00B73153">
            <w:pPr>
              <w:jc w:val="center"/>
            </w:pPr>
            <w:r>
              <w:rPr>
                <w:rFonts w:asciiTheme="minorEastAsia" w:eastAsiaTheme="minorEastAsia" w:hAnsiTheme="minorEastAsia"/>
                <w:color w:val="000000" w:themeColor="text1"/>
                <w:kern w:val="0"/>
              </w:rPr>
              <w:t>0.48%</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D06738" w:rsidRDefault="00454D20">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上投摩根量化多因子灵活配置混合型证券投资基金</w:t>
      </w:r>
    </w:p>
    <w:p w:rsidR="00D06738" w:rsidRDefault="00454D20">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D06738" w:rsidRDefault="00454D20">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2018年1月19日</w:t>
      </w:r>
      <w:r>
        <w:rPr>
          <w:rFonts w:asciiTheme="minorEastAsia" w:eastAsiaTheme="minorEastAsia" w:hAnsiTheme="minorEastAsia" w:hint="eastAsia"/>
          <w:color w:val="000000" w:themeColor="text1"/>
        </w:rPr>
        <w:t>至2021年3月31日)</w:t>
      </w:r>
    </w:p>
    <w:p w:rsidR="00D06738" w:rsidRDefault="00454D20">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lastRenderedPageBreak/>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353FA4" w:rsidRDefault="00B7315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19</w:t>
      </w:r>
      <w:r>
        <w:rPr>
          <w:rFonts w:asciiTheme="minorEastAsia" w:eastAsiaTheme="minorEastAsia" w:hAnsiTheme="minorEastAsia"/>
          <w:color w:val="000000" w:themeColor="text1"/>
        </w:rPr>
        <w:t>日，图示的时间段为合同生效日至本报告期末。</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本基金建仓期为本基金合同生效日起6个月，建仓期结束时资产配置比例符合本基金基金合同规定。</w:t>
      </w:r>
    </w:p>
    <w:p w:rsidR="00D06738" w:rsidRDefault="00D06738">
      <w:pPr>
        <w:tabs>
          <w:tab w:val="left" w:pos="1800"/>
        </w:tabs>
        <w:spacing w:line="360" w:lineRule="auto"/>
        <w:rPr>
          <w:rFonts w:asciiTheme="minorEastAsia" w:eastAsiaTheme="minorEastAsia" w:hAnsiTheme="minorEastAsia"/>
          <w:color w:val="000000" w:themeColor="text1"/>
          <w:sz w:val="24"/>
          <w:szCs w:val="24"/>
        </w:rPr>
      </w:pPr>
    </w:p>
    <w:p w:rsidR="00D06738" w:rsidRDefault="00D06738">
      <w:pPr>
        <w:tabs>
          <w:tab w:val="left" w:pos="1800"/>
        </w:tabs>
        <w:spacing w:line="288" w:lineRule="auto"/>
        <w:rPr>
          <w:rFonts w:asciiTheme="minorEastAsia" w:eastAsiaTheme="minorEastAsia" w:hAnsiTheme="minorEastAsia"/>
          <w:color w:val="000000" w:themeColor="text1"/>
          <w:sz w:val="24"/>
          <w:szCs w:val="24"/>
        </w:rPr>
      </w:pP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trPr>
          <w:cantSplit/>
          <w:trHeight w:val="292"/>
        </w:trPr>
        <w:tc>
          <w:tcPr>
            <w:tcW w:w="851"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D06738">
        <w:trPr>
          <w:cantSplit/>
        </w:trPr>
        <w:tc>
          <w:tcPr>
            <w:tcW w:w="851"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r>
      <w:tr w:rsidR="00353FA4">
        <w:tc>
          <w:tcPr>
            <w:tcW w:w="851" w:type="dxa"/>
            <w:vAlign w:val="center"/>
          </w:tcPr>
          <w:p w:rsidR="00353FA4" w:rsidRDefault="00B73153">
            <w:pPr>
              <w:jc w:val="center"/>
            </w:pPr>
            <w:r>
              <w:rPr>
                <w:rFonts w:asciiTheme="minorEastAsia" w:eastAsiaTheme="minorEastAsia" w:hAnsiTheme="minorEastAsia"/>
                <w:color w:val="000000" w:themeColor="text1"/>
              </w:rPr>
              <w:t>施虓文</w:t>
            </w:r>
          </w:p>
        </w:tc>
        <w:tc>
          <w:tcPr>
            <w:tcW w:w="850" w:type="dxa"/>
            <w:vAlign w:val="center"/>
          </w:tcPr>
          <w:p w:rsidR="00353FA4" w:rsidRDefault="00B73153">
            <w:pPr>
              <w:jc w:val="center"/>
            </w:pPr>
            <w:r>
              <w:rPr>
                <w:rFonts w:asciiTheme="minorEastAsia" w:eastAsiaTheme="minorEastAsia" w:hAnsiTheme="minorEastAsia"/>
                <w:color w:val="000000" w:themeColor="text1"/>
              </w:rPr>
              <w:t>本基金基金经理</w:t>
            </w:r>
          </w:p>
        </w:tc>
        <w:tc>
          <w:tcPr>
            <w:tcW w:w="1560" w:type="dxa"/>
            <w:vAlign w:val="center"/>
          </w:tcPr>
          <w:p w:rsidR="00353FA4" w:rsidRDefault="00B73153">
            <w:pPr>
              <w:jc w:val="center"/>
            </w:pPr>
            <w:r>
              <w:rPr>
                <w:rFonts w:asciiTheme="minorEastAsia" w:eastAsiaTheme="minorEastAsia" w:hAnsiTheme="minorEastAsia"/>
                <w:color w:val="000000" w:themeColor="text1"/>
              </w:rPr>
              <w:t>2019-12-27</w:t>
            </w:r>
          </w:p>
        </w:tc>
        <w:tc>
          <w:tcPr>
            <w:tcW w:w="1559" w:type="dxa"/>
            <w:vAlign w:val="center"/>
          </w:tcPr>
          <w:p w:rsidR="00353FA4" w:rsidRDefault="00B73153">
            <w:pPr>
              <w:jc w:val="center"/>
            </w:pPr>
            <w:r>
              <w:rPr>
                <w:rFonts w:asciiTheme="minorEastAsia" w:eastAsiaTheme="minorEastAsia" w:hAnsiTheme="minorEastAsia"/>
                <w:color w:val="000000" w:themeColor="text1"/>
              </w:rPr>
              <w:t>2021-01-07</w:t>
            </w:r>
          </w:p>
        </w:tc>
        <w:tc>
          <w:tcPr>
            <w:tcW w:w="1417" w:type="dxa"/>
            <w:vAlign w:val="center"/>
          </w:tcPr>
          <w:p w:rsidR="00353FA4" w:rsidRDefault="00B73153">
            <w:pPr>
              <w:jc w:val="center"/>
            </w:pP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年</w:t>
            </w:r>
          </w:p>
        </w:tc>
        <w:tc>
          <w:tcPr>
            <w:tcW w:w="2694" w:type="dxa"/>
            <w:vAlign w:val="center"/>
          </w:tcPr>
          <w:p w:rsidR="00353FA4" w:rsidRDefault="00B73153">
            <w:r>
              <w:rPr>
                <w:rFonts w:asciiTheme="minorEastAsia" w:eastAsiaTheme="minorEastAsia" w:hAnsiTheme="minorEastAsia"/>
                <w:color w:val="000000" w:themeColor="text1"/>
              </w:rPr>
              <w:t>基金经理施虓文先生，北京大学经济学硕士，</w:t>
            </w:r>
            <w:r>
              <w:rPr>
                <w:rFonts w:asciiTheme="minorEastAsia" w:eastAsiaTheme="minorEastAsia" w:hAnsiTheme="minorEastAsia"/>
                <w:color w:val="000000" w:themeColor="text1"/>
              </w:rPr>
              <w:t>2012</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月起加入上投摩根基金管理有限公司，先后担任助理研究员、研究员</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基金经理助理、基金经理，主要承担量化支持方面的工作。</w:t>
            </w:r>
            <w:r>
              <w:rPr>
                <w:rFonts w:asciiTheme="minorEastAsia" w:eastAsiaTheme="minorEastAsia" w:hAnsiTheme="minorEastAsia"/>
                <w:color w:val="000000" w:themeColor="text1"/>
              </w:rPr>
              <w:t>2017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月担任上投摩根安丰回报混合型证券投资基金基金经理，</w:t>
            </w:r>
            <w:r>
              <w:rPr>
                <w:rFonts w:asciiTheme="minorEastAsia" w:eastAsiaTheme="minorEastAsia" w:hAnsiTheme="minorEastAsia"/>
                <w:color w:val="000000" w:themeColor="text1"/>
              </w:rPr>
              <w:t>2017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月同时担任上投摩根安泽回报混合型证券投资基金</w:t>
            </w:r>
            <w:r>
              <w:rPr>
                <w:rFonts w:asciiTheme="minorEastAsia" w:eastAsiaTheme="minorEastAsia" w:hAnsiTheme="minorEastAsia"/>
                <w:color w:val="000000" w:themeColor="text1"/>
              </w:rPr>
              <w:lastRenderedPageBreak/>
              <w:t>基金经理，</w:t>
            </w:r>
            <w:r>
              <w:rPr>
                <w:rFonts w:asciiTheme="minorEastAsia" w:eastAsiaTheme="minorEastAsia" w:hAnsiTheme="minorEastAsia"/>
                <w:color w:val="000000" w:themeColor="text1"/>
              </w:rPr>
              <w:t>2017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2021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月担任上投摩根标普港股通低波红利指数型证券投资基金基金经理，</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月同时担任上投摩根安隆回报混合型证券投资基金基金经理，</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月同时担任上投摩根安腾回报混合型证券投资基金基金经理，</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2021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月同时担任上投摩根富时发达市场</w:t>
            </w:r>
            <w:r>
              <w:rPr>
                <w:rFonts w:asciiTheme="minorEastAsia" w:eastAsiaTheme="minorEastAsia" w:hAnsiTheme="minorEastAsia"/>
                <w:color w:val="000000" w:themeColor="text1"/>
              </w:rPr>
              <w:t>REITs</w:t>
            </w:r>
            <w:r>
              <w:rPr>
                <w:rFonts w:asciiTheme="minorEastAsia" w:eastAsiaTheme="minorEastAsia" w:hAnsiTheme="minorEastAsia"/>
                <w:color w:val="000000" w:themeColor="text1"/>
              </w:rPr>
              <w:t>指数型证券投资基金（</w:t>
            </w:r>
            <w:r>
              <w:rPr>
                <w:rFonts w:asciiTheme="minorEastAsia" w:eastAsiaTheme="minorEastAsia" w:hAnsiTheme="minorEastAsia"/>
                <w:color w:val="000000" w:themeColor="text1"/>
              </w:rPr>
              <w:t>QDII</w:t>
            </w:r>
            <w:r>
              <w:rPr>
                <w:rFonts w:asciiTheme="minorEastAsia" w:eastAsiaTheme="minorEastAsia" w:hAnsiTheme="minorEastAsia"/>
                <w:color w:val="000000" w:themeColor="text1"/>
              </w:rPr>
              <w:t>）基金经理，</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月同时担任上投摩根安裕回报混合型证券投资基金基金经理，</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月同时担任上投摩根安通回报混合型证券投资基金基金经理，</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2021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月同时担任上投摩根动态多因子策略灵活配置混合型证券投资基金、上投摩根量化多因子灵活配置混合型证券投资基金、上投摩根优选多因子股票型证券投资基金及上投摩</w:t>
            </w:r>
            <w:r>
              <w:rPr>
                <w:rFonts w:asciiTheme="minorEastAsia" w:eastAsiaTheme="minorEastAsia" w:hAnsiTheme="minorEastAsia"/>
                <w:color w:val="000000" w:themeColor="text1"/>
              </w:rPr>
              <w:t>根中证消费服务领先指数证券投资基金基金经理；</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2021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月同时担任上投摩根</w:t>
            </w:r>
            <w:r>
              <w:rPr>
                <w:rFonts w:asciiTheme="minorEastAsia" w:eastAsiaTheme="minorEastAsia" w:hAnsiTheme="minorEastAsia"/>
                <w:color w:val="000000" w:themeColor="text1"/>
              </w:rPr>
              <w:t>MSCI</w:t>
            </w:r>
            <w:r>
              <w:rPr>
                <w:rFonts w:asciiTheme="minorEastAsia" w:eastAsiaTheme="minorEastAsia" w:hAnsiTheme="minorEastAsia"/>
                <w:color w:val="000000" w:themeColor="text1"/>
              </w:rPr>
              <w:t>中国</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股交易型开放式指数证券投资基金基金经理，</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2021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月同时担任上投摩根</w:t>
            </w:r>
            <w:r>
              <w:rPr>
                <w:rFonts w:asciiTheme="minorEastAsia" w:eastAsiaTheme="minorEastAsia" w:hAnsiTheme="minorEastAsia"/>
                <w:color w:val="000000" w:themeColor="text1"/>
              </w:rPr>
              <w:t>MSCI</w:t>
            </w:r>
            <w:r>
              <w:rPr>
                <w:rFonts w:asciiTheme="minorEastAsia" w:eastAsiaTheme="minorEastAsia" w:hAnsiTheme="minorEastAsia"/>
                <w:color w:val="000000" w:themeColor="text1"/>
              </w:rPr>
              <w:t>中国</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股交易型开放式指数证券投资基金联接基金基金经理。</w:t>
            </w:r>
          </w:p>
        </w:tc>
      </w:tr>
      <w:tr w:rsidR="00353FA4">
        <w:tc>
          <w:tcPr>
            <w:tcW w:w="851" w:type="dxa"/>
            <w:vAlign w:val="center"/>
          </w:tcPr>
          <w:p w:rsidR="00353FA4" w:rsidRDefault="00B73153">
            <w:pPr>
              <w:jc w:val="center"/>
            </w:pPr>
            <w:r>
              <w:rPr>
                <w:rFonts w:asciiTheme="minorEastAsia" w:eastAsiaTheme="minorEastAsia" w:hAnsiTheme="minorEastAsia"/>
                <w:color w:val="000000" w:themeColor="text1"/>
              </w:rPr>
              <w:lastRenderedPageBreak/>
              <w:t>胡迪</w:t>
            </w:r>
          </w:p>
        </w:tc>
        <w:tc>
          <w:tcPr>
            <w:tcW w:w="850" w:type="dxa"/>
            <w:vAlign w:val="center"/>
          </w:tcPr>
          <w:p w:rsidR="00353FA4" w:rsidRDefault="00B73153">
            <w:pPr>
              <w:jc w:val="center"/>
            </w:pPr>
            <w:r>
              <w:rPr>
                <w:rFonts w:asciiTheme="minorEastAsia" w:eastAsiaTheme="minorEastAsia" w:hAnsiTheme="minorEastAsia"/>
                <w:color w:val="000000" w:themeColor="text1"/>
              </w:rPr>
              <w:t>本基金基金经理、指数及量化投资</w:t>
            </w:r>
            <w:r>
              <w:rPr>
                <w:rFonts w:asciiTheme="minorEastAsia" w:eastAsiaTheme="minorEastAsia" w:hAnsiTheme="minorEastAsia"/>
                <w:color w:val="000000" w:themeColor="text1"/>
              </w:rPr>
              <w:lastRenderedPageBreak/>
              <w:t>部总监</w:t>
            </w:r>
          </w:p>
        </w:tc>
        <w:tc>
          <w:tcPr>
            <w:tcW w:w="1560" w:type="dxa"/>
            <w:vAlign w:val="center"/>
          </w:tcPr>
          <w:p w:rsidR="00353FA4" w:rsidRDefault="00B73153">
            <w:pPr>
              <w:jc w:val="center"/>
            </w:pPr>
            <w:r>
              <w:rPr>
                <w:rFonts w:asciiTheme="minorEastAsia" w:eastAsiaTheme="minorEastAsia" w:hAnsiTheme="minorEastAsia"/>
                <w:color w:val="000000" w:themeColor="text1"/>
              </w:rPr>
              <w:lastRenderedPageBreak/>
              <w:t>2021-01-07</w:t>
            </w:r>
          </w:p>
        </w:tc>
        <w:tc>
          <w:tcPr>
            <w:tcW w:w="1559" w:type="dxa"/>
            <w:vAlign w:val="center"/>
          </w:tcPr>
          <w:p w:rsidR="00353FA4" w:rsidRDefault="00B73153">
            <w:pPr>
              <w:jc w:val="center"/>
            </w:pPr>
            <w:r>
              <w:rPr>
                <w:rFonts w:asciiTheme="minorEastAsia" w:eastAsiaTheme="minorEastAsia" w:hAnsiTheme="minorEastAsia"/>
                <w:color w:val="000000" w:themeColor="text1"/>
              </w:rPr>
              <w:t>-</w:t>
            </w:r>
          </w:p>
        </w:tc>
        <w:tc>
          <w:tcPr>
            <w:tcW w:w="1417" w:type="dxa"/>
            <w:vAlign w:val="center"/>
          </w:tcPr>
          <w:p w:rsidR="00353FA4" w:rsidRDefault="00B73153">
            <w:pPr>
              <w:jc w:val="center"/>
            </w:pPr>
            <w:r>
              <w:rPr>
                <w:rFonts w:asciiTheme="minorEastAsia" w:eastAsiaTheme="minorEastAsia" w:hAnsiTheme="minorEastAsia"/>
                <w:color w:val="000000" w:themeColor="text1"/>
              </w:rPr>
              <w:t>13</w:t>
            </w:r>
            <w:r>
              <w:rPr>
                <w:rFonts w:asciiTheme="minorEastAsia" w:eastAsiaTheme="minorEastAsia" w:hAnsiTheme="minorEastAsia"/>
                <w:color w:val="000000" w:themeColor="text1"/>
              </w:rPr>
              <w:t>年</w:t>
            </w:r>
          </w:p>
        </w:tc>
        <w:tc>
          <w:tcPr>
            <w:tcW w:w="2694" w:type="dxa"/>
            <w:vAlign w:val="center"/>
          </w:tcPr>
          <w:p w:rsidR="00353FA4" w:rsidRDefault="00B73153">
            <w:r>
              <w:rPr>
                <w:rFonts w:asciiTheme="minorEastAsia" w:eastAsiaTheme="minorEastAsia" w:hAnsiTheme="minorEastAsia"/>
                <w:color w:val="000000" w:themeColor="text1"/>
              </w:rPr>
              <w:t>胡迪女士，</w:t>
            </w:r>
            <w:r>
              <w:rPr>
                <w:rFonts w:asciiTheme="minorEastAsia" w:eastAsiaTheme="minorEastAsia" w:hAnsiTheme="minorEastAsia"/>
                <w:color w:val="000000" w:themeColor="text1"/>
              </w:rPr>
              <w:t>CFA</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FRM</w:t>
            </w:r>
            <w:r>
              <w:rPr>
                <w:rFonts w:asciiTheme="minorEastAsia" w:eastAsiaTheme="minorEastAsia" w:hAnsiTheme="minorEastAsia"/>
                <w:color w:val="000000" w:themeColor="text1"/>
              </w:rPr>
              <w:t>，美国哥伦比亚大学金融工程硕士，现任指数及量化投资部总监。胡迪女士自</w:t>
            </w:r>
            <w:r>
              <w:rPr>
                <w:rFonts w:asciiTheme="minorEastAsia" w:eastAsiaTheme="minorEastAsia" w:hAnsiTheme="minorEastAsia"/>
                <w:color w:val="000000" w:themeColor="text1"/>
              </w:rPr>
              <w:t>2008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月在纽约美</w:t>
            </w:r>
            <w:r>
              <w:rPr>
                <w:rFonts w:asciiTheme="minorEastAsia" w:eastAsiaTheme="minorEastAsia" w:hAnsiTheme="minorEastAsia"/>
                <w:color w:val="000000" w:themeColor="text1"/>
              </w:rPr>
              <w:lastRenderedPageBreak/>
              <w:t>林证券担任全球资产管理部高级经理；自</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2012</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月在纽约标准普尔担任量化投资主管；自</w:t>
            </w:r>
            <w:r>
              <w:rPr>
                <w:rFonts w:asciiTheme="minorEastAsia" w:eastAsiaTheme="minorEastAsia" w:hAnsiTheme="minorEastAsia"/>
                <w:color w:val="000000" w:themeColor="text1"/>
              </w:rPr>
              <w:t>2012</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月在中国国际金融股份有限公司担任资产管理部执行总经理；自</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月加入上投摩根基金管理有限公司，现任指数及量化投资部总监，自</w:t>
            </w:r>
            <w:r>
              <w:rPr>
                <w:rFonts w:asciiTheme="minorEastAsia" w:eastAsiaTheme="minorEastAsia" w:hAnsiTheme="minorEastAsia"/>
                <w:color w:val="000000" w:themeColor="text1"/>
              </w:rPr>
              <w:t>2021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月起同时担任上投摩根量化多因子灵活配置混合型证券投资基金、上投摩根优选多因子股票型证券投资基金、上投摩根动态</w:t>
            </w:r>
            <w:r>
              <w:rPr>
                <w:rFonts w:asciiTheme="minorEastAsia" w:eastAsiaTheme="minorEastAsia" w:hAnsiTheme="minorEastAsia"/>
                <w:color w:val="000000" w:themeColor="text1"/>
              </w:rPr>
              <w:t>多因子策略灵活配置混合型证券投资基金、上投摩根中证消费服务领先指数证券投资基金、上投摩根</w:t>
            </w:r>
            <w:r>
              <w:rPr>
                <w:rFonts w:asciiTheme="minorEastAsia" w:eastAsiaTheme="minorEastAsia" w:hAnsiTheme="minorEastAsia"/>
                <w:color w:val="000000" w:themeColor="text1"/>
              </w:rPr>
              <w:t>MSCI</w:t>
            </w:r>
            <w:r>
              <w:rPr>
                <w:rFonts w:asciiTheme="minorEastAsia" w:eastAsiaTheme="minorEastAsia" w:hAnsiTheme="minorEastAsia"/>
                <w:color w:val="000000" w:themeColor="text1"/>
              </w:rPr>
              <w:t>中国</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股交易型开放式指数证券投资基金、上投摩根</w:t>
            </w:r>
            <w:r>
              <w:rPr>
                <w:rFonts w:asciiTheme="minorEastAsia" w:eastAsiaTheme="minorEastAsia" w:hAnsiTheme="minorEastAsia"/>
                <w:color w:val="000000" w:themeColor="text1"/>
              </w:rPr>
              <w:t>MSCI</w:t>
            </w:r>
            <w:r>
              <w:rPr>
                <w:rFonts w:asciiTheme="minorEastAsia" w:eastAsiaTheme="minorEastAsia" w:hAnsiTheme="minorEastAsia"/>
                <w:color w:val="000000" w:themeColor="text1"/>
              </w:rPr>
              <w:t>中国</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股交易型开放式指数证券投资基金联接基金、上投摩根标普港股通低波红利指数型证券投资基金基金经理。</w:t>
            </w:r>
          </w:p>
        </w:tc>
      </w:tr>
      <w:tr w:rsidR="00353FA4">
        <w:tc>
          <w:tcPr>
            <w:tcW w:w="851" w:type="dxa"/>
            <w:vAlign w:val="center"/>
          </w:tcPr>
          <w:p w:rsidR="00353FA4" w:rsidRDefault="00B73153">
            <w:pPr>
              <w:jc w:val="center"/>
            </w:pPr>
            <w:r>
              <w:rPr>
                <w:rFonts w:asciiTheme="minorEastAsia" w:eastAsiaTheme="minorEastAsia" w:hAnsiTheme="minorEastAsia"/>
                <w:color w:val="000000" w:themeColor="text1"/>
              </w:rPr>
              <w:lastRenderedPageBreak/>
              <w:t>何智豪</w:t>
            </w:r>
          </w:p>
        </w:tc>
        <w:tc>
          <w:tcPr>
            <w:tcW w:w="850" w:type="dxa"/>
            <w:vAlign w:val="center"/>
          </w:tcPr>
          <w:p w:rsidR="00353FA4" w:rsidRDefault="00B73153">
            <w:pPr>
              <w:jc w:val="center"/>
            </w:pPr>
            <w:r>
              <w:rPr>
                <w:rFonts w:asciiTheme="minorEastAsia" w:eastAsiaTheme="minorEastAsia" w:hAnsiTheme="minorEastAsia"/>
                <w:color w:val="000000" w:themeColor="text1"/>
              </w:rPr>
              <w:t>本基金基金经理</w:t>
            </w:r>
          </w:p>
        </w:tc>
        <w:tc>
          <w:tcPr>
            <w:tcW w:w="1560" w:type="dxa"/>
            <w:vAlign w:val="center"/>
          </w:tcPr>
          <w:p w:rsidR="00353FA4" w:rsidRDefault="00B73153">
            <w:pPr>
              <w:jc w:val="center"/>
            </w:pPr>
            <w:r>
              <w:rPr>
                <w:rFonts w:asciiTheme="minorEastAsia" w:eastAsiaTheme="minorEastAsia" w:hAnsiTheme="minorEastAsia"/>
                <w:color w:val="000000" w:themeColor="text1"/>
              </w:rPr>
              <w:t>2021-02-05</w:t>
            </w:r>
          </w:p>
        </w:tc>
        <w:tc>
          <w:tcPr>
            <w:tcW w:w="1559" w:type="dxa"/>
            <w:vAlign w:val="center"/>
          </w:tcPr>
          <w:p w:rsidR="00353FA4" w:rsidRDefault="00B73153">
            <w:pPr>
              <w:jc w:val="center"/>
            </w:pPr>
            <w:r>
              <w:rPr>
                <w:rFonts w:asciiTheme="minorEastAsia" w:eastAsiaTheme="minorEastAsia" w:hAnsiTheme="minorEastAsia"/>
                <w:color w:val="000000" w:themeColor="text1"/>
              </w:rPr>
              <w:t>-</w:t>
            </w:r>
          </w:p>
        </w:tc>
        <w:tc>
          <w:tcPr>
            <w:tcW w:w="1417" w:type="dxa"/>
            <w:vAlign w:val="center"/>
          </w:tcPr>
          <w:p w:rsidR="00353FA4" w:rsidRDefault="00B73153">
            <w:pPr>
              <w:jc w:val="center"/>
            </w:pP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年</w:t>
            </w:r>
          </w:p>
        </w:tc>
        <w:tc>
          <w:tcPr>
            <w:tcW w:w="2694" w:type="dxa"/>
            <w:vAlign w:val="center"/>
          </w:tcPr>
          <w:p w:rsidR="00353FA4" w:rsidRDefault="00B73153">
            <w:r>
              <w:rPr>
                <w:rFonts w:asciiTheme="minorEastAsia" w:eastAsiaTheme="minorEastAsia" w:hAnsiTheme="minorEastAsia"/>
                <w:color w:val="000000" w:themeColor="text1"/>
              </w:rPr>
              <w:t>何智豪先生，复旦大学应用数学硕士，现任指数及量化投资部基金经理。何智豪先生自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月，在中国国际金融股份有限公司担任组合与量化策略研究员、资产管理部高级经理；自</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月起加入</w:t>
            </w:r>
            <w:r>
              <w:rPr>
                <w:rFonts w:asciiTheme="minorEastAsia" w:eastAsiaTheme="minorEastAsia" w:hAnsiTheme="minorEastAsia"/>
                <w:color w:val="000000" w:themeColor="text1"/>
              </w:rPr>
              <w:t>上投摩根基金管理有限公司。自</w:t>
            </w:r>
            <w:r>
              <w:rPr>
                <w:rFonts w:asciiTheme="minorEastAsia" w:eastAsiaTheme="minorEastAsia" w:hAnsiTheme="minorEastAsia"/>
                <w:color w:val="000000" w:themeColor="text1"/>
              </w:rPr>
              <w:t>2021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月起同时担任上投摩根量化多因子灵活配置混合型证券投资基金、上投摩根优选多因子股票型证券投资基金、上投摩根中证消费服务领先指数证券投资基金、上投摩根</w:t>
            </w:r>
            <w:r>
              <w:rPr>
                <w:rFonts w:asciiTheme="minorEastAsia" w:eastAsiaTheme="minorEastAsia" w:hAnsiTheme="minorEastAsia"/>
                <w:color w:val="000000" w:themeColor="text1"/>
              </w:rPr>
              <w:t>MSCI</w:t>
            </w:r>
            <w:r>
              <w:rPr>
                <w:rFonts w:asciiTheme="minorEastAsia" w:eastAsiaTheme="minorEastAsia" w:hAnsiTheme="minorEastAsia"/>
                <w:color w:val="000000" w:themeColor="text1"/>
              </w:rPr>
              <w:t>中国</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股交易型</w:t>
            </w:r>
            <w:r>
              <w:rPr>
                <w:rFonts w:asciiTheme="minorEastAsia" w:eastAsiaTheme="minorEastAsia" w:hAnsiTheme="minorEastAsia"/>
                <w:color w:val="000000" w:themeColor="text1"/>
              </w:rPr>
              <w:lastRenderedPageBreak/>
              <w:t>开放式指数证券投资基金、上投摩根</w:t>
            </w:r>
            <w:r>
              <w:rPr>
                <w:rFonts w:asciiTheme="minorEastAsia" w:eastAsiaTheme="minorEastAsia" w:hAnsiTheme="minorEastAsia"/>
                <w:color w:val="000000" w:themeColor="text1"/>
              </w:rPr>
              <w:t>MSCI</w:t>
            </w:r>
            <w:r>
              <w:rPr>
                <w:rFonts w:asciiTheme="minorEastAsia" w:eastAsiaTheme="minorEastAsia" w:hAnsiTheme="minorEastAsia"/>
                <w:color w:val="000000" w:themeColor="text1"/>
              </w:rPr>
              <w:t>中国</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股交易型开放式指数证券投资基金联接基金、上投摩根标普港股通低波红利指数型证券投资基金基金经理。</w:t>
            </w:r>
          </w:p>
        </w:tc>
      </w:tr>
    </w:tbl>
    <w:p w:rsidR="00353FA4" w:rsidRDefault="00B7315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注：</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任职日期和离任日期均指根据公司决定确定的聘任日期和解聘日期。</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2.证券从业的含义遵从行业协会《证券业从业人员资格管理办法》的相关规定。</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量化多因子灵活配置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353FA4" w:rsidRDefault="00B7315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53FA4" w:rsidRDefault="00B7315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w:t>
      </w:r>
      <w:r>
        <w:rPr>
          <w:rFonts w:asciiTheme="minorEastAsia" w:eastAsiaTheme="minorEastAsia" w:hAnsiTheme="minorEastAsia"/>
          <w:color w:val="000000" w:themeColor="text1"/>
        </w:rPr>
        <w:t>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353FA4" w:rsidRDefault="00B7315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报告期内，通过对交易价格、交易时间、交易方向等的分析，未发现有可能导致不公平交易和利益输送的异常交易行为。</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353FA4" w:rsidRDefault="00B7315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2021</w:t>
      </w:r>
      <w:r>
        <w:rPr>
          <w:rFonts w:asciiTheme="minorEastAsia" w:eastAsiaTheme="minorEastAsia" w:hAnsiTheme="minorEastAsia"/>
          <w:color w:val="000000" w:themeColor="text1"/>
        </w:rPr>
        <w:t>年一季度，</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股整体震荡加剧的同时，市场结构从市值、风格到主题均经历显著切换，以春节长假为分界点，市场走势迥异。节前</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整体延续去年年末上行趋势，呈现大盘强小盘弱，成长强价值弱、新兴产业强传统行业弱的特征。新能源、食品、消费者服务延续强势，化工、银行由于业绩超预期亦显著崛起。其背后主要原因一是政策及内外围环境延</w:t>
      </w:r>
      <w:r>
        <w:rPr>
          <w:rFonts w:asciiTheme="minorEastAsia" w:eastAsiaTheme="minorEastAsia" w:hAnsiTheme="minorEastAsia"/>
          <w:color w:val="000000" w:themeColor="text1"/>
        </w:rPr>
        <w:t>续前期，二是爆款不断的新发基金建仓和北向资金持续流入提供市场动量效应。节后市场风格突变，核心资产大幅下跌，低估值时隔</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年半再度崛起，中盘股久违跑赢蓝筹股，市场宽幅震荡的同时热点扩散。其主要是由于：第一，核心资产经历过去</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年的持续上行后，整体估值水平过高；第二，基金公司</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开门红</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发行结束，没有新流入资金对核心资产整体估值进行进一步支撑；第三，疫情对国内外影响的边际减弱带来了市场对高确定性成长的要求降低，一些</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有缺陷</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的高成长低估值个股重新纳入投资者视野；第四，美元加息带来的潜在升息压力动摇了核心资产上行的理论</w:t>
      </w:r>
      <w:r>
        <w:rPr>
          <w:rFonts w:asciiTheme="minorEastAsia" w:eastAsiaTheme="minorEastAsia" w:hAnsiTheme="minorEastAsia"/>
          <w:color w:val="000000" w:themeColor="text1"/>
        </w:rPr>
        <w:t>基础，即</w:t>
      </w:r>
      <w:r>
        <w:rPr>
          <w:rFonts w:asciiTheme="minorEastAsia" w:eastAsiaTheme="minorEastAsia" w:hAnsiTheme="minorEastAsia"/>
          <w:color w:val="000000" w:themeColor="text1"/>
        </w:rPr>
        <w:t>DCF</w:t>
      </w:r>
      <w:r>
        <w:rPr>
          <w:rFonts w:asciiTheme="minorEastAsia" w:eastAsiaTheme="minorEastAsia" w:hAnsiTheme="minorEastAsia"/>
          <w:color w:val="000000" w:themeColor="text1"/>
        </w:rPr>
        <w:t>估值体系，使得估值相对于成长的性价比有所提高；第五，两会召开带来的主题轮动效应，</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碳中和</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等概念开始崛起。本基金由于选股从多因子角度出发，偏重基本面因素，在行业板块分布和风格因子配置上相对均衡，故而在市场本轮风格切换时相对收益未遭受明显冲击。</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二季度，A股配置的核心将大概率既不是纯粹寻找高质量高确定性优质成长股，也不是纯粹进行估值修复，而是更为注重性价比，走估值和业绩并重的投资逻辑。具体而言，在食品、家电、医药、新能源等长期看较为优异的赛道内，需要时刻在核心资产和优质二线龙头间进行权衡。同时，在经济景气整体上行背景下，前期表现落后，估值不振的周期板块，如金融、地产等也存在很好的安全边际，或值得阶段性择优介入。总体而言，龙头股估值溢价仍具备合理性，不可能完全消除，低质量的低估值仍然无意义，不值得长期介入。但在实际投资中，投资者将不得不面临“高质量的贵”和“有缺陷的便宜”之间的权衡，市场对交易能力的考验在提升。在具体投资策略上，我们仍将坚持基本面出发的量化多因子选股策略，综合考虑个股的成长性、盈利能力、估值及买卖时点等多方面因素，力争构造风险收益特征</w:t>
      </w:r>
      <w:r>
        <w:rPr>
          <w:rFonts w:asciiTheme="minorEastAsia" w:eastAsiaTheme="minorEastAsia" w:hAnsiTheme="minorEastAsia"/>
          <w:color w:val="000000" w:themeColor="text1"/>
        </w:rPr>
        <w:lastRenderedPageBreak/>
        <w:t>优于市场的投资组合。</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本报告期上投摩根量化多因子混合份额净值增长率为:-3.16%，同期业绩比较基准收益率为:-1.78%。</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353FA4" w:rsidRDefault="00B7315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报告期内，本基金存在连续二十个工作日基金资产净值低于五千万元的情况，出现该情况的时间范围为</w:t>
      </w:r>
      <w:r>
        <w:rPr>
          <w:rFonts w:asciiTheme="minorEastAsia" w:eastAsiaTheme="minorEastAsia" w:hAnsiTheme="minorEastAsia"/>
          <w:color w:val="000000" w:themeColor="text1"/>
          <w:kern w:val="0"/>
        </w:rPr>
        <w:t>2021</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01</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04</w:t>
      </w:r>
      <w:r>
        <w:rPr>
          <w:rFonts w:asciiTheme="minorEastAsia" w:eastAsiaTheme="minorEastAsia" w:hAnsiTheme="minorEastAsia"/>
          <w:color w:val="000000" w:themeColor="text1"/>
          <w:kern w:val="0"/>
        </w:rPr>
        <w:t>日至</w:t>
      </w:r>
      <w:r>
        <w:rPr>
          <w:rFonts w:asciiTheme="minorEastAsia" w:eastAsiaTheme="minorEastAsia" w:hAnsiTheme="minorEastAsia"/>
          <w:color w:val="000000" w:themeColor="text1"/>
          <w:kern w:val="0"/>
        </w:rPr>
        <w:t>2021</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03</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31</w:t>
      </w:r>
      <w:r>
        <w:rPr>
          <w:rFonts w:asciiTheme="minorEastAsia" w:eastAsiaTheme="minorEastAsia" w:hAnsiTheme="minorEastAsia"/>
          <w:color w:val="000000" w:themeColor="text1"/>
          <w:kern w:val="0"/>
        </w:rPr>
        <w:t>日。</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基金管理人拟调整本基金运作方式，加大营销力度，提升基金规模，方案已报监管机关。</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24,370,385.72</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92.67</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24,370,385.72</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92.67</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11,900.00</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0.05</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11,900.00</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0.05</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D06738" w:rsidRDefault="00454D20">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1,879,127.47</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7.15</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D06738" w:rsidRDefault="00454D20">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36,275.60</w:t>
            </w:r>
          </w:p>
        </w:tc>
        <w:tc>
          <w:tcPr>
            <w:tcW w:w="1843"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0.14</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D06738" w:rsidRDefault="00454D20">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26,297,688.79</w:t>
            </w:r>
          </w:p>
        </w:tc>
        <w:tc>
          <w:tcPr>
            <w:tcW w:w="1843"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D06738" w:rsidRDefault="00D06738">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lastRenderedPageBreak/>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D06738" w:rsidRDefault="00454D20">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391,458.00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1.56</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351,890.00</w:t>
            </w:r>
          </w:p>
          <w:p w:rsidR="00D06738" w:rsidRDefault="00D06738">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1.40</w:t>
            </w:r>
          </w:p>
          <w:p w:rsidR="00D06738" w:rsidRDefault="00D06738">
            <w:pPr>
              <w:jc w:val="right"/>
              <w:rPr>
                <w:rFonts w:asciiTheme="minorEastAsia" w:eastAsiaTheme="minorEastAsia" w:hAnsiTheme="minorEastAsia" w:cs="宋体"/>
                <w:color w:val="000000" w:themeColor="text1"/>
                <w:kern w:val="0"/>
              </w:rPr>
            </w:pP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15,268,243.06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60.91</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727,116.00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2.90</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357,825.00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1.43</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55,582.00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0.22</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144,699.00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0.58</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138,975.00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0.55</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624,277.00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2.49</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4,627,269.94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18.46</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146,443.00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0.58</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682,467.92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2.72</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478,228.80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1.91</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67,608.00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0.27</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131,452.00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0.52</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176,851.00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0.71</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D06738">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24,370,385.72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97.22</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D06738">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353FA4">
        <w:tc>
          <w:tcPr>
            <w:tcW w:w="817" w:type="dxa"/>
            <w:vAlign w:val="center"/>
          </w:tcPr>
          <w:p w:rsidR="00353FA4" w:rsidRDefault="00B73153">
            <w:pPr>
              <w:jc w:val="center"/>
            </w:pPr>
            <w:r>
              <w:rPr>
                <w:rFonts w:asciiTheme="minorEastAsia" w:eastAsiaTheme="minorEastAsia" w:hAnsiTheme="minorEastAsia" w:cs="宋体"/>
                <w:color w:val="000000" w:themeColor="text1"/>
                <w:kern w:val="0"/>
              </w:rPr>
              <w:t>1</w:t>
            </w:r>
          </w:p>
        </w:tc>
        <w:tc>
          <w:tcPr>
            <w:tcW w:w="1276" w:type="dxa"/>
            <w:vAlign w:val="center"/>
          </w:tcPr>
          <w:p w:rsidR="00353FA4" w:rsidRDefault="00B73153">
            <w:pPr>
              <w:jc w:val="center"/>
            </w:pPr>
            <w:r>
              <w:rPr>
                <w:rFonts w:asciiTheme="minorEastAsia" w:eastAsiaTheme="minorEastAsia" w:hAnsiTheme="minorEastAsia" w:cs="宋体"/>
                <w:color w:val="000000" w:themeColor="text1"/>
                <w:kern w:val="0"/>
              </w:rPr>
              <w:t>601318</w:t>
            </w:r>
          </w:p>
        </w:tc>
        <w:tc>
          <w:tcPr>
            <w:tcW w:w="1701" w:type="dxa"/>
            <w:vAlign w:val="center"/>
          </w:tcPr>
          <w:p w:rsidR="00353FA4" w:rsidRDefault="00B73153">
            <w:pPr>
              <w:jc w:val="center"/>
            </w:pPr>
            <w:r>
              <w:rPr>
                <w:rFonts w:asciiTheme="minorEastAsia" w:eastAsiaTheme="minorEastAsia" w:hAnsiTheme="minorEastAsia" w:cs="宋体"/>
                <w:color w:val="000000" w:themeColor="text1"/>
                <w:kern w:val="0"/>
              </w:rPr>
              <w:t>中国平安</w:t>
            </w:r>
          </w:p>
        </w:tc>
        <w:tc>
          <w:tcPr>
            <w:tcW w:w="1276" w:type="dxa"/>
            <w:vAlign w:val="center"/>
          </w:tcPr>
          <w:p w:rsidR="00353FA4" w:rsidRDefault="00B73153">
            <w:pPr>
              <w:jc w:val="right"/>
            </w:pPr>
            <w:r>
              <w:rPr>
                <w:rFonts w:asciiTheme="minorEastAsia" w:eastAsiaTheme="minorEastAsia" w:hAnsiTheme="minorEastAsia" w:cs="宋体"/>
                <w:color w:val="000000" w:themeColor="text1"/>
                <w:kern w:val="0"/>
              </w:rPr>
              <w:t>15,800.00</w:t>
            </w:r>
          </w:p>
        </w:tc>
        <w:tc>
          <w:tcPr>
            <w:tcW w:w="1842" w:type="dxa"/>
            <w:vAlign w:val="center"/>
          </w:tcPr>
          <w:p w:rsidR="00353FA4" w:rsidRDefault="00B73153">
            <w:pPr>
              <w:jc w:val="right"/>
            </w:pPr>
            <w:r>
              <w:rPr>
                <w:rFonts w:asciiTheme="minorEastAsia" w:eastAsiaTheme="minorEastAsia" w:hAnsiTheme="minorEastAsia" w:cs="宋体"/>
                <w:color w:val="000000" w:themeColor="text1"/>
                <w:kern w:val="0"/>
              </w:rPr>
              <w:t>1,243,460.00</w:t>
            </w:r>
          </w:p>
        </w:tc>
        <w:tc>
          <w:tcPr>
            <w:tcW w:w="1616" w:type="dxa"/>
            <w:vAlign w:val="center"/>
          </w:tcPr>
          <w:p w:rsidR="00353FA4" w:rsidRDefault="00B73153">
            <w:pPr>
              <w:jc w:val="right"/>
            </w:pPr>
            <w:r>
              <w:rPr>
                <w:rFonts w:asciiTheme="minorEastAsia" w:eastAsiaTheme="minorEastAsia" w:hAnsiTheme="minorEastAsia" w:cs="宋体"/>
                <w:color w:val="000000" w:themeColor="text1"/>
                <w:kern w:val="0"/>
              </w:rPr>
              <w:t>4.96</w:t>
            </w:r>
          </w:p>
        </w:tc>
      </w:tr>
      <w:tr w:rsidR="00353FA4">
        <w:tc>
          <w:tcPr>
            <w:tcW w:w="817" w:type="dxa"/>
            <w:vAlign w:val="center"/>
          </w:tcPr>
          <w:p w:rsidR="00353FA4" w:rsidRDefault="00B73153">
            <w:pPr>
              <w:jc w:val="center"/>
            </w:pPr>
            <w:r>
              <w:rPr>
                <w:rFonts w:asciiTheme="minorEastAsia" w:eastAsiaTheme="minorEastAsia" w:hAnsiTheme="minorEastAsia" w:cs="宋体"/>
                <w:color w:val="000000" w:themeColor="text1"/>
                <w:kern w:val="0"/>
              </w:rPr>
              <w:t>2</w:t>
            </w:r>
          </w:p>
        </w:tc>
        <w:tc>
          <w:tcPr>
            <w:tcW w:w="1276" w:type="dxa"/>
            <w:vAlign w:val="center"/>
          </w:tcPr>
          <w:p w:rsidR="00353FA4" w:rsidRDefault="00B73153">
            <w:pPr>
              <w:jc w:val="center"/>
            </w:pPr>
            <w:r>
              <w:rPr>
                <w:rFonts w:asciiTheme="minorEastAsia" w:eastAsiaTheme="minorEastAsia" w:hAnsiTheme="minorEastAsia" w:cs="宋体"/>
                <w:color w:val="000000" w:themeColor="text1"/>
                <w:kern w:val="0"/>
              </w:rPr>
              <w:t>600036</w:t>
            </w:r>
          </w:p>
        </w:tc>
        <w:tc>
          <w:tcPr>
            <w:tcW w:w="1701" w:type="dxa"/>
            <w:vAlign w:val="center"/>
          </w:tcPr>
          <w:p w:rsidR="00353FA4" w:rsidRDefault="00B73153">
            <w:pPr>
              <w:jc w:val="center"/>
            </w:pPr>
            <w:r>
              <w:rPr>
                <w:rFonts w:asciiTheme="minorEastAsia" w:eastAsiaTheme="minorEastAsia" w:hAnsiTheme="minorEastAsia" w:cs="宋体"/>
                <w:color w:val="000000" w:themeColor="text1"/>
                <w:kern w:val="0"/>
              </w:rPr>
              <w:t>招商银行</w:t>
            </w:r>
          </w:p>
        </w:tc>
        <w:tc>
          <w:tcPr>
            <w:tcW w:w="1276" w:type="dxa"/>
            <w:vAlign w:val="center"/>
          </w:tcPr>
          <w:p w:rsidR="00353FA4" w:rsidRDefault="00B73153">
            <w:pPr>
              <w:jc w:val="right"/>
            </w:pPr>
            <w:r>
              <w:rPr>
                <w:rFonts w:asciiTheme="minorEastAsia" w:eastAsiaTheme="minorEastAsia" w:hAnsiTheme="minorEastAsia" w:cs="宋体"/>
                <w:color w:val="000000" w:themeColor="text1"/>
                <w:kern w:val="0"/>
              </w:rPr>
              <w:t>20,900.00</w:t>
            </w:r>
          </w:p>
        </w:tc>
        <w:tc>
          <w:tcPr>
            <w:tcW w:w="1842" w:type="dxa"/>
            <w:vAlign w:val="center"/>
          </w:tcPr>
          <w:p w:rsidR="00353FA4" w:rsidRDefault="00B73153">
            <w:pPr>
              <w:jc w:val="right"/>
            </w:pPr>
            <w:r>
              <w:rPr>
                <w:rFonts w:asciiTheme="minorEastAsia" w:eastAsiaTheme="minorEastAsia" w:hAnsiTheme="minorEastAsia" w:cs="宋体"/>
                <w:color w:val="000000" w:themeColor="text1"/>
                <w:kern w:val="0"/>
              </w:rPr>
              <w:t>1,067,990.00</w:t>
            </w:r>
          </w:p>
        </w:tc>
        <w:tc>
          <w:tcPr>
            <w:tcW w:w="1616" w:type="dxa"/>
            <w:vAlign w:val="center"/>
          </w:tcPr>
          <w:p w:rsidR="00353FA4" w:rsidRDefault="00B73153">
            <w:pPr>
              <w:jc w:val="right"/>
            </w:pPr>
            <w:r>
              <w:rPr>
                <w:rFonts w:asciiTheme="minorEastAsia" w:eastAsiaTheme="minorEastAsia" w:hAnsiTheme="minorEastAsia" w:cs="宋体"/>
                <w:color w:val="000000" w:themeColor="text1"/>
                <w:kern w:val="0"/>
              </w:rPr>
              <w:t>4.26</w:t>
            </w:r>
          </w:p>
        </w:tc>
      </w:tr>
      <w:tr w:rsidR="00353FA4">
        <w:tc>
          <w:tcPr>
            <w:tcW w:w="817" w:type="dxa"/>
            <w:vAlign w:val="center"/>
          </w:tcPr>
          <w:p w:rsidR="00353FA4" w:rsidRDefault="00B73153">
            <w:pPr>
              <w:jc w:val="center"/>
            </w:pPr>
            <w:r>
              <w:rPr>
                <w:rFonts w:asciiTheme="minorEastAsia" w:eastAsiaTheme="minorEastAsia" w:hAnsiTheme="minorEastAsia" w:cs="宋体"/>
                <w:color w:val="000000" w:themeColor="text1"/>
                <w:kern w:val="0"/>
              </w:rPr>
              <w:t>3</w:t>
            </w:r>
          </w:p>
        </w:tc>
        <w:tc>
          <w:tcPr>
            <w:tcW w:w="1276" w:type="dxa"/>
            <w:vAlign w:val="center"/>
          </w:tcPr>
          <w:p w:rsidR="00353FA4" w:rsidRDefault="00B73153">
            <w:pPr>
              <w:jc w:val="center"/>
            </w:pPr>
            <w:r>
              <w:rPr>
                <w:rFonts w:asciiTheme="minorEastAsia" w:eastAsiaTheme="minorEastAsia" w:hAnsiTheme="minorEastAsia" w:cs="宋体"/>
                <w:color w:val="000000" w:themeColor="text1"/>
                <w:kern w:val="0"/>
              </w:rPr>
              <w:t>600519</w:t>
            </w:r>
          </w:p>
        </w:tc>
        <w:tc>
          <w:tcPr>
            <w:tcW w:w="1701" w:type="dxa"/>
            <w:vAlign w:val="center"/>
          </w:tcPr>
          <w:p w:rsidR="00353FA4" w:rsidRDefault="00B73153">
            <w:pPr>
              <w:jc w:val="center"/>
            </w:pPr>
            <w:r>
              <w:rPr>
                <w:rFonts w:asciiTheme="minorEastAsia" w:eastAsiaTheme="minorEastAsia" w:hAnsiTheme="minorEastAsia" w:cs="宋体"/>
                <w:color w:val="000000" w:themeColor="text1"/>
                <w:kern w:val="0"/>
              </w:rPr>
              <w:t>贵州茅台</w:t>
            </w:r>
          </w:p>
        </w:tc>
        <w:tc>
          <w:tcPr>
            <w:tcW w:w="1276" w:type="dxa"/>
            <w:vAlign w:val="center"/>
          </w:tcPr>
          <w:p w:rsidR="00353FA4" w:rsidRDefault="00B73153">
            <w:pPr>
              <w:jc w:val="right"/>
            </w:pPr>
            <w:r>
              <w:rPr>
                <w:rFonts w:asciiTheme="minorEastAsia" w:eastAsiaTheme="minorEastAsia" w:hAnsiTheme="minorEastAsia" w:cs="宋体"/>
                <w:color w:val="000000" w:themeColor="text1"/>
                <w:kern w:val="0"/>
              </w:rPr>
              <w:t>500.00</w:t>
            </w:r>
          </w:p>
        </w:tc>
        <w:tc>
          <w:tcPr>
            <w:tcW w:w="1842" w:type="dxa"/>
            <w:vAlign w:val="center"/>
          </w:tcPr>
          <w:p w:rsidR="00353FA4" w:rsidRDefault="00B73153">
            <w:pPr>
              <w:jc w:val="right"/>
            </w:pPr>
            <w:r>
              <w:rPr>
                <w:rFonts w:asciiTheme="minorEastAsia" w:eastAsiaTheme="minorEastAsia" w:hAnsiTheme="minorEastAsia" w:cs="宋体"/>
                <w:color w:val="000000" w:themeColor="text1"/>
                <w:kern w:val="0"/>
              </w:rPr>
              <w:t>1,004,500.00</w:t>
            </w:r>
          </w:p>
        </w:tc>
        <w:tc>
          <w:tcPr>
            <w:tcW w:w="1616" w:type="dxa"/>
            <w:vAlign w:val="center"/>
          </w:tcPr>
          <w:p w:rsidR="00353FA4" w:rsidRDefault="00B73153">
            <w:pPr>
              <w:jc w:val="right"/>
            </w:pPr>
            <w:r>
              <w:rPr>
                <w:rFonts w:asciiTheme="minorEastAsia" w:eastAsiaTheme="minorEastAsia" w:hAnsiTheme="minorEastAsia" w:cs="宋体"/>
                <w:color w:val="000000" w:themeColor="text1"/>
                <w:kern w:val="0"/>
              </w:rPr>
              <w:t>4.01</w:t>
            </w:r>
          </w:p>
        </w:tc>
      </w:tr>
      <w:tr w:rsidR="00353FA4">
        <w:tc>
          <w:tcPr>
            <w:tcW w:w="817" w:type="dxa"/>
            <w:vAlign w:val="center"/>
          </w:tcPr>
          <w:p w:rsidR="00353FA4" w:rsidRDefault="00B73153">
            <w:pPr>
              <w:jc w:val="center"/>
            </w:pPr>
            <w:r>
              <w:rPr>
                <w:rFonts w:asciiTheme="minorEastAsia" w:eastAsiaTheme="minorEastAsia" w:hAnsiTheme="minorEastAsia" w:cs="宋体"/>
                <w:color w:val="000000" w:themeColor="text1"/>
                <w:kern w:val="0"/>
              </w:rPr>
              <w:t>4</w:t>
            </w:r>
          </w:p>
        </w:tc>
        <w:tc>
          <w:tcPr>
            <w:tcW w:w="1276" w:type="dxa"/>
            <w:vAlign w:val="center"/>
          </w:tcPr>
          <w:p w:rsidR="00353FA4" w:rsidRDefault="00B73153">
            <w:pPr>
              <w:jc w:val="center"/>
            </w:pPr>
            <w:r>
              <w:rPr>
                <w:rFonts w:asciiTheme="minorEastAsia" w:eastAsiaTheme="minorEastAsia" w:hAnsiTheme="minorEastAsia" w:cs="宋体"/>
                <w:color w:val="000000" w:themeColor="text1"/>
                <w:kern w:val="0"/>
              </w:rPr>
              <w:t>601166</w:t>
            </w:r>
          </w:p>
        </w:tc>
        <w:tc>
          <w:tcPr>
            <w:tcW w:w="1701" w:type="dxa"/>
            <w:vAlign w:val="center"/>
          </w:tcPr>
          <w:p w:rsidR="00353FA4" w:rsidRDefault="00B73153">
            <w:pPr>
              <w:jc w:val="center"/>
            </w:pPr>
            <w:r>
              <w:rPr>
                <w:rFonts w:asciiTheme="minorEastAsia" w:eastAsiaTheme="minorEastAsia" w:hAnsiTheme="minorEastAsia" w:cs="宋体"/>
                <w:color w:val="000000" w:themeColor="text1"/>
                <w:kern w:val="0"/>
              </w:rPr>
              <w:t>兴业银行</w:t>
            </w:r>
          </w:p>
        </w:tc>
        <w:tc>
          <w:tcPr>
            <w:tcW w:w="1276" w:type="dxa"/>
            <w:vAlign w:val="center"/>
          </w:tcPr>
          <w:p w:rsidR="00353FA4" w:rsidRDefault="00B73153">
            <w:pPr>
              <w:jc w:val="right"/>
            </w:pPr>
            <w:r>
              <w:rPr>
                <w:rFonts w:asciiTheme="minorEastAsia" w:eastAsiaTheme="minorEastAsia" w:hAnsiTheme="minorEastAsia" w:cs="宋体"/>
                <w:color w:val="000000" w:themeColor="text1"/>
                <w:kern w:val="0"/>
              </w:rPr>
              <w:t>32,800.00</w:t>
            </w:r>
          </w:p>
        </w:tc>
        <w:tc>
          <w:tcPr>
            <w:tcW w:w="1842" w:type="dxa"/>
            <w:vAlign w:val="center"/>
          </w:tcPr>
          <w:p w:rsidR="00353FA4" w:rsidRDefault="00B73153">
            <w:pPr>
              <w:jc w:val="right"/>
            </w:pPr>
            <w:r>
              <w:rPr>
                <w:rFonts w:asciiTheme="minorEastAsia" w:eastAsiaTheme="minorEastAsia" w:hAnsiTheme="minorEastAsia" w:cs="宋体"/>
                <w:color w:val="000000" w:themeColor="text1"/>
                <w:kern w:val="0"/>
              </w:rPr>
              <w:t>790,152.00</w:t>
            </w:r>
          </w:p>
        </w:tc>
        <w:tc>
          <w:tcPr>
            <w:tcW w:w="1616" w:type="dxa"/>
            <w:vAlign w:val="center"/>
          </w:tcPr>
          <w:p w:rsidR="00353FA4" w:rsidRDefault="00B73153">
            <w:pPr>
              <w:jc w:val="right"/>
            </w:pPr>
            <w:r>
              <w:rPr>
                <w:rFonts w:asciiTheme="minorEastAsia" w:eastAsiaTheme="minorEastAsia" w:hAnsiTheme="minorEastAsia" w:cs="宋体"/>
                <w:color w:val="000000" w:themeColor="text1"/>
                <w:kern w:val="0"/>
              </w:rPr>
              <w:t>3.15</w:t>
            </w:r>
          </w:p>
        </w:tc>
      </w:tr>
      <w:tr w:rsidR="00353FA4">
        <w:tc>
          <w:tcPr>
            <w:tcW w:w="817" w:type="dxa"/>
            <w:vAlign w:val="center"/>
          </w:tcPr>
          <w:p w:rsidR="00353FA4" w:rsidRDefault="00B73153">
            <w:pPr>
              <w:jc w:val="center"/>
            </w:pPr>
            <w:r>
              <w:rPr>
                <w:rFonts w:asciiTheme="minorEastAsia" w:eastAsiaTheme="minorEastAsia" w:hAnsiTheme="minorEastAsia" w:cs="宋体"/>
                <w:color w:val="000000" w:themeColor="text1"/>
                <w:kern w:val="0"/>
              </w:rPr>
              <w:lastRenderedPageBreak/>
              <w:t>5</w:t>
            </w:r>
          </w:p>
        </w:tc>
        <w:tc>
          <w:tcPr>
            <w:tcW w:w="1276" w:type="dxa"/>
            <w:vAlign w:val="center"/>
          </w:tcPr>
          <w:p w:rsidR="00353FA4" w:rsidRDefault="00B73153">
            <w:pPr>
              <w:jc w:val="center"/>
            </w:pPr>
            <w:r>
              <w:rPr>
                <w:rFonts w:asciiTheme="minorEastAsia" w:eastAsiaTheme="minorEastAsia" w:hAnsiTheme="minorEastAsia" w:cs="宋体"/>
                <w:color w:val="000000" w:themeColor="text1"/>
                <w:kern w:val="0"/>
              </w:rPr>
              <w:t>000725</w:t>
            </w:r>
          </w:p>
        </w:tc>
        <w:tc>
          <w:tcPr>
            <w:tcW w:w="1701" w:type="dxa"/>
            <w:vAlign w:val="center"/>
          </w:tcPr>
          <w:p w:rsidR="00353FA4" w:rsidRDefault="00B73153">
            <w:pPr>
              <w:jc w:val="center"/>
            </w:pPr>
            <w:r>
              <w:rPr>
                <w:rFonts w:asciiTheme="minorEastAsia" w:eastAsiaTheme="minorEastAsia" w:hAnsiTheme="minorEastAsia" w:cs="宋体"/>
                <w:color w:val="000000" w:themeColor="text1"/>
                <w:kern w:val="0"/>
              </w:rPr>
              <w:t>京东方Ａ</w:t>
            </w:r>
          </w:p>
        </w:tc>
        <w:tc>
          <w:tcPr>
            <w:tcW w:w="1276" w:type="dxa"/>
            <w:vAlign w:val="center"/>
          </w:tcPr>
          <w:p w:rsidR="00353FA4" w:rsidRDefault="00B73153">
            <w:pPr>
              <w:jc w:val="right"/>
            </w:pPr>
            <w:r>
              <w:rPr>
                <w:rFonts w:asciiTheme="minorEastAsia" w:eastAsiaTheme="minorEastAsia" w:hAnsiTheme="minorEastAsia" w:cs="宋体"/>
                <w:color w:val="000000" w:themeColor="text1"/>
                <w:kern w:val="0"/>
              </w:rPr>
              <w:t>97,042.00</w:t>
            </w:r>
          </w:p>
        </w:tc>
        <w:tc>
          <w:tcPr>
            <w:tcW w:w="1842" w:type="dxa"/>
            <w:vAlign w:val="center"/>
          </w:tcPr>
          <w:p w:rsidR="00353FA4" w:rsidRDefault="00B73153">
            <w:pPr>
              <w:jc w:val="right"/>
            </w:pPr>
            <w:r>
              <w:rPr>
                <w:rFonts w:asciiTheme="minorEastAsia" w:eastAsiaTheme="minorEastAsia" w:hAnsiTheme="minorEastAsia" w:cs="宋体"/>
                <w:color w:val="000000" w:themeColor="text1"/>
                <w:kern w:val="0"/>
              </w:rPr>
              <w:t>608,453.34</w:t>
            </w:r>
          </w:p>
        </w:tc>
        <w:tc>
          <w:tcPr>
            <w:tcW w:w="1616" w:type="dxa"/>
            <w:vAlign w:val="center"/>
          </w:tcPr>
          <w:p w:rsidR="00353FA4" w:rsidRDefault="00B73153">
            <w:pPr>
              <w:jc w:val="right"/>
            </w:pPr>
            <w:r>
              <w:rPr>
                <w:rFonts w:asciiTheme="minorEastAsia" w:eastAsiaTheme="minorEastAsia" w:hAnsiTheme="minorEastAsia" w:cs="宋体"/>
                <w:color w:val="000000" w:themeColor="text1"/>
                <w:kern w:val="0"/>
              </w:rPr>
              <w:t>2.43</w:t>
            </w:r>
          </w:p>
        </w:tc>
      </w:tr>
      <w:tr w:rsidR="00353FA4">
        <w:tc>
          <w:tcPr>
            <w:tcW w:w="817" w:type="dxa"/>
            <w:vAlign w:val="center"/>
          </w:tcPr>
          <w:p w:rsidR="00353FA4" w:rsidRDefault="00B73153">
            <w:pPr>
              <w:jc w:val="center"/>
            </w:pPr>
            <w:r>
              <w:rPr>
                <w:rFonts w:asciiTheme="minorEastAsia" w:eastAsiaTheme="minorEastAsia" w:hAnsiTheme="minorEastAsia" w:cs="宋体"/>
                <w:color w:val="000000" w:themeColor="text1"/>
                <w:kern w:val="0"/>
              </w:rPr>
              <w:t>6</w:t>
            </w:r>
          </w:p>
        </w:tc>
        <w:tc>
          <w:tcPr>
            <w:tcW w:w="1276" w:type="dxa"/>
            <w:vAlign w:val="center"/>
          </w:tcPr>
          <w:p w:rsidR="00353FA4" w:rsidRDefault="00B73153">
            <w:pPr>
              <w:jc w:val="center"/>
            </w:pPr>
            <w:r>
              <w:rPr>
                <w:rFonts w:asciiTheme="minorEastAsia" w:eastAsiaTheme="minorEastAsia" w:hAnsiTheme="minorEastAsia" w:cs="宋体"/>
                <w:color w:val="000000" w:themeColor="text1"/>
                <w:kern w:val="0"/>
              </w:rPr>
              <w:t>600900</w:t>
            </w:r>
          </w:p>
        </w:tc>
        <w:tc>
          <w:tcPr>
            <w:tcW w:w="1701" w:type="dxa"/>
            <w:vAlign w:val="center"/>
          </w:tcPr>
          <w:p w:rsidR="00353FA4" w:rsidRDefault="00B73153">
            <w:pPr>
              <w:jc w:val="center"/>
            </w:pPr>
            <w:r>
              <w:rPr>
                <w:rFonts w:asciiTheme="minorEastAsia" w:eastAsiaTheme="minorEastAsia" w:hAnsiTheme="minorEastAsia" w:cs="宋体"/>
                <w:color w:val="000000" w:themeColor="text1"/>
                <w:kern w:val="0"/>
              </w:rPr>
              <w:t>长江电力</w:t>
            </w:r>
          </w:p>
        </w:tc>
        <w:tc>
          <w:tcPr>
            <w:tcW w:w="1276" w:type="dxa"/>
            <w:vAlign w:val="center"/>
          </w:tcPr>
          <w:p w:rsidR="00353FA4" w:rsidRDefault="00B73153">
            <w:pPr>
              <w:jc w:val="right"/>
            </w:pPr>
            <w:r>
              <w:rPr>
                <w:rFonts w:asciiTheme="minorEastAsia" w:eastAsiaTheme="minorEastAsia" w:hAnsiTheme="minorEastAsia" w:cs="宋体"/>
                <w:color w:val="000000" w:themeColor="text1"/>
                <w:kern w:val="0"/>
              </w:rPr>
              <w:t>27,700.00</w:t>
            </w:r>
          </w:p>
        </w:tc>
        <w:tc>
          <w:tcPr>
            <w:tcW w:w="1842" w:type="dxa"/>
            <w:vAlign w:val="center"/>
          </w:tcPr>
          <w:p w:rsidR="00353FA4" w:rsidRDefault="00B73153">
            <w:pPr>
              <w:jc w:val="right"/>
            </w:pPr>
            <w:r>
              <w:rPr>
                <w:rFonts w:asciiTheme="minorEastAsia" w:eastAsiaTheme="minorEastAsia" w:hAnsiTheme="minorEastAsia" w:cs="宋体"/>
                <w:color w:val="000000" w:themeColor="text1"/>
                <w:kern w:val="0"/>
              </w:rPr>
              <w:t>593,888.00</w:t>
            </w:r>
          </w:p>
        </w:tc>
        <w:tc>
          <w:tcPr>
            <w:tcW w:w="1616" w:type="dxa"/>
            <w:vAlign w:val="center"/>
          </w:tcPr>
          <w:p w:rsidR="00353FA4" w:rsidRDefault="00B73153">
            <w:pPr>
              <w:jc w:val="right"/>
            </w:pPr>
            <w:r>
              <w:rPr>
                <w:rFonts w:asciiTheme="minorEastAsia" w:eastAsiaTheme="minorEastAsia" w:hAnsiTheme="minorEastAsia" w:cs="宋体"/>
                <w:color w:val="000000" w:themeColor="text1"/>
                <w:kern w:val="0"/>
              </w:rPr>
              <w:t>2.37</w:t>
            </w:r>
          </w:p>
        </w:tc>
      </w:tr>
      <w:tr w:rsidR="00353FA4">
        <w:tc>
          <w:tcPr>
            <w:tcW w:w="817" w:type="dxa"/>
            <w:vAlign w:val="center"/>
          </w:tcPr>
          <w:p w:rsidR="00353FA4" w:rsidRDefault="00B73153">
            <w:pPr>
              <w:jc w:val="center"/>
            </w:pPr>
            <w:r>
              <w:rPr>
                <w:rFonts w:asciiTheme="minorEastAsia" w:eastAsiaTheme="minorEastAsia" w:hAnsiTheme="minorEastAsia" w:cs="宋体"/>
                <w:color w:val="000000" w:themeColor="text1"/>
                <w:kern w:val="0"/>
              </w:rPr>
              <w:t>7</w:t>
            </w:r>
          </w:p>
        </w:tc>
        <w:tc>
          <w:tcPr>
            <w:tcW w:w="1276" w:type="dxa"/>
            <w:vAlign w:val="center"/>
          </w:tcPr>
          <w:p w:rsidR="00353FA4" w:rsidRDefault="00B73153">
            <w:pPr>
              <w:jc w:val="center"/>
            </w:pPr>
            <w:r>
              <w:rPr>
                <w:rFonts w:asciiTheme="minorEastAsia" w:eastAsiaTheme="minorEastAsia" w:hAnsiTheme="minorEastAsia" w:cs="宋体"/>
                <w:color w:val="000000" w:themeColor="text1"/>
                <w:kern w:val="0"/>
              </w:rPr>
              <w:t>601888</w:t>
            </w:r>
          </w:p>
        </w:tc>
        <w:tc>
          <w:tcPr>
            <w:tcW w:w="1701" w:type="dxa"/>
            <w:vAlign w:val="center"/>
          </w:tcPr>
          <w:p w:rsidR="00353FA4" w:rsidRDefault="00B73153">
            <w:pPr>
              <w:jc w:val="center"/>
            </w:pPr>
            <w:r>
              <w:rPr>
                <w:rFonts w:asciiTheme="minorEastAsia" w:eastAsiaTheme="minorEastAsia" w:hAnsiTheme="minorEastAsia" w:cs="宋体"/>
                <w:color w:val="000000" w:themeColor="text1"/>
                <w:kern w:val="0"/>
              </w:rPr>
              <w:t>中国中免</w:t>
            </w:r>
          </w:p>
        </w:tc>
        <w:tc>
          <w:tcPr>
            <w:tcW w:w="1276" w:type="dxa"/>
            <w:vAlign w:val="center"/>
          </w:tcPr>
          <w:p w:rsidR="00353FA4" w:rsidRDefault="00B73153">
            <w:pPr>
              <w:jc w:val="right"/>
            </w:pPr>
            <w:r>
              <w:rPr>
                <w:rFonts w:asciiTheme="minorEastAsia" w:eastAsiaTheme="minorEastAsia" w:hAnsiTheme="minorEastAsia" w:cs="宋体"/>
                <w:color w:val="000000" w:themeColor="text1"/>
                <w:kern w:val="0"/>
              </w:rPr>
              <w:t>1,900.00</w:t>
            </w:r>
          </w:p>
        </w:tc>
        <w:tc>
          <w:tcPr>
            <w:tcW w:w="1842" w:type="dxa"/>
            <w:vAlign w:val="center"/>
          </w:tcPr>
          <w:p w:rsidR="00353FA4" w:rsidRDefault="00B73153">
            <w:pPr>
              <w:jc w:val="right"/>
            </w:pPr>
            <w:r>
              <w:rPr>
                <w:rFonts w:asciiTheme="minorEastAsia" w:eastAsiaTheme="minorEastAsia" w:hAnsiTheme="minorEastAsia" w:cs="宋体"/>
                <w:color w:val="000000" w:themeColor="text1"/>
                <w:kern w:val="0"/>
              </w:rPr>
              <w:t>581,552.00</w:t>
            </w:r>
          </w:p>
        </w:tc>
        <w:tc>
          <w:tcPr>
            <w:tcW w:w="1616" w:type="dxa"/>
            <w:vAlign w:val="center"/>
          </w:tcPr>
          <w:p w:rsidR="00353FA4" w:rsidRDefault="00B73153">
            <w:pPr>
              <w:jc w:val="right"/>
            </w:pPr>
            <w:r>
              <w:rPr>
                <w:rFonts w:asciiTheme="minorEastAsia" w:eastAsiaTheme="minorEastAsia" w:hAnsiTheme="minorEastAsia" w:cs="宋体"/>
                <w:color w:val="000000" w:themeColor="text1"/>
                <w:kern w:val="0"/>
              </w:rPr>
              <w:t>2.32</w:t>
            </w:r>
          </w:p>
        </w:tc>
      </w:tr>
      <w:tr w:rsidR="00353FA4">
        <w:tc>
          <w:tcPr>
            <w:tcW w:w="817" w:type="dxa"/>
            <w:vAlign w:val="center"/>
          </w:tcPr>
          <w:p w:rsidR="00353FA4" w:rsidRDefault="00B73153">
            <w:pPr>
              <w:jc w:val="center"/>
            </w:pPr>
            <w:r>
              <w:rPr>
                <w:rFonts w:asciiTheme="minorEastAsia" w:eastAsiaTheme="minorEastAsia" w:hAnsiTheme="minorEastAsia" w:cs="宋体"/>
                <w:color w:val="000000" w:themeColor="text1"/>
                <w:kern w:val="0"/>
              </w:rPr>
              <w:t>8</w:t>
            </w:r>
          </w:p>
        </w:tc>
        <w:tc>
          <w:tcPr>
            <w:tcW w:w="1276" w:type="dxa"/>
            <w:vAlign w:val="center"/>
          </w:tcPr>
          <w:p w:rsidR="00353FA4" w:rsidRDefault="00B73153">
            <w:pPr>
              <w:jc w:val="center"/>
            </w:pPr>
            <w:r>
              <w:rPr>
                <w:rFonts w:asciiTheme="minorEastAsia" w:eastAsiaTheme="minorEastAsia" w:hAnsiTheme="minorEastAsia" w:cs="宋体"/>
                <w:color w:val="000000" w:themeColor="text1"/>
                <w:kern w:val="0"/>
              </w:rPr>
              <w:t>600019</w:t>
            </w:r>
          </w:p>
        </w:tc>
        <w:tc>
          <w:tcPr>
            <w:tcW w:w="1701" w:type="dxa"/>
            <w:vAlign w:val="center"/>
          </w:tcPr>
          <w:p w:rsidR="00353FA4" w:rsidRDefault="00B73153">
            <w:pPr>
              <w:jc w:val="center"/>
            </w:pPr>
            <w:r>
              <w:rPr>
                <w:rFonts w:asciiTheme="minorEastAsia" w:eastAsiaTheme="minorEastAsia" w:hAnsiTheme="minorEastAsia" w:cs="宋体"/>
                <w:color w:val="000000" w:themeColor="text1"/>
                <w:kern w:val="0"/>
              </w:rPr>
              <w:t>宝钢股份</w:t>
            </w:r>
          </w:p>
        </w:tc>
        <w:tc>
          <w:tcPr>
            <w:tcW w:w="1276" w:type="dxa"/>
            <w:vAlign w:val="center"/>
          </w:tcPr>
          <w:p w:rsidR="00353FA4" w:rsidRDefault="00B73153">
            <w:pPr>
              <w:jc w:val="right"/>
            </w:pPr>
            <w:r>
              <w:rPr>
                <w:rFonts w:asciiTheme="minorEastAsia" w:eastAsiaTheme="minorEastAsia" w:hAnsiTheme="minorEastAsia" w:cs="宋体"/>
                <w:color w:val="000000" w:themeColor="text1"/>
                <w:kern w:val="0"/>
              </w:rPr>
              <w:t>71,300.00</w:t>
            </w:r>
          </w:p>
        </w:tc>
        <w:tc>
          <w:tcPr>
            <w:tcW w:w="1842" w:type="dxa"/>
            <w:vAlign w:val="center"/>
          </w:tcPr>
          <w:p w:rsidR="00353FA4" w:rsidRDefault="00B73153">
            <w:pPr>
              <w:jc w:val="right"/>
            </w:pPr>
            <w:r>
              <w:rPr>
                <w:rFonts w:asciiTheme="minorEastAsia" w:eastAsiaTheme="minorEastAsia" w:hAnsiTheme="minorEastAsia" w:cs="宋体"/>
                <w:color w:val="000000" w:themeColor="text1"/>
                <w:kern w:val="0"/>
              </w:rPr>
              <w:t>576,104.00</w:t>
            </w:r>
          </w:p>
        </w:tc>
        <w:tc>
          <w:tcPr>
            <w:tcW w:w="1616" w:type="dxa"/>
            <w:vAlign w:val="center"/>
          </w:tcPr>
          <w:p w:rsidR="00353FA4" w:rsidRDefault="00B73153">
            <w:pPr>
              <w:jc w:val="right"/>
            </w:pPr>
            <w:r>
              <w:rPr>
                <w:rFonts w:asciiTheme="minorEastAsia" w:eastAsiaTheme="minorEastAsia" w:hAnsiTheme="minorEastAsia" w:cs="宋体"/>
                <w:color w:val="000000" w:themeColor="text1"/>
                <w:kern w:val="0"/>
              </w:rPr>
              <w:t>2.30</w:t>
            </w:r>
          </w:p>
        </w:tc>
      </w:tr>
      <w:tr w:rsidR="00353FA4">
        <w:tc>
          <w:tcPr>
            <w:tcW w:w="817" w:type="dxa"/>
            <w:vAlign w:val="center"/>
          </w:tcPr>
          <w:p w:rsidR="00353FA4" w:rsidRDefault="00B73153">
            <w:pPr>
              <w:jc w:val="center"/>
            </w:pPr>
            <w:r>
              <w:rPr>
                <w:rFonts w:asciiTheme="minorEastAsia" w:eastAsiaTheme="minorEastAsia" w:hAnsiTheme="minorEastAsia" w:cs="宋体"/>
                <w:color w:val="000000" w:themeColor="text1"/>
                <w:kern w:val="0"/>
              </w:rPr>
              <w:t>9</w:t>
            </w:r>
          </w:p>
        </w:tc>
        <w:tc>
          <w:tcPr>
            <w:tcW w:w="1276" w:type="dxa"/>
            <w:vAlign w:val="center"/>
          </w:tcPr>
          <w:p w:rsidR="00353FA4" w:rsidRDefault="00B73153">
            <w:pPr>
              <w:jc w:val="center"/>
            </w:pPr>
            <w:r>
              <w:rPr>
                <w:rFonts w:asciiTheme="minorEastAsia" w:eastAsiaTheme="minorEastAsia" w:hAnsiTheme="minorEastAsia" w:cs="宋体"/>
                <w:color w:val="000000" w:themeColor="text1"/>
                <w:kern w:val="0"/>
              </w:rPr>
              <w:t>000858</w:t>
            </w:r>
          </w:p>
        </w:tc>
        <w:tc>
          <w:tcPr>
            <w:tcW w:w="1701" w:type="dxa"/>
            <w:vAlign w:val="center"/>
          </w:tcPr>
          <w:p w:rsidR="00353FA4" w:rsidRDefault="00B73153">
            <w:pPr>
              <w:jc w:val="center"/>
            </w:pPr>
            <w:r>
              <w:rPr>
                <w:rFonts w:asciiTheme="minorEastAsia" w:eastAsiaTheme="minorEastAsia" w:hAnsiTheme="minorEastAsia" w:cs="宋体"/>
                <w:color w:val="000000" w:themeColor="text1"/>
                <w:kern w:val="0"/>
              </w:rPr>
              <w:t>五</w:t>
            </w:r>
            <w:r>
              <w:rPr>
                <w:rFonts w:asciiTheme="minorEastAsia" w:eastAsiaTheme="minorEastAsia" w:hAnsiTheme="minorEastAsia" w:cs="宋体"/>
                <w:color w:val="000000" w:themeColor="text1"/>
                <w:kern w:val="0"/>
              </w:rPr>
              <w:t xml:space="preserve"> </w:t>
            </w:r>
            <w:r>
              <w:rPr>
                <w:rFonts w:asciiTheme="minorEastAsia" w:eastAsiaTheme="minorEastAsia" w:hAnsiTheme="minorEastAsia" w:cs="宋体"/>
                <w:color w:val="000000" w:themeColor="text1"/>
                <w:kern w:val="0"/>
              </w:rPr>
              <w:t>粮</w:t>
            </w:r>
            <w:r>
              <w:rPr>
                <w:rFonts w:asciiTheme="minorEastAsia" w:eastAsiaTheme="minorEastAsia" w:hAnsiTheme="minorEastAsia" w:cs="宋体"/>
                <w:color w:val="000000" w:themeColor="text1"/>
                <w:kern w:val="0"/>
              </w:rPr>
              <w:t xml:space="preserve"> </w:t>
            </w:r>
            <w:r>
              <w:rPr>
                <w:rFonts w:asciiTheme="minorEastAsia" w:eastAsiaTheme="minorEastAsia" w:hAnsiTheme="minorEastAsia" w:cs="宋体"/>
                <w:color w:val="000000" w:themeColor="text1"/>
                <w:kern w:val="0"/>
              </w:rPr>
              <w:t>液</w:t>
            </w:r>
          </w:p>
        </w:tc>
        <w:tc>
          <w:tcPr>
            <w:tcW w:w="1276" w:type="dxa"/>
            <w:vAlign w:val="center"/>
          </w:tcPr>
          <w:p w:rsidR="00353FA4" w:rsidRDefault="00B73153">
            <w:pPr>
              <w:jc w:val="right"/>
            </w:pPr>
            <w:r>
              <w:rPr>
                <w:rFonts w:asciiTheme="minorEastAsia" w:eastAsiaTheme="minorEastAsia" w:hAnsiTheme="minorEastAsia" w:cs="宋体"/>
                <w:color w:val="000000" w:themeColor="text1"/>
                <w:kern w:val="0"/>
              </w:rPr>
              <w:t>2,069.00</w:t>
            </w:r>
          </w:p>
        </w:tc>
        <w:tc>
          <w:tcPr>
            <w:tcW w:w="1842" w:type="dxa"/>
            <w:vAlign w:val="center"/>
          </w:tcPr>
          <w:p w:rsidR="00353FA4" w:rsidRDefault="00B73153">
            <w:pPr>
              <w:jc w:val="right"/>
            </w:pPr>
            <w:r>
              <w:rPr>
                <w:rFonts w:asciiTheme="minorEastAsia" w:eastAsiaTheme="minorEastAsia" w:hAnsiTheme="minorEastAsia" w:cs="宋体"/>
                <w:color w:val="000000" w:themeColor="text1"/>
                <w:kern w:val="0"/>
              </w:rPr>
              <w:t>554,450.62</w:t>
            </w:r>
          </w:p>
        </w:tc>
        <w:tc>
          <w:tcPr>
            <w:tcW w:w="1616" w:type="dxa"/>
            <w:vAlign w:val="center"/>
          </w:tcPr>
          <w:p w:rsidR="00353FA4" w:rsidRDefault="00B73153">
            <w:pPr>
              <w:jc w:val="right"/>
            </w:pPr>
            <w:r>
              <w:rPr>
                <w:rFonts w:asciiTheme="minorEastAsia" w:eastAsiaTheme="minorEastAsia" w:hAnsiTheme="minorEastAsia" w:cs="宋体"/>
                <w:color w:val="000000" w:themeColor="text1"/>
                <w:kern w:val="0"/>
              </w:rPr>
              <w:t>2.21</w:t>
            </w:r>
          </w:p>
        </w:tc>
      </w:tr>
      <w:tr w:rsidR="00353FA4">
        <w:tc>
          <w:tcPr>
            <w:tcW w:w="817" w:type="dxa"/>
            <w:vAlign w:val="center"/>
          </w:tcPr>
          <w:p w:rsidR="00353FA4" w:rsidRDefault="00B73153">
            <w:pPr>
              <w:jc w:val="center"/>
            </w:pPr>
            <w:r>
              <w:rPr>
                <w:rFonts w:asciiTheme="minorEastAsia" w:eastAsiaTheme="minorEastAsia" w:hAnsiTheme="minorEastAsia" w:cs="宋体"/>
                <w:color w:val="000000" w:themeColor="text1"/>
                <w:kern w:val="0"/>
              </w:rPr>
              <w:t>10</w:t>
            </w:r>
          </w:p>
        </w:tc>
        <w:tc>
          <w:tcPr>
            <w:tcW w:w="1276" w:type="dxa"/>
            <w:vAlign w:val="center"/>
          </w:tcPr>
          <w:p w:rsidR="00353FA4" w:rsidRDefault="00B73153">
            <w:pPr>
              <w:jc w:val="center"/>
            </w:pPr>
            <w:r>
              <w:rPr>
                <w:rFonts w:asciiTheme="minorEastAsia" w:eastAsiaTheme="minorEastAsia" w:hAnsiTheme="minorEastAsia" w:cs="宋体"/>
                <w:color w:val="000000" w:themeColor="text1"/>
                <w:kern w:val="0"/>
              </w:rPr>
              <w:t>000651</w:t>
            </w:r>
          </w:p>
        </w:tc>
        <w:tc>
          <w:tcPr>
            <w:tcW w:w="1701" w:type="dxa"/>
            <w:vAlign w:val="center"/>
          </w:tcPr>
          <w:p w:rsidR="00353FA4" w:rsidRDefault="00B73153">
            <w:pPr>
              <w:jc w:val="center"/>
            </w:pPr>
            <w:r>
              <w:rPr>
                <w:rFonts w:asciiTheme="minorEastAsia" w:eastAsiaTheme="minorEastAsia" w:hAnsiTheme="minorEastAsia" w:cs="宋体"/>
                <w:color w:val="000000" w:themeColor="text1"/>
                <w:kern w:val="0"/>
              </w:rPr>
              <w:t>格力电器</w:t>
            </w:r>
          </w:p>
        </w:tc>
        <w:tc>
          <w:tcPr>
            <w:tcW w:w="1276" w:type="dxa"/>
            <w:vAlign w:val="center"/>
          </w:tcPr>
          <w:p w:rsidR="00353FA4" w:rsidRDefault="00B73153">
            <w:pPr>
              <w:jc w:val="right"/>
            </w:pPr>
            <w:r>
              <w:rPr>
                <w:rFonts w:asciiTheme="minorEastAsia" w:eastAsiaTheme="minorEastAsia" w:hAnsiTheme="minorEastAsia" w:cs="宋体"/>
                <w:color w:val="000000" w:themeColor="text1"/>
                <w:kern w:val="0"/>
              </w:rPr>
              <w:t>7,680.00</w:t>
            </w:r>
          </w:p>
        </w:tc>
        <w:tc>
          <w:tcPr>
            <w:tcW w:w="1842" w:type="dxa"/>
            <w:vAlign w:val="center"/>
          </w:tcPr>
          <w:p w:rsidR="00353FA4" w:rsidRDefault="00B73153">
            <w:pPr>
              <w:jc w:val="right"/>
            </w:pPr>
            <w:r>
              <w:rPr>
                <w:rFonts w:asciiTheme="minorEastAsia" w:eastAsiaTheme="minorEastAsia" w:hAnsiTheme="minorEastAsia" w:cs="宋体"/>
                <w:color w:val="000000" w:themeColor="text1"/>
                <w:kern w:val="0"/>
              </w:rPr>
              <w:t>481,536.00</w:t>
            </w:r>
          </w:p>
        </w:tc>
        <w:tc>
          <w:tcPr>
            <w:tcW w:w="1616" w:type="dxa"/>
            <w:vAlign w:val="center"/>
          </w:tcPr>
          <w:p w:rsidR="00353FA4" w:rsidRDefault="00B73153">
            <w:pPr>
              <w:jc w:val="right"/>
            </w:pPr>
            <w:r>
              <w:rPr>
                <w:rFonts w:asciiTheme="minorEastAsia" w:eastAsiaTheme="minorEastAsia" w:hAnsiTheme="minorEastAsia" w:cs="宋体"/>
                <w:color w:val="000000" w:themeColor="text1"/>
                <w:kern w:val="0"/>
              </w:rPr>
              <w:t>1.92</w:t>
            </w:r>
          </w:p>
        </w:tc>
      </w:tr>
    </w:tbl>
    <w:p w:rsidR="00D06738" w:rsidRDefault="00D0673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tbl>
      <w:tblPr>
        <w:tblStyle w:val="aff4"/>
        <w:tblW w:w="8755" w:type="dxa"/>
        <w:jc w:val="center"/>
        <w:tblLayout w:type="fixed"/>
        <w:tblLook w:val="04A0" w:firstRow="1" w:lastRow="0" w:firstColumn="1" w:lastColumn="0" w:noHBand="0" w:noVBand="1"/>
      </w:tblPr>
      <w:tblGrid>
        <w:gridCol w:w="817"/>
        <w:gridCol w:w="3260"/>
        <w:gridCol w:w="2949"/>
        <w:gridCol w:w="1729"/>
      </w:tblGrid>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3260"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债券品种</w:t>
            </w:r>
          </w:p>
        </w:tc>
        <w:tc>
          <w:tcPr>
            <w:tcW w:w="2949"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公允价值(元)</w:t>
            </w:r>
          </w:p>
        </w:tc>
        <w:tc>
          <w:tcPr>
            <w:tcW w:w="1729"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国家债券</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央行票据</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金融债券</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jc w:val="center"/>
        </w:trPr>
        <w:tc>
          <w:tcPr>
            <w:tcW w:w="817" w:type="dxa"/>
            <w:vAlign w:val="center"/>
          </w:tcPr>
          <w:p w:rsidR="00D06738" w:rsidRDefault="00D06738">
            <w:pPr>
              <w:spacing w:before="29" w:line="360" w:lineRule="auto"/>
              <w:ind w:left="17"/>
              <w:jc w:val="center"/>
              <w:rPr>
                <w:rFonts w:asciiTheme="minorEastAsia" w:eastAsiaTheme="minorEastAsia" w:hAnsiTheme="minorEastAsia" w:cs="宋体"/>
                <w:color w:val="000000" w:themeColor="text1"/>
                <w:kern w:val="0"/>
              </w:rPr>
            </w:pP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其中：政策性金融债</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企业债券</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企业短期融资券</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中期票据</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可转债（可交换债）</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11,900.00</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0.05</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同业存单</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其他</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合计</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11,900.00</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0.05</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tbl>
      <w:tblPr>
        <w:tblStyle w:val="aff4"/>
        <w:tblW w:w="8528" w:type="dxa"/>
        <w:tblLayout w:type="fixed"/>
        <w:tblLook w:val="04A0" w:firstRow="1" w:lastRow="0" w:firstColumn="1" w:lastColumn="0" w:noHBand="0" w:noVBand="1"/>
      </w:tblPr>
      <w:tblGrid>
        <w:gridCol w:w="1252"/>
        <w:gridCol w:w="1310"/>
        <w:gridCol w:w="1282"/>
        <w:gridCol w:w="1426"/>
        <w:gridCol w:w="1646"/>
        <w:gridCol w:w="1612"/>
      </w:tblGrid>
      <w:tr w:rsidR="00D06738">
        <w:tc>
          <w:tcPr>
            <w:tcW w:w="1252"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310"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债券代码</w:t>
            </w:r>
          </w:p>
        </w:tc>
        <w:tc>
          <w:tcPr>
            <w:tcW w:w="1282"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债券名称</w:t>
            </w:r>
          </w:p>
        </w:tc>
        <w:tc>
          <w:tcPr>
            <w:tcW w:w="142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数量(张)</w:t>
            </w:r>
          </w:p>
        </w:tc>
        <w:tc>
          <w:tcPr>
            <w:tcW w:w="164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2"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353FA4">
        <w:tc>
          <w:tcPr>
            <w:tcW w:w="1252" w:type="dxa"/>
            <w:vAlign w:val="center"/>
          </w:tcPr>
          <w:p w:rsidR="00353FA4" w:rsidRDefault="00B73153">
            <w:pPr>
              <w:jc w:val="center"/>
            </w:pPr>
            <w:r>
              <w:rPr>
                <w:rFonts w:asciiTheme="minorEastAsia" w:eastAsiaTheme="minorEastAsia" w:hAnsiTheme="minorEastAsia" w:cs="宋体"/>
                <w:color w:val="000000" w:themeColor="text1"/>
                <w:kern w:val="0"/>
              </w:rPr>
              <w:t>1</w:t>
            </w:r>
          </w:p>
        </w:tc>
        <w:tc>
          <w:tcPr>
            <w:tcW w:w="1310" w:type="dxa"/>
            <w:vAlign w:val="center"/>
          </w:tcPr>
          <w:p w:rsidR="00353FA4" w:rsidRDefault="00B73153">
            <w:pPr>
              <w:jc w:val="center"/>
            </w:pPr>
            <w:r>
              <w:rPr>
                <w:rFonts w:asciiTheme="minorEastAsia" w:eastAsiaTheme="minorEastAsia" w:hAnsiTheme="minorEastAsia" w:cs="宋体"/>
                <w:color w:val="000000" w:themeColor="text1"/>
                <w:kern w:val="0"/>
              </w:rPr>
              <w:t>123107</w:t>
            </w:r>
          </w:p>
        </w:tc>
        <w:tc>
          <w:tcPr>
            <w:tcW w:w="1282" w:type="dxa"/>
            <w:vAlign w:val="center"/>
          </w:tcPr>
          <w:p w:rsidR="00353FA4" w:rsidRDefault="00B73153">
            <w:pPr>
              <w:jc w:val="center"/>
            </w:pPr>
            <w:r>
              <w:rPr>
                <w:rFonts w:asciiTheme="minorEastAsia" w:eastAsiaTheme="minorEastAsia" w:hAnsiTheme="minorEastAsia" w:cs="宋体"/>
                <w:color w:val="000000" w:themeColor="text1"/>
                <w:kern w:val="0"/>
              </w:rPr>
              <w:t>温氏转债</w:t>
            </w:r>
          </w:p>
        </w:tc>
        <w:tc>
          <w:tcPr>
            <w:tcW w:w="1426" w:type="dxa"/>
            <w:vAlign w:val="center"/>
          </w:tcPr>
          <w:p w:rsidR="00353FA4" w:rsidRDefault="00B73153">
            <w:pPr>
              <w:jc w:val="right"/>
            </w:pPr>
            <w:r>
              <w:rPr>
                <w:rFonts w:asciiTheme="minorEastAsia" w:eastAsiaTheme="minorEastAsia" w:hAnsiTheme="minorEastAsia" w:cs="宋体"/>
                <w:color w:val="000000" w:themeColor="text1"/>
                <w:kern w:val="0"/>
              </w:rPr>
              <w:t>79</w:t>
            </w:r>
          </w:p>
        </w:tc>
        <w:tc>
          <w:tcPr>
            <w:tcW w:w="1646" w:type="dxa"/>
            <w:vAlign w:val="center"/>
          </w:tcPr>
          <w:p w:rsidR="00353FA4" w:rsidRDefault="00B73153">
            <w:pPr>
              <w:jc w:val="right"/>
            </w:pPr>
            <w:r>
              <w:rPr>
                <w:rFonts w:asciiTheme="minorEastAsia" w:eastAsiaTheme="minorEastAsia" w:hAnsiTheme="minorEastAsia" w:cs="宋体"/>
                <w:color w:val="000000" w:themeColor="text1"/>
                <w:kern w:val="0"/>
              </w:rPr>
              <w:t>7,900.00</w:t>
            </w:r>
          </w:p>
        </w:tc>
        <w:tc>
          <w:tcPr>
            <w:tcW w:w="1612" w:type="dxa"/>
            <w:vAlign w:val="center"/>
          </w:tcPr>
          <w:p w:rsidR="00353FA4" w:rsidRDefault="00B73153">
            <w:pPr>
              <w:jc w:val="right"/>
            </w:pPr>
            <w:r>
              <w:rPr>
                <w:rFonts w:asciiTheme="minorEastAsia" w:eastAsiaTheme="minorEastAsia" w:hAnsiTheme="minorEastAsia" w:cs="宋体"/>
                <w:color w:val="000000" w:themeColor="text1"/>
                <w:kern w:val="0"/>
              </w:rPr>
              <w:t>0.03</w:t>
            </w:r>
          </w:p>
        </w:tc>
      </w:tr>
      <w:tr w:rsidR="00353FA4">
        <w:tc>
          <w:tcPr>
            <w:tcW w:w="1252" w:type="dxa"/>
            <w:vAlign w:val="center"/>
          </w:tcPr>
          <w:p w:rsidR="00353FA4" w:rsidRDefault="00B73153">
            <w:pPr>
              <w:jc w:val="center"/>
            </w:pPr>
            <w:r>
              <w:rPr>
                <w:rFonts w:asciiTheme="minorEastAsia" w:eastAsiaTheme="minorEastAsia" w:hAnsiTheme="minorEastAsia" w:cs="宋体"/>
                <w:color w:val="000000" w:themeColor="text1"/>
                <w:kern w:val="0"/>
              </w:rPr>
              <w:t>2</w:t>
            </w:r>
          </w:p>
        </w:tc>
        <w:tc>
          <w:tcPr>
            <w:tcW w:w="1310" w:type="dxa"/>
            <w:vAlign w:val="center"/>
          </w:tcPr>
          <w:p w:rsidR="00353FA4" w:rsidRDefault="00B73153">
            <w:pPr>
              <w:jc w:val="center"/>
            </w:pPr>
            <w:r>
              <w:rPr>
                <w:rFonts w:asciiTheme="minorEastAsia" w:eastAsiaTheme="minorEastAsia" w:hAnsiTheme="minorEastAsia" w:cs="宋体"/>
                <w:color w:val="000000" w:themeColor="text1"/>
                <w:kern w:val="0"/>
              </w:rPr>
              <w:t>110079</w:t>
            </w:r>
          </w:p>
        </w:tc>
        <w:tc>
          <w:tcPr>
            <w:tcW w:w="1282" w:type="dxa"/>
            <w:vAlign w:val="center"/>
          </w:tcPr>
          <w:p w:rsidR="00353FA4" w:rsidRDefault="00B73153">
            <w:pPr>
              <w:jc w:val="center"/>
            </w:pPr>
            <w:r>
              <w:rPr>
                <w:rFonts w:asciiTheme="minorEastAsia" w:eastAsiaTheme="minorEastAsia" w:hAnsiTheme="minorEastAsia" w:cs="宋体"/>
                <w:color w:val="000000" w:themeColor="text1"/>
                <w:kern w:val="0"/>
              </w:rPr>
              <w:t>杭银转债</w:t>
            </w:r>
          </w:p>
        </w:tc>
        <w:tc>
          <w:tcPr>
            <w:tcW w:w="1426" w:type="dxa"/>
            <w:vAlign w:val="center"/>
          </w:tcPr>
          <w:p w:rsidR="00353FA4" w:rsidRDefault="00B73153">
            <w:pPr>
              <w:jc w:val="right"/>
            </w:pPr>
            <w:r>
              <w:rPr>
                <w:rFonts w:asciiTheme="minorEastAsia" w:eastAsiaTheme="minorEastAsia" w:hAnsiTheme="minorEastAsia" w:cs="宋体"/>
                <w:color w:val="000000" w:themeColor="text1"/>
                <w:kern w:val="0"/>
              </w:rPr>
              <w:t>40</w:t>
            </w:r>
          </w:p>
        </w:tc>
        <w:tc>
          <w:tcPr>
            <w:tcW w:w="1646" w:type="dxa"/>
            <w:vAlign w:val="center"/>
          </w:tcPr>
          <w:p w:rsidR="00353FA4" w:rsidRDefault="00B73153">
            <w:pPr>
              <w:jc w:val="right"/>
            </w:pPr>
            <w:r>
              <w:rPr>
                <w:rFonts w:asciiTheme="minorEastAsia" w:eastAsiaTheme="minorEastAsia" w:hAnsiTheme="minorEastAsia" w:cs="宋体"/>
                <w:color w:val="000000" w:themeColor="text1"/>
                <w:kern w:val="0"/>
              </w:rPr>
              <w:t>4,000.00</w:t>
            </w:r>
          </w:p>
        </w:tc>
        <w:tc>
          <w:tcPr>
            <w:tcW w:w="1612" w:type="dxa"/>
            <w:vAlign w:val="center"/>
          </w:tcPr>
          <w:p w:rsidR="00353FA4" w:rsidRDefault="00B73153">
            <w:pPr>
              <w:jc w:val="right"/>
            </w:pPr>
            <w:r>
              <w:rPr>
                <w:rFonts w:asciiTheme="minorEastAsia" w:eastAsiaTheme="minorEastAsia" w:hAnsiTheme="minorEastAsia" w:cs="宋体"/>
                <w:color w:val="000000" w:themeColor="text1"/>
                <w:kern w:val="0"/>
              </w:rPr>
              <w:t>0.02</w:t>
            </w:r>
          </w:p>
        </w:tc>
      </w:tr>
    </w:tbl>
    <w:p w:rsidR="00D06738" w:rsidRDefault="00D0673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D06738" w:rsidRDefault="00454D20">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D06738" w:rsidRDefault="00D06738">
      <w:pPr>
        <w:adjustRightInd w:val="0"/>
        <w:snapToGrid w:val="0"/>
        <w:spacing w:line="360" w:lineRule="exact"/>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tc>
          <w:tcPr>
            <w:tcW w:w="1235"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35,681.27</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292.77</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301.56</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36,275.60</w:t>
            </w:r>
          </w:p>
        </w:tc>
      </w:tr>
    </w:tbl>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因四舍五入原因，投资组合报告中分项之和与合计可能存在尾差。</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35,511,446.37</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报告期期间</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422,381.14</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报告期期间</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16,800,914.79</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报告期期间</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19,132,912.72</w:t>
            </w:r>
          </w:p>
        </w:tc>
      </w:tr>
    </w:tbl>
    <w:p w:rsidR="00D06738" w:rsidRDefault="00454D20">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D06738" w:rsidRDefault="00454D20">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D06738" w:rsidRDefault="00D06738">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353FA4" w:rsidRDefault="00B7315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、中国证监会准予上投摩根量化多因子灵活配置混合型证券投资基金募集注册的文件</w:t>
      </w:r>
    </w:p>
    <w:p w:rsidR="00353FA4" w:rsidRDefault="00B7315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、《上投摩根量化多因子灵活配置混合型证券投资基金基金合同》</w:t>
      </w:r>
    </w:p>
    <w:p w:rsidR="00353FA4" w:rsidRDefault="00B7315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、《上投摩根量化多因子灵活配置混合型证券投资基金托管协议》</w:t>
      </w:r>
    </w:p>
    <w:p w:rsidR="00353FA4" w:rsidRDefault="00B7315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4</w:t>
      </w:r>
      <w:r>
        <w:rPr>
          <w:rFonts w:asciiTheme="minorEastAsia" w:eastAsiaTheme="minorEastAsia" w:hAnsiTheme="minorEastAsia" w:hint="eastAsia"/>
          <w:color w:val="000000" w:themeColor="text1"/>
        </w:rPr>
        <w:t>、法律意见书</w:t>
      </w:r>
    </w:p>
    <w:p w:rsidR="00353FA4" w:rsidRDefault="00B7315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、基金管理人业务资格批件、营业执照</w:t>
      </w:r>
    </w:p>
    <w:p w:rsidR="00353FA4" w:rsidRDefault="00B7315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w:t>
      </w:r>
      <w:r>
        <w:rPr>
          <w:rFonts w:asciiTheme="minorEastAsia" w:eastAsiaTheme="minorEastAsia" w:hAnsiTheme="minorEastAsia" w:hint="eastAsia"/>
          <w:color w:val="000000" w:themeColor="text1"/>
        </w:rPr>
        <w:t>、基金托管人业务资格批件、营业执照</w:t>
      </w:r>
    </w:p>
    <w:p w:rsidR="00353FA4" w:rsidRDefault="00B7315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w:t>
      </w:r>
      <w:r>
        <w:rPr>
          <w:rFonts w:asciiTheme="minorEastAsia" w:eastAsiaTheme="minorEastAsia" w:hAnsiTheme="minorEastAsia" w:hint="eastAsia"/>
          <w:color w:val="000000" w:themeColor="text1"/>
        </w:rPr>
        <w:t>、《上投摩根基金管理有限公司开放式基金业务规则》</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8、中国证监会要求的其他文件</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454D20">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D06738" w:rsidRDefault="00454D20">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二〇二一年四月二十二日</w:t>
      </w:r>
    </w:p>
    <w:p w:rsidR="00D06738" w:rsidRDefault="00D06738">
      <w:pPr>
        <w:spacing w:line="360" w:lineRule="auto"/>
        <w:ind w:left="840"/>
        <w:jc w:val="right"/>
        <w:rPr>
          <w:rFonts w:asciiTheme="minorEastAsia" w:eastAsiaTheme="minorEastAsia" w:hAnsiTheme="minorEastAsia"/>
          <w:b/>
          <w:bCs/>
          <w:color w:val="000000" w:themeColor="text1"/>
          <w:sz w:val="24"/>
          <w:szCs w:val="24"/>
        </w:rPr>
      </w:pPr>
    </w:p>
    <w:p w:rsidR="00D06738" w:rsidRDefault="00D06738">
      <w:pPr>
        <w:rPr>
          <w:rFonts w:asciiTheme="minorEastAsia" w:eastAsiaTheme="minorEastAsia" w:hAnsiTheme="minorEastAsia"/>
          <w:color w:val="000000" w:themeColor="text1"/>
          <w:sz w:val="24"/>
          <w:szCs w:val="24"/>
        </w:rPr>
      </w:pPr>
    </w:p>
    <w:sectPr w:rsidR="00D06738">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DA" w:rsidRDefault="003A7FDA">
      <w:r>
        <w:separator/>
      </w:r>
    </w:p>
  </w:endnote>
  <w:endnote w:type="continuationSeparator" w:id="0">
    <w:p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B73153" w:rsidRPr="00B73153">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B73153">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DA" w:rsidRDefault="003A7FDA">
      <w:r>
        <w:separator/>
      </w:r>
    </w:p>
  </w:footnote>
  <w:footnote w:type="continuationSeparator" w:id="0">
    <w:p w:rsidR="003A7FDA" w:rsidRDefault="003A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上投摩根量化多因子灵活配置混合型证券投资基金</w:t>
    </w:r>
    <w:r>
      <w:rPr>
        <w:rFonts w:hint="eastAsia"/>
      </w:rPr>
      <w:t>2021</w:t>
    </w:r>
    <w:r>
      <w:rPr>
        <w:rFonts w:hint="eastAsia"/>
      </w:rPr>
      <w:t>年第</w:t>
    </w:r>
    <w:r>
      <w:rPr>
        <w:rFonts w:hint="eastAsia"/>
      </w:rPr>
      <w:t>1</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3FA4"/>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153"/>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50DF7D-0F3C-4F70-927C-70EE4997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1264</Words>
  <Characters>7207</Characters>
  <Application>Microsoft Office Word</Application>
  <DocSecurity>0</DocSecurity>
  <Lines>60</Lines>
  <Paragraphs>16</Paragraphs>
  <ScaleCrop>false</ScaleCrop>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Chen,Richard</cp:lastModifiedBy>
  <cp:revision>267</cp:revision>
  <dcterms:created xsi:type="dcterms:W3CDTF">2012-10-16T06:07:00Z</dcterms:created>
  <dcterms:modified xsi:type="dcterms:W3CDTF">2021-04-21T03:12:00Z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