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上投摩根量化多因子灵活配置混合型证券投资基金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2020年第4季度报告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2020年12月31日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二〇二一年一月二十二日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基金托管人中国工商银行股份有限公司根据本基金合同规定，于</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本报告期自2020年10月1日起至12月31日止。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上投摩根量化多因子混合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005120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005120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2018年1月19日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35,511,446.37</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采用量化投资对基金资产进行积极管理，力争获取超越业绩基准的投资收益。</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4304F3" w:rsidRDefault="00A4067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量化多因子模型</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进行个股选择，并结合适当的资产配置策略搭建基金投资组合。</w:t>
            </w:r>
          </w:p>
          <w:p w:rsidR="004304F3" w:rsidRDefault="00A4067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asciiTheme="minorEastAsia" w:eastAsiaTheme="minorEastAsia" w:hAnsiTheme="minorEastAsia"/>
                <w:color w:val="000000" w:themeColor="text1"/>
                <w:kern w:val="0"/>
              </w:rPr>
              <w:lastRenderedPageBreak/>
              <w:t>例，并动态优化投资组合。</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在股票投资过程中，本基金将运用“量化多因子模型”选股构建股票投资组合的投资策略，对基金资产进行积极管理，力争获取超越业绩基准的投资收益。</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 指数收益率×60%+中债总指数收益率×40%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4304F3" w:rsidRDefault="00A4067D">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4067D" w:rsidTr="00A4067D">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2020年10月1日-2020年12月31日</w:t>
            </w:r>
            <w:r>
              <w:rPr>
                <w:rFonts w:asciiTheme="minorEastAsia" w:eastAsiaTheme="minorEastAsia" w:hAnsiTheme="minorEastAsia" w:cs="宋体" w:hint="eastAsia"/>
                <w:color w:val="000000" w:themeColor="text1"/>
              </w:rPr>
              <w:t>)</w:t>
            </w:r>
          </w:p>
        </w:tc>
      </w:tr>
      <w:tr w:rsidR="00A4067D" w:rsidTr="00A4067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-1,784,649.22</w:t>
            </w:r>
          </w:p>
        </w:tc>
      </w:tr>
      <w:tr w:rsidR="00A4067D" w:rsidTr="00A4067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114,071.06</w:t>
            </w:r>
          </w:p>
        </w:tc>
      </w:tr>
      <w:tr w:rsidR="00A4067D" w:rsidTr="00A4067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0.0033</w:t>
            </w:r>
          </w:p>
        </w:tc>
      </w:tr>
      <w:tr w:rsidR="00A4067D" w:rsidTr="00A4067D">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48,048,456.98</w:t>
            </w:r>
          </w:p>
        </w:tc>
      </w:tr>
      <w:tr w:rsidR="00A4067D" w:rsidTr="00A4067D">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1.3530</w:t>
            </w:r>
          </w:p>
        </w:tc>
      </w:tr>
    </w:tbl>
    <w:p w:rsidR="004304F3" w:rsidRDefault="00A4067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4304F3">
        <w:tc>
          <w:tcPr>
            <w:tcW w:w="1395" w:type="dxa"/>
            <w:vAlign w:val="center"/>
          </w:tcPr>
          <w:p w:rsidR="004304F3" w:rsidRDefault="00A4067D">
            <w:pPr>
              <w:jc w:val="left"/>
            </w:pPr>
            <w:r>
              <w:rPr>
                <w:rFonts w:asciiTheme="minorEastAsia" w:eastAsiaTheme="minorEastAsia" w:hAnsiTheme="minorEastAsia"/>
                <w:color w:val="000000" w:themeColor="text1"/>
                <w:kern w:val="0"/>
              </w:rPr>
              <w:t>过去三个月</w:t>
            </w:r>
          </w:p>
        </w:tc>
        <w:tc>
          <w:tcPr>
            <w:tcW w:w="1092" w:type="dxa"/>
            <w:vAlign w:val="center"/>
          </w:tcPr>
          <w:p w:rsidR="004304F3" w:rsidRDefault="00A4067D">
            <w:pPr>
              <w:jc w:val="center"/>
            </w:pPr>
            <w:r>
              <w:rPr>
                <w:rFonts w:asciiTheme="minorEastAsia" w:eastAsiaTheme="minorEastAsia" w:hAnsiTheme="minorEastAsia"/>
                <w:color w:val="000000" w:themeColor="text1"/>
                <w:kern w:val="0"/>
              </w:rPr>
              <w:t>-0.41%</w:t>
            </w:r>
          </w:p>
        </w:tc>
        <w:tc>
          <w:tcPr>
            <w:tcW w:w="1161" w:type="dxa"/>
            <w:vAlign w:val="center"/>
          </w:tcPr>
          <w:p w:rsidR="004304F3" w:rsidRDefault="00A4067D">
            <w:pPr>
              <w:jc w:val="center"/>
            </w:pPr>
            <w:r>
              <w:rPr>
                <w:rFonts w:asciiTheme="minorEastAsia" w:eastAsiaTheme="minorEastAsia" w:hAnsiTheme="minorEastAsia"/>
                <w:color w:val="000000" w:themeColor="text1"/>
                <w:kern w:val="0"/>
              </w:rPr>
              <w:t>1.15%</w:t>
            </w:r>
          </w:p>
        </w:tc>
        <w:tc>
          <w:tcPr>
            <w:tcW w:w="1181" w:type="dxa"/>
            <w:vAlign w:val="center"/>
          </w:tcPr>
          <w:p w:rsidR="004304F3" w:rsidRDefault="00A4067D">
            <w:pPr>
              <w:jc w:val="center"/>
            </w:pPr>
            <w:r>
              <w:rPr>
                <w:rFonts w:asciiTheme="minorEastAsia" w:eastAsiaTheme="minorEastAsia" w:hAnsiTheme="minorEastAsia"/>
                <w:color w:val="000000" w:themeColor="text1"/>
                <w:kern w:val="0"/>
              </w:rPr>
              <w:t>7.01%</w:t>
            </w:r>
          </w:p>
        </w:tc>
        <w:tc>
          <w:tcPr>
            <w:tcW w:w="1188" w:type="dxa"/>
            <w:vAlign w:val="center"/>
          </w:tcPr>
          <w:p w:rsidR="004304F3" w:rsidRDefault="00A4067D">
            <w:pPr>
              <w:jc w:val="center"/>
            </w:pPr>
            <w:r>
              <w:rPr>
                <w:rFonts w:asciiTheme="minorEastAsia" w:eastAsiaTheme="minorEastAsia" w:hAnsiTheme="minorEastAsia"/>
                <w:color w:val="000000" w:themeColor="text1"/>
                <w:kern w:val="0"/>
              </w:rPr>
              <w:t>0.61%</w:t>
            </w:r>
          </w:p>
        </w:tc>
        <w:tc>
          <w:tcPr>
            <w:tcW w:w="1199" w:type="dxa"/>
            <w:vAlign w:val="center"/>
          </w:tcPr>
          <w:p w:rsidR="004304F3" w:rsidRDefault="00A4067D">
            <w:pPr>
              <w:jc w:val="center"/>
            </w:pPr>
            <w:r>
              <w:rPr>
                <w:rFonts w:asciiTheme="minorEastAsia" w:eastAsiaTheme="minorEastAsia" w:hAnsiTheme="minorEastAsia"/>
                <w:color w:val="000000" w:themeColor="text1"/>
                <w:kern w:val="0"/>
              </w:rPr>
              <w:t>-7.42%</w:t>
            </w:r>
          </w:p>
        </w:tc>
        <w:tc>
          <w:tcPr>
            <w:tcW w:w="1204" w:type="dxa"/>
            <w:vAlign w:val="center"/>
          </w:tcPr>
          <w:p w:rsidR="004304F3" w:rsidRDefault="00A4067D">
            <w:pPr>
              <w:jc w:val="center"/>
            </w:pPr>
            <w:r>
              <w:rPr>
                <w:rFonts w:asciiTheme="minorEastAsia" w:eastAsiaTheme="minorEastAsia" w:hAnsiTheme="minorEastAsia"/>
                <w:color w:val="000000" w:themeColor="text1"/>
                <w:kern w:val="0"/>
              </w:rPr>
              <w:t>0.54%</w:t>
            </w:r>
          </w:p>
        </w:tc>
      </w:tr>
      <w:tr w:rsidR="004304F3">
        <w:tc>
          <w:tcPr>
            <w:tcW w:w="1395" w:type="dxa"/>
            <w:vAlign w:val="center"/>
          </w:tcPr>
          <w:p w:rsidR="004304F3" w:rsidRDefault="00A4067D">
            <w:pPr>
              <w:jc w:val="left"/>
            </w:pPr>
            <w:r>
              <w:rPr>
                <w:rFonts w:asciiTheme="minorEastAsia" w:eastAsiaTheme="minorEastAsia" w:hAnsiTheme="minorEastAsia"/>
                <w:color w:val="000000" w:themeColor="text1"/>
                <w:kern w:val="0"/>
              </w:rPr>
              <w:t>过去六个月</w:t>
            </w:r>
          </w:p>
        </w:tc>
        <w:tc>
          <w:tcPr>
            <w:tcW w:w="1092" w:type="dxa"/>
            <w:vAlign w:val="center"/>
          </w:tcPr>
          <w:p w:rsidR="004304F3" w:rsidRDefault="00A4067D">
            <w:pPr>
              <w:jc w:val="center"/>
            </w:pPr>
            <w:r>
              <w:rPr>
                <w:rFonts w:asciiTheme="minorEastAsia" w:eastAsiaTheme="minorEastAsia" w:hAnsiTheme="minorEastAsia"/>
                <w:color w:val="000000" w:themeColor="text1"/>
                <w:kern w:val="0"/>
              </w:rPr>
              <w:t>8.56%</w:t>
            </w:r>
          </w:p>
        </w:tc>
        <w:tc>
          <w:tcPr>
            <w:tcW w:w="1161" w:type="dxa"/>
            <w:vAlign w:val="center"/>
          </w:tcPr>
          <w:p w:rsidR="004304F3" w:rsidRDefault="00A4067D">
            <w:pPr>
              <w:jc w:val="center"/>
            </w:pPr>
            <w:r>
              <w:rPr>
                <w:rFonts w:asciiTheme="minorEastAsia" w:eastAsiaTheme="minorEastAsia" w:hAnsiTheme="minorEastAsia"/>
                <w:color w:val="000000" w:themeColor="text1"/>
                <w:kern w:val="0"/>
              </w:rPr>
              <w:t>1.33%</w:t>
            </w:r>
          </w:p>
        </w:tc>
        <w:tc>
          <w:tcPr>
            <w:tcW w:w="1181" w:type="dxa"/>
            <w:vAlign w:val="center"/>
          </w:tcPr>
          <w:p w:rsidR="004304F3" w:rsidRDefault="00A4067D">
            <w:pPr>
              <w:jc w:val="center"/>
            </w:pPr>
            <w:r>
              <w:rPr>
                <w:rFonts w:asciiTheme="minorEastAsia" w:eastAsiaTheme="minorEastAsia" w:hAnsiTheme="minorEastAsia"/>
                <w:color w:val="000000" w:themeColor="text1"/>
                <w:kern w:val="0"/>
              </w:rPr>
              <w:t>12.21%</w:t>
            </w:r>
          </w:p>
        </w:tc>
        <w:tc>
          <w:tcPr>
            <w:tcW w:w="1188" w:type="dxa"/>
            <w:vAlign w:val="center"/>
          </w:tcPr>
          <w:p w:rsidR="004304F3" w:rsidRDefault="00A4067D">
            <w:pPr>
              <w:jc w:val="center"/>
            </w:pPr>
            <w:r>
              <w:rPr>
                <w:rFonts w:asciiTheme="minorEastAsia" w:eastAsiaTheme="minorEastAsia" w:hAnsiTheme="minorEastAsia"/>
                <w:color w:val="000000" w:themeColor="text1"/>
                <w:kern w:val="0"/>
              </w:rPr>
              <w:t>0.79%</w:t>
            </w:r>
          </w:p>
        </w:tc>
        <w:tc>
          <w:tcPr>
            <w:tcW w:w="1199" w:type="dxa"/>
            <w:vAlign w:val="center"/>
          </w:tcPr>
          <w:p w:rsidR="004304F3" w:rsidRDefault="00A4067D">
            <w:pPr>
              <w:jc w:val="center"/>
            </w:pPr>
            <w:r>
              <w:rPr>
                <w:rFonts w:asciiTheme="minorEastAsia" w:eastAsiaTheme="minorEastAsia" w:hAnsiTheme="minorEastAsia"/>
                <w:color w:val="000000" w:themeColor="text1"/>
                <w:kern w:val="0"/>
              </w:rPr>
              <w:t>-3.65%</w:t>
            </w:r>
          </w:p>
        </w:tc>
        <w:tc>
          <w:tcPr>
            <w:tcW w:w="1204" w:type="dxa"/>
            <w:vAlign w:val="center"/>
          </w:tcPr>
          <w:p w:rsidR="004304F3" w:rsidRDefault="00A4067D">
            <w:pPr>
              <w:jc w:val="center"/>
            </w:pPr>
            <w:r>
              <w:rPr>
                <w:rFonts w:asciiTheme="minorEastAsia" w:eastAsiaTheme="minorEastAsia" w:hAnsiTheme="minorEastAsia"/>
                <w:color w:val="000000" w:themeColor="text1"/>
                <w:kern w:val="0"/>
              </w:rPr>
              <w:t>0.54%</w:t>
            </w:r>
          </w:p>
        </w:tc>
      </w:tr>
      <w:tr w:rsidR="004304F3">
        <w:tc>
          <w:tcPr>
            <w:tcW w:w="1395" w:type="dxa"/>
            <w:vAlign w:val="center"/>
          </w:tcPr>
          <w:p w:rsidR="004304F3" w:rsidRDefault="00A4067D">
            <w:pPr>
              <w:jc w:val="left"/>
            </w:pPr>
            <w:r>
              <w:rPr>
                <w:rFonts w:asciiTheme="minorEastAsia" w:eastAsiaTheme="minorEastAsia" w:hAnsiTheme="minorEastAsia"/>
                <w:color w:val="000000" w:themeColor="text1"/>
                <w:kern w:val="0"/>
              </w:rPr>
              <w:t>过去一年</w:t>
            </w:r>
          </w:p>
        </w:tc>
        <w:tc>
          <w:tcPr>
            <w:tcW w:w="1092" w:type="dxa"/>
            <w:vAlign w:val="center"/>
          </w:tcPr>
          <w:p w:rsidR="004304F3" w:rsidRDefault="00A4067D">
            <w:pPr>
              <w:jc w:val="center"/>
            </w:pPr>
            <w:r>
              <w:rPr>
                <w:rFonts w:asciiTheme="minorEastAsia" w:eastAsiaTheme="minorEastAsia" w:hAnsiTheme="minorEastAsia"/>
                <w:color w:val="000000" w:themeColor="text1"/>
                <w:kern w:val="0"/>
              </w:rPr>
              <w:t>21.80%</w:t>
            </w:r>
          </w:p>
        </w:tc>
        <w:tc>
          <w:tcPr>
            <w:tcW w:w="1161" w:type="dxa"/>
            <w:vAlign w:val="center"/>
          </w:tcPr>
          <w:p w:rsidR="004304F3" w:rsidRDefault="00A4067D">
            <w:pPr>
              <w:jc w:val="center"/>
            </w:pPr>
            <w:r>
              <w:rPr>
                <w:rFonts w:asciiTheme="minorEastAsia" w:eastAsiaTheme="minorEastAsia" w:hAnsiTheme="minorEastAsia"/>
                <w:color w:val="000000" w:themeColor="text1"/>
                <w:kern w:val="0"/>
              </w:rPr>
              <w:t>1.36%</w:t>
            </w:r>
          </w:p>
        </w:tc>
        <w:tc>
          <w:tcPr>
            <w:tcW w:w="1181" w:type="dxa"/>
            <w:vAlign w:val="center"/>
          </w:tcPr>
          <w:p w:rsidR="004304F3" w:rsidRDefault="00A4067D">
            <w:pPr>
              <w:jc w:val="center"/>
            </w:pPr>
            <w:r>
              <w:rPr>
                <w:rFonts w:asciiTheme="minorEastAsia" w:eastAsiaTheme="minorEastAsia" w:hAnsiTheme="minorEastAsia"/>
                <w:color w:val="000000" w:themeColor="text1"/>
                <w:kern w:val="0"/>
              </w:rPr>
              <w:t>15.41%</w:t>
            </w:r>
          </w:p>
        </w:tc>
        <w:tc>
          <w:tcPr>
            <w:tcW w:w="1188" w:type="dxa"/>
            <w:vAlign w:val="center"/>
          </w:tcPr>
          <w:p w:rsidR="004304F3" w:rsidRDefault="00A4067D">
            <w:pPr>
              <w:jc w:val="center"/>
            </w:pPr>
            <w:r>
              <w:rPr>
                <w:rFonts w:asciiTheme="minorEastAsia" w:eastAsiaTheme="minorEastAsia" w:hAnsiTheme="minorEastAsia"/>
                <w:color w:val="000000" w:themeColor="text1"/>
                <w:kern w:val="0"/>
              </w:rPr>
              <w:t>0.85%</w:t>
            </w:r>
          </w:p>
        </w:tc>
        <w:tc>
          <w:tcPr>
            <w:tcW w:w="1199" w:type="dxa"/>
            <w:vAlign w:val="center"/>
          </w:tcPr>
          <w:p w:rsidR="004304F3" w:rsidRDefault="00A4067D">
            <w:pPr>
              <w:jc w:val="center"/>
            </w:pPr>
            <w:r>
              <w:rPr>
                <w:rFonts w:asciiTheme="minorEastAsia" w:eastAsiaTheme="minorEastAsia" w:hAnsiTheme="minorEastAsia"/>
                <w:color w:val="000000" w:themeColor="text1"/>
                <w:kern w:val="0"/>
              </w:rPr>
              <w:t>6.39%</w:t>
            </w:r>
          </w:p>
        </w:tc>
        <w:tc>
          <w:tcPr>
            <w:tcW w:w="1204" w:type="dxa"/>
            <w:vAlign w:val="center"/>
          </w:tcPr>
          <w:p w:rsidR="004304F3" w:rsidRDefault="00A4067D">
            <w:pPr>
              <w:jc w:val="center"/>
            </w:pPr>
            <w:r>
              <w:rPr>
                <w:rFonts w:asciiTheme="minorEastAsia" w:eastAsiaTheme="minorEastAsia" w:hAnsiTheme="minorEastAsia"/>
                <w:color w:val="000000" w:themeColor="text1"/>
                <w:kern w:val="0"/>
              </w:rPr>
              <w:t>0.51%</w:t>
            </w:r>
          </w:p>
        </w:tc>
      </w:tr>
      <w:tr w:rsidR="004304F3">
        <w:tc>
          <w:tcPr>
            <w:tcW w:w="1395" w:type="dxa"/>
            <w:vAlign w:val="center"/>
          </w:tcPr>
          <w:p w:rsidR="004304F3" w:rsidRDefault="00A4067D">
            <w:pPr>
              <w:jc w:val="left"/>
            </w:pPr>
            <w:r>
              <w:rPr>
                <w:rFonts w:asciiTheme="minorEastAsia" w:eastAsiaTheme="minorEastAsia" w:hAnsiTheme="minorEastAsia"/>
                <w:color w:val="000000" w:themeColor="text1"/>
                <w:kern w:val="0"/>
              </w:rPr>
              <w:t>过去三年</w:t>
            </w:r>
          </w:p>
        </w:tc>
        <w:tc>
          <w:tcPr>
            <w:tcW w:w="1092"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61"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81"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88"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99" w:type="dxa"/>
            <w:vAlign w:val="center"/>
          </w:tcPr>
          <w:p w:rsidR="004304F3" w:rsidRDefault="00A4067D">
            <w:pPr>
              <w:jc w:val="center"/>
            </w:pPr>
            <w:r>
              <w:rPr>
                <w:rFonts w:asciiTheme="minorEastAsia" w:eastAsiaTheme="minorEastAsia" w:hAnsiTheme="minorEastAsia"/>
                <w:color w:val="000000" w:themeColor="text1"/>
                <w:kern w:val="0"/>
              </w:rPr>
              <w:t>-</w:t>
            </w:r>
          </w:p>
        </w:tc>
        <w:tc>
          <w:tcPr>
            <w:tcW w:w="1204" w:type="dxa"/>
            <w:vAlign w:val="center"/>
          </w:tcPr>
          <w:p w:rsidR="004304F3" w:rsidRDefault="00A4067D">
            <w:pPr>
              <w:jc w:val="center"/>
            </w:pPr>
            <w:r>
              <w:rPr>
                <w:rFonts w:asciiTheme="minorEastAsia" w:eastAsiaTheme="minorEastAsia" w:hAnsiTheme="minorEastAsia"/>
                <w:color w:val="000000" w:themeColor="text1"/>
                <w:kern w:val="0"/>
              </w:rPr>
              <w:t>-</w:t>
            </w:r>
          </w:p>
        </w:tc>
      </w:tr>
      <w:tr w:rsidR="004304F3">
        <w:tc>
          <w:tcPr>
            <w:tcW w:w="1395" w:type="dxa"/>
            <w:vAlign w:val="center"/>
          </w:tcPr>
          <w:p w:rsidR="004304F3" w:rsidRDefault="00A4067D">
            <w:pPr>
              <w:jc w:val="left"/>
            </w:pPr>
            <w:r>
              <w:rPr>
                <w:rFonts w:asciiTheme="minorEastAsia" w:eastAsiaTheme="minorEastAsia" w:hAnsiTheme="minorEastAsia"/>
                <w:color w:val="000000" w:themeColor="text1"/>
                <w:kern w:val="0"/>
              </w:rPr>
              <w:t>过去五年</w:t>
            </w:r>
          </w:p>
        </w:tc>
        <w:tc>
          <w:tcPr>
            <w:tcW w:w="1092"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61"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81"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88" w:type="dxa"/>
            <w:vAlign w:val="center"/>
          </w:tcPr>
          <w:p w:rsidR="004304F3" w:rsidRDefault="00A4067D">
            <w:pPr>
              <w:jc w:val="center"/>
            </w:pPr>
            <w:r>
              <w:rPr>
                <w:rFonts w:asciiTheme="minorEastAsia" w:eastAsiaTheme="minorEastAsia" w:hAnsiTheme="minorEastAsia"/>
                <w:color w:val="000000" w:themeColor="text1"/>
                <w:kern w:val="0"/>
              </w:rPr>
              <w:t>-</w:t>
            </w:r>
          </w:p>
        </w:tc>
        <w:tc>
          <w:tcPr>
            <w:tcW w:w="1199" w:type="dxa"/>
            <w:vAlign w:val="center"/>
          </w:tcPr>
          <w:p w:rsidR="004304F3" w:rsidRDefault="00A4067D">
            <w:pPr>
              <w:jc w:val="center"/>
            </w:pPr>
            <w:r>
              <w:rPr>
                <w:rFonts w:asciiTheme="minorEastAsia" w:eastAsiaTheme="minorEastAsia" w:hAnsiTheme="minorEastAsia"/>
                <w:color w:val="000000" w:themeColor="text1"/>
                <w:kern w:val="0"/>
              </w:rPr>
              <w:t>-</w:t>
            </w:r>
          </w:p>
        </w:tc>
        <w:tc>
          <w:tcPr>
            <w:tcW w:w="1204" w:type="dxa"/>
            <w:vAlign w:val="center"/>
          </w:tcPr>
          <w:p w:rsidR="004304F3" w:rsidRDefault="00A4067D">
            <w:pPr>
              <w:jc w:val="center"/>
            </w:pPr>
            <w:r>
              <w:rPr>
                <w:rFonts w:asciiTheme="minorEastAsia" w:eastAsiaTheme="minorEastAsia" w:hAnsiTheme="minorEastAsia"/>
                <w:color w:val="000000" w:themeColor="text1"/>
                <w:kern w:val="0"/>
              </w:rPr>
              <w:t>-</w:t>
            </w:r>
          </w:p>
        </w:tc>
      </w:tr>
      <w:tr w:rsidR="004304F3">
        <w:tc>
          <w:tcPr>
            <w:tcW w:w="1395" w:type="dxa"/>
            <w:vAlign w:val="center"/>
          </w:tcPr>
          <w:p w:rsidR="004304F3" w:rsidRDefault="00A4067D">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4304F3" w:rsidRDefault="00A4067D">
            <w:pPr>
              <w:jc w:val="center"/>
            </w:pPr>
            <w:r>
              <w:rPr>
                <w:rFonts w:asciiTheme="minorEastAsia" w:eastAsiaTheme="minorEastAsia" w:hAnsiTheme="minorEastAsia"/>
                <w:color w:val="000000" w:themeColor="text1"/>
                <w:kern w:val="0"/>
              </w:rPr>
              <w:t>35.30%</w:t>
            </w:r>
          </w:p>
        </w:tc>
        <w:tc>
          <w:tcPr>
            <w:tcW w:w="1161" w:type="dxa"/>
            <w:vAlign w:val="center"/>
          </w:tcPr>
          <w:p w:rsidR="004304F3" w:rsidRDefault="00A4067D">
            <w:pPr>
              <w:jc w:val="center"/>
            </w:pPr>
            <w:r>
              <w:rPr>
                <w:rFonts w:asciiTheme="minorEastAsia" w:eastAsiaTheme="minorEastAsia" w:hAnsiTheme="minorEastAsia"/>
                <w:color w:val="000000" w:themeColor="text1"/>
                <w:kern w:val="0"/>
              </w:rPr>
              <w:t>1.28%</w:t>
            </w:r>
          </w:p>
        </w:tc>
        <w:tc>
          <w:tcPr>
            <w:tcW w:w="1181" w:type="dxa"/>
            <w:vAlign w:val="center"/>
          </w:tcPr>
          <w:p w:rsidR="004304F3" w:rsidRDefault="00A4067D">
            <w:pPr>
              <w:jc w:val="center"/>
            </w:pPr>
            <w:r>
              <w:rPr>
                <w:rFonts w:asciiTheme="minorEastAsia" w:eastAsiaTheme="minorEastAsia" w:hAnsiTheme="minorEastAsia"/>
                <w:color w:val="000000" w:themeColor="text1"/>
                <w:kern w:val="0"/>
              </w:rPr>
              <w:t>13.11%</w:t>
            </w:r>
          </w:p>
        </w:tc>
        <w:tc>
          <w:tcPr>
            <w:tcW w:w="1188" w:type="dxa"/>
            <w:vAlign w:val="center"/>
          </w:tcPr>
          <w:p w:rsidR="004304F3" w:rsidRDefault="00A4067D">
            <w:pPr>
              <w:jc w:val="center"/>
            </w:pPr>
            <w:r>
              <w:rPr>
                <w:rFonts w:asciiTheme="minorEastAsia" w:eastAsiaTheme="minorEastAsia" w:hAnsiTheme="minorEastAsia"/>
                <w:color w:val="000000" w:themeColor="text1"/>
                <w:kern w:val="0"/>
              </w:rPr>
              <w:t>0.81%</w:t>
            </w:r>
          </w:p>
        </w:tc>
        <w:tc>
          <w:tcPr>
            <w:tcW w:w="1199" w:type="dxa"/>
            <w:vAlign w:val="center"/>
          </w:tcPr>
          <w:p w:rsidR="004304F3" w:rsidRDefault="00A4067D">
            <w:pPr>
              <w:jc w:val="center"/>
            </w:pPr>
            <w:r>
              <w:rPr>
                <w:rFonts w:asciiTheme="minorEastAsia" w:eastAsiaTheme="minorEastAsia" w:hAnsiTheme="minorEastAsia"/>
                <w:color w:val="000000" w:themeColor="text1"/>
                <w:kern w:val="0"/>
              </w:rPr>
              <w:t>22.19%</w:t>
            </w:r>
          </w:p>
        </w:tc>
        <w:tc>
          <w:tcPr>
            <w:tcW w:w="1204" w:type="dxa"/>
            <w:vAlign w:val="center"/>
          </w:tcPr>
          <w:p w:rsidR="004304F3" w:rsidRDefault="00A4067D">
            <w:pPr>
              <w:jc w:val="center"/>
            </w:pPr>
            <w:r>
              <w:rPr>
                <w:rFonts w:asciiTheme="minorEastAsia" w:eastAsiaTheme="minorEastAsia" w:hAnsiTheme="minorEastAsia"/>
                <w:color w:val="000000" w:themeColor="text1"/>
                <w:kern w:val="0"/>
              </w:rPr>
              <w:t>0.47%</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上投摩根量化多因子灵活配置混合型证券投资基金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2018年1月19日</w:t>
      </w:r>
      <w:r>
        <w:rPr>
          <w:rFonts w:asciiTheme="minorEastAsia" w:eastAsiaTheme="minorEastAsia" w:hAnsiTheme="minorEastAsia" w:hint="eastAsia"/>
          <w:color w:val="000000" w:themeColor="text1"/>
        </w:rPr>
        <w:t>至2020年12月31日)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304F3" w:rsidRDefault="00A4067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19</w:t>
      </w:r>
      <w:r>
        <w:rPr>
          <w:rFonts w:asciiTheme="minorEastAsia" w:eastAsiaTheme="minorEastAsia" w:hAnsiTheme="minorEastAsia"/>
          <w:color w:val="000000" w:themeColor="text1"/>
        </w:rPr>
        <w:t>日，图示的时间段为</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19</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31</w:t>
      </w:r>
      <w:r>
        <w:rPr>
          <w:rFonts w:asciiTheme="minorEastAsia" w:eastAsiaTheme="minorEastAsia" w:hAnsiTheme="minorEastAsia"/>
          <w:color w:val="000000" w:themeColor="text1"/>
        </w:rPr>
        <w:t>日。</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本基金建仓期自2018年1月19日至2018年7月18日，建仓期结束时资产配置比例符合本基金基金合同规定。</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4304F3">
        <w:tc>
          <w:tcPr>
            <w:tcW w:w="851" w:type="dxa"/>
            <w:vAlign w:val="center"/>
          </w:tcPr>
          <w:p w:rsidR="004304F3" w:rsidRDefault="00A4067D">
            <w:pPr>
              <w:jc w:val="center"/>
            </w:pPr>
            <w:r>
              <w:rPr>
                <w:rFonts w:asciiTheme="minorEastAsia" w:eastAsiaTheme="minorEastAsia" w:hAnsiTheme="minorEastAsia"/>
                <w:color w:val="000000" w:themeColor="text1"/>
              </w:rPr>
              <w:t>施虓文</w:t>
            </w:r>
          </w:p>
        </w:tc>
        <w:tc>
          <w:tcPr>
            <w:tcW w:w="850" w:type="dxa"/>
            <w:vAlign w:val="center"/>
          </w:tcPr>
          <w:p w:rsidR="004304F3" w:rsidRDefault="00A4067D">
            <w:pPr>
              <w:jc w:val="center"/>
            </w:pPr>
            <w:r>
              <w:rPr>
                <w:rFonts w:asciiTheme="minorEastAsia" w:eastAsiaTheme="minorEastAsia" w:hAnsiTheme="minorEastAsia"/>
                <w:color w:val="000000" w:themeColor="text1"/>
              </w:rPr>
              <w:t>本基金基金经理</w:t>
            </w:r>
          </w:p>
        </w:tc>
        <w:tc>
          <w:tcPr>
            <w:tcW w:w="1560" w:type="dxa"/>
            <w:vAlign w:val="center"/>
          </w:tcPr>
          <w:p w:rsidR="004304F3" w:rsidRDefault="00A4067D">
            <w:pPr>
              <w:jc w:val="center"/>
            </w:pPr>
            <w:r>
              <w:rPr>
                <w:rFonts w:asciiTheme="minorEastAsia" w:eastAsiaTheme="minorEastAsia" w:hAnsiTheme="minorEastAsia"/>
                <w:color w:val="000000" w:themeColor="text1"/>
              </w:rPr>
              <w:t>2019-12-27</w:t>
            </w:r>
          </w:p>
        </w:tc>
        <w:tc>
          <w:tcPr>
            <w:tcW w:w="1559" w:type="dxa"/>
            <w:vAlign w:val="center"/>
          </w:tcPr>
          <w:p w:rsidR="004304F3" w:rsidRDefault="00A4067D">
            <w:pPr>
              <w:jc w:val="center"/>
            </w:pPr>
            <w:r>
              <w:rPr>
                <w:rFonts w:asciiTheme="minorEastAsia" w:eastAsiaTheme="minorEastAsia" w:hAnsiTheme="minorEastAsia"/>
                <w:color w:val="000000" w:themeColor="text1"/>
              </w:rPr>
              <w:t>-</w:t>
            </w:r>
          </w:p>
        </w:tc>
        <w:tc>
          <w:tcPr>
            <w:tcW w:w="1417" w:type="dxa"/>
            <w:vAlign w:val="center"/>
          </w:tcPr>
          <w:p w:rsidR="004304F3" w:rsidRDefault="00A4067D">
            <w:pPr>
              <w:jc w:val="center"/>
            </w:pP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年</w:t>
            </w:r>
          </w:p>
        </w:tc>
        <w:tc>
          <w:tcPr>
            <w:tcW w:w="2694" w:type="dxa"/>
            <w:vAlign w:val="center"/>
          </w:tcPr>
          <w:p w:rsidR="004304F3" w:rsidRDefault="00A4067D">
            <w:r>
              <w:rPr>
                <w:rFonts w:asciiTheme="minorEastAsia" w:eastAsiaTheme="minorEastAsia" w:hAnsiTheme="minorEastAsia"/>
                <w:color w:val="000000" w:themeColor="text1"/>
              </w:rPr>
              <w:t>基金经理施虓文先生，北京大学经济学硕士，</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月起加入上投摩根基金管理有限公司，先后担任助理研究员、研究员</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基金经理助理、基金经理，主要承担量化支持方面的工作。自</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月担任上投摩根安丰回报混合型证券投资基金基金经理，</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月担任上投摩根安泽回报混合型证券投资基金基金经理，自</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月担任上投摩根标普港股通低波红利指数型证券投资基金基金经理，自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月同时担任上投摩根安隆回报混合型证券投资基金基金经理，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月担任上投摩根安腾回报混合型证券投资基金基金经理，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月担任上投摩根富时发达市场</w:t>
            </w:r>
            <w:r>
              <w:rPr>
                <w:rFonts w:asciiTheme="minorEastAsia" w:eastAsiaTheme="minorEastAsia" w:hAnsiTheme="minorEastAsia"/>
                <w:color w:val="000000" w:themeColor="text1"/>
              </w:rPr>
              <w:t>REITs</w:t>
            </w:r>
            <w:r>
              <w:rPr>
                <w:rFonts w:asciiTheme="minorEastAsia" w:eastAsiaTheme="minorEastAsia" w:hAnsiTheme="minorEastAsia"/>
                <w:color w:val="000000" w:themeColor="text1"/>
              </w:rPr>
              <w:t>指数型证券投资基金（</w:t>
            </w:r>
            <w:r>
              <w:rPr>
                <w:rFonts w:asciiTheme="minorEastAsia" w:eastAsiaTheme="minorEastAsia" w:hAnsiTheme="minorEastAsia"/>
                <w:color w:val="000000" w:themeColor="text1"/>
              </w:rPr>
              <w:t>QDII</w:t>
            </w:r>
            <w:r>
              <w:rPr>
                <w:rFonts w:asciiTheme="minorEastAsia" w:eastAsiaTheme="minorEastAsia" w:hAnsiTheme="minorEastAsia"/>
                <w:color w:val="000000" w:themeColor="text1"/>
              </w:rPr>
              <w:t>）基金经理，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月同时担任上投摩根安裕回报混合型证券投资基金基金经理，自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月同时担任上投摩根安通回报混合型证券投资基金基金经理，自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月担任上投摩根动态多因子策略灵活配置混合型证券投资基金、上投摩根量化多因子灵活配置混合型证券投资基金、上投摩根优选多因子股票型证券投资基金及上投摩根中证</w:t>
            </w:r>
            <w:r>
              <w:rPr>
                <w:rFonts w:asciiTheme="minorEastAsia" w:eastAsiaTheme="minorEastAsia" w:hAnsiTheme="minorEastAsia"/>
                <w:color w:val="000000" w:themeColor="text1"/>
              </w:rPr>
              <w:t>消费服务领先指数证券投资基金基金经理；自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月担任上投摩根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股交易型开放式指数证券投资基金基金经理，自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月担任上投摩根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股交易型开放式指数证券投资基金联接基金基金经理。</w:t>
            </w:r>
          </w:p>
        </w:tc>
      </w:tr>
    </w:tbl>
    <w:p w:rsidR="004304F3" w:rsidRDefault="00A4067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4304F3" w:rsidRDefault="00A4067D">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3.胡迪女士自2021年1月7日起被</w:t>
      </w:r>
      <w:r w:rsidR="00A4067D" w:rsidRPr="00A4067D">
        <w:rPr>
          <w:rFonts w:asciiTheme="minorEastAsia" w:eastAsiaTheme="minorEastAsia" w:hAnsiTheme="minorEastAsia" w:hint="eastAsia"/>
          <w:color w:val="000000" w:themeColor="text1"/>
        </w:rPr>
        <w:t>聘任</w:t>
      </w:r>
      <w:bookmarkStart w:id="0" w:name="_GoBack"/>
      <w:bookmarkEnd w:id="0"/>
      <w:r>
        <w:rPr>
          <w:rFonts w:asciiTheme="minorEastAsia" w:eastAsiaTheme="minorEastAsia" w:hAnsiTheme="minorEastAsia"/>
          <w:color w:val="000000" w:themeColor="text1"/>
        </w:rPr>
        <w:t>为上投摩根量化多因子灵活配置混合型证券投资基金基金经理，且施虓文先生自2021年1月7日起不再担任上投摩根量化多因子灵活配置混合型证券投资基金基金经理。</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量化多因子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w:t>
      </w:r>
      <w:r>
        <w:rPr>
          <w:rFonts w:asciiTheme="minorEastAsia" w:eastAsiaTheme="minorEastAsia" w:hAnsiTheme="minorEastAsia"/>
          <w:color w:val="000000" w:themeColor="text1"/>
        </w:rPr>
        <w:t>，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w:t>
      </w:r>
      <w:r>
        <w:rPr>
          <w:rFonts w:asciiTheme="minorEastAsia" w:eastAsiaTheme="minorEastAsia" w:hAnsiTheme="minorEastAsia"/>
          <w:color w:val="000000" w:themeColor="text1"/>
        </w:rPr>
        <w:t>通过对手库控制和交易室询价机制，严格防范对手风险并检查价格公允性；对于申购投资行为，本公司遵循价格优先、比例分配的原则，根据事前独立申报的价格和数量对交易结果进行公平分配。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四季度在海外疫情反扑加剧，但国内疫情态势企稳，经济反弹的大环境下。</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整体延续上行趋势，但市场结构分化明显，总体呈现大盘强小盘弱，成长强估值弱、新兴产业强传统行业弱的特征。行业上看差距悬殊，新能源、汽车等行业迎来爆发式行情，食品、消费者服务等行业也由于龙头股的带动而大幅上行。但一级行业总体跌多涨少，传媒等行业继续萎靡，医药、通信等行业受前期涨幅较大，估值偏高拖累也大幅回吐年内收益。风格上看，四季度市场成长风格仍然一枝独秀，低估值中途略有崛起后又恢复沉寂，长期动量、短期反转等技术面风格在年底受季节性因素影响表现均不佳。本基金选股从多因子角度出发，偏重基本面因素，在行业板块分</w:t>
      </w:r>
      <w:r>
        <w:rPr>
          <w:rFonts w:asciiTheme="minorEastAsia" w:eastAsiaTheme="minorEastAsia" w:hAnsiTheme="minorEastAsia"/>
          <w:color w:val="000000" w:themeColor="text1"/>
        </w:rPr>
        <w:t>布上相对均衡。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明年看，预计中国经济仍将在复苏轨道中继续前行，疫情虽然可能不会完全结束，但其边际影响大概率日趋衰减，被疫情干扰的增长周期有进一步复苏可能，GDP在今年低基数的基础上可能会迎来高增长。同时海外市场流动性极度充裕，内外增长差情况下外溢效应将持续支撑A股估值。内部经济结构上，2021年十四五规划将正式发布，“双循环”新发展格局初现雏形，预计鼓励科技创新促产业升级，将是重中之重；持续进行供给侧改革，倡导绿色发展，促进生态和谐，进一步扩大开放等也有望成为政策着力重点，大概率将继续利好5G、新制造、新能源产业链、消费升级等“后疫情”产业。同时，在经济景气整体上行背景下，前期表现落后的低估值周期性板块可能有修复性行情。在具体投资策略上，我们仍将坚持基本面出发的量化多因子选股策略，综合考虑个股的成长性、盈利能力、估值及交易属性等多方面因素，力争构造风险收益特征优于业绩比较基准的投资组合。</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本报告期上投摩根量化多因子混合份额净值增长率为:-0.41%，同期业绩比较基准收益率为:7.01%。</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报告期内，本基金存在连续二十个工作日基金资产净值低于五千万元的情况，出现该情况的时间范围为</w:t>
      </w:r>
      <w:r>
        <w:rPr>
          <w:rFonts w:asciiTheme="minorEastAsia" w:eastAsiaTheme="minorEastAsia" w:hAnsiTheme="minorEastAsia"/>
          <w:color w:val="000000" w:themeColor="text1"/>
          <w:kern w:val="0"/>
        </w:rPr>
        <w:t>2020</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10</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14</w:t>
      </w:r>
      <w:r>
        <w:rPr>
          <w:rFonts w:asciiTheme="minorEastAsia" w:eastAsiaTheme="minorEastAsia" w:hAnsiTheme="minorEastAsia"/>
          <w:color w:val="000000" w:themeColor="text1"/>
          <w:kern w:val="0"/>
        </w:rPr>
        <w:t>日至</w:t>
      </w:r>
      <w:r>
        <w:rPr>
          <w:rFonts w:asciiTheme="minorEastAsia" w:eastAsiaTheme="minorEastAsia" w:hAnsiTheme="minorEastAsia"/>
          <w:color w:val="000000" w:themeColor="text1"/>
          <w:kern w:val="0"/>
        </w:rPr>
        <w:t>2020</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11</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30</w:t>
      </w:r>
      <w:r>
        <w:rPr>
          <w:rFonts w:asciiTheme="minorEastAsia" w:eastAsiaTheme="minorEastAsia" w:hAnsiTheme="minorEastAsia"/>
          <w:color w:val="000000" w:themeColor="text1"/>
          <w:kern w:val="0"/>
        </w:rPr>
        <w:t>日。</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基金管理人拟调整本基金运作方式，加大营销力度，提升基金规模，方案已报监管机关。</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45,289,488.52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92.34</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45,289,488.52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92.34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3,709,615.42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7.56</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45,195.75</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0.09</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49,044,299.69</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2,144,647.00</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4.46</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28,899,922.74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60.15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1,391,965.00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747,251.00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1,352,351.00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920,992.00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44,562.00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0.09</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2,997,686.42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6.24</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2,973,180.00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6.19</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1,368,679.00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1,130,022.36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43,539.00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0.09</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786,124.00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1.64</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488,567.00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45,289,488.52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94.26</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1</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000581</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威孚高科</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61,300.00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1,421,547.00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2.96</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2</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002926</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华西证券</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108,500.00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1,354,080.00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2.82</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3</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002179</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中航光电</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14,756.00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1,155,247.24</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2.40</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4</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600583</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海油工程</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242,500.00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1,088,825.00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2.27</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5</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002008</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大族激光</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24,800.00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1,060,200.00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2.21</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6</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300274</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阳光电源</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13,200.00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954,096.00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1.99</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7</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002027</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分众传媒</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95,828.00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945,822.36</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1.97</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8</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600372</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中航电子</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47,500.00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933,375.00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1.94</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9</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601615</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明阳智能</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46,000.00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873,080.00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1.82</w:t>
            </w:r>
          </w:p>
        </w:tc>
      </w:tr>
      <w:tr w:rsidR="004304F3">
        <w:tc>
          <w:tcPr>
            <w:tcW w:w="817" w:type="dxa"/>
            <w:vAlign w:val="center"/>
          </w:tcPr>
          <w:p w:rsidR="004304F3" w:rsidRDefault="00A4067D">
            <w:pPr>
              <w:jc w:val="center"/>
            </w:pPr>
            <w:r>
              <w:rPr>
                <w:rFonts w:asciiTheme="minorEastAsia" w:eastAsiaTheme="minorEastAsia" w:hAnsiTheme="minorEastAsia" w:cs="宋体"/>
                <w:color w:val="000000" w:themeColor="text1"/>
                <w:kern w:val="0"/>
              </w:rPr>
              <w:t>10</w:t>
            </w:r>
          </w:p>
        </w:tc>
        <w:tc>
          <w:tcPr>
            <w:tcW w:w="1276" w:type="dxa"/>
            <w:vAlign w:val="center"/>
          </w:tcPr>
          <w:p w:rsidR="004304F3" w:rsidRDefault="00A4067D">
            <w:pPr>
              <w:jc w:val="center"/>
            </w:pPr>
            <w:r>
              <w:rPr>
                <w:rFonts w:asciiTheme="minorEastAsia" w:eastAsiaTheme="minorEastAsia" w:hAnsiTheme="minorEastAsia" w:cs="宋体"/>
                <w:color w:val="000000" w:themeColor="text1"/>
                <w:kern w:val="0"/>
              </w:rPr>
              <w:t>300036</w:t>
            </w:r>
          </w:p>
        </w:tc>
        <w:tc>
          <w:tcPr>
            <w:tcW w:w="1701" w:type="dxa"/>
            <w:vAlign w:val="center"/>
          </w:tcPr>
          <w:p w:rsidR="004304F3" w:rsidRDefault="00A4067D">
            <w:pPr>
              <w:jc w:val="center"/>
            </w:pPr>
            <w:r>
              <w:rPr>
                <w:rFonts w:asciiTheme="minorEastAsia" w:eastAsiaTheme="minorEastAsia" w:hAnsiTheme="minorEastAsia" w:cs="宋体"/>
                <w:color w:val="000000" w:themeColor="text1"/>
                <w:kern w:val="0"/>
              </w:rPr>
              <w:t>超图软件</w:t>
            </w:r>
          </w:p>
        </w:tc>
        <w:tc>
          <w:tcPr>
            <w:tcW w:w="1276" w:type="dxa"/>
            <w:vAlign w:val="center"/>
          </w:tcPr>
          <w:p w:rsidR="004304F3" w:rsidRDefault="00A4067D">
            <w:pPr>
              <w:jc w:val="right"/>
            </w:pPr>
            <w:r>
              <w:rPr>
                <w:rFonts w:asciiTheme="minorEastAsia" w:eastAsiaTheme="minorEastAsia" w:hAnsiTheme="minorEastAsia" w:cs="宋体"/>
                <w:color w:val="000000" w:themeColor="text1"/>
                <w:kern w:val="0"/>
              </w:rPr>
              <w:t>47,200.00</w:t>
            </w:r>
          </w:p>
        </w:tc>
        <w:tc>
          <w:tcPr>
            <w:tcW w:w="1842" w:type="dxa"/>
            <w:vAlign w:val="center"/>
          </w:tcPr>
          <w:p w:rsidR="004304F3" w:rsidRDefault="00A4067D">
            <w:pPr>
              <w:jc w:val="right"/>
            </w:pPr>
            <w:r>
              <w:rPr>
                <w:rFonts w:asciiTheme="minorEastAsia" w:eastAsiaTheme="minorEastAsia" w:hAnsiTheme="minorEastAsia" w:cs="宋体"/>
                <w:color w:val="000000" w:themeColor="text1"/>
                <w:kern w:val="0"/>
              </w:rPr>
              <w:t>870,368.00</w:t>
            </w:r>
          </w:p>
        </w:tc>
        <w:tc>
          <w:tcPr>
            <w:tcW w:w="1616" w:type="dxa"/>
            <w:vAlign w:val="center"/>
          </w:tcPr>
          <w:p w:rsidR="004304F3" w:rsidRDefault="00A4067D">
            <w:pPr>
              <w:jc w:val="right"/>
            </w:pPr>
            <w:r>
              <w:rPr>
                <w:rFonts w:asciiTheme="minorEastAsia" w:eastAsiaTheme="minorEastAsia" w:hAnsiTheme="minorEastAsia" w:cs="宋体"/>
                <w:color w:val="000000" w:themeColor="text1"/>
                <w:kern w:val="0"/>
              </w:rPr>
              <w:t>1.81</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30,560.33</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680.93</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13,954.49</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45,195.75</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38,823,407.85</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5,777,959.68</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9,089,921.16</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35,511,446.37</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、中国证监会准予上投摩根量化多因子灵活配置混合型证券投资基金募集注册的文件</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、《上投摩根量化多因子灵活配置混合型证券投资基金基金合同》</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、《上投摩根量化多因子灵活配置混合型证券投资基金托管协议》</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、法律意见书</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、基金托管人业务资格批件、营业执照</w:t>
      </w:r>
    </w:p>
    <w:p w:rsidR="004304F3" w:rsidRDefault="00A4067D">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、《上投摩根基金管理有限公司开放式基金业务规则》</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8、中国证监会要求的其他文件</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二〇二一年一月二十二日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4067D" w:rsidRPr="00A4067D">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4067D">
      <w:rPr>
        <w:rStyle w:val="aff"/>
        <w:noProof/>
      </w:rPr>
      <w:t>6</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上投摩根量化多因子灵活配置混合型证券投资基金</w:t>
    </w:r>
    <w:r>
      <w:rPr>
        <w:rFonts w:hint="eastAsia"/>
      </w:rPr>
      <w:t>2020</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04F3"/>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067D"/>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E91B1-9E50-4389-8C5D-38705944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Wangyiping</cp:lastModifiedBy>
  <cp:revision>267</cp:revision>
  <dcterms:created xsi:type="dcterms:W3CDTF">2012-10-16T06:07:00Z</dcterms:created>
  <dcterms:modified xsi:type="dcterms:W3CDTF">2021-01-19T08:28:00Z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