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摩根标普港股通低波红利指数型证券投资基金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2023</w:t>
      </w:r>
      <w:r w:rsidRPr="00EE3DBC">
        <w:rPr>
          <w:rFonts w:eastAsiaTheme="minorEastAsia"/>
          <w:b/>
          <w:color w:val="000000" w:themeColor="text1"/>
          <w:sz w:val="36"/>
          <w:szCs w:val="36"/>
        </w:rPr>
        <w:t>年第</w:t>
      </w:r>
      <w:r w:rsidRPr="00EE3DBC">
        <w:rPr>
          <w:rFonts w:eastAsiaTheme="minorEastAsia"/>
          <w:b/>
          <w:color w:val="000000" w:themeColor="text1"/>
          <w:sz w:val="36"/>
          <w:szCs w:val="36"/>
        </w:rPr>
        <w:t>4</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2023</w:t>
      </w:r>
      <w:r w:rsidRPr="00EE3DBC">
        <w:rPr>
          <w:rFonts w:eastAsiaTheme="minorEastAsia"/>
          <w:b/>
          <w:color w:val="000000" w:themeColor="text1"/>
          <w:sz w:val="36"/>
          <w:szCs w:val="36"/>
        </w:rPr>
        <w:t>年</w:t>
      </w:r>
      <w:r w:rsidRPr="00EE3DBC">
        <w:rPr>
          <w:rFonts w:eastAsiaTheme="minorEastAsia"/>
          <w:b/>
          <w:color w:val="000000" w:themeColor="text1"/>
          <w:sz w:val="36"/>
          <w:szCs w:val="36"/>
        </w:rPr>
        <w:t>12</w:t>
      </w:r>
      <w:r w:rsidRPr="00EE3DBC">
        <w:rPr>
          <w:rFonts w:eastAsiaTheme="minorEastAsia"/>
          <w:b/>
          <w:color w:val="000000" w:themeColor="text1"/>
          <w:sz w:val="36"/>
          <w:szCs w:val="36"/>
        </w:rPr>
        <w:t>月</w:t>
      </w:r>
      <w:r w:rsidRPr="00EE3DBC">
        <w:rPr>
          <w:rFonts w:eastAsiaTheme="minorEastAsia"/>
          <w:b/>
          <w:color w:val="000000" w:themeColor="text1"/>
          <w:sz w:val="36"/>
          <w:szCs w:val="36"/>
        </w:rPr>
        <w:t>31</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报告送出日期：二〇二四年一月二十二日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E57E12" w:rsidRDefault="00F256B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E57E12" w:rsidRDefault="00F256B5">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19</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E57E12" w:rsidRDefault="00F256B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E57E12" w:rsidRDefault="00F256B5">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E57E12" w:rsidRDefault="00F256B5">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2023</w:t>
      </w:r>
      <w:r w:rsidRPr="00EE3DBC">
        <w:rPr>
          <w:rFonts w:eastAsiaTheme="minorEastAsia"/>
          <w:color w:val="000000" w:themeColor="text1"/>
          <w:sz w:val="24"/>
        </w:rPr>
        <w:t>年</w:t>
      </w:r>
      <w:r w:rsidRPr="00EE3DBC">
        <w:rPr>
          <w:rFonts w:eastAsiaTheme="minorEastAsia"/>
          <w:color w:val="000000" w:themeColor="text1"/>
          <w:sz w:val="24"/>
        </w:rPr>
        <w:t>10</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12</w:t>
      </w:r>
      <w:r w:rsidRPr="00EE3DBC">
        <w:rPr>
          <w:rFonts w:eastAsiaTheme="minorEastAsia"/>
          <w:color w:val="000000" w:themeColor="text1"/>
          <w:sz w:val="24"/>
        </w:rPr>
        <w:t>月</w:t>
      </w:r>
      <w:r w:rsidRPr="00EE3DBC">
        <w:rPr>
          <w:rFonts w:eastAsiaTheme="minorEastAsia"/>
          <w:color w:val="000000" w:themeColor="text1"/>
          <w:sz w:val="24"/>
        </w:rPr>
        <w:t>31</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摩根标普港股通低波红利指数</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005051</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005051</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r w:rsidRPr="00EE3DBC">
              <w:rPr>
                <w:rFonts w:eastAsiaTheme="minorEastAsia"/>
                <w:color w:val="000000" w:themeColor="text1"/>
                <w:kern w:val="0"/>
                <w:sz w:val="24"/>
              </w:rPr>
              <w:t xml:space="preserve"> </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2017</w:t>
            </w:r>
            <w:r w:rsidRPr="00EE3DBC">
              <w:rPr>
                <w:rFonts w:eastAsiaTheme="minorEastAsia"/>
                <w:color w:val="000000" w:themeColor="text1"/>
                <w:kern w:val="0"/>
                <w:sz w:val="24"/>
              </w:rPr>
              <w:t>年</w:t>
            </w:r>
            <w:r w:rsidRPr="00EE3DBC">
              <w:rPr>
                <w:rFonts w:eastAsiaTheme="minorEastAsia"/>
                <w:color w:val="000000" w:themeColor="text1"/>
                <w:kern w:val="0"/>
                <w:sz w:val="24"/>
              </w:rPr>
              <w:t>12</w:t>
            </w:r>
            <w:r w:rsidRPr="00EE3DBC">
              <w:rPr>
                <w:rFonts w:eastAsiaTheme="minorEastAsia"/>
                <w:color w:val="000000" w:themeColor="text1"/>
                <w:kern w:val="0"/>
                <w:sz w:val="24"/>
              </w:rPr>
              <w:t>月</w:t>
            </w:r>
            <w:r w:rsidRPr="00EE3DBC">
              <w:rPr>
                <w:rFonts w:eastAsiaTheme="minorEastAsia"/>
                <w:color w:val="000000" w:themeColor="text1"/>
                <w:kern w:val="0"/>
                <w:sz w:val="24"/>
              </w:rPr>
              <w:t>4</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543,211,882.50</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本基金进行被动式指数化投资，通过严格的投资纪律约束和数量化风险管理手段，力争控制本基金的净值增长率与业绩比较基准之间的日均跟踪偏离度不超过</w:t>
            </w:r>
            <w:r w:rsidRPr="00EE3DBC">
              <w:rPr>
                <w:rFonts w:eastAsiaTheme="minorEastAsia"/>
                <w:color w:val="000000" w:themeColor="text1"/>
                <w:kern w:val="0"/>
                <w:sz w:val="24"/>
              </w:rPr>
              <w:t>0.35%</w:t>
            </w:r>
            <w:r w:rsidRPr="00EE3DBC">
              <w:rPr>
                <w:rFonts w:eastAsiaTheme="minorEastAsia"/>
                <w:color w:val="000000" w:themeColor="text1"/>
                <w:kern w:val="0"/>
                <w:sz w:val="24"/>
              </w:rPr>
              <w:t>，年跟踪误差控制在</w:t>
            </w:r>
            <w:r w:rsidRPr="00EE3DBC">
              <w:rPr>
                <w:rFonts w:eastAsiaTheme="minorEastAsia"/>
                <w:color w:val="000000" w:themeColor="text1"/>
                <w:kern w:val="0"/>
                <w:sz w:val="24"/>
              </w:rPr>
              <w:t>4%</w:t>
            </w:r>
            <w:r w:rsidRPr="00EE3DBC">
              <w:rPr>
                <w:rFonts w:eastAsiaTheme="minorEastAsia"/>
                <w:color w:val="000000" w:themeColor="text1"/>
                <w:kern w:val="0"/>
                <w:sz w:val="24"/>
              </w:rPr>
              <w:t>以内，以实现对标的指数有效跟踪。</w:t>
            </w:r>
            <w:r w:rsidRPr="00EE3DBC">
              <w:rPr>
                <w:rFonts w:eastAsiaTheme="minorEastAsia"/>
                <w:color w:val="000000" w:themeColor="text1"/>
                <w:kern w:val="0"/>
                <w:sz w:val="24"/>
              </w:rPr>
              <w:t xml:space="preserve"> </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本基金通过完全复制策略进行被动式指数化投资，根据标普港股通低波红利指数成份股的基准权重</w:t>
            </w:r>
            <w:r>
              <w:rPr>
                <w:rFonts w:eastAsiaTheme="minorEastAsia"/>
                <w:color w:val="000000" w:themeColor="text1"/>
                <w:kern w:val="0"/>
                <w:sz w:val="24"/>
              </w:rPr>
              <w:lastRenderedPageBreak/>
              <w:t>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为了实现追踪误差最小化，本基金投资于股票的资产占基金资产的比例不低于</w:t>
            </w:r>
            <w:r>
              <w:rPr>
                <w:rFonts w:eastAsiaTheme="minorEastAsia"/>
                <w:color w:val="000000" w:themeColor="text1"/>
                <w:kern w:val="0"/>
                <w:sz w:val="24"/>
              </w:rPr>
              <w:t>90%</w:t>
            </w:r>
            <w:r>
              <w:rPr>
                <w:rFonts w:eastAsiaTheme="minorEastAsia"/>
                <w:color w:val="000000" w:themeColor="text1"/>
                <w:kern w:val="0"/>
                <w:sz w:val="24"/>
              </w:rPr>
              <w:t>，将不低于</w:t>
            </w:r>
            <w:r>
              <w:rPr>
                <w:rFonts w:eastAsiaTheme="minorEastAsia"/>
                <w:color w:val="000000" w:themeColor="text1"/>
                <w:kern w:val="0"/>
                <w:sz w:val="24"/>
              </w:rPr>
              <w:t>90%</w:t>
            </w:r>
            <w:r>
              <w:rPr>
                <w:rFonts w:eastAsiaTheme="minorEastAsia"/>
                <w:color w:val="000000" w:themeColor="text1"/>
                <w:kern w:val="0"/>
                <w:sz w:val="24"/>
              </w:rPr>
              <w:t>的非现金基金资产投资于标普港股通低波红利指数的成份股及其备选成份股。</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本基金所构建的投资组合将定期根据所跟踪标的指数成份股的调整进行相应的跟踪调整。标普港股</w:t>
            </w:r>
            <w:r>
              <w:rPr>
                <w:rFonts w:eastAsiaTheme="minorEastAsia"/>
                <w:color w:val="000000" w:themeColor="text1"/>
                <w:kern w:val="0"/>
                <w:sz w:val="24"/>
              </w:rPr>
              <w:lastRenderedPageBreak/>
              <w:t>通低波红利指数的样本股每半年调整一次，指数调整方案公布后，本基金将及时对现有组合的构成进行相应的调整，若成分股的集中调整短期内会对跟踪误差产生较大影响，将采用逐步调整的方式。</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当标的指数成份股因停牌、流动性不足等因素导致基金无法按照指数权重进行配置，基金管理人将综合考虑跟踪误差和投资者利益，选择相关股票进行适当的替代。</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股票替代</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在选择替代股票时，为尽可能的降低跟踪误差，本基金将采用定性与定量相结合的方法，在对替代股票与被替代股票的基本面、股价技术面等指标进行相关性分析的基础上，优先从标的指数成份股及备选成份股中选择基本面良好，流动性充裕的股票进行替代投资。</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3</w:t>
            </w:r>
            <w:r>
              <w:rPr>
                <w:rFonts w:eastAsiaTheme="minorEastAsia"/>
                <w:color w:val="000000" w:themeColor="text1"/>
                <w:kern w:val="0"/>
                <w:sz w:val="24"/>
              </w:rPr>
              <w:t>、债券投资策略</w:t>
            </w:r>
          </w:p>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4</w:t>
            </w:r>
            <w:r w:rsidRPr="00EE3DBC">
              <w:rPr>
                <w:rFonts w:eastAsiaTheme="minorEastAsia"/>
                <w:color w:val="000000" w:themeColor="text1"/>
                <w:kern w:val="0"/>
                <w:sz w:val="24"/>
              </w:rPr>
              <w:t>、其他投资策略：包括股指期货投资策略、资产支持证券投资策略、股票期权投资策略、存托凭证投资策略等。</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95%×</w:t>
            </w:r>
            <w:r w:rsidRPr="00EE3DBC">
              <w:rPr>
                <w:rFonts w:eastAsiaTheme="minorEastAsia"/>
                <w:color w:val="000000" w:themeColor="text1"/>
                <w:kern w:val="0"/>
                <w:sz w:val="24"/>
              </w:rPr>
              <w:t>标普港股通低波红利指数收益率</w:t>
            </w:r>
            <w:r w:rsidRPr="00EE3DBC">
              <w:rPr>
                <w:rFonts w:eastAsiaTheme="minorEastAsia"/>
                <w:color w:val="000000" w:themeColor="text1"/>
                <w:kern w:val="0"/>
                <w:sz w:val="24"/>
              </w:rPr>
              <w:t>+ 5%×</w:t>
            </w:r>
            <w:r w:rsidRPr="00EE3DBC">
              <w:rPr>
                <w:rFonts w:eastAsiaTheme="minorEastAsia"/>
                <w:color w:val="000000" w:themeColor="text1"/>
                <w:kern w:val="0"/>
                <w:sz w:val="24"/>
              </w:rPr>
              <w:t>税后银行活期存款收益率</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E57E12" w:rsidRDefault="00F256B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本基金属于股票型基金产品，预期风险和收益水平高于混合型基金、债券型基金和货币市场基金，属于较高风险收益水平的基金产品。本基金将投资港股通标的股票，需承担汇率风险以及境外市场的风险。</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根据</w:t>
            </w:r>
            <w:r w:rsidRPr="00EE3DBC">
              <w:rPr>
                <w:rFonts w:eastAsiaTheme="minorEastAsia"/>
                <w:color w:val="000000" w:themeColor="text1"/>
                <w:kern w:val="0"/>
                <w:sz w:val="24"/>
              </w:rPr>
              <w:t>2017</w:t>
            </w:r>
            <w:r w:rsidRPr="00EE3DBC">
              <w:rPr>
                <w:rFonts w:eastAsiaTheme="minorEastAsia"/>
                <w:color w:val="000000" w:themeColor="text1"/>
                <w:kern w:val="0"/>
                <w:sz w:val="24"/>
              </w:rPr>
              <w:t>年</w:t>
            </w:r>
            <w:r w:rsidRPr="00EE3DBC">
              <w:rPr>
                <w:rFonts w:eastAsiaTheme="minorEastAsia"/>
                <w:color w:val="000000" w:themeColor="text1"/>
                <w:kern w:val="0"/>
                <w:sz w:val="24"/>
              </w:rPr>
              <w:t>7</w:t>
            </w:r>
            <w:r w:rsidRPr="00EE3DBC">
              <w:rPr>
                <w:rFonts w:eastAsiaTheme="minorEastAsia"/>
                <w:color w:val="000000" w:themeColor="text1"/>
                <w:kern w:val="0"/>
                <w:sz w:val="24"/>
              </w:rPr>
              <w:t>月</w:t>
            </w:r>
            <w:r w:rsidRPr="00EE3DBC">
              <w:rPr>
                <w:rFonts w:eastAsiaTheme="minorEastAsia"/>
                <w:color w:val="000000" w:themeColor="text1"/>
                <w:kern w:val="0"/>
                <w:sz w:val="24"/>
              </w:rPr>
              <w:t>1</w:t>
            </w:r>
            <w:r w:rsidRPr="00EE3DBC">
              <w:rPr>
                <w:rFonts w:eastAsiaTheme="minorEastAsia"/>
                <w:color w:val="000000" w:themeColor="text1"/>
                <w:kern w:val="0"/>
                <w:sz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w:t>
            </w:r>
            <w:r w:rsidRPr="00EE3DBC">
              <w:rPr>
                <w:rFonts w:eastAsiaTheme="minorEastAsia"/>
                <w:color w:val="000000" w:themeColor="text1"/>
                <w:sz w:val="24"/>
              </w:rPr>
              <w:lastRenderedPageBreak/>
              <w:t>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lastRenderedPageBreak/>
              <w:t>摩根标普港股通低波红</w:t>
            </w:r>
            <w:r w:rsidRPr="00EE3DBC">
              <w:rPr>
                <w:rFonts w:eastAsiaTheme="minorEastAsia"/>
                <w:color w:val="000000" w:themeColor="text1"/>
                <w:sz w:val="24"/>
              </w:rPr>
              <w:lastRenderedPageBreak/>
              <w:t>利指数</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lastRenderedPageBreak/>
              <w:t>摩根标普港股通低波红</w:t>
            </w:r>
            <w:r w:rsidRPr="00EE3DBC">
              <w:rPr>
                <w:rFonts w:eastAsiaTheme="minorEastAsia"/>
                <w:color w:val="000000" w:themeColor="text1"/>
                <w:sz w:val="24"/>
              </w:rPr>
              <w:lastRenderedPageBreak/>
              <w:t>利指数</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005051</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005052</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280,328,423.79</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262,883,458.71</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(2023</w:t>
            </w:r>
            <w:r w:rsidRPr="00EE3DBC">
              <w:rPr>
                <w:rFonts w:eastAsiaTheme="minorEastAsia"/>
                <w:color w:val="000000" w:themeColor="text1"/>
                <w:szCs w:val="21"/>
              </w:rPr>
              <w:t>年</w:t>
            </w:r>
            <w:r w:rsidRPr="00EE3DBC">
              <w:rPr>
                <w:rFonts w:eastAsiaTheme="minorEastAsia"/>
                <w:color w:val="000000" w:themeColor="text1"/>
                <w:szCs w:val="21"/>
              </w:rPr>
              <w:t>10</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-2023</w:t>
            </w:r>
            <w:r w:rsidRPr="00EE3DBC">
              <w:rPr>
                <w:rFonts w:eastAsiaTheme="minorEastAsia"/>
                <w:color w:val="000000" w:themeColor="text1"/>
                <w:szCs w:val="21"/>
              </w:rPr>
              <w:t>年</w:t>
            </w:r>
            <w:r w:rsidRPr="00EE3DBC">
              <w:rPr>
                <w:rFonts w:eastAsiaTheme="minorEastAsia"/>
                <w:color w:val="000000" w:themeColor="text1"/>
                <w:szCs w:val="21"/>
              </w:rPr>
              <w:t>12</w:t>
            </w:r>
            <w:r w:rsidRPr="00EE3DBC">
              <w:rPr>
                <w:rFonts w:eastAsiaTheme="minorEastAsia"/>
                <w:color w:val="000000" w:themeColor="text1"/>
                <w:szCs w:val="21"/>
              </w:rPr>
              <w:t>月</w:t>
            </w:r>
            <w:r w:rsidRPr="00EE3DBC">
              <w:rPr>
                <w:rFonts w:eastAsiaTheme="minorEastAsia"/>
                <w:color w:val="000000" w:themeColor="text1"/>
                <w:szCs w:val="21"/>
              </w:rPr>
              <w:t>31</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摩根标普港股通低波红利指数</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摩根标普港股通低波红利指数</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-2,082,864.63</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-2,316,872.58</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-2,527,259.85</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-5,835,066.58</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-0.0099</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-0.0199</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238,347,810.14</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217,328,216.70</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0.8502</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0.8267</w:t>
            </w:r>
          </w:p>
        </w:tc>
      </w:tr>
    </w:tbl>
    <w:p w:rsidR="00E57E12" w:rsidRDefault="00F256B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摩根标普港股通低波红利指数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E57E12">
        <w:tc>
          <w:tcPr>
            <w:tcW w:w="1290" w:type="dxa"/>
            <w:vAlign w:val="center"/>
          </w:tcPr>
          <w:p w:rsidR="00E57E12" w:rsidRDefault="00F256B5">
            <w:pPr>
              <w:jc w:val="left"/>
            </w:pPr>
            <w:r>
              <w:rPr>
                <w:rFonts w:eastAsiaTheme="minorEastAsia"/>
                <w:color w:val="000000" w:themeColor="text1"/>
                <w:szCs w:val="21"/>
              </w:rPr>
              <w:t>过去三个月</w:t>
            </w:r>
          </w:p>
        </w:tc>
        <w:tc>
          <w:tcPr>
            <w:tcW w:w="1291" w:type="dxa"/>
            <w:vAlign w:val="center"/>
          </w:tcPr>
          <w:p w:rsidR="00E57E12" w:rsidRDefault="00F256B5">
            <w:pPr>
              <w:jc w:val="right"/>
            </w:pPr>
            <w:r>
              <w:rPr>
                <w:rFonts w:eastAsiaTheme="minorEastAsia"/>
                <w:color w:val="000000" w:themeColor="text1"/>
                <w:szCs w:val="21"/>
              </w:rPr>
              <w:t>-1.55%</w:t>
            </w:r>
          </w:p>
        </w:tc>
        <w:tc>
          <w:tcPr>
            <w:tcW w:w="1291" w:type="dxa"/>
            <w:vAlign w:val="center"/>
          </w:tcPr>
          <w:p w:rsidR="00E57E12" w:rsidRDefault="00F256B5">
            <w:pPr>
              <w:jc w:val="right"/>
            </w:pPr>
            <w:r>
              <w:rPr>
                <w:rFonts w:eastAsiaTheme="minorEastAsia"/>
                <w:color w:val="000000" w:themeColor="text1"/>
                <w:szCs w:val="21"/>
              </w:rPr>
              <w:t>0.93%</w:t>
            </w:r>
          </w:p>
        </w:tc>
        <w:tc>
          <w:tcPr>
            <w:tcW w:w="1291" w:type="dxa"/>
            <w:vAlign w:val="center"/>
          </w:tcPr>
          <w:p w:rsidR="00E57E12" w:rsidRDefault="00F256B5">
            <w:pPr>
              <w:jc w:val="right"/>
            </w:pPr>
            <w:r>
              <w:rPr>
                <w:rFonts w:eastAsiaTheme="minorEastAsia"/>
                <w:color w:val="000000" w:themeColor="text1"/>
                <w:szCs w:val="21"/>
              </w:rPr>
              <w:t>-1.94%</w:t>
            </w:r>
          </w:p>
        </w:tc>
        <w:tc>
          <w:tcPr>
            <w:tcW w:w="1291" w:type="dxa"/>
            <w:vAlign w:val="center"/>
          </w:tcPr>
          <w:p w:rsidR="00E57E12" w:rsidRDefault="00F256B5">
            <w:pPr>
              <w:jc w:val="right"/>
            </w:pPr>
            <w:r>
              <w:rPr>
                <w:rFonts w:eastAsiaTheme="minorEastAsia"/>
                <w:color w:val="000000" w:themeColor="text1"/>
                <w:szCs w:val="21"/>
              </w:rPr>
              <w:t>0.88%</w:t>
            </w:r>
          </w:p>
        </w:tc>
        <w:tc>
          <w:tcPr>
            <w:tcW w:w="1291" w:type="dxa"/>
            <w:vAlign w:val="center"/>
          </w:tcPr>
          <w:p w:rsidR="00E57E12" w:rsidRDefault="00F256B5">
            <w:pPr>
              <w:jc w:val="right"/>
            </w:pPr>
            <w:r>
              <w:rPr>
                <w:rFonts w:eastAsiaTheme="minorEastAsia"/>
                <w:color w:val="000000" w:themeColor="text1"/>
                <w:szCs w:val="21"/>
              </w:rPr>
              <w:t>0.39%</w:t>
            </w:r>
          </w:p>
        </w:tc>
        <w:tc>
          <w:tcPr>
            <w:tcW w:w="1291" w:type="dxa"/>
            <w:vAlign w:val="center"/>
          </w:tcPr>
          <w:p w:rsidR="00E57E12" w:rsidRDefault="00F256B5">
            <w:pPr>
              <w:jc w:val="right"/>
            </w:pPr>
            <w:r>
              <w:rPr>
                <w:rFonts w:eastAsiaTheme="minorEastAsia"/>
                <w:color w:val="000000" w:themeColor="text1"/>
                <w:szCs w:val="21"/>
              </w:rPr>
              <w:t>0.05%</w:t>
            </w:r>
          </w:p>
        </w:tc>
      </w:tr>
      <w:tr w:rsidR="00E57E12">
        <w:tc>
          <w:tcPr>
            <w:tcW w:w="1290" w:type="dxa"/>
            <w:vAlign w:val="center"/>
          </w:tcPr>
          <w:p w:rsidR="00E57E12" w:rsidRDefault="00F256B5">
            <w:pPr>
              <w:jc w:val="left"/>
            </w:pPr>
            <w:r>
              <w:rPr>
                <w:rFonts w:eastAsiaTheme="minorEastAsia"/>
                <w:color w:val="000000" w:themeColor="text1"/>
                <w:szCs w:val="21"/>
              </w:rPr>
              <w:lastRenderedPageBreak/>
              <w:t>过去六个月</w:t>
            </w:r>
          </w:p>
        </w:tc>
        <w:tc>
          <w:tcPr>
            <w:tcW w:w="1291" w:type="dxa"/>
            <w:vAlign w:val="center"/>
          </w:tcPr>
          <w:p w:rsidR="00E57E12" w:rsidRDefault="00F256B5">
            <w:pPr>
              <w:jc w:val="right"/>
            </w:pPr>
            <w:r>
              <w:rPr>
                <w:rFonts w:eastAsiaTheme="minorEastAsia"/>
                <w:color w:val="000000" w:themeColor="text1"/>
                <w:szCs w:val="21"/>
              </w:rPr>
              <w:t>-6.58%</w:t>
            </w:r>
          </w:p>
        </w:tc>
        <w:tc>
          <w:tcPr>
            <w:tcW w:w="1291" w:type="dxa"/>
            <w:vAlign w:val="center"/>
          </w:tcPr>
          <w:p w:rsidR="00E57E12" w:rsidRDefault="00F256B5">
            <w:pPr>
              <w:jc w:val="right"/>
            </w:pPr>
            <w:r>
              <w:rPr>
                <w:rFonts w:eastAsiaTheme="minorEastAsia"/>
                <w:color w:val="000000" w:themeColor="text1"/>
                <w:szCs w:val="21"/>
              </w:rPr>
              <w:t>0.93%</w:t>
            </w:r>
          </w:p>
        </w:tc>
        <w:tc>
          <w:tcPr>
            <w:tcW w:w="1291" w:type="dxa"/>
            <w:vAlign w:val="center"/>
          </w:tcPr>
          <w:p w:rsidR="00E57E12" w:rsidRDefault="00F256B5">
            <w:pPr>
              <w:jc w:val="right"/>
            </w:pPr>
            <w:r>
              <w:rPr>
                <w:rFonts w:eastAsiaTheme="minorEastAsia"/>
                <w:color w:val="000000" w:themeColor="text1"/>
                <w:szCs w:val="21"/>
              </w:rPr>
              <w:t>-8.62%</w:t>
            </w:r>
          </w:p>
        </w:tc>
        <w:tc>
          <w:tcPr>
            <w:tcW w:w="1291" w:type="dxa"/>
            <w:vAlign w:val="center"/>
          </w:tcPr>
          <w:p w:rsidR="00E57E12" w:rsidRDefault="00F256B5">
            <w:pPr>
              <w:jc w:val="right"/>
            </w:pPr>
            <w:r>
              <w:rPr>
                <w:rFonts w:eastAsiaTheme="minorEastAsia"/>
                <w:color w:val="000000" w:themeColor="text1"/>
                <w:szCs w:val="21"/>
              </w:rPr>
              <w:t>0.88%</w:t>
            </w:r>
          </w:p>
        </w:tc>
        <w:tc>
          <w:tcPr>
            <w:tcW w:w="1291" w:type="dxa"/>
            <w:vAlign w:val="center"/>
          </w:tcPr>
          <w:p w:rsidR="00E57E12" w:rsidRDefault="00F256B5">
            <w:pPr>
              <w:jc w:val="right"/>
            </w:pPr>
            <w:r>
              <w:rPr>
                <w:rFonts w:eastAsiaTheme="minorEastAsia"/>
                <w:color w:val="000000" w:themeColor="text1"/>
                <w:szCs w:val="21"/>
              </w:rPr>
              <w:t>2.04%</w:t>
            </w:r>
          </w:p>
        </w:tc>
        <w:tc>
          <w:tcPr>
            <w:tcW w:w="1291" w:type="dxa"/>
            <w:vAlign w:val="center"/>
          </w:tcPr>
          <w:p w:rsidR="00E57E12" w:rsidRDefault="00F256B5">
            <w:pPr>
              <w:jc w:val="right"/>
            </w:pPr>
            <w:r>
              <w:rPr>
                <w:rFonts w:eastAsiaTheme="minorEastAsia"/>
                <w:color w:val="000000" w:themeColor="text1"/>
                <w:szCs w:val="21"/>
              </w:rPr>
              <w:t>0.05%</w:t>
            </w:r>
          </w:p>
        </w:tc>
      </w:tr>
      <w:tr w:rsidR="00E57E12">
        <w:tc>
          <w:tcPr>
            <w:tcW w:w="1290" w:type="dxa"/>
            <w:vAlign w:val="center"/>
          </w:tcPr>
          <w:p w:rsidR="00E57E12" w:rsidRDefault="00F256B5">
            <w:pPr>
              <w:jc w:val="left"/>
            </w:pPr>
            <w:r>
              <w:rPr>
                <w:rFonts w:eastAsiaTheme="minorEastAsia"/>
                <w:color w:val="000000" w:themeColor="text1"/>
                <w:szCs w:val="21"/>
              </w:rPr>
              <w:t>过去一年</w:t>
            </w:r>
          </w:p>
        </w:tc>
        <w:tc>
          <w:tcPr>
            <w:tcW w:w="1291" w:type="dxa"/>
            <w:vAlign w:val="center"/>
          </w:tcPr>
          <w:p w:rsidR="00E57E12" w:rsidRDefault="00F256B5">
            <w:pPr>
              <w:jc w:val="right"/>
            </w:pPr>
            <w:r>
              <w:rPr>
                <w:rFonts w:eastAsiaTheme="minorEastAsia"/>
                <w:color w:val="000000" w:themeColor="text1"/>
                <w:szCs w:val="21"/>
              </w:rPr>
              <w:t>1.71%</w:t>
            </w:r>
          </w:p>
        </w:tc>
        <w:tc>
          <w:tcPr>
            <w:tcW w:w="1291" w:type="dxa"/>
            <w:vAlign w:val="center"/>
          </w:tcPr>
          <w:p w:rsidR="00E57E12" w:rsidRDefault="00F256B5">
            <w:pPr>
              <w:jc w:val="right"/>
            </w:pPr>
            <w:r>
              <w:rPr>
                <w:rFonts w:eastAsiaTheme="minorEastAsia"/>
                <w:color w:val="000000" w:themeColor="text1"/>
                <w:szCs w:val="21"/>
              </w:rPr>
              <w:t>0.93%</w:t>
            </w:r>
          </w:p>
        </w:tc>
        <w:tc>
          <w:tcPr>
            <w:tcW w:w="1291" w:type="dxa"/>
            <w:vAlign w:val="center"/>
          </w:tcPr>
          <w:p w:rsidR="00E57E12" w:rsidRDefault="00F256B5">
            <w:pPr>
              <w:jc w:val="right"/>
            </w:pPr>
            <w:r>
              <w:rPr>
                <w:rFonts w:eastAsiaTheme="minorEastAsia"/>
                <w:color w:val="000000" w:themeColor="text1"/>
                <w:szCs w:val="21"/>
              </w:rPr>
              <w:t>-1.46%</w:t>
            </w:r>
          </w:p>
        </w:tc>
        <w:tc>
          <w:tcPr>
            <w:tcW w:w="1291" w:type="dxa"/>
            <w:vAlign w:val="center"/>
          </w:tcPr>
          <w:p w:rsidR="00E57E12" w:rsidRDefault="00F256B5">
            <w:pPr>
              <w:jc w:val="right"/>
            </w:pPr>
            <w:r>
              <w:rPr>
                <w:rFonts w:eastAsiaTheme="minorEastAsia"/>
                <w:color w:val="000000" w:themeColor="text1"/>
                <w:szCs w:val="21"/>
              </w:rPr>
              <w:t>0.89%</w:t>
            </w:r>
          </w:p>
        </w:tc>
        <w:tc>
          <w:tcPr>
            <w:tcW w:w="1291" w:type="dxa"/>
            <w:vAlign w:val="center"/>
          </w:tcPr>
          <w:p w:rsidR="00E57E12" w:rsidRDefault="00F256B5">
            <w:pPr>
              <w:jc w:val="right"/>
            </w:pPr>
            <w:r>
              <w:rPr>
                <w:rFonts w:eastAsiaTheme="minorEastAsia"/>
                <w:color w:val="000000" w:themeColor="text1"/>
                <w:szCs w:val="21"/>
              </w:rPr>
              <w:t>3.17%</w:t>
            </w:r>
          </w:p>
        </w:tc>
        <w:tc>
          <w:tcPr>
            <w:tcW w:w="1291" w:type="dxa"/>
            <w:vAlign w:val="center"/>
          </w:tcPr>
          <w:p w:rsidR="00E57E12" w:rsidRDefault="00F256B5">
            <w:pPr>
              <w:jc w:val="right"/>
            </w:pPr>
            <w:r>
              <w:rPr>
                <w:rFonts w:eastAsiaTheme="minorEastAsia"/>
                <w:color w:val="000000" w:themeColor="text1"/>
                <w:szCs w:val="21"/>
              </w:rPr>
              <w:t>0.04%</w:t>
            </w:r>
          </w:p>
        </w:tc>
      </w:tr>
      <w:tr w:rsidR="00E57E12">
        <w:tc>
          <w:tcPr>
            <w:tcW w:w="1290" w:type="dxa"/>
            <w:vAlign w:val="center"/>
          </w:tcPr>
          <w:p w:rsidR="00E57E12" w:rsidRDefault="00F256B5">
            <w:pPr>
              <w:jc w:val="left"/>
            </w:pPr>
            <w:r>
              <w:rPr>
                <w:rFonts w:eastAsiaTheme="minorEastAsia"/>
                <w:color w:val="000000" w:themeColor="text1"/>
                <w:szCs w:val="21"/>
              </w:rPr>
              <w:t>过去三年</w:t>
            </w:r>
          </w:p>
        </w:tc>
        <w:tc>
          <w:tcPr>
            <w:tcW w:w="1291" w:type="dxa"/>
            <w:vAlign w:val="center"/>
          </w:tcPr>
          <w:p w:rsidR="00E57E12" w:rsidRDefault="00F256B5">
            <w:pPr>
              <w:jc w:val="right"/>
            </w:pPr>
            <w:r>
              <w:rPr>
                <w:rFonts w:eastAsiaTheme="minorEastAsia"/>
                <w:color w:val="000000" w:themeColor="text1"/>
                <w:szCs w:val="21"/>
              </w:rPr>
              <w:t>9.52%</w:t>
            </w:r>
          </w:p>
        </w:tc>
        <w:tc>
          <w:tcPr>
            <w:tcW w:w="1291" w:type="dxa"/>
            <w:vAlign w:val="center"/>
          </w:tcPr>
          <w:p w:rsidR="00E57E12" w:rsidRDefault="00F256B5">
            <w:pPr>
              <w:jc w:val="right"/>
            </w:pPr>
            <w:r>
              <w:rPr>
                <w:rFonts w:eastAsiaTheme="minorEastAsia"/>
                <w:color w:val="000000" w:themeColor="text1"/>
                <w:szCs w:val="21"/>
              </w:rPr>
              <w:t>1.00%</w:t>
            </w:r>
          </w:p>
        </w:tc>
        <w:tc>
          <w:tcPr>
            <w:tcW w:w="1291" w:type="dxa"/>
            <w:vAlign w:val="center"/>
          </w:tcPr>
          <w:p w:rsidR="00E57E12" w:rsidRDefault="00F256B5">
            <w:pPr>
              <w:jc w:val="right"/>
            </w:pPr>
            <w:r>
              <w:rPr>
                <w:rFonts w:eastAsiaTheme="minorEastAsia"/>
                <w:color w:val="000000" w:themeColor="text1"/>
                <w:szCs w:val="21"/>
              </w:rPr>
              <w:t>1.01%</w:t>
            </w:r>
          </w:p>
        </w:tc>
        <w:tc>
          <w:tcPr>
            <w:tcW w:w="1291" w:type="dxa"/>
            <w:vAlign w:val="center"/>
          </w:tcPr>
          <w:p w:rsidR="00E57E12" w:rsidRDefault="00F256B5">
            <w:pPr>
              <w:jc w:val="right"/>
            </w:pPr>
            <w:r>
              <w:rPr>
                <w:rFonts w:eastAsiaTheme="minorEastAsia"/>
                <w:color w:val="000000" w:themeColor="text1"/>
                <w:szCs w:val="21"/>
              </w:rPr>
              <w:t>0.99%</w:t>
            </w:r>
          </w:p>
        </w:tc>
        <w:tc>
          <w:tcPr>
            <w:tcW w:w="1291" w:type="dxa"/>
            <w:vAlign w:val="center"/>
          </w:tcPr>
          <w:p w:rsidR="00E57E12" w:rsidRDefault="00F256B5">
            <w:pPr>
              <w:jc w:val="right"/>
            </w:pPr>
            <w:r>
              <w:rPr>
                <w:rFonts w:eastAsiaTheme="minorEastAsia"/>
                <w:color w:val="000000" w:themeColor="text1"/>
                <w:szCs w:val="21"/>
              </w:rPr>
              <w:t>8.51%</w:t>
            </w:r>
          </w:p>
        </w:tc>
        <w:tc>
          <w:tcPr>
            <w:tcW w:w="1291" w:type="dxa"/>
            <w:vAlign w:val="center"/>
          </w:tcPr>
          <w:p w:rsidR="00E57E12" w:rsidRDefault="00F256B5">
            <w:pPr>
              <w:jc w:val="right"/>
            </w:pPr>
            <w:r>
              <w:rPr>
                <w:rFonts w:eastAsiaTheme="minorEastAsia"/>
                <w:color w:val="000000" w:themeColor="text1"/>
                <w:szCs w:val="21"/>
              </w:rPr>
              <w:t>0.01%</w:t>
            </w:r>
          </w:p>
        </w:tc>
      </w:tr>
      <w:tr w:rsidR="00E57E12">
        <w:tc>
          <w:tcPr>
            <w:tcW w:w="1290" w:type="dxa"/>
            <w:vAlign w:val="center"/>
          </w:tcPr>
          <w:p w:rsidR="00E57E12" w:rsidRDefault="00F256B5">
            <w:pPr>
              <w:jc w:val="left"/>
            </w:pPr>
            <w:r>
              <w:rPr>
                <w:rFonts w:eastAsiaTheme="minorEastAsia"/>
                <w:color w:val="000000" w:themeColor="text1"/>
                <w:szCs w:val="21"/>
              </w:rPr>
              <w:t>过去五年</w:t>
            </w:r>
          </w:p>
        </w:tc>
        <w:tc>
          <w:tcPr>
            <w:tcW w:w="1291" w:type="dxa"/>
            <w:vAlign w:val="center"/>
          </w:tcPr>
          <w:p w:rsidR="00E57E12" w:rsidRDefault="00F256B5">
            <w:pPr>
              <w:jc w:val="right"/>
            </w:pPr>
            <w:r>
              <w:rPr>
                <w:rFonts w:eastAsiaTheme="minorEastAsia"/>
                <w:color w:val="000000" w:themeColor="text1"/>
                <w:szCs w:val="21"/>
              </w:rPr>
              <w:t>-10.96%</w:t>
            </w:r>
          </w:p>
        </w:tc>
        <w:tc>
          <w:tcPr>
            <w:tcW w:w="1291" w:type="dxa"/>
            <w:vAlign w:val="center"/>
          </w:tcPr>
          <w:p w:rsidR="00E57E12" w:rsidRDefault="00F256B5">
            <w:pPr>
              <w:jc w:val="right"/>
            </w:pPr>
            <w:r>
              <w:rPr>
                <w:rFonts w:eastAsiaTheme="minorEastAsia"/>
                <w:color w:val="000000" w:themeColor="text1"/>
                <w:szCs w:val="21"/>
              </w:rPr>
              <w:t>1.04%</w:t>
            </w:r>
          </w:p>
        </w:tc>
        <w:tc>
          <w:tcPr>
            <w:tcW w:w="1291" w:type="dxa"/>
            <w:vAlign w:val="center"/>
          </w:tcPr>
          <w:p w:rsidR="00E57E12" w:rsidRDefault="00F256B5">
            <w:pPr>
              <w:jc w:val="right"/>
            </w:pPr>
            <w:r>
              <w:rPr>
                <w:rFonts w:eastAsiaTheme="minorEastAsia"/>
                <w:color w:val="000000" w:themeColor="text1"/>
                <w:szCs w:val="21"/>
              </w:rPr>
              <w:t>-21.29%</w:t>
            </w:r>
          </w:p>
        </w:tc>
        <w:tc>
          <w:tcPr>
            <w:tcW w:w="1291" w:type="dxa"/>
            <w:vAlign w:val="center"/>
          </w:tcPr>
          <w:p w:rsidR="00E57E12" w:rsidRDefault="00F256B5">
            <w:pPr>
              <w:jc w:val="right"/>
            </w:pPr>
            <w:r>
              <w:rPr>
                <w:rFonts w:eastAsiaTheme="minorEastAsia"/>
                <w:color w:val="000000" w:themeColor="text1"/>
                <w:szCs w:val="21"/>
              </w:rPr>
              <w:t>1.02%</w:t>
            </w:r>
          </w:p>
        </w:tc>
        <w:tc>
          <w:tcPr>
            <w:tcW w:w="1291" w:type="dxa"/>
            <w:vAlign w:val="center"/>
          </w:tcPr>
          <w:p w:rsidR="00E57E12" w:rsidRDefault="00F256B5">
            <w:pPr>
              <w:jc w:val="right"/>
            </w:pPr>
            <w:r>
              <w:rPr>
                <w:rFonts w:eastAsiaTheme="minorEastAsia"/>
                <w:color w:val="000000" w:themeColor="text1"/>
                <w:szCs w:val="21"/>
              </w:rPr>
              <w:t>10.33%</w:t>
            </w:r>
          </w:p>
        </w:tc>
        <w:tc>
          <w:tcPr>
            <w:tcW w:w="1291" w:type="dxa"/>
            <w:vAlign w:val="center"/>
          </w:tcPr>
          <w:p w:rsidR="00E57E12" w:rsidRDefault="00F256B5">
            <w:pPr>
              <w:jc w:val="right"/>
            </w:pPr>
            <w:r>
              <w:rPr>
                <w:rFonts w:eastAsiaTheme="minorEastAsia"/>
                <w:color w:val="000000" w:themeColor="text1"/>
                <w:szCs w:val="21"/>
              </w:rPr>
              <w:t>0.02%</w:t>
            </w:r>
          </w:p>
        </w:tc>
      </w:tr>
      <w:tr w:rsidR="00E57E12">
        <w:tc>
          <w:tcPr>
            <w:tcW w:w="1290" w:type="dxa"/>
            <w:vAlign w:val="center"/>
          </w:tcPr>
          <w:p w:rsidR="00E57E12" w:rsidRDefault="00F256B5">
            <w:pPr>
              <w:jc w:val="left"/>
            </w:pPr>
            <w:r>
              <w:rPr>
                <w:rFonts w:eastAsiaTheme="minorEastAsia"/>
                <w:color w:val="000000" w:themeColor="text1"/>
                <w:szCs w:val="21"/>
              </w:rPr>
              <w:t>自基金合同生效起至今</w:t>
            </w:r>
          </w:p>
        </w:tc>
        <w:tc>
          <w:tcPr>
            <w:tcW w:w="1291" w:type="dxa"/>
            <w:vAlign w:val="center"/>
          </w:tcPr>
          <w:p w:rsidR="00E57E12" w:rsidRDefault="00F256B5">
            <w:pPr>
              <w:jc w:val="right"/>
            </w:pPr>
            <w:r>
              <w:rPr>
                <w:rFonts w:eastAsiaTheme="minorEastAsia"/>
                <w:color w:val="000000" w:themeColor="text1"/>
                <w:szCs w:val="21"/>
              </w:rPr>
              <w:t>-14.98%</w:t>
            </w:r>
          </w:p>
        </w:tc>
        <w:tc>
          <w:tcPr>
            <w:tcW w:w="1291" w:type="dxa"/>
            <w:vAlign w:val="center"/>
          </w:tcPr>
          <w:p w:rsidR="00E57E12" w:rsidRDefault="00F256B5">
            <w:pPr>
              <w:jc w:val="right"/>
            </w:pPr>
            <w:r>
              <w:rPr>
                <w:rFonts w:eastAsiaTheme="minorEastAsia"/>
                <w:color w:val="000000" w:themeColor="text1"/>
                <w:szCs w:val="21"/>
              </w:rPr>
              <w:t>1.02%</w:t>
            </w:r>
          </w:p>
        </w:tc>
        <w:tc>
          <w:tcPr>
            <w:tcW w:w="1291" w:type="dxa"/>
            <w:vAlign w:val="center"/>
          </w:tcPr>
          <w:p w:rsidR="00E57E12" w:rsidRDefault="00F256B5">
            <w:pPr>
              <w:jc w:val="right"/>
            </w:pPr>
            <w:r>
              <w:rPr>
                <w:rFonts w:eastAsiaTheme="minorEastAsia"/>
                <w:color w:val="000000" w:themeColor="text1"/>
                <w:szCs w:val="21"/>
              </w:rPr>
              <w:t>-25.02%</w:t>
            </w:r>
          </w:p>
        </w:tc>
        <w:tc>
          <w:tcPr>
            <w:tcW w:w="1291" w:type="dxa"/>
            <w:vAlign w:val="center"/>
          </w:tcPr>
          <w:p w:rsidR="00E57E12" w:rsidRDefault="00F256B5">
            <w:pPr>
              <w:jc w:val="right"/>
            </w:pPr>
            <w:r>
              <w:rPr>
                <w:rFonts w:eastAsiaTheme="minorEastAsia"/>
                <w:color w:val="000000" w:themeColor="text1"/>
                <w:szCs w:val="21"/>
              </w:rPr>
              <w:t>0.99%</w:t>
            </w:r>
          </w:p>
        </w:tc>
        <w:tc>
          <w:tcPr>
            <w:tcW w:w="1291" w:type="dxa"/>
            <w:vAlign w:val="center"/>
          </w:tcPr>
          <w:p w:rsidR="00E57E12" w:rsidRDefault="00F256B5">
            <w:pPr>
              <w:jc w:val="right"/>
            </w:pPr>
            <w:r>
              <w:rPr>
                <w:rFonts w:eastAsiaTheme="minorEastAsia"/>
                <w:color w:val="000000" w:themeColor="text1"/>
                <w:szCs w:val="21"/>
              </w:rPr>
              <w:t>10.04%</w:t>
            </w:r>
          </w:p>
        </w:tc>
        <w:tc>
          <w:tcPr>
            <w:tcW w:w="1291" w:type="dxa"/>
            <w:vAlign w:val="center"/>
          </w:tcPr>
          <w:p w:rsidR="00E57E12" w:rsidRDefault="00F256B5">
            <w:pPr>
              <w:jc w:val="right"/>
            </w:pPr>
            <w:r>
              <w:rPr>
                <w:rFonts w:eastAsiaTheme="minorEastAsia"/>
                <w:color w:val="000000" w:themeColor="text1"/>
                <w:szCs w:val="21"/>
              </w:rPr>
              <w:t>0.03%</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摩根标普港股通低波红利指数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E57E12">
        <w:tc>
          <w:tcPr>
            <w:tcW w:w="1290" w:type="dxa"/>
            <w:vAlign w:val="center"/>
          </w:tcPr>
          <w:p w:rsidR="00E57E12" w:rsidRDefault="00F256B5">
            <w:pPr>
              <w:jc w:val="left"/>
            </w:pPr>
            <w:r>
              <w:rPr>
                <w:rFonts w:eastAsiaTheme="minorEastAsia"/>
                <w:color w:val="000000" w:themeColor="text1"/>
                <w:szCs w:val="21"/>
              </w:rPr>
              <w:t>过去三个月</w:t>
            </w:r>
          </w:p>
        </w:tc>
        <w:tc>
          <w:tcPr>
            <w:tcW w:w="1291" w:type="dxa"/>
            <w:vAlign w:val="center"/>
          </w:tcPr>
          <w:p w:rsidR="00E57E12" w:rsidRDefault="00F256B5">
            <w:pPr>
              <w:jc w:val="right"/>
            </w:pPr>
            <w:r>
              <w:rPr>
                <w:rFonts w:eastAsiaTheme="minorEastAsia"/>
                <w:color w:val="000000" w:themeColor="text1"/>
                <w:szCs w:val="21"/>
              </w:rPr>
              <w:t>-1.68%</w:t>
            </w:r>
          </w:p>
        </w:tc>
        <w:tc>
          <w:tcPr>
            <w:tcW w:w="1291" w:type="dxa"/>
            <w:vAlign w:val="center"/>
          </w:tcPr>
          <w:p w:rsidR="00E57E12" w:rsidRDefault="00F256B5">
            <w:pPr>
              <w:jc w:val="right"/>
            </w:pPr>
            <w:r>
              <w:rPr>
                <w:rFonts w:eastAsiaTheme="minorEastAsia"/>
                <w:color w:val="000000" w:themeColor="text1"/>
                <w:szCs w:val="21"/>
              </w:rPr>
              <w:t>0.93%</w:t>
            </w:r>
          </w:p>
        </w:tc>
        <w:tc>
          <w:tcPr>
            <w:tcW w:w="1291" w:type="dxa"/>
            <w:vAlign w:val="center"/>
          </w:tcPr>
          <w:p w:rsidR="00E57E12" w:rsidRDefault="00F256B5">
            <w:pPr>
              <w:jc w:val="right"/>
            </w:pPr>
            <w:r>
              <w:rPr>
                <w:rFonts w:eastAsiaTheme="minorEastAsia"/>
                <w:color w:val="000000" w:themeColor="text1"/>
                <w:szCs w:val="21"/>
              </w:rPr>
              <w:t>-1.94%</w:t>
            </w:r>
          </w:p>
        </w:tc>
        <w:tc>
          <w:tcPr>
            <w:tcW w:w="1291" w:type="dxa"/>
            <w:vAlign w:val="center"/>
          </w:tcPr>
          <w:p w:rsidR="00E57E12" w:rsidRDefault="00F256B5">
            <w:pPr>
              <w:jc w:val="right"/>
            </w:pPr>
            <w:r>
              <w:rPr>
                <w:rFonts w:eastAsiaTheme="minorEastAsia"/>
                <w:color w:val="000000" w:themeColor="text1"/>
                <w:szCs w:val="21"/>
              </w:rPr>
              <w:t>0.88%</w:t>
            </w:r>
          </w:p>
        </w:tc>
        <w:tc>
          <w:tcPr>
            <w:tcW w:w="1291" w:type="dxa"/>
            <w:vAlign w:val="center"/>
          </w:tcPr>
          <w:p w:rsidR="00E57E12" w:rsidRDefault="00F256B5">
            <w:pPr>
              <w:jc w:val="right"/>
            </w:pPr>
            <w:r>
              <w:rPr>
                <w:rFonts w:eastAsiaTheme="minorEastAsia"/>
                <w:color w:val="000000" w:themeColor="text1"/>
                <w:szCs w:val="21"/>
              </w:rPr>
              <w:t>0.26%</w:t>
            </w:r>
          </w:p>
        </w:tc>
        <w:tc>
          <w:tcPr>
            <w:tcW w:w="1291" w:type="dxa"/>
            <w:vAlign w:val="center"/>
          </w:tcPr>
          <w:p w:rsidR="00E57E12" w:rsidRDefault="00F256B5">
            <w:pPr>
              <w:jc w:val="right"/>
            </w:pPr>
            <w:r>
              <w:rPr>
                <w:rFonts w:eastAsiaTheme="minorEastAsia"/>
                <w:color w:val="000000" w:themeColor="text1"/>
                <w:szCs w:val="21"/>
              </w:rPr>
              <w:t>0.05%</w:t>
            </w:r>
          </w:p>
        </w:tc>
      </w:tr>
      <w:tr w:rsidR="00E57E12">
        <w:tc>
          <w:tcPr>
            <w:tcW w:w="1290" w:type="dxa"/>
            <w:vAlign w:val="center"/>
          </w:tcPr>
          <w:p w:rsidR="00E57E12" w:rsidRDefault="00F256B5">
            <w:pPr>
              <w:jc w:val="left"/>
            </w:pPr>
            <w:r>
              <w:rPr>
                <w:rFonts w:eastAsiaTheme="minorEastAsia"/>
                <w:color w:val="000000" w:themeColor="text1"/>
                <w:szCs w:val="21"/>
              </w:rPr>
              <w:t>过去六个月</w:t>
            </w:r>
          </w:p>
        </w:tc>
        <w:tc>
          <w:tcPr>
            <w:tcW w:w="1291" w:type="dxa"/>
            <w:vAlign w:val="center"/>
          </w:tcPr>
          <w:p w:rsidR="00E57E12" w:rsidRDefault="00F256B5">
            <w:pPr>
              <w:jc w:val="right"/>
            </w:pPr>
            <w:r>
              <w:rPr>
                <w:rFonts w:eastAsiaTheme="minorEastAsia"/>
                <w:color w:val="000000" w:themeColor="text1"/>
                <w:szCs w:val="21"/>
              </w:rPr>
              <w:t>-6.82%</w:t>
            </w:r>
          </w:p>
        </w:tc>
        <w:tc>
          <w:tcPr>
            <w:tcW w:w="1291" w:type="dxa"/>
            <w:vAlign w:val="center"/>
          </w:tcPr>
          <w:p w:rsidR="00E57E12" w:rsidRDefault="00F256B5">
            <w:pPr>
              <w:jc w:val="right"/>
            </w:pPr>
            <w:r>
              <w:rPr>
                <w:rFonts w:eastAsiaTheme="minorEastAsia"/>
                <w:color w:val="000000" w:themeColor="text1"/>
                <w:szCs w:val="21"/>
              </w:rPr>
              <w:t>0.93%</w:t>
            </w:r>
          </w:p>
        </w:tc>
        <w:tc>
          <w:tcPr>
            <w:tcW w:w="1291" w:type="dxa"/>
            <w:vAlign w:val="center"/>
          </w:tcPr>
          <w:p w:rsidR="00E57E12" w:rsidRDefault="00F256B5">
            <w:pPr>
              <w:jc w:val="right"/>
            </w:pPr>
            <w:r>
              <w:rPr>
                <w:rFonts w:eastAsiaTheme="minorEastAsia"/>
                <w:color w:val="000000" w:themeColor="text1"/>
                <w:szCs w:val="21"/>
              </w:rPr>
              <w:t>-8.62%</w:t>
            </w:r>
          </w:p>
        </w:tc>
        <w:tc>
          <w:tcPr>
            <w:tcW w:w="1291" w:type="dxa"/>
            <w:vAlign w:val="center"/>
          </w:tcPr>
          <w:p w:rsidR="00E57E12" w:rsidRDefault="00F256B5">
            <w:pPr>
              <w:jc w:val="right"/>
            </w:pPr>
            <w:r>
              <w:rPr>
                <w:rFonts w:eastAsiaTheme="minorEastAsia"/>
                <w:color w:val="000000" w:themeColor="text1"/>
                <w:szCs w:val="21"/>
              </w:rPr>
              <w:t>0.88%</w:t>
            </w:r>
          </w:p>
        </w:tc>
        <w:tc>
          <w:tcPr>
            <w:tcW w:w="1291" w:type="dxa"/>
            <w:vAlign w:val="center"/>
          </w:tcPr>
          <w:p w:rsidR="00E57E12" w:rsidRDefault="00F256B5">
            <w:pPr>
              <w:jc w:val="right"/>
            </w:pPr>
            <w:r>
              <w:rPr>
                <w:rFonts w:eastAsiaTheme="minorEastAsia"/>
                <w:color w:val="000000" w:themeColor="text1"/>
                <w:szCs w:val="21"/>
              </w:rPr>
              <w:t>1.80%</w:t>
            </w:r>
          </w:p>
        </w:tc>
        <w:tc>
          <w:tcPr>
            <w:tcW w:w="1291" w:type="dxa"/>
            <w:vAlign w:val="center"/>
          </w:tcPr>
          <w:p w:rsidR="00E57E12" w:rsidRDefault="00F256B5">
            <w:pPr>
              <w:jc w:val="right"/>
            </w:pPr>
            <w:r>
              <w:rPr>
                <w:rFonts w:eastAsiaTheme="minorEastAsia"/>
                <w:color w:val="000000" w:themeColor="text1"/>
                <w:szCs w:val="21"/>
              </w:rPr>
              <w:t>0.05%</w:t>
            </w:r>
          </w:p>
        </w:tc>
      </w:tr>
      <w:tr w:rsidR="00E57E12">
        <w:tc>
          <w:tcPr>
            <w:tcW w:w="1290" w:type="dxa"/>
            <w:vAlign w:val="center"/>
          </w:tcPr>
          <w:p w:rsidR="00E57E12" w:rsidRDefault="00F256B5">
            <w:pPr>
              <w:jc w:val="left"/>
            </w:pPr>
            <w:r>
              <w:rPr>
                <w:rFonts w:eastAsiaTheme="minorEastAsia"/>
                <w:color w:val="000000" w:themeColor="text1"/>
                <w:szCs w:val="21"/>
              </w:rPr>
              <w:t>过去一年</w:t>
            </w:r>
          </w:p>
        </w:tc>
        <w:tc>
          <w:tcPr>
            <w:tcW w:w="1291" w:type="dxa"/>
            <w:vAlign w:val="center"/>
          </w:tcPr>
          <w:p w:rsidR="00E57E12" w:rsidRDefault="00F256B5">
            <w:pPr>
              <w:jc w:val="right"/>
            </w:pPr>
            <w:r>
              <w:rPr>
                <w:rFonts w:eastAsiaTheme="minorEastAsia"/>
                <w:color w:val="000000" w:themeColor="text1"/>
                <w:szCs w:val="21"/>
              </w:rPr>
              <w:t>1.20%</w:t>
            </w:r>
          </w:p>
        </w:tc>
        <w:tc>
          <w:tcPr>
            <w:tcW w:w="1291" w:type="dxa"/>
            <w:vAlign w:val="center"/>
          </w:tcPr>
          <w:p w:rsidR="00E57E12" w:rsidRDefault="00F256B5">
            <w:pPr>
              <w:jc w:val="right"/>
            </w:pPr>
            <w:r>
              <w:rPr>
                <w:rFonts w:eastAsiaTheme="minorEastAsia"/>
                <w:color w:val="000000" w:themeColor="text1"/>
                <w:szCs w:val="21"/>
              </w:rPr>
              <w:t>0.93%</w:t>
            </w:r>
          </w:p>
        </w:tc>
        <w:tc>
          <w:tcPr>
            <w:tcW w:w="1291" w:type="dxa"/>
            <w:vAlign w:val="center"/>
          </w:tcPr>
          <w:p w:rsidR="00E57E12" w:rsidRDefault="00F256B5">
            <w:pPr>
              <w:jc w:val="right"/>
            </w:pPr>
            <w:r>
              <w:rPr>
                <w:rFonts w:eastAsiaTheme="minorEastAsia"/>
                <w:color w:val="000000" w:themeColor="text1"/>
                <w:szCs w:val="21"/>
              </w:rPr>
              <w:t>-1.46%</w:t>
            </w:r>
          </w:p>
        </w:tc>
        <w:tc>
          <w:tcPr>
            <w:tcW w:w="1291" w:type="dxa"/>
            <w:vAlign w:val="center"/>
          </w:tcPr>
          <w:p w:rsidR="00E57E12" w:rsidRDefault="00F256B5">
            <w:pPr>
              <w:jc w:val="right"/>
            </w:pPr>
            <w:r>
              <w:rPr>
                <w:rFonts w:eastAsiaTheme="minorEastAsia"/>
                <w:color w:val="000000" w:themeColor="text1"/>
                <w:szCs w:val="21"/>
              </w:rPr>
              <w:t>0.89%</w:t>
            </w:r>
          </w:p>
        </w:tc>
        <w:tc>
          <w:tcPr>
            <w:tcW w:w="1291" w:type="dxa"/>
            <w:vAlign w:val="center"/>
          </w:tcPr>
          <w:p w:rsidR="00E57E12" w:rsidRDefault="00F256B5">
            <w:pPr>
              <w:jc w:val="right"/>
            </w:pPr>
            <w:r>
              <w:rPr>
                <w:rFonts w:eastAsiaTheme="minorEastAsia"/>
                <w:color w:val="000000" w:themeColor="text1"/>
                <w:szCs w:val="21"/>
              </w:rPr>
              <w:t>2.66%</w:t>
            </w:r>
          </w:p>
        </w:tc>
        <w:tc>
          <w:tcPr>
            <w:tcW w:w="1291" w:type="dxa"/>
            <w:vAlign w:val="center"/>
          </w:tcPr>
          <w:p w:rsidR="00E57E12" w:rsidRDefault="00F256B5">
            <w:pPr>
              <w:jc w:val="right"/>
            </w:pPr>
            <w:r>
              <w:rPr>
                <w:rFonts w:eastAsiaTheme="minorEastAsia"/>
                <w:color w:val="000000" w:themeColor="text1"/>
                <w:szCs w:val="21"/>
              </w:rPr>
              <w:t>0.04%</w:t>
            </w:r>
          </w:p>
        </w:tc>
      </w:tr>
      <w:tr w:rsidR="00E57E12">
        <w:tc>
          <w:tcPr>
            <w:tcW w:w="1290" w:type="dxa"/>
            <w:vAlign w:val="center"/>
          </w:tcPr>
          <w:p w:rsidR="00E57E12" w:rsidRDefault="00F256B5">
            <w:pPr>
              <w:jc w:val="left"/>
            </w:pPr>
            <w:r>
              <w:rPr>
                <w:rFonts w:eastAsiaTheme="minorEastAsia"/>
                <w:color w:val="000000" w:themeColor="text1"/>
                <w:szCs w:val="21"/>
              </w:rPr>
              <w:t>过去三年</w:t>
            </w:r>
          </w:p>
        </w:tc>
        <w:tc>
          <w:tcPr>
            <w:tcW w:w="1291" w:type="dxa"/>
            <w:vAlign w:val="center"/>
          </w:tcPr>
          <w:p w:rsidR="00E57E12" w:rsidRDefault="00F256B5">
            <w:pPr>
              <w:jc w:val="right"/>
            </w:pPr>
            <w:r>
              <w:rPr>
                <w:rFonts w:eastAsiaTheme="minorEastAsia"/>
                <w:color w:val="000000" w:themeColor="text1"/>
                <w:szCs w:val="21"/>
              </w:rPr>
              <w:t>7.90%</w:t>
            </w:r>
          </w:p>
        </w:tc>
        <w:tc>
          <w:tcPr>
            <w:tcW w:w="1291" w:type="dxa"/>
            <w:vAlign w:val="center"/>
          </w:tcPr>
          <w:p w:rsidR="00E57E12" w:rsidRDefault="00F256B5">
            <w:pPr>
              <w:jc w:val="right"/>
            </w:pPr>
            <w:r>
              <w:rPr>
                <w:rFonts w:eastAsiaTheme="minorEastAsia"/>
                <w:color w:val="000000" w:themeColor="text1"/>
                <w:szCs w:val="21"/>
              </w:rPr>
              <w:t>1.00%</w:t>
            </w:r>
          </w:p>
        </w:tc>
        <w:tc>
          <w:tcPr>
            <w:tcW w:w="1291" w:type="dxa"/>
            <w:vAlign w:val="center"/>
          </w:tcPr>
          <w:p w:rsidR="00E57E12" w:rsidRDefault="00F256B5">
            <w:pPr>
              <w:jc w:val="right"/>
            </w:pPr>
            <w:r>
              <w:rPr>
                <w:rFonts w:eastAsiaTheme="minorEastAsia"/>
                <w:color w:val="000000" w:themeColor="text1"/>
                <w:szCs w:val="21"/>
              </w:rPr>
              <w:t>1.01%</w:t>
            </w:r>
          </w:p>
        </w:tc>
        <w:tc>
          <w:tcPr>
            <w:tcW w:w="1291" w:type="dxa"/>
            <w:vAlign w:val="center"/>
          </w:tcPr>
          <w:p w:rsidR="00E57E12" w:rsidRDefault="00F256B5">
            <w:pPr>
              <w:jc w:val="right"/>
            </w:pPr>
            <w:r>
              <w:rPr>
                <w:rFonts w:eastAsiaTheme="minorEastAsia"/>
                <w:color w:val="000000" w:themeColor="text1"/>
                <w:szCs w:val="21"/>
              </w:rPr>
              <w:t>0.99%</w:t>
            </w:r>
          </w:p>
        </w:tc>
        <w:tc>
          <w:tcPr>
            <w:tcW w:w="1291" w:type="dxa"/>
            <w:vAlign w:val="center"/>
          </w:tcPr>
          <w:p w:rsidR="00E57E12" w:rsidRDefault="00F256B5">
            <w:pPr>
              <w:jc w:val="right"/>
            </w:pPr>
            <w:r>
              <w:rPr>
                <w:rFonts w:eastAsiaTheme="minorEastAsia"/>
                <w:color w:val="000000" w:themeColor="text1"/>
                <w:szCs w:val="21"/>
              </w:rPr>
              <w:t>6.89%</w:t>
            </w:r>
          </w:p>
        </w:tc>
        <w:tc>
          <w:tcPr>
            <w:tcW w:w="1291" w:type="dxa"/>
            <w:vAlign w:val="center"/>
          </w:tcPr>
          <w:p w:rsidR="00E57E12" w:rsidRDefault="00F256B5">
            <w:pPr>
              <w:jc w:val="right"/>
            </w:pPr>
            <w:r>
              <w:rPr>
                <w:rFonts w:eastAsiaTheme="minorEastAsia"/>
                <w:color w:val="000000" w:themeColor="text1"/>
                <w:szCs w:val="21"/>
              </w:rPr>
              <w:t>0.01%</w:t>
            </w:r>
          </w:p>
        </w:tc>
      </w:tr>
      <w:tr w:rsidR="00E57E12">
        <w:tc>
          <w:tcPr>
            <w:tcW w:w="1290" w:type="dxa"/>
            <w:vAlign w:val="center"/>
          </w:tcPr>
          <w:p w:rsidR="00E57E12" w:rsidRDefault="00F256B5">
            <w:pPr>
              <w:jc w:val="left"/>
            </w:pPr>
            <w:r>
              <w:rPr>
                <w:rFonts w:eastAsiaTheme="minorEastAsia"/>
                <w:color w:val="000000" w:themeColor="text1"/>
                <w:szCs w:val="21"/>
              </w:rPr>
              <w:t>过去五年</w:t>
            </w:r>
          </w:p>
        </w:tc>
        <w:tc>
          <w:tcPr>
            <w:tcW w:w="1291" w:type="dxa"/>
            <w:vAlign w:val="center"/>
          </w:tcPr>
          <w:p w:rsidR="00E57E12" w:rsidRDefault="00F256B5">
            <w:pPr>
              <w:jc w:val="right"/>
            </w:pPr>
            <w:r>
              <w:rPr>
                <w:rFonts w:eastAsiaTheme="minorEastAsia"/>
                <w:color w:val="000000" w:themeColor="text1"/>
                <w:szCs w:val="21"/>
              </w:rPr>
              <w:t>-13.04%</w:t>
            </w:r>
          </w:p>
        </w:tc>
        <w:tc>
          <w:tcPr>
            <w:tcW w:w="1291" w:type="dxa"/>
            <w:vAlign w:val="center"/>
          </w:tcPr>
          <w:p w:rsidR="00E57E12" w:rsidRDefault="00F256B5">
            <w:pPr>
              <w:jc w:val="right"/>
            </w:pPr>
            <w:r>
              <w:rPr>
                <w:rFonts w:eastAsiaTheme="minorEastAsia"/>
                <w:color w:val="000000" w:themeColor="text1"/>
                <w:szCs w:val="21"/>
              </w:rPr>
              <w:t>1.04%</w:t>
            </w:r>
          </w:p>
        </w:tc>
        <w:tc>
          <w:tcPr>
            <w:tcW w:w="1291" w:type="dxa"/>
            <w:vAlign w:val="center"/>
          </w:tcPr>
          <w:p w:rsidR="00E57E12" w:rsidRDefault="00F256B5">
            <w:pPr>
              <w:jc w:val="right"/>
            </w:pPr>
            <w:r>
              <w:rPr>
                <w:rFonts w:eastAsiaTheme="minorEastAsia"/>
                <w:color w:val="000000" w:themeColor="text1"/>
                <w:szCs w:val="21"/>
              </w:rPr>
              <w:t>-21.29%</w:t>
            </w:r>
          </w:p>
        </w:tc>
        <w:tc>
          <w:tcPr>
            <w:tcW w:w="1291" w:type="dxa"/>
            <w:vAlign w:val="center"/>
          </w:tcPr>
          <w:p w:rsidR="00E57E12" w:rsidRDefault="00F256B5">
            <w:pPr>
              <w:jc w:val="right"/>
            </w:pPr>
            <w:r>
              <w:rPr>
                <w:rFonts w:eastAsiaTheme="minorEastAsia"/>
                <w:color w:val="000000" w:themeColor="text1"/>
                <w:szCs w:val="21"/>
              </w:rPr>
              <w:t>1.02%</w:t>
            </w:r>
          </w:p>
        </w:tc>
        <w:tc>
          <w:tcPr>
            <w:tcW w:w="1291" w:type="dxa"/>
            <w:vAlign w:val="center"/>
          </w:tcPr>
          <w:p w:rsidR="00E57E12" w:rsidRDefault="00F256B5">
            <w:pPr>
              <w:jc w:val="right"/>
            </w:pPr>
            <w:r>
              <w:rPr>
                <w:rFonts w:eastAsiaTheme="minorEastAsia"/>
                <w:color w:val="000000" w:themeColor="text1"/>
                <w:szCs w:val="21"/>
              </w:rPr>
              <w:t>8.25%</w:t>
            </w:r>
          </w:p>
        </w:tc>
        <w:tc>
          <w:tcPr>
            <w:tcW w:w="1291" w:type="dxa"/>
            <w:vAlign w:val="center"/>
          </w:tcPr>
          <w:p w:rsidR="00E57E12" w:rsidRDefault="00F256B5">
            <w:pPr>
              <w:jc w:val="right"/>
            </w:pPr>
            <w:r>
              <w:rPr>
                <w:rFonts w:eastAsiaTheme="minorEastAsia"/>
                <w:color w:val="000000" w:themeColor="text1"/>
                <w:szCs w:val="21"/>
              </w:rPr>
              <w:t>0.02%</w:t>
            </w:r>
          </w:p>
        </w:tc>
      </w:tr>
      <w:tr w:rsidR="00E57E12">
        <w:tc>
          <w:tcPr>
            <w:tcW w:w="1290" w:type="dxa"/>
            <w:vAlign w:val="center"/>
          </w:tcPr>
          <w:p w:rsidR="00E57E12" w:rsidRDefault="00F256B5">
            <w:pPr>
              <w:jc w:val="left"/>
            </w:pPr>
            <w:r>
              <w:rPr>
                <w:rFonts w:eastAsiaTheme="minorEastAsia"/>
                <w:color w:val="000000" w:themeColor="text1"/>
                <w:szCs w:val="21"/>
              </w:rPr>
              <w:t>自基金合同生效起至今</w:t>
            </w:r>
          </w:p>
        </w:tc>
        <w:tc>
          <w:tcPr>
            <w:tcW w:w="1291" w:type="dxa"/>
            <w:vAlign w:val="center"/>
          </w:tcPr>
          <w:p w:rsidR="00E57E12" w:rsidRDefault="00F256B5">
            <w:pPr>
              <w:jc w:val="right"/>
            </w:pPr>
            <w:r>
              <w:rPr>
                <w:rFonts w:eastAsiaTheme="minorEastAsia"/>
                <w:color w:val="000000" w:themeColor="text1"/>
                <w:szCs w:val="21"/>
              </w:rPr>
              <w:t>-17.33%</w:t>
            </w:r>
          </w:p>
        </w:tc>
        <w:tc>
          <w:tcPr>
            <w:tcW w:w="1291" w:type="dxa"/>
            <w:vAlign w:val="center"/>
          </w:tcPr>
          <w:p w:rsidR="00E57E12" w:rsidRDefault="00F256B5">
            <w:pPr>
              <w:jc w:val="right"/>
            </w:pPr>
            <w:r>
              <w:rPr>
                <w:rFonts w:eastAsiaTheme="minorEastAsia"/>
                <w:color w:val="000000" w:themeColor="text1"/>
                <w:szCs w:val="21"/>
              </w:rPr>
              <w:t>1.02%</w:t>
            </w:r>
          </w:p>
        </w:tc>
        <w:tc>
          <w:tcPr>
            <w:tcW w:w="1291" w:type="dxa"/>
            <w:vAlign w:val="center"/>
          </w:tcPr>
          <w:p w:rsidR="00E57E12" w:rsidRDefault="00F256B5">
            <w:pPr>
              <w:jc w:val="right"/>
            </w:pPr>
            <w:r>
              <w:rPr>
                <w:rFonts w:eastAsiaTheme="minorEastAsia"/>
                <w:color w:val="000000" w:themeColor="text1"/>
                <w:szCs w:val="21"/>
              </w:rPr>
              <w:t>-25.02%</w:t>
            </w:r>
          </w:p>
        </w:tc>
        <w:tc>
          <w:tcPr>
            <w:tcW w:w="1291" w:type="dxa"/>
            <w:vAlign w:val="center"/>
          </w:tcPr>
          <w:p w:rsidR="00E57E12" w:rsidRDefault="00F256B5">
            <w:pPr>
              <w:jc w:val="right"/>
            </w:pPr>
            <w:r>
              <w:rPr>
                <w:rFonts w:eastAsiaTheme="minorEastAsia"/>
                <w:color w:val="000000" w:themeColor="text1"/>
                <w:szCs w:val="21"/>
              </w:rPr>
              <w:t>0.99%</w:t>
            </w:r>
          </w:p>
        </w:tc>
        <w:tc>
          <w:tcPr>
            <w:tcW w:w="1291" w:type="dxa"/>
            <w:vAlign w:val="center"/>
          </w:tcPr>
          <w:p w:rsidR="00E57E12" w:rsidRDefault="00F256B5">
            <w:pPr>
              <w:jc w:val="right"/>
            </w:pPr>
            <w:r>
              <w:rPr>
                <w:rFonts w:eastAsiaTheme="minorEastAsia"/>
                <w:color w:val="000000" w:themeColor="text1"/>
                <w:szCs w:val="21"/>
              </w:rPr>
              <w:t>7.69%</w:t>
            </w:r>
          </w:p>
        </w:tc>
        <w:tc>
          <w:tcPr>
            <w:tcW w:w="1291" w:type="dxa"/>
            <w:vAlign w:val="center"/>
          </w:tcPr>
          <w:p w:rsidR="00E57E12" w:rsidRDefault="00F256B5">
            <w:pPr>
              <w:jc w:val="right"/>
            </w:pPr>
            <w:r>
              <w:rPr>
                <w:rFonts w:eastAsiaTheme="minorEastAsia"/>
                <w:color w:val="000000" w:themeColor="text1"/>
                <w:szCs w:val="21"/>
              </w:rPr>
              <w:t>0.03%</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摩根标普港股通低波红利指数型证券投资基金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(2017</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4</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2023</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31</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．摩根标普港股通低波红利指数</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lastRenderedPageBreak/>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57E12" w:rsidRDefault="00F256B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．摩根标普港股通低波红利指数</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57E12" w:rsidRDefault="00F256B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w:t>
      </w:r>
      <w:r w:rsidRPr="00EE3DBC">
        <w:rPr>
          <w:rFonts w:eastAsiaTheme="minorEastAsia"/>
          <w:color w:val="000000" w:themeColor="text1"/>
          <w:szCs w:val="21"/>
        </w:rPr>
        <w:lastRenderedPageBreak/>
        <w:t>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E57E12">
        <w:tc>
          <w:tcPr>
            <w:tcW w:w="952" w:type="dxa"/>
            <w:vAlign w:val="center"/>
          </w:tcPr>
          <w:p w:rsidR="00E57E12" w:rsidRDefault="00F256B5">
            <w:pPr>
              <w:jc w:val="center"/>
            </w:pPr>
            <w:r>
              <w:rPr>
                <w:rFonts w:eastAsiaTheme="minorEastAsia"/>
                <w:color w:val="000000" w:themeColor="text1"/>
                <w:sz w:val="24"/>
              </w:rPr>
              <w:t>胡迪</w:t>
            </w:r>
          </w:p>
        </w:tc>
        <w:tc>
          <w:tcPr>
            <w:tcW w:w="930" w:type="dxa"/>
            <w:vAlign w:val="center"/>
          </w:tcPr>
          <w:p w:rsidR="00E57E12" w:rsidRDefault="00F256B5">
            <w:pPr>
              <w:jc w:val="center"/>
            </w:pPr>
            <w:r>
              <w:rPr>
                <w:rFonts w:eastAsiaTheme="minorEastAsia"/>
                <w:color w:val="000000" w:themeColor="text1"/>
                <w:sz w:val="24"/>
              </w:rPr>
              <w:t>本基金基金经理、指数及量化投资部总监</w:t>
            </w:r>
          </w:p>
        </w:tc>
        <w:tc>
          <w:tcPr>
            <w:tcW w:w="1210" w:type="dxa"/>
            <w:vAlign w:val="center"/>
          </w:tcPr>
          <w:p w:rsidR="00E57E12" w:rsidRDefault="00F256B5">
            <w:pPr>
              <w:jc w:val="center"/>
            </w:pPr>
            <w:r>
              <w:rPr>
                <w:rFonts w:eastAsiaTheme="minorEastAsia"/>
                <w:color w:val="000000" w:themeColor="text1"/>
                <w:sz w:val="24"/>
              </w:rPr>
              <w:t>2021-01-07</w:t>
            </w:r>
          </w:p>
        </w:tc>
        <w:tc>
          <w:tcPr>
            <w:tcW w:w="1309" w:type="dxa"/>
            <w:vAlign w:val="center"/>
          </w:tcPr>
          <w:p w:rsidR="00E57E12" w:rsidRDefault="00F256B5">
            <w:pPr>
              <w:jc w:val="center"/>
            </w:pPr>
            <w:r>
              <w:rPr>
                <w:rFonts w:eastAsiaTheme="minorEastAsia"/>
                <w:color w:val="000000" w:themeColor="text1"/>
                <w:sz w:val="24"/>
              </w:rPr>
              <w:t>-</w:t>
            </w:r>
          </w:p>
        </w:tc>
        <w:tc>
          <w:tcPr>
            <w:tcW w:w="1254" w:type="dxa"/>
            <w:vAlign w:val="center"/>
          </w:tcPr>
          <w:p w:rsidR="00E57E12" w:rsidRDefault="00F256B5">
            <w:pPr>
              <w:jc w:val="center"/>
            </w:pPr>
            <w:r>
              <w:rPr>
                <w:rFonts w:eastAsiaTheme="minorEastAsia"/>
                <w:color w:val="000000" w:themeColor="text1"/>
                <w:sz w:val="24"/>
              </w:rPr>
              <w:t>16</w:t>
            </w:r>
            <w:r>
              <w:rPr>
                <w:rFonts w:eastAsiaTheme="minorEastAsia"/>
                <w:color w:val="000000" w:themeColor="text1"/>
                <w:sz w:val="24"/>
              </w:rPr>
              <w:t>年</w:t>
            </w:r>
          </w:p>
        </w:tc>
        <w:tc>
          <w:tcPr>
            <w:tcW w:w="3276" w:type="dxa"/>
            <w:vAlign w:val="center"/>
          </w:tcPr>
          <w:p w:rsidR="00E57E12" w:rsidRDefault="00F256B5">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r w:rsidR="00E57E12">
        <w:tc>
          <w:tcPr>
            <w:tcW w:w="952" w:type="dxa"/>
            <w:vAlign w:val="center"/>
          </w:tcPr>
          <w:p w:rsidR="00E57E12" w:rsidRDefault="00F256B5">
            <w:pPr>
              <w:jc w:val="center"/>
            </w:pPr>
            <w:r>
              <w:rPr>
                <w:rFonts w:eastAsiaTheme="minorEastAsia"/>
                <w:color w:val="000000" w:themeColor="text1"/>
                <w:sz w:val="24"/>
              </w:rPr>
              <w:t>何智豪</w:t>
            </w:r>
          </w:p>
        </w:tc>
        <w:tc>
          <w:tcPr>
            <w:tcW w:w="930" w:type="dxa"/>
            <w:vAlign w:val="center"/>
          </w:tcPr>
          <w:p w:rsidR="00E57E12" w:rsidRDefault="00F256B5">
            <w:pPr>
              <w:jc w:val="center"/>
            </w:pPr>
            <w:r>
              <w:rPr>
                <w:rFonts w:eastAsiaTheme="minorEastAsia"/>
                <w:color w:val="000000" w:themeColor="text1"/>
                <w:sz w:val="24"/>
              </w:rPr>
              <w:t>本基金基金经理</w:t>
            </w:r>
          </w:p>
        </w:tc>
        <w:tc>
          <w:tcPr>
            <w:tcW w:w="1210" w:type="dxa"/>
            <w:vAlign w:val="center"/>
          </w:tcPr>
          <w:p w:rsidR="00E57E12" w:rsidRDefault="00F256B5">
            <w:pPr>
              <w:jc w:val="center"/>
            </w:pPr>
            <w:r>
              <w:rPr>
                <w:rFonts w:eastAsiaTheme="minorEastAsia"/>
                <w:color w:val="000000" w:themeColor="text1"/>
                <w:sz w:val="24"/>
              </w:rPr>
              <w:t>2021-02-19</w:t>
            </w:r>
          </w:p>
        </w:tc>
        <w:tc>
          <w:tcPr>
            <w:tcW w:w="1309" w:type="dxa"/>
            <w:vAlign w:val="center"/>
          </w:tcPr>
          <w:p w:rsidR="00E57E12" w:rsidRDefault="00F256B5">
            <w:pPr>
              <w:jc w:val="center"/>
            </w:pPr>
            <w:r>
              <w:rPr>
                <w:rFonts w:eastAsiaTheme="minorEastAsia"/>
                <w:color w:val="000000" w:themeColor="text1"/>
                <w:sz w:val="24"/>
              </w:rPr>
              <w:t>-</w:t>
            </w:r>
          </w:p>
        </w:tc>
        <w:tc>
          <w:tcPr>
            <w:tcW w:w="1254" w:type="dxa"/>
            <w:vAlign w:val="center"/>
          </w:tcPr>
          <w:p w:rsidR="00E57E12" w:rsidRDefault="00F256B5">
            <w:pPr>
              <w:jc w:val="center"/>
            </w:pPr>
            <w:r>
              <w:rPr>
                <w:rFonts w:eastAsiaTheme="minorEastAsia"/>
                <w:color w:val="000000" w:themeColor="text1"/>
                <w:sz w:val="24"/>
              </w:rPr>
              <w:t>9</w:t>
            </w:r>
            <w:r>
              <w:rPr>
                <w:rFonts w:eastAsiaTheme="minorEastAsia"/>
                <w:color w:val="000000" w:themeColor="text1"/>
                <w:sz w:val="24"/>
              </w:rPr>
              <w:t>年</w:t>
            </w:r>
          </w:p>
        </w:tc>
        <w:tc>
          <w:tcPr>
            <w:tcW w:w="3276" w:type="dxa"/>
            <w:vAlign w:val="center"/>
          </w:tcPr>
          <w:p w:rsidR="00E57E12" w:rsidRDefault="00F256B5">
            <w:r>
              <w:rPr>
                <w:rFonts w:eastAsiaTheme="minorEastAsia"/>
                <w:color w:val="000000" w:themeColor="text1"/>
                <w:sz w:val="24"/>
              </w:rPr>
              <w:t>何智豪先生曾任中国国际金融股份有限公司组合与量化策略研究员、资产管理部高级经理。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月起加入摩根基金管理（中国）有限公司（原上投摩根基金管理有限公司），现任基金经理。</w:t>
            </w:r>
          </w:p>
        </w:tc>
      </w:tr>
    </w:tbl>
    <w:p w:rsidR="00E57E12" w:rsidRDefault="00F256B5">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2.</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lastRenderedPageBreak/>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E57E12" w:rsidRDefault="00F256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57E12" w:rsidRDefault="00F256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E57E12" w:rsidRDefault="00F256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E57E12" w:rsidRDefault="00F256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10</w:t>
      </w:r>
      <w:r>
        <w:rPr>
          <w:rFonts w:eastAsiaTheme="minorEastAsia"/>
          <w:color w:val="000000" w:themeColor="text1"/>
          <w:kern w:val="0"/>
          <w:sz w:val="24"/>
        </w:rPr>
        <w:t>月美债收益率再度冲高，港股破位下行，再创年内新低。报告期内也曾有过反弹，以及美债利率快速下行，但由于投资者情绪尤其是外资情绪偏弱，再加上地缘局势的持续扰动，并未能有效逆转市场趋势。四季度恒生指数下跌</w:t>
      </w:r>
      <w:r>
        <w:rPr>
          <w:rFonts w:eastAsiaTheme="minorEastAsia"/>
          <w:color w:val="000000" w:themeColor="text1"/>
          <w:kern w:val="0"/>
          <w:sz w:val="24"/>
        </w:rPr>
        <w:t>4.28%</w:t>
      </w:r>
      <w:r>
        <w:rPr>
          <w:rFonts w:eastAsiaTheme="minorEastAsia"/>
          <w:color w:val="000000" w:themeColor="text1"/>
          <w:kern w:val="0"/>
          <w:sz w:val="24"/>
        </w:rPr>
        <w:t>，本基金跟踪的标普港股通低波红利指数下跌</w:t>
      </w:r>
      <w:r>
        <w:rPr>
          <w:rFonts w:eastAsiaTheme="minorEastAsia"/>
          <w:color w:val="000000" w:themeColor="text1"/>
          <w:kern w:val="0"/>
          <w:sz w:val="24"/>
        </w:rPr>
        <w:t>2.04%</w:t>
      </w:r>
      <w:r>
        <w:rPr>
          <w:rFonts w:eastAsiaTheme="minorEastAsia"/>
          <w:color w:val="000000" w:themeColor="text1"/>
          <w:kern w:val="0"/>
          <w:sz w:val="24"/>
        </w:rPr>
        <w:t>。</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展望未来，我们预计</w:t>
      </w:r>
      <w:r w:rsidRPr="00EE3DBC">
        <w:rPr>
          <w:rFonts w:eastAsiaTheme="minorEastAsia"/>
          <w:color w:val="000000" w:themeColor="text1"/>
          <w:kern w:val="0"/>
          <w:sz w:val="24"/>
        </w:rPr>
        <w:t>2024</w:t>
      </w:r>
      <w:r w:rsidRPr="00EE3DBC">
        <w:rPr>
          <w:rFonts w:eastAsiaTheme="minorEastAsia"/>
          <w:color w:val="000000" w:themeColor="text1"/>
          <w:kern w:val="0"/>
          <w:sz w:val="24"/>
        </w:rPr>
        <w:t>年一二季度政策预期密集、美债收益率下行、地缘局势缓和都有可能对港股市场促成一波修复式反弹。在不确定的增长及政策环境下，高分红板块分红相对稳定，如电信、公用事业和能源。短期而言，在看到</w:t>
      </w:r>
      <w:r w:rsidRPr="00EE3DBC">
        <w:rPr>
          <w:rFonts w:eastAsiaTheme="minorEastAsia"/>
          <w:color w:val="000000" w:themeColor="text1"/>
          <w:kern w:val="0"/>
          <w:sz w:val="24"/>
        </w:rPr>
        <w:lastRenderedPageBreak/>
        <w:t>进一步明显的政策拐点之前，具有稳定分红能力和更高分红潜力的央国企可以帮助有效对冲市场波动，从而作为较为稳健的防御策略。本基金所跟踪的标普港股通低波红利指数用于衡量标普港股通指数内</w:t>
      </w:r>
      <w:r w:rsidRPr="00EE3DBC">
        <w:rPr>
          <w:rFonts w:eastAsiaTheme="minorEastAsia"/>
          <w:color w:val="000000" w:themeColor="text1"/>
          <w:kern w:val="0"/>
          <w:sz w:val="24"/>
        </w:rPr>
        <w:t>50</w:t>
      </w:r>
      <w:r w:rsidRPr="00EE3DBC">
        <w:rPr>
          <w:rFonts w:eastAsiaTheme="minorEastAsia"/>
          <w:color w:val="000000" w:themeColor="text1"/>
          <w:kern w:val="0"/>
          <w:sz w:val="24"/>
        </w:rPr>
        <w:t>只波幅最小、股息率高的股票的表现。整体指数以低估值行业为主要持仓特征，在安全边际上能为投资者组合提供较好的保护。本基金继续采用完全复制的方法跟踪标的指数，争取跟踪误差保持在合理范围内。</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E57E12" w:rsidRDefault="00F256B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本报告期摩根标普港股通低波红利</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:-1.55%</w:t>
      </w:r>
      <w:r>
        <w:rPr>
          <w:rFonts w:eastAsiaTheme="minorEastAsia"/>
          <w:color w:val="000000" w:themeColor="text1"/>
          <w:kern w:val="0"/>
          <w:sz w:val="24"/>
        </w:rPr>
        <w:t>，同期业绩比较基准收益率为</w:t>
      </w:r>
      <w:r>
        <w:rPr>
          <w:rFonts w:eastAsiaTheme="minorEastAsia"/>
          <w:color w:val="000000" w:themeColor="text1"/>
          <w:kern w:val="0"/>
          <w:sz w:val="24"/>
        </w:rPr>
        <w:t>:-1.94%</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摩根标普港股通低波红利</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:-1.68%</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:-1.94%</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426,713,968.20</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93.10</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426,713,968.20</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93.10</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w:t>
            </w:r>
            <w:r w:rsidRPr="00EE3DBC">
              <w:rPr>
                <w:rFonts w:eastAsiaTheme="minorEastAsia"/>
                <w:color w:val="000000" w:themeColor="text1"/>
                <w:sz w:val="24"/>
              </w:rPr>
              <w:lastRenderedPageBreak/>
              <w:t>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lastRenderedPageBreak/>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30,616,823.67</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6.68</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992,080.84</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0.22</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458,322,872.71</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注：本基金本报告期末通过港股通交易机制投资的港股公允价值为人民币</w:t>
      </w:r>
      <w:r w:rsidRPr="00EE3DBC">
        <w:rPr>
          <w:rFonts w:eastAsiaTheme="minorEastAsia"/>
          <w:color w:val="000000" w:themeColor="text1"/>
          <w:sz w:val="24"/>
        </w:rPr>
        <w:t>426,713,968.20</w:t>
      </w:r>
      <w:r w:rsidRPr="00EE3DBC">
        <w:rPr>
          <w:rFonts w:eastAsiaTheme="minorEastAsia"/>
          <w:color w:val="000000" w:themeColor="text1"/>
          <w:sz w:val="24"/>
        </w:rPr>
        <w:t>元</w:t>
      </w:r>
      <w:r w:rsidRPr="00EE3DBC">
        <w:rPr>
          <w:rFonts w:eastAsiaTheme="minorEastAsia"/>
          <w:color w:val="000000" w:themeColor="text1"/>
          <w:sz w:val="24"/>
        </w:rPr>
        <w:t>,</w:t>
      </w:r>
      <w:r w:rsidRPr="00EE3DBC">
        <w:rPr>
          <w:rFonts w:eastAsiaTheme="minorEastAsia"/>
          <w:color w:val="000000" w:themeColor="text1"/>
          <w:sz w:val="24"/>
        </w:rPr>
        <w:t>占期末净值比例为</w:t>
      </w:r>
      <w:r w:rsidRPr="00EE3DBC">
        <w:rPr>
          <w:rFonts w:eastAsiaTheme="minorEastAsia"/>
          <w:color w:val="000000" w:themeColor="text1"/>
          <w:sz w:val="24"/>
        </w:rPr>
        <w:t>93.64%</w:t>
      </w:r>
      <w:r w:rsidRPr="00EE3DBC">
        <w:rPr>
          <w:rFonts w:eastAsiaTheme="minorEastAsia"/>
          <w:color w:val="000000" w:themeColor="text1"/>
          <w:sz w:val="24"/>
        </w:rPr>
        <w:t>。</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5B4E34">
      <w:pPr>
        <w:jc w:val="left"/>
        <w:rPr>
          <w:rFonts w:eastAsiaTheme="minorEastAsia"/>
          <w:color w:val="000000" w:themeColor="text1"/>
          <w:sz w:val="24"/>
        </w:rPr>
      </w:pPr>
      <w:r w:rsidRPr="00EE3DBC">
        <w:rPr>
          <w:rFonts w:eastAsiaTheme="minorEastAsia"/>
          <w:b/>
          <w:color w:val="000000" w:themeColor="text1"/>
          <w:kern w:val="0"/>
          <w:sz w:val="24"/>
        </w:rPr>
        <w:t>5.2.</w:t>
      </w:r>
      <w:r w:rsidR="00F256B5">
        <w:rPr>
          <w:rFonts w:eastAsiaTheme="minorEastAsia"/>
          <w:b/>
          <w:color w:val="000000" w:themeColor="text1"/>
          <w:kern w:val="0"/>
          <w:sz w:val="24"/>
        </w:rPr>
        <w:t>2</w:t>
      </w:r>
      <w:r w:rsidRPr="00EE3DBC">
        <w:rPr>
          <w:rFonts w:eastAsiaTheme="minorEastAsia"/>
          <w:b/>
          <w:color w:val="000000" w:themeColor="text1"/>
          <w:kern w:val="0"/>
          <w:sz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A960A3" w:rsidRPr="00EE3DBC">
        <w:trPr>
          <w:jc w:val="center"/>
        </w:trPr>
        <w:tc>
          <w:tcPr>
            <w:tcW w:w="239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行业类别</w:t>
            </w:r>
          </w:p>
        </w:tc>
        <w:tc>
          <w:tcPr>
            <w:tcW w:w="3119"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公允价值（人民币）</w:t>
            </w:r>
          </w:p>
        </w:tc>
        <w:tc>
          <w:tcPr>
            <w:tcW w:w="3118"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p>
        </w:tc>
      </w:tr>
      <w:tr w:rsidR="00E57E12">
        <w:trPr>
          <w:jc w:val="center"/>
        </w:trPr>
        <w:tc>
          <w:tcPr>
            <w:tcW w:w="2397" w:type="dxa"/>
            <w:vAlign w:val="center"/>
          </w:tcPr>
          <w:p w:rsidR="00E57E12" w:rsidRDefault="00F256B5">
            <w:pPr>
              <w:jc w:val="center"/>
            </w:pPr>
            <w:r>
              <w:rPr>
                <w:rFonts w:eastAsiaTheme="minorEastAsia"/>
                <w:color w:val="000000" w:themeColor="text1"/>
                <w:sz w:val="24"/>
              </w:rPr>
              <w:t>A</w:t>
            </w:r>
            <w:r>
              <w:rPr>
                <w:rFonts w:eastAsiaTheme="minorEastAsia"/>
                <w:color w:val="000000" w:themeColor="text1"/>
                <w:sz w:val="24"/>
              </w:rPr>
              <w:t>基础材料</w:t>
            </w:r>
          </w:p>
        </w:tc>
        <w:tc>
          <w:tcPr>
            <w:tcW w:w="3119" w:type="dxa"/>
            <w:vAlign w:val="center"/>
          </w:tcPr>
          <w:p w:rsidR="00E57E12" w:rsidRDefault="00F256B5">
            <w:pPr>
              <w:jc w:val="center"/>
            </w:pPr>
            <w:r>
              <w:rPr>
                <w:rFonts w:eastAsiaTheme="minorEastAsia"/>
                <w:color w:val="000000" w:themeColor="text1"/>
                <w:sz w:val="24"/>
              </w:rPr>
              <w:t>26,024,970.95</w:t>
            </w:r>
          </w:p>
        </w:tc>
        <w:tc>
          <w:tcPr>
            <w:tcW w:w="3118" w:type="dxa"/>
            <w:vAlign w:val="center"/>
          </w:tcPr>
          <w:p w:rsidR="00E57E12" w:rsidRDefault="00F256B5">
            <w:pPr>
              <w:jc w:val="center"/>
            </w:pPr>
            <w:r>
              <w:rPr>
                <w:rFonts w:eastAsiaTheme="minorEastAsia"/>
                <w:color w:val="000000" w:themeColor="text1"/>
                <w:sz w:val="24"/>
              </w:rPr>
              <w:t>5.71</w:t>
            </w:r>
          </w:p>
        </w:tc>
      </w:tr>
      <w:tr w:rsidR="00E57E12">
        <w:trPr>
          <w:jc w:val="center"/>
        </w:trPr>
        <w:tc>
          <w:tcPr>
            <w:tcW w:w="2397" w:type="dxa"/>
            <w:vAlign w:val="center"/>
          </w:tcPr>
          <w:p w:rsidR="00E57E12" w:rsidRDefault="00F256B5">
            <w:pPr>
              <w:jc w:val="center"/>
            </w:pPr>
            <w:r>
              <w:rPr>
                <w:rFonts w:eastAsiaTheme="minorEastAsia"/>
                <w:color w:val="000000" w:themeColor="text1"/>
                <w:sz w:val="24"/>
              </w:rPr>
              <w:t>B</w:t>
            </w:r>
            <w:r>
              <w:rPr>
                <w:rFonts w:eastAsiaTheme="minorEastAsia"/>
                <w:color w:val="000000" w:themeColor="text1"/>
                <w:sz w:val="24"/>
              </w:rPr>
              <w:t>消费者非必需品</w:t>
            </w:r>
          </w:p>
        </w:tc>
        <w:tc>
          <w:tcPr>
            <w:tcW w:w="3119" w:type="dxa"/>
            <w:vAlign w:val="center"/>
          </w:tcPr>
          <w:p w:rsidR="00E57E12" w:rsidRDefault="00F256B5">
            <w:pPr>
              <w:jc w:val="center"/>
            </w:pPr>
            <w:r>
              <w:rPr>
                <w:rFonts w:eastAsiaTheme="minorEastAsia"/>
                <w:color w:val="000000" w:themeColor="text1"/>
                <w:sz w:val="24"/>
              </w:rPr>
              <w:t>21,605,807.25</w:t>
            </w:r>
          </w:p>
        </w:tc>
        <w:tc>
          <w:tcPr>
            <w:tcW w:w="3118" w:type="dxa"/>
            <w:vAlign w:val="center"/>
          </w:tcPr>
          <w:p w:rsidR="00E57E12" w:rsidRDefault="00F256B5">
            <w:pPr>
              <w:jc w:val="center"/>
            </w:pPr>
            <w:r>
              <w:rPr>
                <w:rFonts w:eastAsiaTheme="minorEastAsia"/>
                <w:color w:val="000000" w:themeColor="text1"/>
                <w:sz w:val="24"/>
              </w:rPr>
              <w:t>4.74</w:t>
            </w:r>
          </w:p>
        </w:tc>
      </w:tr>
      <w:tr w:rsidR="00E57E12">
        <w:trPr>
          <w:jc w:val="center"/>
        </w:trPr>
        <w:tc>
          <w:tcPr>
            <w:tcW w:w="2397" w:type="dxa"/>
            <w:vAlign w:val="center"/>
          </w:tcPr>
          <w:p w:rsidR="00E57E12" w:rsidRDefault="00F256B5">
            <w:pPr>
              <w:jc w:val="center"/>
            </w:pPr>
            <w:r>
              <w:rPr>
                <w:rFonts w:eastAsiaTheme="minorEastAsia"/>
                <w:color w:val="000000" w:themeColor="text1"/>
                <w:sz w:val="24"/>
              </w:rPr>
              <w:t>C</w:t>
            </w:r>
            <w:r>
              <w:rPr>
                <w:rFonts w:eastAsiaTheme="minorEastAsia"/>
                <w:color w:val="000000" w:themeColor="text1"/>
                <w:sz w:val="24"/>
              </w:rPr>
              <w:t>消费者常用品</w:t>
            </w:r>
          </w:p>
        </w:tc>
        <w:tc>
          <w:tcPr>
            <w:tcW w:w="3119" w:type="dxa"/>
            <w:vAlign w:val="center"/>
          </w:tcPr>
          <w:p w:rsidR="00E57E12" w:rsidRDefault="00F256B5">
            <w:pPr>
              <w:jc w:val="center"/>
            </w:pPr>
            <w:r>
              <w:rPr>
                <w:rFonts w:eastAsiaTheme="minorEastAsia"/>
                <w:color w:val="000000" w:themeColor="text1"/>
                <w:sz w:val="24"/>
              </w:rPr>
              <w:t>11,567,100.83</w:t>
            </w:r>
          </w:p>
        </w:tc>
        <w:tc>
          <w:tcPr>
            <w:tcW w:w="3118" w:type="dxa"/>
            <w:vAlign w:val="center"/>
          </w:tcPr>
          <w:p w:rsidR="00E57E12" w:rsidRDefault="00F256B5">
            <w:pPr>
              <w:jc w:val="center"/>
            </w:pPr>
            <w:r>
              <w:rPr>
                <w:rFonts w:eastAsiaTheme="minorEastAsia"/>
                <w:color w:val="000000" w:themeColor="text1"/>
                <w:sz w:val="24"/>
              </w:rPr>
              <w:t>2.54</w:t>
            </w:r>
          </w:p>
        </w:tc>
      </w:tr>
      <w:tr w:rsidR="00E57E12">
        <w:trPr>
          <w:jc w:val="center"/>
        </w:trPr>
        <w:tc>
          <w:tcPr>
            <w:tcW w:w="2397" w:type="dxa"/>
            <w:vAlign w:val="center"/>
          </w:tcPr>
          <w:p w:rsidR="00E57E12" w:rsidRDefault="00F256B5">
            <w:pPr>
              <w:jc w:val="center"/>
            </w:pPr>
            <w:r>
              <w:rPr>
                <w:rFonts w:eastAsiaTheme="minorEastAsia"/>
                <w:color w:val="000000" w:themeColor="text1"/>
                <w:sz w:val="24"/>
              </w:rPr>
              <w:t>D</w:t>
            </w:r>
            <w:r>
              <w:rPr>
                <w:rFonts w:eastAsiaTheme="minorEastAsia"/>
                <w:color w:val="000000" w:themeColor="text1"/>
                <w:sz w:val="24"/>
              </w:rPr>
              <w:t>能源</w:t>
            </w:r>
          </w:p>
        </w:tc>
        <w:tc>
          <w:tcPr>
            <w:tcW w:w="3119" w:type="dxa"/>
            <w:vAlign w:val="center"/>
          </w:tcPr>
          <w:p w:rsidR="00E57E12" w:rsidRDefault="00F256B5">
            <w:pPr>
              <w:jc w:val="center"/>
            </w:pPr>
            <w:r>
              <w:rPr>
                <w:rFonts w:eastAsiaTheme="minorEastAsia"/>
                <w:color w:val="000000" w:themeColor="text1"/>
                <w:sz w:val="24"/>
              </w:rPr>
              <w:t>56,129,767.01</w:t>
            </w:r>
          </w:p>
        </w:tc>
        <w:tc>
          <w:tcPr>
            <w:tcW w:w="3118" w:type="dxa"/>
            <w:vAlign w:val="center"/>
          </w:tcPr>
          <w:p w:rsidR="00E57E12" w:rsidRDefault="00F256B5">
            <w:pPr>
              <w:jc w:val="center"/>
            </w:pPr>
            <w:r>
              <w:rPr>
                <w:rFonts w:eastAsiaTheme="minorEastAsia"/>
                <w:color w:val="000000" w:themeColor="text1"/>
                <w:sz w:val="24"/>
              </w:rPr>
              <w:t>12.32</w:t>
            </w:r>
          </w:p>
        </w:tc>
      </w:tr>
      <w:tr w:rsidR="00E57E12">
        <w:trPr>
          <w:jc w:val="center"/>
        </w:trPr>
        <w:tc>
          <w:tcPr>
            <w:tcW w:w="2397" w:type="dxa"/>
            <w:vAlign w:val="center"/>
          </w:tcPr>
          <w:p w:rsidR="00E57E12" w:rsidRDefault="00F256B5">
            <w:pPr>
              <w:jc w:val="center"/>
            </w:pPr>
            <w:r>
              <w:rPr>
                <w:rFonts w:eastAsiaTheme="minorEastAsia"/>
                <w:color w:val="000000" w:themeColor="text1"/>
                <w:sz w:val="24"/>
              </w:rPr>
              <w:t>E</w:t>
            </w:r>
            <w:r>
              <w:rPr>
                <w:rFonts w:eastAsiaTheme="minorEastAsia"/>
                <w:color w:val="000000" w:themeColor="text1"/>
                <w:sz w:val="24"/>
              </w:rPr>
              <w:t>金融</w:t>
            </w:r>
          </w:p>
        </w:tc>
        <w:tc>
          <w:tcPr>
            <w:tcW w:w="3119" w:type="dxa"/>
            <w:vAlign w:val="center"/>
          </w:tcPr>
          <w:p w:rsidR="00E57E12" w:rsidRDefault="00F256B5">
            <w:pPr>
              <w:jc w:val="center"/>
            </w:pPr>
            <w:r>
              <w:rPr>
                <w:rFonts w:eastAsiaTheme="minorEastAsia"/>
                <w:color w:val="000000" w:themeColor="text1"/>
                <w:sz w:val="24"/>
              </w:rPr>
              <w:t>114,890,145.67</w:t>
            </w:r>
          </w:p>
        </w:tc>
        <w:tc>
          <w:tcPr>
            <w:tcW w:w="3118" w:type="dxa"/>
            <w:vAlign w:val="center"/>
          </w:tcPr>
          <w:p w:rsidR="00E57E12" w:rsidRDefault="00F256B5">
            <w:pPr>
              <w:jc w:val="center"/>
            </w:pPr>
            <w:r>
              <w:rPr>
                <w:rFonts w:eastAsiaTheme="minorEastAsia"/>
                <w:color w:val="000000" w:themeColor="text1"/>
                <w:sz w:val="24"/>
              </w:rPr>
              <w:t>25.21</w:t>
            </w:r>
          </w:p>
        </w:tc>
      </w:tr>
      <w:tr w:rsidR="00E57E12">
        <w:trPr>
          <w:jc w:val="center"/>
        </w:trPr>
        <w:tc>
          <w:tcPr>
            <w:tcW w:w="2397" w:type="dxa"/>
            <w:vAlign w:val="center"/>
          </w:tcPr>
          <w:p w:rsidR="00E57E12" w:rsidRDefault="00F256B5">
            <w:pPr>
              <w:jc w:val="center"/>
            </w:pPr>
            <w:r>
              <w:rPr>
                <w:rFonts w:eastAsiaTheme="minorEastAsia"/>
                <w:color w:val="000000" w:themeColor="text1"/>
                <w:sz w:val="24"/>
              </w:rPr>
              <w:t>F</w:t>
            </w:r>
            <w:r>
              <w:rPr>
                <w:rFonts w:eastAsiaTheme="minorEastAsia"/>
                <w:color w:val="000000" w:themeColor="text1"/>
                <w:sz w:val="24"/>
              </w:rPr>
              <w:t>医疗保健</w:t>
            </w:r>
          </w:p>
        </w:tc>
        <w:tc>
          <w:tcPr>
            <w:tcW w:w="3119" w:type="dxa"/>
            <w:vAlign w:val="center"/>
          </w:tcPr>
          <w:p w:rsidR="00E57E12" w:rsidRDefault="00F256B5">
            <w:pPr>
              <w:jc w:val="center"/>
            </w:pPr>
            <w:r>
              <w:rPr>
                <w:rFonts w:eastAsiaTheme="minorEastAsia"/>
                <w:color w:val="000000" w:themeColor="text1"/>
                <w:sz w:val="24"/>
              </w:rPr>
              <w:t>4,069,670.90</w:t>
            </w:r>
          </w:p>
        </w:tc>
        <w:tc>
          <w:tcPr>
            <w:tcW w:w="3118" w:type="dxa"/>
            <w:vAlign w:val="center"/>
          </w:tcPr>
          <w:p w:rsidR="00E57E12" w:rsidRDefault="00F256B5">
            <w:pPr>
              <w:jc w:val="center"/>
            </w:pPr>
            <w:r>
              <w:rPr>
                <w:rFonts w:eastAsiaTheme="minorEastAsia"/>
                <w:color w:val="000000" w:themeColor="text1"/>
                <w:sz w:val="24"/>
              </w:rPr>
              <w:t>0.89</w:t>
            </w:r>
          </w:p>
        </w:tc>
      </w:tr>
      <w:tr w:rsidR="00E57E12">
        <w:trPr>
          <w:jc w:val="center"/>
        </w:trPr>
        <w:tc>
          <w:tcPr>
            <w:tcW w:w="2397" w:type="dxa"/>
            <w:vAlign w:val="center"/>
          </w:tcPr>
          <w:p w:rsidR="00E57E12" w:rsidRDefault="00F256B5">
            <w:pPr>
              <w:jc w:val="center"/>
            </w:pPr>
            <w:r>
              <w:rPr>
                <w:rFonts w:eastAsiaTheme="minorEastAsia"/>
                <w:color w:val="000000" w:themeColor="text1"/>
                <w:sz w:val="24"/>
              </w:rPr>
              <w:t>G</w:t>
            </w:r>
            <w:r>
              <w:rPr>
                <w:rFonts w:eastAsiaTheme="minorEastAsia"/>
                <w:color w:val="000000" w:themeColor="text1"/>
                <w:sz w:val="24"/>
              </w:rPr>
              <w:t>工业</w:t>
            </w:r>
          </w:p>
        </w:tc>
        <w:tc>
          <w:tcPr>
            <w:tcW w:w="3119" w:type="dxa"/>
            <w:vAlign w:val="center"/>
          </w:tcPr>
          <w:p w:rsidR="00E57E12" w:rsidRDefault="00F256B5">
            <w:pPr>
              <w:jc w:val="center"/>
            </w:pPr>
            <w:r>
              <w:rPr>
                <w:rFonts w:eastAsiaTheme="minorEastAsia"/>
                <w:color w:val="000000" w:themeColor="text1"/>
                <w:sz w:val="24"/>
              </w:rPr>
              <w:t>49,750,703.18</w:t>
            </w:r>
          </w:p>
        </w:tc>
        <w:tc>
          <w:tcPr>
            <w:tcW w:w="3118" w:type="dxa"/>
            <w:vAlign w:val="center"/>
          </w:tcPr>
          <w:p w:rsidR="00E57E12" w:rsidRDefault="00F256B5">
            <w:pPr>
              <w:jc w:val="center"/>
            </w:pPr>
            <w:r>
              <w:rPr>
                <w:rFonts w:eastAsiaTheme="minorEastAsia"/>
                <w:color w:val="000000" w:themeColor="text1"/>
                <w:sz w:val="24"/>
              </w:rPr>
              <w:t>10.92</w:t>
            </w:r>
          </w:p>
        </w:tc>
      </w:tr>
      <w:tr w:rsidR="00E57E12">
        <w:trPr>
          <w:jc w:val="center"/>
        </w:trPr>
        <w:tc>
          <w:tcPr>
            <w:tcW w:w="2397" w:type="dxa"/>
            <w:vAlign w:val="center"/>
          </w:tcPr>
          <w:p w:rsidR="00E57E12" w:rsidRDefault="00F256B5">
            <w:pPr>
              <w:jc w:val="center"/>
            </w:pPr>
            <w:r>
              <w:rPr>
                <w:rFonts w:eastAsiaTheme="minorEastAsia"/>
                <w:color w:val="000000" w:themeColor="text1"/>
                <w:sz w:val="24"/>
              </w:rPr>
              <w:t>H</w:t>
            </w:r>
            <w:r>
              <w:rPr>
                <w:rFonts w:eastAsiaTheme="minorEastAsia"/>
                <w:color w:val="000000" w:themeColor="text1"/>
                <w:sz w:val="24"/>
              </w:rPr>
              <w:t>信息技术</w:t>
            </w:r>
          </w:p>
        </w:tc>
        <w:tc>
          <w:tcPr>
            <w:tcW w:w="3119" w:type="dxa"/>
            <w:vAlign w:val="center"/>
          </w:tcPr>
          <w:p w:rsidR="00E57E12" w:rsidRDefault="00F256B5">
            <w:pPr>
              <w:jc w:val="center"/>
            </w:pPr>
            <w:r>
              <w:rPr>
                <w:rFonts w:eastAsiaTheme="minorEastAsia"/>
                <w:color w:val="000000" w:themeColor="text1"/>
                <w:sz w:val="24"/>
              </w:rPr>
              <w:t>5,090,509.61</w:t>
            </w:r>
          </w:p>
        </w:tc>
        <w:tc>
          <w:tcPr>
            <w:tcW w:w="3118" w:type="dxa"/>
            <w:vAlign w:val="center"/>
          </w:tcPr>
          <w:p w:rsidR="00E57E12" w:rsidRDefault="00F256B5">
            <w:pPr>
              <w:jc w:val="center"/>
            </w:pPr>
            <w:r>
              <w:rPr>
                <w:rFonts w:eastAsiaTheme="minorEastAsia"/>
                <w:color w:val="000000" w:themeColor="text1"/>
                <w:sz w:val="24"/>
              </w:rPr>
              <w:t>1.12</w:t>
            </w:r>
          </w:p>
        </w:tc>
      </w:tr>
      <w:tr w:rsidR="00E57E12">
        <w:trPr>
          <w:jc w:val="center"/>
        </w:trPr>
        <w:tc>
          <w:tcPr>
            <w:tcW w:w="2397" w:type="dxa"/>
            <w:vAlign w:val="center"/>
          </w:tcPr>
          <w:p w:rsidR="00E57E12" w:rsidRDefault="00F256B5">
            <w:pPr>
              <w:jc w:val="center"/>
            </w:pPr>
            <w:r>
              <w:rPr>
                <w:rFonts w:eastAsiaTheme="minorEastAsia"/>
                <w:color w:val="000000" w:themeColor="text1"/>
                <w:sz w:val="24"/>
              </w:rPr>
              <w:t>I</w:t>
            </w:r>
            <w:r>
              <w:rPr>
                <w:rFonts w:eastAsiaTheme="minorEastAsia"/>
                <w:color w:val="000000" w:themeColor="text1"/>
                <w:sz w:val="24"/>
              </w:rPr>
              <w:t>电信服务</w:t>
            </w:r>
          </w:p>
        </w:tc>
        <w:tc>
          <w:tcPr>
            <w:tcW w:w="3119" w:type="dxa"/>
            <w:vAlign w:val="center"/>
          </w:tcPr>
          <w:p w:rsidR="00E57E12" w:rsidRDefault="00F256B5">
            <w:pPr>
              <w:jc w:val="center"/>
            </w:pPr>
            <w:r>
              <w:rPr>
                <w:rFonts w:eastAsiaTheme="minorEastAsia"/>
                <w:color w:val="000000" w:themeColor="text1"/>
                <w:sz w:val="24"/>
              </w:rPr>
              <w:t>51,895,793.89</w:t>
            </w:r>
          </w:p>
        </w:tc>
        <w:tc>
          <w:tcPr>
            <w:tcW w:w="3118" w:type="dxa"/>
            <w:vAlign w:val="center"/>
          </w:tcPr>
          <w:p w:rsidR="00E57E12" w:rsidRDefault="00F256B5">
            <w:pPr>
              <w:jc w:val="center"/>
            </w:pPr>
            <w:r>
              <w:rPr>
                <w:rFonts w:eastAsiaTheme="minorEastAsia"/>
                <w:color w:val="000000" w:themeColor="text1"/>
                <w:sz w:val="24"/>
              </w:rPr>
              <w:t>11.39</w:t>
            </w:r>
          </w:p>
        </w:tc>
      </w:tr>
      <w:tr w:rsidR="00E57E12">
        <w:trPr>
          <w:jc w:val="center"/>
        </w:trPr>
        <w:tc>
          <w:tcPr>
            <w:tcW w:w="2397" w:type="dxa"/>
            <w:vAlign w:val="center"/>
          </w:tcPr>
          <w:p w:rsidR="00E57E12" w:rsidRDefault="00F256B5">
            <w:pPr>
              <w:jc w:val="center"/>
            </w:pPr>
            <w:r>
              <w:rPr>
                <w:rFonts w:eastAsiaTheme="minorEastAsia"/>
                <w:color w:val="000000" w:themeColor="text1"/>
                <w:sz w:val="24"/>
              </w:rPr>
              <w:t>J</w:t>
            </w:r>
            <w:r>
              <w:rPr>
                <w:rFonts w:eastAsiaTheme="minorEastAsia"/>
                <w:color w:val="000000" w:themeColor="text1"/>
                <w:sz w:val="24"/>
              </w:rPr>
              <w:t>公用事业</w:t>
            </w:r>
          </w:p>
        </w:tc>
        <w:tc>
          <w:tcPr>
            <w:tcW w:w="3119" w:type="dxa"/>
            <w:vAlign w:val="center"/>
          </w:tcPr>
          <w:p w:rsidR="00E57E12" w:rsidRDefault="00F256B5">
            <w:pPr>
              <w:jc w:val="center"/>
            </w:pPr>
            <w:r>
              <w:rPr>
                <w:rFonts w:eastAsiaTheme="minorEastAsia"/>
                <w:color w:val="000000" w:themeColor="text1"/>
                <w:sz w:val="24"/>
              </w:rPr>
              <w:t>39,686,060.74</w:t>
            </w:r>
          </w:p>
        </w:tc>
        <w:tc>
          <w:tcPr>
            <w:tcW w:w="3118" w:type="dxa"/>
            <w:vAlign w:val="center"/>
          </w:tcPr>
          <w:p w:rsidR="00E57E12" w:rsidRDefault="00F256B5">
            <w:pPr>
              <w:jc w:val="center"/>
            </w:pPr>
            <w:r>
              <w:rPr>
                <w:rFonts w:eastAsiaTheme="minorEastAsia"/>
                <w:color w:val="000000" w:themeColor="text1"/>
                <w:sz w:val="24"/>
              </w:rPr>
              <w:t>8.71</w:t>
            </w:r>
          </w:p>
        </w:tc>
      </w:tr>
      <w:tr w:rsidR="00E57E12">
        <w:trPr>
          <w:jc w:val="center"/>
        </w:trPr>
        <w:tc>
          <w:tcPr>
            <w:tcW w:w="2397" w:type="dxa"/>
            <w:vAlign w:val="center"/>
          </w:tcPr>
          <w:p w:rsidR="00E57E12" w:rsidRDefault="00F256B5">
            <w:pPr>
              <w:jc w:val="center"/>
            </w:pPr>
            <w:r>
              <w:rPr>
                <w:rFonts w:eastAsiaTheme="minorEastAsia"/>
                <w:color w:val="000000" w:themeColor="text1"/>
                <w:sz w:val="24"/>
              </w:rPr>
              <w:t>K</w:t>
            </w:r>
            <w:r>
              <w:rPr>
                <w:rFonts w:eastAsiaTheme="minorEastAsia"/>
                <w:color w:val="000000" w:themeColor="text1"/>
                <w:sz w:val="24"/>
              </w:rPr>
              <w:t>房地产</w:t>
            </w:r>
          </w:p>
        </w:tc>
        <w:tc>
          <w:tcPr>
            <w:tcW w:w="3119" w:type="dxa"/>
            <w:vAlign w:val="center"/>
          </w:tcPr>
          <w:p w:rsidR="00E57E12" w:rsidRDefault="00F256B5">
            <w:pPr>
              <w:jc w:val="center"/>
            </w:pPr>
            <w:r>
              <w:rPr>
                <w:rFonts w:eastAsiaTheme="minorEastAsia"/>
                <w:color w:val="000000" w:themeColor="text1"/>
                <w:sz w:val="24"/>
              </w:rPr>
              <w:t>46,003,438.17</w:t>
            </w:r>
          </w:p>
        </w:tc>
        <w:tc>
          <w:tcPr>
            <w:tcW w:w="3118" w:type="dxa"/>
            <w:vAlign w:val="center"/>
          </w:tcPr>
          <w:p w:rsidR="00E57E12" w:rsidRDefault="00F256B5">
            <w:pPr>
              <w:jc w:val="center"/>
            </w:pPr>
            <w:r>
              <w:rPr>
                <w:rFonts w:eastAsiaTheme="minorEastAsia"/>
                <w:color w:val="000000" w:themeColor="text1"/>
                <w:sz w:val="24"/>
              </w:rPr>
              <w:t>10.10</w:t>
            </w:r>
          </w:p>
        </w:tc>
      </w:tr>
      <w:tr w:rsidR="00A960A3" w:rsidRPr="00EE3DBC">
        <w:trPr>
          <w:jc w:val="center"/>
        </w:trPr>
        <w:tc>
          <w:tcPr>
            <w:tcW w:w="239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合计</w:t>
            </w:r>
          </w:p>
        </w:tc>
        <w:tc>
          <w:tcPr>
            <w:tcW w:w="3119" w:type="dxa"/>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426,713,968.20</w:t>
            </w:r>
          </w:p>
        </w:tc>
        <w:tc>
          <w:tcPr>
            <w:tcW w:w="3118" w:type="dxa"/>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93.64</w:t>
            </w:r>
          </w:p>
        </w:tc>
      </w:tr>
    </w:tbl>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tc>
          <w:tcPr>
            <w:tcW w:w="81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E57E12">
        <w:tc>
          <w:tcPr>
            <w:tcW w:w="817" w:type="dxa"/>
            <w:vAlign w:val="center"/>
          </w:tcPr>
          <w:p w:rsidR="00E57E12" w:rsidRDefault="00F256B5">
            <w:pPr>
              <w:jc w:val="center"/>
            </w:pPr>
            <w:r>
              <w:rPr>
                <w:rFonts w:eastAsiaTheme="minorEastAsia"/>
                <w:color w:val="000000" w:themeColor="text1"/>
                <w:sz w:val="24"/>
              </w:rPr>
              <w:t>1</w:t>
            </w:r>
          </w:p>
        </w:tc>
        <w:tc>
          <w:tcPr>
            <w:tcW w:w="1276" w:type="dxa"/>
            <w:vAlign w:val="center"/>
          </w:tcPr>
          <w:p w:rsidR="00E57E12" w:rsidRDefault="00F256B5">
            <w:pPr>
              <w:jc w:val="center"/>
            </w:pPr>
            <w:r>
              <w:rPr>
                <w:rFonts w:eastAsiaTheme="minorEastAsia"/>
                <w:color w:val="000000" w:themeColor="text1"/>
                <w:sz w:val="24"/>
              </w:rPr>
              <w:t>01088</w:t>
            </w:r>
          </w:p>
        </w:tc>
        <w:tc>
          <w:tcPr>
            <w:tcW w:w="1701" w:type="dxa"/>
            <w:vAlign w:val="center"/>
          </w:tcPr>
          <w:p w:rsidR="00E57E12" w:rsidRDefault="00F256B5">
            <w:pPr>
              <w:jc w:val="center"/>
            </w:pPr>
            <w:r>
              <w:rPr>
                <w:rFonts w:eastAsiaTheme="minorEastAsia"/>
                <w:color w:val="000000" w:themeColor="text1"/>
                <w:sz w:val="24"/>
              </w:rPr>
              <w:t>中国神华</w:t>
            </w:r>
          </w:p>
        </w:tc>
        <w:tc>
          <w:tcPr>
            <w:tcW w:w="1276" w:type="dxa"/>
            <w:vAlign w:val="center"/>
          </w:tcPr>
          <w:p w:rsidR="00E57E12" w:rsidRDefault="00F256B5">
            <w:pPr>
              <w:jc w:val="right"/>
            </w:pPr>
            <w:r>
              <w:rPr>
                <w:rFonts w:eastAsiaTheme="minorEastAsia"/>
                <w:color w:val="000000" w:themeColor="text1"/>
                <w:sz w:val="24"/>
              </w:rPr>
              <w:t>749,500.00</w:t>
            </w:r>
          </w:p>
        </w:tc>
        <w:tc>
          <w:tcPr>
            <w:tcW w:w="1842" w:type="dxa"/>
            <w:vAlign w:val="center"/>
          </w:tcPr>
          <w:p w:rsidR="00E57E12" w:rsidRDefault="00F256B5">
            <w:pPr>
              <w:jc w:val="right"/>
            </w:pPr>
            <w:r>
              <w:rPr>
                <w:rFonts w:eastAsiaTheme="minorEastAsia"/>
                <w:color w:val="000000" w:themeColor="text1"/>
                <w:sz w:val="24"/>
              </w:rPr>
              <w:t>18,168,918.06</w:t>
            </w:r>
          </w:p>
        </w:tc>
        <w:tc>
          <w:tcPr>
            <w:tcW w:w="1616" w:type="dxa"/>
            <w:vAlign w:val="center"/>
          </w:tcPr>
          <w:p w:rsidR="00E57E12" w:rsidRDefault="00F256B5">
            <w:pPr>
              <w:jc w:val="right"/>
            </w:pPr>
            <w:r>
              <w:rPr>
                <w:rFonts w:eastAsiaTheme="minorEastAsia"/>
                <w:color w:val="000000" w:themeColor="text1"/>
                <w:sz w:val="24"/>
              </w:rPr>
              <w:t>3.99</w:t>
            </w:r>
          </w:p>
        </w:tc>
      </w:tr>
      <w:tr w:rsidR="00E57E12">
        <w:tc>
          <w:tcPr>
            <w:tcW w:w="817" w:type="dxa"/>
            <w:vAlign w:val="center"/>
          </w:tcPr>
          <w:p w:rsidR="00E57E12" w:rsidRDefault="00F256B5">
            <w:pPr>
              <w:jc w:val="center"/>
            </w:pPr>
            <w:r>
              <w:rPr>
                <w:rFonts w:eastAsiaTheme="minorEastAsia"/>
                <w:color w:val="000000" w:themeColor="text1"/>
                <w:sz w:val="24"/>
              </w:rPr>
              <w:t>2</w:t>
            </w:r>
          </w:p>
        </w:tc>
        <w:tc>
          <w:tcPr>
            <w:tcW w:w="1276" w:type="dxa"/>
            <w:vAlign w:val="center"/>
          </w:tcPr>
          <w:p w:rsidR="00E57E12" w:rsidRDefault="00F256B5">
            <w:pPr>
              <w:jc w:val="center"/>
            </w:pPr>
            <w:r>
              <w:rPr>
                <w:rFonts w:eastAsiaTheme="minorEastAsia"/>
                <w:color w:val="000000" w:themeColor="text1"/>
                <w:sz w:val="24"/>
              </w:rPr>
              <w:t>00883</w:t>
            </w:r>
          </w:p>
        </w:tc>
        <w:tc>
          <w:tcPr>
            <w:tcW w:w="1701" w:type="dxa"/>
            <w:vAlign w:val="center"/>
          </w:tcPr>
          <w:p w:rsidR="00E57E12" w:rsidRDefault="00F256B5">
            <w:pPr>
              <w:jc w:val="center"/>
            </w:pPr>
            <w:r>
              <w:rPr>
                <w:rFonts w:eastAsiaTheme="minorEastAsia"/>
                <w:color w:val="000000" w:themeColor="text1"/>
                <w:sz w:val="24"/>
              </w:rPr>
              <w:t>中国海洋石油</w:t>
            </w:r>
          </w:p>
        </w:tc>
        <w:tc>
          <w:tcPr>
            <w:tcW w:w="1276" w:type="dxa"/>
            <w:vAlign w:val="center"/>
          </w:tcPr>
          <w:p w:rsidR="00E57E12" w:rsidRDefault="00F256B5">
            <w:pPr>
              <w:jc w:val="right"/>
            </w:pPr>
            <w:r>
              <w:rPr>
                <w:rFonts w:eastAsiaTheme="minorEastAsia"/>
                <w:color w:val="000000" w:themeColor="text1"/>
                <w:sz w:val="24"/>
              </w:rPr>
              <w:t>1,504,000.00</w:t>
            </w:r>
          </w:p>
        </w:tc>
        <w:tc>
          <w:tcPr>
            <w:tcW w:w="1842" w:type="dxa"/>
            <w:vAlign w:val="center"/>
          </w:tcPr>
          <w:p w:rsidR="00E57E12" w:rsidRDefault="00F256B5">
            <w:pPr>
              <w:jc w:val="right"/>
            </w:pPr>
            <w:r>
              <w:rPr>
                <w:rFonts w:eastAsiaTheme="minorEastAsia"/>
                <w:color w:val="000000" w:themeColor="text1"/>
                <w:sz w:val="24"/>
              </w:rPr>
              <w:t>17,718,413.44</w:t>
            </w:r>
          </w:p>
        </w:tc>
        <w:tc>
          <w:tcPr>
            <w:tcW w:w="1616" w:type="dxa"/>
            <w:vAlign w:val="center"/>
          </w:tcPr>
          <w:p w:rsidR="00E57E12" w:rsidRDefault="00F256B5">
            <w:pPr>
              <w:jc w:val="right"/>
            </w:pPr>
            <w:r>
              <w:rPr>
                <w:rFonts w:eastAsiaTheme="minorEastAsia"/>
                <w:color w:val="000000" w:themeColor="text1"/>
                <w:sz w:val="24"/>
              </w:rPr>
              <w:t>3.89</w:t>
            </w:r>
          </w:p>
        </w:tc>
      </w:tr>
      <w:tr w:rsidR="00E57E12">
        <w:tc>
          <w:tcPr>
            <w:tcW w:w="817" w:type="dxa"/>
            <w:vAlign w:val="center"/>
          </w:tcPr>
          <w:p w:rsidR="00E57E12" w:rsidRDefault="00F256B5">
            <w:pPr>
              <w:jc w:val="center"/>
            </w:pPr>
            <w:r>
              <w:rPr>
                <w:rFonts w:eastAsiaTheme="minorEastAsia"/>
                <w:color w:val="000000" w:themeColor="text1"/>
                <w:sz w:val="24"/>
              </w:rPr>
              <w:lastRenderedPageBreak/>
              <w:t>3</w:t>
            </w:r>
          </w:p>
        </w:tc>
        <w:tc>
          <w:tcPr>
            <w:tcW w:w="1276" w:type="dxa"/>
            <w:vAlign w:val="center"/>
          </w:tcPr>
          <w:p w:rsidR="00E57E12" w:rsidRDefault="00F256B5">
            <w:pPr>
              <w:jc w:val="center"/>
            </w:pPr>
            <w:r>
              <w:rPr>
                <w:rFonts w:eastAsiaTheme="minorEastAsia"/>
                <w:color w:val="000000" w:themeColor="text1"/>
                <w:sz w:val="24"/>
              </w:rPr>
              <w:t>03618</w:t>
            </w:r>
          </w:p>
        </w:tc>
        <w:tc>
          <w:tcPr>
            <w:tcW w:w="1701" w:type="dxa"/>
            <w:vAlign w:val="center"/>
          </w:tcPr>
          <w:p w:rsidR="00E57E12" w:rsidRDefault="00F256B5">
            <w:pPr>
              <w:jc w:val="center"/>
            </w:pPr>
            <w:r>
              <w:rPr>
                <w:rFonts w:eastAsiaTheme="minorEastAsia"/>
                <w:color w:val="000000" w:themeColor="text1"/>
                <w:sz w:val="24"/>
              </w:rPr>
              <w:t>重庆农村商业银行</w:t>
            </w:r>
          </w:p>
        </w:tc>
        <w:tc>
          <w:tcPr>
            <w:tcW w:w="1276" w:type="dxa"/>
            <w:vAlign w:val="center"/>
          </w:tcPr>
          <w:p w:rsidR="00E57E12" w:rsidRDefault="00F256B5">
            <w:pPr>
              <w:jc w:val="right"/>
            </w:pPr>
            <w:r>
              <w:rPr>
                <w:rFonts w:eastAsiaTheme="minorEastAsia"/>
                <w:color w:val="000000" w:themeColor="text1"/>
                <w:sz w:val="24"/>
              </w:rPr>
              <w:t>5,681,000.00</w:t>
            </w:r>
          </w:p>
        </w:tc>
        <w:tc>
          <w:tcPr>
            <w:tcW w:w="1842" w:type="dxa"/>
            <w:vAlign w:val="center"/>
          </w:tcPr>
          <w:p w:rsidR="00E57E12" w:rsidRDefault="00F256B5">
            <w:pPr>
              <w:jc w:val="right"/>
            </w:pPr>
            <w:r>
              <w:rPr>
                <w:rFonts w:eastAsiaTheme="minorEastAsia"/>
                <w:color w:val="000000" w:themeColor="text1"/>
                <w:sz w:val="24"/>
              </w:rPr>
              <w:t>15,599,154.53</w:t>
            </w:r>
          </w:p>
        </w:tc>
        <w:tc>
          <w:tcPr>
            <w:tcW w:w="1616" w:type="dxa"/>
            <w:vAlign w:val="center"/>
          </w:tcPr>
          <w:p w:rsidR="00E57E12" w:rsidRDefault="00F256B5">
            <w:pPr>
              <w:jc w:val="right"/>
            </w:pPr>
            <w:r>
              <w:rPr>
                <w:rFonts w:eastAsiaTheme="minorEastAsia"/>
                <w:color w:val="000000" w:themeColor="text1"/>
                <w:sz w:val="24"/>
              </w:rPr>
              <w:t>3.42</w:t>
            </w:r>
          </w:p>
        </w:tc>
      </w:tr>
      <w:tr w:rsidR="00E57E12">
        <w:tc>
          <w:tcPr>
            <w:tcW w:w="817" w:type="dxa"/>
            <w:vAlign w:val="center"/>
          </w:tcPr>
          <w:p w:rsidR="00E57E12" w:rsidRDefault="00F256B5">
            <w:pPr>
              <w:jc w:val="center"/>
            </w:pPr>
            <w:r>
              <w:rPr>
                <w:rFonts w:eastAsiaTheme="minorEastAsia"/>
                <w:color w:val="000000" w:themeColor="text1"/>
                <w:sz w:val="24"/>
              </w:rPr>
              <w:t>4</w:t>
            </w:r>
          </w:p>
        </w:tc>
        <w:tc>
          <w:tcPr>
            <w:tcW w:w="1276" w:type="dxa"/>
            <w:vAlign w:val="center"/>
          </w:tcPr>
          <w:p w:rsidR="00E57E12" w:rsidRDefault="00F256B5">
            <w:pPr>
              <w:jc w:val="center"/>
            </w:pPr>
            <w:r>
              <w:rPr>
                <w:rFonts w:eastAsiaTheme="minorEastAsia"/>
                <w:color w:val="000000" w:themeColor="text1"/>
                <w:sz w:val="24"/>
              </w:rPr>
              <w:t>00489</w:t>
            </w:r>
          </w:p>
        </w:tc>
        <w:tc>
          <w:tcPr>
            <w:tcW w:w="1701" w:type="dxa"/>
            <w:vAlign w:val="center"/>
          </w:tcPr>
          <w:p w:rsidR="00E57E12" w:rsidRDefault="00F256B5">
            <w:pPr>
              <w:jc w:val="center"/>
            </w:pPr>
            <w:r>
              <w:rPr>
                <w:rFonts w:eastAsiaTheme="minorEastAsia"/>
                <w:color w:val="000000" w:themeColor="text1"/>
                <w:sz w:val="24"/>
              </w:rPr>
              <w:t>东风集团股份</w:t>
            </w:r>
          </w:p>
        </w:tc>
        <w:tc>
          <w:tcPr>
            <w:tcW w:w="1276" w:type="dxa"/>
            <w:vAlign w:val="center"/>
          </w:tcPr>
          <w:p w:rsidR="00E57E12" w:rsidRDefault="00F256B5">
            <w:pPr>
              <w:jc w:val="right"/>
            </w:pPr>
            <w:r>
              <w:rPr>
                <w:rFonts w:eastAsiaTheme="minorEastAsia"/>
                <w:color w:val="000000" w:themeColor="text1"/>
                <w:sz w:val="24"/>
              </w:rPr>
              <w:t>3,652,000.00</w:t>
            </w:r>
          </w:p>
        </w:tc>
        <w:tc>
          <w:tcPr>
            <w:tcW w:w="1842" w:type="dxa"/>
            <w:vAlign w:val="center"/>
          </w:tcPr>
          <w:p w:rsidR="00E57E12" w:rsidRDefault="00F256B5">
            <w:pPr>
              <w:jc w:val="right"/>
            </w:pPr>
            <w:r>
              <w:rPr>
                <w:rFonts w:eastAsiaTheme="minorEastAsia"/>
                <w:color w:val="000000" w:themeColor="text1"/>
                <w:sz w:val="24"/>
              </w:rPr>
              <w:t>12,874,015.06</w:t>
            </w:r>
          </w:p>
        </w:tc>
        <w:tc>
          <w:tcPr>
            <w:tcW w:w="1616" w:type="dxa"/>
            <w:vAlign w:val="center"/>
          </w:tcPr>
          <w:p w:rsidR="00E57E12" w:rsidRDefault="00F256B5">
            <w:pPr>
              <w:jc w:val="right"/>
            </w:pPr>
            <w:r>
              <w:rPr>
                <w:rFonts w:eastAsiaTheme="minorEastAsia"/>
                <w:color w:val="000000" w:themeColor="text1"/>
                <w:sz w:val="24"/>
              </w:rPr>
              <w:t>2.83</w:t>
            </w:r>
          </w:p>
        </w:tc>
      </w:tr>
      <w:tr w:rsidR="00E57E12">
        <w:tc>
          <w:tcPr>
            <w:tcW w:w="817" w:type="dxa"/>
            <w:vAlign w:val="center"/>
          </w:tcPr>
          <w:p w:rsidR="00E57E12" w:rsidRDefault="00F256B5">
            <w:pPr>
              <w:jc w:val="center"/>
            </w:pPr>
            <w:r>
              <w:rPr>
                <w:rFonts w:eastAsiaTheme="minorEastAsia"/>
                <w:color w:val="000000" w:themeColor="text1"/>
                <w:sz w:val="24"/>
              </w:rPr>
              <w:t>5</w:t>
            </w:r>
          </w:p>
        </w:tc>
        <w:tc>
          <w:tcPr>
            <w:tcW w:w="1276" w:type="dxa"/>
            <w:vAlign w:val="center"/>
          </w:tcPr>
          <w:p w:rsidR="00E57E12" w:rsidRDefault="00F256B5">
            <w:pPr>
              <w:jc w:val="center"/>
            </w:pPr>
            <w:r>
              <w:rPr>
                <w:rFonts w:eastAsiaTheme="minorEastAsia"/>
                <w:color w:val="000000" w:themeColor="text1"/>
                <w:sz w:val="24"/>
              </w:rPr>
              <w:t>00008</w:t>
            </w:r>
          </w:p>
        </w:tc>
        <w:tc>
          <w:tcPr>
            <w:tcW w:w="1701" w:type="dxa"/>
            <w:vAlign w:val="center"/>
          </w:tcPr>
          <w:p w:rsidR="00E57E12" w:rsidRDefault="00F256B5">
            <w:pPr>
              <w:jc w:val="center"/>
            </w:pPr>
            <w:r>
              <w:rPr>
                <w:rFonts w:eastAsiaTheme="minorEastAsia"/>
                <w:color w:val="000000" w:themeColor="text1"/>
                <w:sz w:val="24"/>
              </w:rPr>
              <w:t>电讯盈科</w:t>
            </w:r>
          </w:p>
        </w:tc>
        <w:tc>
          <w:tcPr>
            <w:tcW w:w="1276" w:type="dxa"/>
            <w:vAlign w:val="center"/>
          </w:tcPr>
          <w:p w:rsidR="00E57E12" w:rsidRDefault="00F256B5">
            <w:pPr>
              <w:jc w:val="right"/>
            </w:pPr>
            <w:r>
              <w:rPr>
                <w:rFonts w:eastAsiaTheme="minorEastAsia"/>
                <w:color w:val="000000" w:themeColor="text1"/>
                <w:sz w:val="24"/>
              </w:rPr>
              <w:t>3,307,000.00</w:t>
            </w:r>
          </w:p>
        </w:tc>
        <w:tc>
          <w:tcPr>
            <w:tcW w:w="1842" w:type="dxa"/>
            <w:vAlign w:val="center"/>
          </w:tcPr>
          <w:p w:rsidR="00E57E12" w:rsidRDefault="00F256B5">
            <w:pPr>
              <w:jc w:val="right"/>
            </w:pPr>
            <w:r>
              <w:rPr>
                <w:rFonts w:eastAsiaTheme="minorEastAsia"/>
                <w:color w:val="000000" w:themeColor="text1"/>
                <w:sz w:val="24"/>
              </w:rPr>
              <w:t>12,466,977.29</w:t>
            </w:r>
          </w:p>
        </w:tc>
        <w:tc>
          <w:tcPr>
            <w:tcW w:w="1616" w:type="dxa"/>
            <w:vAlign w:val="center"/>
          </w:tcPr>
          <w:p w:rsidR="00E57E12" w:rsidRDefault="00F256B5">
            <w:pPr>
              <w:jc w:val="right"/>
            </w:pPr>
            <w:r>
              <w:rPr>
                <w:rFonts w:eastAsiaTheme="minorEastAsia"/>
                <w:color w:val="000000" w:themeColor="text1"/>
                <w:sz w:val="24"/>
              </w:rPr>
              <w:t>2.74</w:t>
            </w:r>
          </w:p>
        </w:tc>
      </w:tr>
      <w:tr w:rsidR="00E57E12">
        <w:tc>
          <w:tcPr>
            <w:tcW w:w="817" w:type="dxa"/>
            <w:vAlign w:val="center"/>
          </w:tcPr>
          <w:p w:rsidR="00E57E12" w:rsidRDefault="00F256B5">
            <w:pPr>
              <w:jc w:val="center"/>
            </w:pPr>
            <w:r>
              <w:rPr>
                <w:rFonts w:eastAsiaTheme="minorEastAsia"/>
                <w:color w:val="000000" w:themeColor="text1"/>
                <w:sz w:val="24"/>
              </w:rPr>
              <w:t>6</w:t>
            </w:r>
          </w:p>
        </w:tc>
        <w:tc>
          <w:tcPr>
            <w:tcW w:w="1276" w:type="dxa"/>
            <w:vAlign w:val="center"/>
          </w:tcPr>
          <w:p w:rsidR="00E57E12" w:rsidRDefault="00F256B5">
            <w:pPr>
              <w:jc w:val="center"/>
            </w:pPr>
            <w:r>
              <w:rPr>
                <w:rFonts w:eastAsiaTheme="minorEastAsia"/>
                <w:color w:val="000000" w:themeColor="text1"/>
                <w:sz w:val="24"/>
              </w:rPr>
              <w:t>00939</w:t>
            </w:r>
          </w:p>
        </w:tc>
        <w:tc>
          <w:tcPr>
            <w:tcW w:w="1701" w:type="dxa"/>
            <w:vAlign w:val="center"/>
          </w:tcPr>
          <w:p w:rsidR="00E57E12" w:rsidRDefault="00F256B5">
            <w:pPr>
              <w:jc w:val="center"/>
            </w:pPr>
            <w:r>
              <w:rPr>
                <w:rFonts w:eastAsiaTheme="minorEastAsia"/>
                <w:color w:val="000000" w:themeColor="text1"/>
                <w:sz w:val="24"/>
              </w:rPr>
              <w:t>建设银行</w:t>
            </w:r>
          </w:p>
        </w:tc>
        <w:tc>
          <w:tcPr>
            <w:tcW w:w="1276" w:type="dxa"/>
            <w:vAlign w:val="center"/>
          </w:tcPr>
          <w:p w:rsidR="00E57E12" w:rsidRDefault="00F256B5">
            <w:pPr>
              <w:jc w:val="right"/>
            </w:pPr>
            <w:r>
              <w:rPr>
                <w:rFonts w:eastAsiaTheme="minorEastAsia"/>
                <w:color w:val="000000" w:themeColor="text1"/>
                <w:sz w:val="24"/>
              </w:rPr>
              <w:t>2,749,000.00</w:t>
            </w:r>
          </w:p>
        </w:tc>
        <w:tc>
          <w:tcPr>
            <w:tcW w:w="1842" w:type="dxa"/>
            <w:vAlign w:val="center"/>
          </w:tcPr>
          <w:p w:rsidR="00E57E12" w:rsidRDefault="00F256B5">
            <w:pPr>
              <w:jc w:val="right"/>
            </w:pPr>
            <w:r>
              <w:rPr>
                <w:rFonts w:eastAsiaTheme="minorEastAsia"/>
                <w:color w:val="000000" w:themeColor="text1"/>
                <w:sz w:val="24"/>
              </w:rPr>
              <w:t>11,584,074.33</w:t>
            </w:r>
          </w:p>
        </w:tc>
        <w:tc>
          <w:tcPr>
            <w:tcW w:w="1616" w:type="dxa"/>
            <w:vAlign w:val="center"/>
          </w:tcPr>
          <w:p w:rsidR="00E57E12" w:rsidRDefault="00F256B5">
            <w:pPr>
              <w:jc w:val="right"/>
            </w:pPr>
            <w:r>
              <w:rPr>
                <w:rFonts w:eastAsiaTheme="minorEastAsia"/>
                <w:color w:val="000000" w:themeColor="text1"/>
                <w:sz w:val="24"/>
              </w:rPr>
              <w:t>2.54</w:t>
            </w:r>
          </w:p>
        </w:tc>
      </w:tr>
      <w:tr w:rsidR="00E57E12">
        <w:tc>
          <w:tcPr>
            <w:tcW w:w="817" w:type="dxa"/>
            <w:vAlign w:val="center"/>
          </w:tcPr>
          <w:p w:rsidR="00E57E12" w:rsidRDefault="00F256B5">
            <w:pPr>
              <w:jc w:val="center"/>
            </w:pPr>
            <w:r>
              <w:rPr>
                <w:rFonts w:eastAsiaTheme="minorEastAsia"/>
                <w:color w:val="000000" w:themeColor="text1"/>
                <w:sz w:val="24"/>
              </w:rPr>
              <w:t>7</w:t>
            </w:r>
          </w:p>
        </w:tc>
        <w:tc>
          <w:tcPr>
            <w:tcW w:w="1276" w:type="dxa"/>
            <w:vAlign w:val="center"/>
          </w:tcPr>
          <w:p w:rsidR="00E57E12" w:rsidRDefault="00F256B5">
            <w:pPr>
              <w:jc w:val="center"/>
            </w:pPr>
            <w:r>
              <w:rPr>
                <w:rFonts w:eastAsiaTheme="minorEastAsia"/>
                <w:color w:val="000000" w:themeColor="text1"/>
                <w:sz w:val="24"/>
              </w:rPr>
              <w:t>01288</w:t>
            </w:r>
          </w:p>
        </w:tc>
        <w:tc>
          <w:tcPr>
            <w:tcW w:w="1701" w:type="dxa"/>
            <w:vAlign w:val="center"/>
          </w:tcPr>
          <w:p w:rsidR="00E57E12" w:rsidRDefault="00F256B5">
            <w:pPr>
              <w:jc w:val="center"/>
            </w:pPr>
            <w:r>
              <w:rPr>
                <w:rFonts w:eastAsiaTheme="minorEastAsia"/>
                <w:color w:val="000000" w:themeColor="text1"/>
                <w:sz w:val="24"/>
              </w:rPr>
              <w:t>农业银行</w:t>
            </w:r>
          </w:p>
        </w:tc>
        <w:tc>
          <w:tcPr>
            <w:tcW w:w="1276" w:type="dxa"/>
            <w:vAlign w:val="center"/>
          </w:tcPr>
          <w:p w:rsidR="00E57E12" w:rsidRDefault="00F256B5">
            <w:pPr>
              <w:jc w:val="right"/>
            </w:pPr>
            <w:r>
              <w:rPr>
                <w:rFonts w:eastAsiaTheme="minorEastAsia"/>
                <w:color w:val="000000" w:themeColor="text1"/>
                <w:sz w:val="24"/>
              </w:rPr>
              <w:t>4,188,000.00</w:t>
            </w:r>
          </w:p>
        </w:tc>
        <w:tc>
          <w:tcPr>
            <w:tcW w:w="1842" w:type="dxa"/>
            <w:vAlign w:val="center"/>
          </w:tcPr>
          <w:p w:rsidR="00E57E12" w:rsidRDefault="00F256B5">
            <w:pPr>
              <w:jc w:val="right"/>
            </w:pPr>
            <w:r>
              <w:rPr>
                <w:rFonts w:eastAsiaTheme="minorEastAsia"/>
                <w:color w:val="000000" w:themeColor="text1"/>
                <w:sz w:val="24"/>
              </w:rPr>
              <w:t>11,423,700.57</w:t>
            </w:r>
          </w:p>
        </w:tc>
        <w:tc>
          <w:tcPr>
            <w:tcW w:w="1616" w:type="dxa"/>
            <w:vAlign w:val="center"/>
          </w:tcPr>
          <w:p w:rsidR="00E57E12" w:rsidRDefault="00F256B5">
            <w:pPr>
              <w:jc w:val="right"/>
            </w:pPr>
            <w:r>
              <w:rPr>
                <w:rFonts w:eastAsiaTheme="minorEastAsia"/>
                <w:color w:val="000000" w:themeColor="text1"/>
                <w:sz w:val="24"/>
              </w:rPr>
              <w:t>2.51</w:t>
            </w:r>
          </w:p>
        </w:tc>
      </w:tr>
      <w:tr w:rsidR="00E57E12">
        <w:tc>
          <w:tcPr>
            <w:tcW w:w="817" w:type="dxa"/>
            <w:vAlign w:val="center"/>
          </w:tcPr>
          <w:p w:rsidR="00E57E12" w:rsidRDefault="00F256B5">
            <w:pPr>
              <w:jc w:val="center"/>
            </w:pPr>
            <w:r>
              <w:rPr>
                <w:rFonts w:eastAsiaTheme="minorEastAsia"/>
                <w:color w:val="000000" w:themeColor="text1"/>
                <w:sz w:val="24"/>
              </w:rPr>
              <w:t>8</w:t>
            </w:r>
          </w:p>
        </w:tc>
        <w:tc>
          <w:tcPr>
            <w:tcW w:w="1276" w:type="dxa"/>
            <w:vAlign w:val="center"/>
          </w:tcPr>
          <w:p w:rsidR="00E57E12" w:rsidRDefault="00F256B5">
            <w:pPr>
              <w:jc w:val="center"/>
            </w:pPr>
            <w:r>
              <w:rPr>
                <w:rFonts w:eastAsiaTheme="minorEastAsia"/>
                <w:color w:val="000000" w:themeColor="text1"/>
                <w:sz w:val="24"/>
              </w:rPr>
              <w:t>03988</w:t>
            </w:r>
          </w:p>
        </w:tc>
        <w:tc>
          <w:tcPr>
            <w:tcW w:w="1701" w:type="dxa"/>
            <w:vAlign w:val="center"/>
          </w:tcPr>
          <w:p w:rsidR="00E57E12" w:rsidRDefault="00F256B5">
            <w:pPr>
              <w:jc w:val="center"/>
            </w:pPr>
            <w:r>
              <w:rPr>
                <w:rFonts w:eastAsiaTheme="minorEastAsia"/>
                <w:color w:val="000000" w:themeColor="text1"/>
                <w:sz w:val="24"/>
              </w:rPr>
              <w:t>中国银行</w:t>
            </w:r>
          </w:p>
        </w:tc>
        <w:tc>
          <w:tcPr>
            <w:tcW w:w="1276" w:type="dxa"/>
            <w:vAlign w:val="center"/>
          </w:tcPr>
          <w:p w:rsidR="00E57E12" w:rsidRDefault="00F256B5">
            <w:pPr>
              <w:jc w:val="right"/>
            </w:pPr>
            <w:r>
              <w:rPr>
                <w:rFonts w:eastAsiaTheme="minorEastAsia"/>
                <w:color w:val="000000" w:themeColor="text1"/>
                <w:sz w:val="24"/>
              </w:rPr>
              <w:t>4,153,000.00</w:t>
            </w:r>
          </w:p>
        </w:tc>
        <w:tc>
          <w:tcPr>
            <w:tcW w:w="1842" w:type="dxa"/>
            <w:vAlign w:val="center"/>
          </w:tcPr>
          <w:p w:rsidR="00E57E12" w:rsidRDefault="00F256B5">
            <w:pPr>
              <w:jc w:val="right"/>
            </w:pPr>
            <w:r>
              <w:rPr>
                <w:rFonts w:eastAsiaTheme="minorEastAsia"/>
                <w:color w:val="000000" w:themeColor="text1"/>
                <w:sz w:val="24"/>
              </w:rPr>
              <w:t>11,215,324.35</w:t>
            </w:r>
          </w:p>
        </w:tc>
        <w:tc>
          <w:tcPr>
            <w:tcW w:w="1616" w:type="dxa"/>
            <w:vAlign w:val="center"/>
          </w:tcPr>
          <w:p w:rsidR="00E57E12" w:rsidRDefault="00F256B5">
            <w:pPr>
              <w:jc w:val="right"/>
            </w:pPr>
            <w:r>
              <w:rPr>
                <w:rFonts w:eastAsiaTheme="minorEastAsia"/>
                <w:color w:val="000000" w:themeColor="text1"/>
                <w:sz w:val="24"/>
              </w:rPr>
              <w:t>2.46</w:t>
            </w:r>
          </w:p>
        </w:tc>
      </w:tr>
      <w:tr w:rsidR="00E57E12">
        <w:tc>
          <w:tcPr>
            <w:tcW w:w="817" w:type="dxa"/>
            <w:vAlign w:val="center"/>
          </w:tcPr>
          <w:p w:rsidR="00E57E12" w:rsidRDefault="00F256B5">
            <w:pPr>
              <w:jc w:val="center"/>
            </w:pPr>
            <w:r>
              <w:rPr>
                <w:rFonts w:eastAsiaTheme="minorEastAsia"/>
                <w:color w:val="000000" w:themeColor="text1"/>
                <w:sz w:val="24"/>
              </w:rPr>
              <w:t>9</w:t>
            </w:r>
          </w:p>
        </w:tc>
        <w:tc>
          <w:tcPr>
            <w:tcW w:w="1276" w:type="dxa"/>
            <w:vAlign w:val="center"/>
          </w:tcPr>
          <w:p w:rsidR="00E57E12" w:rsidRDefault="00F256B5">
            <w:pPr>
              <w:jc w:val="center"/>
            </w:pPr>
            <w:r>
              <w:rPr>
                <w:rFonts w:eastAsiaTheme="minorEastAsia"/>
                <w:color w:val="000000" w:themeColor="text1"/>
                <w:sz w:val="24"/>
              </w:rPr>
              <w:t>03328</w:t>
            </w:r>
          </w:p>
        </w:tc>
        <w:tc>
          <w:tcPr>
            <w:tcW w:w="1701" w:type="dxa"/>
            <w:vAlign w:val="center"/>
          </w:tcPr>
          <w:p w:rsidR="00E57E12" w:rsidRDefault="00F256B5">
            <w:pPr>
              <w:jc w:val="center"/>
            </w:pPr>
            <w:r>
              <w:rPr>
                <w:rFonts w:eastAsiaTheme="minorEastAsia"/>
                <w:color w:val="000000" w:themeColor="text1"/>
                <w:sz w:val="24"/>
              </w:rPr>
              <w:t>交通银行</w:t>
            </w:r>
          </w:p>
        </w:tc>
        <w:tc>
          <w:tcPr>
            <w:tcW w:w="1276" w:type="dxa"/>
            <w:vAlign w:val="center"/>
          </w:tcPr>
          <w:p w:rsidR="00E57E12" w:rsidRDefault="00F256B5">
            <w:pPr>
              <w:jc w:val="right"/>
            </w:pPr>
            <w:r>
              <w:rPr>
                <w:rFonts w:eastAsiaTheme="minorEastAsia"/>
                <w:color w:val="000000" w:themeColor="text1"/>
                <w:sz w:val="24"/>
              </w:rPr>
              <w:t>2,496,000.00</w:t>
            </w:r>
          </w:p>
        </w:tc>
        <w:tc>
          <w:tcPr>
            <w:tcW w:w="1842" w:type="dxa"/>
            <w:vAlign w:val="center"/>
          </w:tcPr>
          <w:p w:rsidR="00E57E12" w:rsidRDefault="00F256B5">
            <w:pPr>
              <w:jc w:val="right"/>
            </w:pPr>
            <w:r>
              <w:rPr>
                <w:rFonts w:eastAsiaTheme="minorEastAsia"/>
                <w:color w:val="000000" w:themeColor="text1"/>
                <w:sz w:val="24"/>
              </w:rPr>
              <w:t>11,015,575.33</w:t>
            </w:r>
          </w:p>
        </w:tc>
        <w:tc>
          <w:tcPr>
            <w:tcW w:w="1616" w:type="dxa"/>
            <w:vAlign w:val="center"/>
          </w:tcPr>
          <w:p w:rsidR="00E57E12" w:rsidRDefault="00F256B5">
            <w:pPr>
              <w:jc w:val="right"/>
            </w:pPr>
            <w:r>
              <w:rPr>
                <w:rFonts w:eastAsiaTheme="minorEastAsia"/>
                <w:color w:val="000000" w:themeColor="text1"/>
                <w:sz w:val="24"/>
              </w:rPr>
              <w:t>2.42</w:t>
            </w:r>
          </w:p>
        </w:tc>
      </w:tr>
      <w:tr w:rsidR="00E57E12">
        <w:tc>
          <w:tcPr>
            <w:tcW w:w="817" w:type="dxa"/>
            <w:vAlign w:val="center"/>
          </w:tcPr>
          <w:p w:rsidR="00E57E12" w:rsidRDefault="00F256B5">
            <w:pPr>
              <w:jc w:val="center"/>
            </w:pPr>
            <w:r>
              <w:rPr>
                <w:rFonts w:eastAsiaTheme="minorEastAsia"/>
                <w:color w:val="000000" w:themeColor="text1"/>
                <w:sz w:val="24"/>
              </w:rPr>
              <w:t>10</w:t>
            </w:r>
          </w:p>
        </w:tc>
        <w:tc>
          <w:tcPr>
            <w:tcW w:w="1276" w:type="dxa"/>
            <w:vAlign w:val="center"/>
          </w:tcPr>
          <w:p w:rsidR="00E57E12" w:rsidRDefault="00F256B5">
            <w:pPr>
              <w:jc w:val="center"/>
            </w:pPr>
            <w:r>
              <w:rPr>
                <w:rFonts w:eastAsiaTheme="minorEastAsia"/>
                <w:color w:val="000000" w:themeColor="text1"/>
                <w:sz w:val="24"/>
              </w:rPr>
              <w:t>01398</w:t>
            </w:r>
          </w:p>
        </w:tc>
        <w:tc>
          <w:tcPr>
            <w:tcW w:w="1701" w:type="dxa"/>
            <w:vAlign w:val="center"/>
          </w:tcPr>
          <w:p w:rsidR="00E57E12" w:rsidRDefault="00F256B5">
            <w:pPr>
              <w:jc w:val="center"/>
            </w:pPr>
            <w:r>
              <w:rPr>
                <w:rFonts w:eastAsiaTheme="minorEastAsia"/>
                <w:color w:val="000000" w:themeColor="text1"/>
                <w:sz w:val="24"/>
              </w:rPr>
              <w:t>工商银行</w:t>
            </w:r>
          </w:p>
        </w:tc>
        <w:tc>
          <w:tcPr>
            <w:tcW w:w="1276" w:type="dxa"/>
            <w:vAlign w:val="center"/>
          </w:tcPr>
          <w:p w:rsidR="00E57E12" w:rsidRDefault="00F256B5">
            <w:pPr>
              <w:jc w:val="right"/>
            </w:pPr>
            <w:r>
              <w:rPr>
                <w:rFonts w:eastAsiaTheme="minorEastAsia"/>
                <w:color w:val="000000" w:themeColor="text1"/>
                <w:sz w:val="24"/>
              </w:rPr>
              <w:t>3,107,000.00</w:t>
            </w:r>
          </w:p>
        </w:tc>
        <w:tc>
          <w:tcPr>
            <w:tcW w:w="1842" w:type="dxa"/>
            <w:vAlign w:val="center"/>
          </w:tcPr>
          <w:p w:rsidR="00E57E12" w:rsidRDefault="00F256B5">
            <w:pPr>
              <w:jc w:val="right"/>
            </w:pPr>
            <w:r>
              <w:rPr>
                <w:rFonts w:eastAsiaTheme="minorEastAsia"/>
                <w:color w:val="000000" w:themeColor="text1"/>
                <w:sz w:val="24"/>
              </w:rPr>
              <w:t>10,755,689.56</w:t>
            </w:r>
          </w:p>
        </w:tc>
        <w:tc>
          <w:tcPr>
            <w:tcW w:w="1616" w:type="dxa"/>
            <w:vAlign w:val="center"/>
          </w:tcPr>
          <w:p w:rsidR="00E57E12" w:rsidRDefault="00F256B5">
            <w:pPr>
              <w:jc w:val="right"/>
            </w:pPr>
            <w:r>
              <w:rPr>
                <w:rFonts w:eastAsiaTheme="minorEastAsia"/>
                <w:color w:val="000000" w:themeColor="text1"/>
                <w:sz w:val="24"/>
              </w:rPr>
              <w:t>2.36</w:t>
            </w:r>
          </w:p>
        </w:tc>
      </w:tr>
    </w:tbl>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lastRenderedPageBreak/>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报告期内本基金投资的前十名证券的发行主体本期没有出现被监管部门立案调查，或在报告编制日前一年内受到公开谴责、处罚的情形。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0.10</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473,340.40</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518,740.34</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992,080.84</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lastRenderedPageBreak/>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摩根标普港股通低波红利指数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摩根标普港股通低波红利指数</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248,327,298.59</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321,102,046.67</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55,482,175.63</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66,375,034.46</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23,481,050.43</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124,593,622.42</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280,328,423.79</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262,883,458.71</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Default="0098228A" w:rsidP="0098228A">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无。</w:t>
      </w:r>
    </w:p>
    <w:p w:rsidR="00280C9A" w:rsidRPr="00EE3DBC" w:rsidRDefault="00280C9A" w:rsidP="0098228A">
      <w:pPr>
        <w:autoSpaceDE w:val="0"/>
        <w:autoSpaceDN w:val="0"/>
        <w:adjustRightInd w:val="0"/>
        <w:spacing w:line="360" w:lineRule="auto"/>
        <w:ind w:firstLineChars="200" w:firstLine="420"/>
        <w:jc w:val="left"/>
        <w:rPr>
          <w:rFonts w:eastAsiaTheme="minorEastAsia"/>
          <w:color w:val="000000" w:themeColor="text1"/>
          <w:szCs w:val="21"/>
        </w:rPr>
      </w:pPr>
    </w:p>
    <w:p w:rsidR="00280C9A" w:rsidRDefault="00280C9A" w:rsidP="00280C9A">
      <w:pPr>
        <w:spacing w:line="360" w:lineRule="auto"/>
        <w:jc w:val="left"/>
        <w:rPr>
          <w:b/>
          <w:color w:val="000000" w:themeColor="text1"/>
          <w:szCs w:val="21"/>
        </w:rPr>
      </w:pPr>
      <w:r>
        <w:rPr>
          <w:b/>
          <w:color w:val="000000" w:themeColor="text1"/>
          <w:szCs w:val="21"/>
        </w:rPr>
        <w:t xml:space="preserve">7.2 </w:t>
      </w:r>
      <w:r>
        <w:rPr>
          <w:rFonts w:hint="eastAsia"/>
          <w:b/>
          <w:color w:val="000000" w:themeColor="text1"/>
          <w:szCs w:val="21"/>
        </w:rPr>
        <w:t>基金管理人运用固有资金投资本基金交易明细</w:t>
      </w:r>
    </w:p>
    <w:p w:rsidR="00280C9A" w:rsidRDefault="00280C9A" w:rsidP="00280C9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hint="eastAsia"/>
          <w:color w:val="000000" w:themeColor="text1"/>
          <w:szCs w:val="21"/>
        </w:rPr>
        <w:t>无。</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8.1 </w:t>
      </w:r>
      <w:r w:rsidRPr="00EE3DBC">
        <w:rPr>
          <w:rFonts w:eastAsiaTheme="minorEastAsia"/>
          <w:b/>
          <w:color w:val="000000" w:themeColor="text1"/>
          <w:sz w:val="24"/>
        </w:rPr>
        <w:t>备查文件目录</w:t>
      </w:r>
    </w:p>
    <w:p w:rsidR="00E57E12" w:rsidRDefault="00F256B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E57E12" w:rsidRDefault="00F256B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摩根标普港股通低波红利指数型证券投资基金基金合同</w:t>
      </w:r>
    </w:p>
    <w:p w:rsidR="00E57E12" w:rsidRDefault="00F256B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摩根标普港股通低波红利指数型证券投资基金托管协议</w:t>
      </w:r>
    </w:p>
    <w:p w:rsidR="00E57E12" w:rsidRDefault="00F256B5">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E57E12" w:rsidRDefault="00F256B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E57E12" w:rsidRDefault="00F256B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E57E12" w:rsidRDefault="00F256B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8.2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基金管理人或基金托管人住所。</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8.3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二〇二四年一月二十二日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BB" w:rsidRDefault="00707FBB">
      <w:r>
        <w:separator/>
      </w:r>
    </w:p>
  </w:endnote>
  <w:endnote w:type="continuationSeparator" w:id="0">
    <w:p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607F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607F3">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607F3">
      <w:rPr>
        <w:rStyle w:val="af5"/>
        <w:noProof/>
      </w:rPr>
      <w:t>8</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BB" w:rsidRDefault="00707FBB">
      <w:r>
        <w:separator/>
      </w:r>
    </w:p>
  </w:footnote>
  <w:footnote w:type="continuationSeparator" w:id="0">
    <w:p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摩根标普港股通低波红利指数型证券投资基金</w:t>
    </w:r>
    <w:r>
      <w:rPr>
        <w:sz w:val="21"/>
        <w:szCs w:val="21"/>
      </w:rPr>
      <w:t>2023</w:t>
    </w:r>
    <w:r>
      <w:rPr>
        <w:sz w:val="21"/>
        <w:szCs w:val="21"/>
      </w:rPr>
      <w:t>年第</w:t>
    </w:r>
    <w:r>
      <w:rPr>
        <w:sz w:val="21"/>
        <w:szCs w:val="21"/>
      </w:rPr>
      <w:t>4</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07F3"/>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0C9A"/>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57E12"/>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56B5"/>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 w:id="1708947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1302</Words>
  <Characters>7424</Characters>
  <Application>Microsoft Office Word</Application>
  <DocSecurity>0</DocSecurity>
  <Lines>61</Lines>
  <Paragraphs>17</Paragraphs>
  <ScaleCrop>false</ScaleCrop>
  <Company>TRT. Ltd. Co.</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167</cp:revision>
  <cp:lastPrinted>2007-07-19T00:46:00Z</cp:lastPrinted>
  <dcterms:created xsi:type="dcterms:W3CDTF">2012-11-28T02:28:00Z</dcterms:created>
  <dcterms:modified xsi:type="dcterms:W3CDTF">2024-01-19T05:25:00Z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