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上投摩根标普港股通低波红利指数型证券投资基金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2021</w:t>
      </w:r>
      <w:r w:rsidRPr="00EE3DBC">
        <w:rPr>
          <w:rFonts w:eastAsiaTheme="minorEastAsia"/>
          <w:b/>
          <w:color w:val="000000" w:themeColor="text1"/>
          <w:sz w:val="36"/>
          <w:szCs w:val="36"/>
        </w:rPr>
        <w:t>年第</w:t>
      </w:r>
      <w:r w:rsidRPr="00EE3DBC">
        <w:rPr>
          <w:rFonts w:eastAsiaTheme="minorEastAsia"/>
          <w:b/>
          <w:color w:val="000000" w:themeColor="text1"/>
          <w:sz w:val="36"/>
          <w:szCs w:val="36"/>
        </w:rPr>
        <w:t>3</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2021</w:t>
      </w:r>
      <w:r w:rsidRPr="00EE3DBC">
        <w:rPr>
          <w:rFonts w:eastAsiaTheme="minorEastAsia"/>
          <w:b/>
          <w:color w:val="000000" w:themeColor="text1"/>
          <w:sz w:val="36"/>
          <w:szCs w:val="36"/>
        </w:rPr>
        <w:t>年</w:t>
      </w:r>
      <w:r w:rsidRPr="00EE3DBC">
        <w:rPr>
          <w:rFonts w:eastAsiaTheme="minorEastAsia"/>
          <w:b/>
          <w:color w:val="000000" w:themeColor="text1"/>
          <w:sz w:val="36"/>
          <w:szCs w:val="36"/>
        </w:rPr>
        <w:t>9</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基金管理人：上投摩根基金管理有限公司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报告送出日期：二〇二一年十月二十七日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26</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2021</w:t>
      </w:r>
      <w:r w:rsidRPr="00EE3DBC">
        <w:rPr>
          <w:rFonts w:eastAsiaTheme="minorEastAsia"/>
          <w:color w:val="000000" w:themeColor="text1"/>
          <w:sz w:val="24"/>
        </w:rPr>
        <w:t>年</w:t>
      </w:r>
      <w:r w:rsidRPr="00EE3DBC">
        <w:rPr>
          <w:rFonts w:eastAsiaTheme="minorEastAsia"/>
          <w:color w:val="000000" w:themeColor="text1"/>
          <w:sz w:val="24"/>
        </w:rPr>
        <w:t>7</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9</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上投摩根标普港股通低波红利指数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r w:rsidRPr="00EE3DBC">
              <w:rPr>
                <w:rFonts w:eastAsiaTheme="minorEastAsia"/>
                <w:color w:val="000000" w:themeColor="text1"/>
                <w:kern w:val="0"/>
                <w:sz w:val="24"/>
              </w:rPr>
              <w:t xml:space="preserve"> </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4</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264,029,407.31</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本基金进行被动式指数化投资，通过严格的投资纪律约束和数量化风险管理手段，力争控制本基金的净值增长率与业绩比较基准之间的日均跟踪偏离度不超过</w:t>
            </w:r>
            <w:r w:rsidRPr="00EE3DBC">
              <w:rPr>
                <w:rFonts w:eastAsiaTheme="minorEastAsia"/>
                <w:color w:val="000000" w:themeColor="text1"/>
                <w:kern w:val="0"/>
                <w:sz w:val="24"/>
              </w:rPr>
              <w:t>0.35%</w:t>
            </w:r>
            <w:r w:rsidRPr="00EE3DBC">
              <w:rPr>
                <w:rFonts w:eastAsiaTheme="minorEastAsia"/>
                <w:color w:val="000000" w:themeColor="text1"/>
                <w:kern w:val="0"/>
                <w:sz w:val="24"/>
              </w:rPr>
              <w:t>，年跟踪误差控制在</w:t>
            </w:r>
            <w:r w:rsidRPr="00EE3DBC">
              <w:rPr>
                <w:rFonts w:eastAsiaTheme="minorEastAsia"/>
                <w:color w:val="000000" w:themeColor="text1"/>
                <w:kern w:val="0"/>
                <w:sz w:val="24"/>
              </w:rPr>
              <w:t>4%</w:t>
            </w:r>
            <w:r w:rsidRPr="00EE3DBC">
              <w:rPr>
                <w:rFonts w:eastAsiaTheme="minorEastAsia"/>
                <w:color w:val="000000" w:themeColor="text1"/>
                <w:kern w:val="0"/>
                <w:sz w:val="24"/>
              </w:rPr>
              <w:t>以内，以实现对标的指数有效跟踪。</w:t>
            </w:r>
            <w:r w:rsidRPr="00EE3DBC">
              <w:rPr>
                <w:rFonts w:eastAsiaTheme="minorEastAsia"/>
                <w:color w:val="000000" w:themeColor="text1"/>
                <w:kern w:val="0"/>
                <w:sz w:val="24"/>
              </w:rPr>
              <w:t xml:space="preserve"> </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本基金通过完全复制策略进行被动式指数化投资，根据标普港股通低波红利指数成份股的基准权重</w:t>
            </w:r>
            <w:r>
              <w:rPr>
                <w:rFonts w:eastAsiaTheme="minorEastAsia"/>
                <w:color w:val="000000" w:themeColor="text1"/>
                <w:kern w:val="0"/>
                <w:sz w:val="24"/>
              </w:rPr>
              <w:lastRenderedPageBreak/>
              <w:t>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为了实现追踪误差最小化，本基金投资于股票的资产占基金资产的比例不低于</w:t>
            </w:r>
            <w:r>
              <w:rPr>
                <w:rFonts w:eastAsiaTheme="minorEastAsia"/>
                <w:color w:val="000000" w:themeColor="text1"/>
                <w:kern w:val="0"/>
                <w:sz w:val="24"/>
              </w:rPr>
              <w:t>90%</w:t>
            </w:r>
            <w:r>
              <w:rPr>
                <w:rFonts w:eastAsiaTheme="minorEastAsia"/>
                <w:color w:val="000000" w:themeColor="text1"/>
                <w:kern w:val="0"/>
                <w:sz w:val="24"/>
              </w:rPr>
              <w:t>，将不低于</w:t>
            </w:r>
            <w:r>
              <w:rPr>
                <w:rFonts w:eastAsiaTheme="minorEastAsia"/>
                <w:color w:val="000000" w:themeColor="text1"/>
                <w:kern w:val="0"/>
                <w:sz w:val="24"/>
              </w:rPr>
              <w:t>90%</w:t>
            </w:r>
            <w:r>
              <w:rPr>
                <w:rFonts w:eastAsiaTheme="minorEastAsia"/>
                <w:color w:val="000000" w:themeColor="text1"/>
                <w:kern w:val="0"/>
                <w:sz w:val="24"/>
              </w:rPr>
              <w:t>的非现金基金资产投资于标普港股通低波红利指数的成份股及其备选成份股。</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本基金所构建的投资组合将定期根据所跟踪标的指数成份股的调整进行相应的跟踪调整。标普港股</w:t>
            </w:r>
            <w:r>
              <w:rPr>
                <w:rFonts w:eastAsiaTheme="minorEastAsia"/>
                <w:color w:val="000000" w:themeColor="text1"/>
                <w:kern w:val="0"/>
                <w:sz w:val="24"/>
              </w:rPr>
              <w:lastRenderedPageBreak/>
              <w:t>通低波红利指数的样本股每半年调整一次，指数调整方案公布后，本基金将及时对现有组合的构成进行相应的调整，若成分股的集中调整短期内会对跟踪误差产生较大影响，将采用逐步调整的方式。</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3</w:t>
            </w:r>
            <w:r>
              <w:rPr>
                <w:rFonts w:eastAsiaTheme="minorEastAsia"/>
                <w:color w:val="000000" w:themeColor="text1"/>
                <w:kern w:val="0"/>
                <w:sz w:val="24"/>
              </w:rPr>
              <w:t>、债券投资策略</w:t>
            </w:r>
          </w:p>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4</w:t>
            </w:r>
            <w:r w:rsidRPr="00EE3DBC">
              <w:rPr>
                <w:rFonts w:eastAsiaTheme="minorEastAsia"/>
                <w:color w:val="000000" w:themeColor="text1"/>
                <w:kern w:val="0"/>
                <w:sz w:val="24"/>
              </w:rPr>
              <w:t>、其他投资策略：包括股指期货投资策略、资产支持证券投资策略、股票期权投资策略、存托凭证投资策略等。</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95%×</w:t>
            </w:r>
            <w:r w:rsidRPr="00EE3DBC">
              <w:rPr>
                <w:rFonts w:eastAsiaTheme="minorEastAsia"/>
                <w:color w:val="000000" w:themeColor="text1"/>
                <w:kern w:val="0"/>
                <w:sz w:val="24"/>
              </w:rPr>
              <w:t>标普港股通低波红利指数收益率</w:t>
            </w:r>
            <w:r w:rsidRPr="00EE3DBC">
              <w:rPr>
                <w:rFonts w:eastAsiaTheme="minorEastAsia"/>
                <w:color w:val="000000" w:themeColor="text1"/>
                <w:kern w:val="0"/>
                <w:sz w:val="24"/>
              </w:rPr>
              <w:t>+ 5%×</w:t>
            </w:r>
            <w:r w:rsidRPr="00EE3DBC">
              <w:rPr>
                <w:rFonts w:eastAsiaTheme="minorEastAsia"/>
                <w:color w:val="000000" w:themeColor="text1"/>
                <w:kern w:val="0"/>
                <w:sz w:val="24"/>
              </w:rPr>
              <w:t>税后银行活期存款收益率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6D3840" w:rsidRDefault="00263463">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本基金属于股票型基金产品，预期风险和收益水平高于混合型基金、债券型基金和货币市场基金，属于较高风险收益水平的基金产品。本基金将投资港股通标的股票，需承担汇率风险以及境外市场的风险。</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根据</w:t>
            </w: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7</w:t>
            </w:r>
            <w:r w:rsidRPr="00EE3DBC">
              <w:rPr>
                <w:rFonts w:eastAsiaTheme="minorEastAsia"/>
                <w:color w:val="000000" w:themeColor="text1"/>
                <w:kern w:val="0"/>
                <w:sz w:val="24"/>
              </w:rPr>
              <w:t>月</w:t>
            </w:r>
            <w:r w:rsidRPr="00EE3DBC">
              <w:rPr>
                <w:rFonts w:eastAsiaTheme="minorEastAsia"/>
                <w:color w:val="000000" w:themeColor="text1"/>
                <w:kern w:val="0"/>
                <w:sz w:val="24"/>
              </w:rPr>
              <w:t>1</w:t>
            </w:r>
            <w:r w:rsidRPr="00EE3DBC">
              <w:rPr>
                <w:rFonts w:eastAsiaTheme="minorEastAsia"/>
                <w:color w:val="000000" w:themeColor="text1"/>
                <w:kern w:val="0"/>
                <w:sz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上投摩根基金管理有限公司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w:t>
            </w:r>
            <w:r w:rsidRPr="00EE3DBC">
              <w:rPr>
                <w:rFonts w:eastAsiaTheme="minorEastAsia"/>
                <w:color w:val="000000" w:themeColor="text1"/>
                <w:sz w:val="24"/>
              </w:rPr>
              <w:lastRenderedPageBreak/>
              <w:t>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上投摩根标普港股通低</w:t>
            </w:r>
            <w:r w:rsidRPr="00EE3DBC">
              <w:rPr>
                <w:rFonts w:eastAsiaTheme="minorEastAsia"/>
                <w:color w:val="000000" w:themeColor="text1"/>
                <w:sz w:val="24"/>
              </w:rPr>
              <w:lastRenderedPageBreak/>
              <w:t>波红利指数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上投摩根标普港股通低</w:t>
            </w:r>
            <w:r w:rsidRPr="00EE3DBC">
              <w:rPr>
                <w:rFonts w:eastAsiaTheme="minorEastAsia"/>
                <w:color w:val="000000" w:themeColor="text1"/>
                <w:sz w:val="24"/>
              </w:rPr>
              <w:lastRenderedPageBreak/>
              <w:t>波红利指数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005051</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005052</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177,764,145.90</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86,265,261.41</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(2021</w:t>
            </w:r>
            <w:r w:rsidRPr="00EE3DBC">
              <w:rPr>
                <w:rFonts w:eastAsiaTheme="minorEastAsia"/>
                <w:color w:val="000000" w:themeColor="text1"/>
                <w:szCs w:val="21"/>
              </w:rPr>
              <w:t>年</w:t>
            </w:r>
            <w:r w:rsidRPr="00EE3DBC">
              <w:rPr>
                <w:rFonts w:eastAsiaTheme="minorEastAsia"/>
                <w:color w:val="000000" w:themeColor="text1"/>
                <w:szCs w:val="21"/>
              </w:rPr>
              <w:t>7</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-2021</w:t>
            </w:r>
            <w:r w:rsidRPr="00EE3DBC">
              <w:rPr>
                <w:rFonts w:eastAsiaTheme="minorEastAsia"/>
                <w:color w:val="000000" w:themeColor="text1"/>
                <w:szCs w:val="21"/>
              </w:rPr>
              <w:t>年</w:t>
            </w:r>
            <w:r w:rsidRPr="00EE3DBC">
              <w:rPr>
                <w:rFonts w:eastAsiaTheme="minorEastAsia"/>
                <w:color w:val="000000" w:themeColor="text1"/>
                <w:szCs w:val="21"/>
              </w:rPr>
              <w:t>9</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4,147,354.48</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1,386,000.51</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2,126,536.21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1,064,396.40</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0.0111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0.0144</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157,829,491.33</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75,321,347.25</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0.8879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0.8731</w:t>
            </w:r>
          </w:p>
        </w:tc>
      </w:tr>
    </w:tbl>
    <w:p w:rsidR="006D3840" w:rsidRDefault="002634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上投摩根标普港股通低波红利指数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6D3840">
        <w:tc>
          <w:tcPr>
            <w:tcW w:w="1290" w:type="dxa"/>
            <w:vAlign w:val="center"/>
          </w:tcPr>
          <w:p w:rsidR="006D3840" w:rsidRDefault="00263463">
            <w:pPr>
              <w:jc w:val="left"/>
            </w:pPr>
            <w:r>
              <w:rPr>
                <w:rFonts w:eastAsiaTheme="minorEastAsia"/>
                <w:color w:val="000000" w:themeColor="text1"/>
                <w:szCs w:val="21"/>
              </w:rPr>
              <w:t>过去三个月</w:t>
            </w:r>
          </w:p>
        </w:tc>
        <w:tc>
          <w:tcPr>
            <w:tcW w:w="1291" w:type="dxa"/>
            <w:vAlign w:val="center"/>
          </w:tcPr>
          <w:p w:rsidR="006D3840" w:rsidRDefault="00263463">
            <w:pPr>
              <w:jc w:val="right"/>
            </w:pPr>
            <w:r>
              <w:rPr>
                <w:rFonts w:eastAsiaTheme="minorEastAsia"/>
                <w:color w:val="000000" w:themeColor="text1"/>
                <w:szCs w:val="21"/>
              </w:rPr>
              <w:t>1.13%</w:t>
            </w:r>
          </w:p>
        </w:tc>
        <w:tc>
          <w:tcPr>
            <w:tcW w:w="1291" w:type="dxa"/>
            <w:vAlign w:val="center"/>
          </w:tcPr>
          <w:p w:rsidR="006D3840" w:rsidRDefault="00263463">
            <w:pPr>
              <w:jc w:val="right"/>
            </w:pPr>
            <w:r>
              <w:rPr>
                <w:rFonts w:eastAsiaTheme="minorEastAsia"/>
                <w:color w:val="000000" w:themeColor="text1"/>
                <w:szCs w:val="21"/>
              </w:rPr>
              <w:t>0.86%</w:t>
            </w:r>
          </w:p>
        </w:tc>
        <w:tc>
          <w:tcPr>
            <w:tcW w:w="1291" w:type="dxa"/>
            <w:vAlign w:val="center"/>
          </w:tcPr>
          <w:p w:rsidR="006D3840" w:rsidRDefault="00263463">
            <w:pPr>
              <w:jc w:val="right"/>
            </w:pPr>
            <w:r>
              <w:rPr>
                <w:rFonts w:eastAsiaTheme="minorEastAsia"/>
                <w:color w:val="000000" w:themeColor="text1"/>
                <w:szCs w:val="21"/>
              </w:rPr>
              <w:t>-0.43%</w:t>
            </w:r>
          </w:p>
        </w:tc>
        <w:tc>
          <w:tcPr>
            <w:tcW w:w="1291" w:type="dxa"/>
            <w:vAlign w:val="center"/>
          </w:tcPr>
          <w:p w:rsidR="006D3840" w:rsidRDefault="00263463">
            <w:pPr>
              <w:jc w:val="right"/>
            </w:pPr>
            <w:r>
              <w:rPr>
                <w:rFonts w:eastAsiaTheme="minorEastAsia"/>
                <w:color w:val="000000" w:themeColor="text1"/>
                <w:szCs w:val="21"/>
              </w:rPr>
              <w:t>0.84%</w:t>
            </w:r>
          </w:p>
        </w:tc>
        <w:tc>
          <w:tcPr>
            <w:tcW w:w="1291" w:type="dxa"/>
            <w:vAlign w:val="center"/>
          </w:tcPr>
          <w:p w:rsidR="006D3840" w:rsidRDefault="00263463">
            <w:pPr>
              <w:jc w:val="right"/>
            </w:pPr>
            <w:r>
              <w:rPr>
                <w:rFonts w:eastAsiaTheme="minorEastAsia"/>
                <w:color w:val="000000" w:themeColor="text1"/>
                <w:szCs w:val="21"/>
              </w:rPr>
              <w:t>1.56%</w:t>
            </w:r>
          </w:p>
        </w:tc>
        <w:tc>
          <w:tcPr>
            <w:tcW w:w="1291" w:type="dxa"/>
            <w:vAlign w:val="center"/>
          </w:tcPr>
          <w:p w:rsidR="006D3840" w:rsidRDefault="00263463">
            <w:pPr>
              <w:jc w:val="right"/>
            </w:pPr>
            <w:r>
              <w:rPr>
                <w:rFonts w:eastAsiaTheme="minorEastAsia"/>
                <w:color w:val="000000" w:themeColor="text1"/>
                <w:szCs w:val="21"/>
              </w:rPr>
              <w:t>0.02%</w:t>
            </w:r>
          </w:p>
        </w:tc>
      </w:tr>
      <w:tr w:rsidR="006D3840">
        <w:tc>
          <w:tcPr>
            <w:tcW w:w="1290" w:type="dxa"/>
            <w:vAlign w:val="center"/>
          </w:tcPr>
          <w:p w:rsidR="006D3840" w:rsidRDefault="00263463">
            <w:pPr>
              <w:jc w:val="left"/>
            </w:pPr>
            <w:r>
              <w:rPr>
                <w:rFonts w:eastAsiaTheme="minorEastAsia"/>
                <w:color w:val="000000" w:themeColor="text1"/>
                <w:szCs w:val="21"/>
              </w:rPr>
              <w:lastRenderedPageBreak/>
              <w:t>过去六个月</w:t>
            </w:r>
          </w:p>
        </w:tc>
        <w:tc>
          <w:tcPr>
            <w:tcW w:w="1291" w:type="dxa"/>
            <w:vAlign w:val="center"/>
          </w:tcPr>
          <w:p w:rsidR="006D3840" w:rsidRDefault="00263463">
            <w:pPr>
              <w:jc w:val="right"/>
            </w:pPr>
            <w:r>
              <w:rPr>
                <w:rFonts w:eastAsiaTheme="minorEastAsia"/>
                <w:color w:val="000000" w:themeColor="text1"/>
                <w:szCs w:val="21"/>
              </w:rPr>
              <w:t>1.46%</w:t>
            </w:r>
          </w:p>
        </w:tc>
        <w:tc>
          <w:tcPr>
            <w:tcW w:w="1291" w:type="dxa"/>
            <w:vAlign w:val="center"/>
          </w:tcPr>
          <w:p w:rsidR="006D3840" w:rsidRDefault="00263463">
            <w:pPr>
              <w:jc w:val="right"/>
            </w:pPr>
            <w:r>
              <w:rPr>
                <w:rFonts w:eastAsiaTheme="minorEastAsia"/>
                <w:color w:val="000000" w:themeColor="text1"/>
                <w:szCs w:val="21"/>
              </w:rPr>
              <w:t>0.74%</w:t>
            </w:r>
          </w:p>
        </w:tc>
        <w:tc>
          <w:tcPr>
            <w:tcW w:w="1291" w:type="dxa"/>
            <w:vAlign w:val="center"/>
          </w:tcPr>
          <w:p w:rsidR="006D3840" w:rsidRDefault="00263463">
            <w:pPr>
              <w:jc w:val="right"/>
            </w:pPr>
            <w:r>
              <w:rPr>
                <w:rFonts w:eastAsiaTheme="minorEastAsia"/>
                <w:color w:val="000000" w:themeColor="text1"/>
                <w:szCs w:val="21"/>
              </w:rPr>
              <w:t>-2.72%</w:t>
            </w:r>
          </w:p>
        </w:tc>
        <w:tc>
          <w:tcPr>
            <w:tcW w:w="1291" w:type="dxa"/>
            <w:vAlign w:val="center"/>
          </w:tcPr>
          <w:p w:rsidR="006D3840" w:rsidRDefault="00263463">
            <w:pPr>
              <w:jc w:val="right"/>
            </w:pPr>
            <w:r>
              <w:rPr>
                <w:rFonts w:eastAsiaTheme="minorEastAsia"/>
                <w:color w:val="000000" w:themeColor="text1"/>
                <w:szCs w:val="21"/>
              </w:rPr>
              <w:t>0.72%</w:t>
            </w:r>
          </w:p>
        </w:tc>
        <w:tc>
          <w:tcPr>
            <w:tcW w:w="1291" w:type="dxa"/>
            <w:vAlign w:val="center"/>
          </w:tcPr>
          <w:p w:rsidR="006D3840" w:rsidRDefault="00263463">
            <w:pPr>
              <w:jc w:val="right"/>
            </w:pPr>
            <w:r>
              <w:rPr>
                <w:rFonts w:eastAsiaTheme="minorEastAsia"/>
                <w:color w:val="000000" w:themeColor="text1"/>
                <w:szCs w:val="21"/>
              </w:rPr>
              <w:t>4.18%</w:t>
            </w:r>
          </w:p>
        </w:tc>
        <w:tc>
          <w:tcPr>
            <w:tcW w:w="1291" w:type="dxa"/>
            <w:vAlign w:val="center"/>
          </w:tcPr>
          <w:p w:rsidR="006D3840" w:rsidRDefault="00263463">
            <w:pPr>
              <w:jc w:val="right"/>
            </w:pPr>
            <w:r>
              <w:rPr>
                <w:rFonts w:eastAsiaTheme="minorEastAsia"/>
                <w:color w:val="000000" w:themeColor="text1"/>
                <w:szCs w:val="21"/>
              </w:rPr>
              <w:t>0.02%</w:t>
            </w:r>
          </w:p>
        </w:tc>
      </w:tr>
      <w:tr w:rsidR="006D3840">
        <w:tc>
          <w:tcPr>
            <w:tcW w:w="1290" w:type="dxa"/>
            <w:vAlign w:val="center"/>
          </w:tcPr>
          <w:p w:rsidR="006D3840" w:rsidRDefault="00263463">
            <w:pPr>
              <w:jc w:val="left"/>
            </w:pPr>
            <w:r>
              <w:rPr>
                <w:rFonts w:eastAsiaTheme="minorEastAsia"/>
                <w:color w:val="000000" w:themeColor="text1"/>
                <w:szCs w:val="21"/>
              </w:rPr>
              <w:t>过去一年</w:t>
            </w:r>
          </w:p>
        </w:tc>
        <w:tc>
          <w:tcPr>
            <w:tcW w:w="1291" w:type="dxa"/>
            <w:vAlign w:val="center"/>
          </w:tcPr>
          <w:p w:rsidR="006D3840" w:rsidRDefault="00263463">
            <w:pPr>
              <w:jc w:val="right"/>
            </w:pPr>
            <w:r>
              <w:rPr>
                <w:rFonts w:eastAsiaTheme="minorEastAsia"/>
                <w:color w:val="000000" w:themeColor="text1"/>
                <w:szCs w:val="21"/>
              </w:rPr>
              <w:t>18.51%</w:t>
            </w:r>
          </w:p>
        </w:tc>
        <w:tc>
          <w:tcPr>
            <w:tcW w:w="1291" w:type="dxa"/>
            <w:vAlign w:val="center"/>
          </w:tcPr>
          <w:p w:rsidR="006D3840" w:rsidRDefault="00263463">
            <w:pPr>
              <w:jc w:val="right"/>
            </w:pPr>
            <w:r>
              <w:rPr>
                <w:rFonts w:eastAsiaTheme="minorEastAsia"/>
                <w:color w:val="000000" w:themeColor="text1"/>
                <w:szCs w:val="21"/>
              </w:rPr>
              <w:t>0.83%</w:t>
            </w:r>
          </w:p>
        </w:tc>
        <w:tc>
          <w:tcPr>
            <w:tcW w:w="1291" w:type="dxa"/>
            <w:vAlign w:val="center"/>
          </w:tcPr>
          <w:p w:rsidR="006D3840" w:rsidRDefault="00263463">
            <w:pPr>
              <w:jc w:val="right"/>
            </w:pPr>
            <w:r>
              <w:rPr>
                <w:rFonts w:eastAsiaTheme="minorEastAsia"/>
                <w:color w:val="000000" w:themeColor="text1"/>
                <w:szCs w:val="21"/>
              </w:rPr>
              <w:t>13.82%</w:t>
            </w:r>
          </w:p>
        </w:tc>
        <w:tc>
          <w:tcPr>
            <w:tcW w:w="1291" w:type="dxa"/>
            <w:vAlign w:val="center"/>
          </w:tcPr>
          <w:p w:rsidR="006D3840" w:rsidRDefault="00263463">
            <w:pPr>
              <w:jc w:val="right"/>
            </w:pPr>
            <w:r>
              <w:rPr>
                <w:rFonts w:eastAsiaTheme="minorEastAsia"/>
                <w:color w:val="000000" w:themeColor="text1"/>
                <w:szCs w:val="21"/>
              </w:rPr>
              <w:t>0.86%</w:t>
            </w:r>
          </w:p>
        </w:tc>
        <w:tc>
          <w:tcPr>
            <w:tcW w:w="1291" w:type="dxa"/>
            <w:vAlign w:val="center"/>
          </w:tcPr>
          <w:p w:rsidR="006D3840" w:rsidRDefault="00263463">
            <w:pPr>
              <w:jc w:val="right"/>
            </w:pPr>
            <w:r>
              <w:rPr>
                <w:rFonts w:eastAsiaTheme="minorEastAsia"/>
                <w:color w:val="000000" w:themeColor="text1"/>
                <w:szCs w:val="21"/>
              </w:rPr>
              <w:t>4.69%</w:t>
            </w:r>
          </w:p>
        </w:tc>
        <w:tc>
          <w:tcPr>
            <w:tcW w:w="1291" w:type="dxa"/>
            <w:vAlign w:val="center"/>
          </w:tcPr>
          <w:p w:rsidR="006D3840" w:rsidRDefault="00263463">
            <w:pPr>
              <w:jc w:val="right"/>
            </w:pPr>
            <w:r>
              <w:rPr>
                <w:rFonts w:eastAsiaTheme="minorEastAsia"/>
                <w:color w:val="000000" w:themeColor="text1"/>
                <w:szCs w:val="21"/>
              </w:rPr>
              <w:t>-0.03%</w:t>
            </w:r>
          </w:p>
        </w:tc>
      </w:tr>
      <w:tr w:rsidR="006D3840">
        <w:tc>
          <w:tcPr>
            <w:tcW w:w="1290" w:type="dxa"/>
            <w:vAlign w:val="center"/>
          </w:tcPr>
          <w:p w:rsidR="006D3840" w:rsidRDefault="00263463">
            <w:pPr>
              <w:jc w:val="left"/>
            </w:pPr>
            <w:r>
              <w:rPr>
                <w:rFonts w:eastAsiaTheme="minorEastAsia"/>
                <w:color w:val="000000" w:themeColor="text1"/>
                <w:szCs w:val="21"/>
              </w:rPr>
              <w:t>过去三年</w:t>
            </w:r>
          </w:p>
        </w:tc>
        <w:tc>
          <w:tcPr>
            <w:tcW w:w="1291" w:type="dxa"/>
            <w:vAlign w:val="center"/>
          </w:tcPr>
          <w:p w:rsidR="006D3840" w:rsidRDefault="00263463">
            <w:pPr>
              <w:jc w:val="right"/>
            </w:pPr>
            <w:r>
              <w:rPr>
                <w:rFonts w:eastAsiaTheme="minorEastAsia"/>
                <w:color w:val="000000" w:themeColor="text1"/>
                <w:szCs w:val="21"/>
              </w:rPr>
              <w:t>-13.08%</w:t>
            </w:r>
          </w:p>
        </w:tc>
        <w:tc>
          <w:tcPr>
            <w:tcW w:w="1291" w:type="dxa"/>
            <w:vAlign w:val="center"/>
          </w:tcPr>
          <w:p w:rsidR="006D3840" w:rsidRDefault="00263463">
            <w:pPr>
              <w:jc w:val="right"/>
            </w:pPr>
            <w:r>
              <w:rPr>
                <w:rFonts w:eastAsiaTheme="minorEastAsia"/>
                <w:color w:val="000000" w:themeColor="text1"/>
                <w:szCs w:val="21"/>
              </w:rPr>
              <w:t>1.05%</w:t>
            </w:r>
          </w:p>
        </w:tc>
        <w:tc>
          <w:tcPr>
            <w:tcW w:w="1291" w:type="dxa"/>
            <w:vAlign w:val="center"/>
          </w:tcPr>
          <w:p w:rsidR="006D3840" w:rsidRDefault="00263463">
            <w:pPr>
              <w:jc w:val="right"/>
            </w:pPr>
            <w:r>
              <w:rPr>
                <w:rFonts w:eastAsiaTheme="minorEastAsia"/>
                <w:color w:val="000000" w:themeColor="text1"/>
                <w:szCs w:val="21"/>
              </w:rPr>
              <w:t>-20.07%</w:t>
            </w:r>
          </w:p>
        </w:tc>
        <w:tc>
          <w:tcPr>
            <w:tcW w:w="1291" w:type="dxa"/>
            <w:vAlign w:val="center"/>
          </w:tcPr>
          <w:p w:rsidR="006D3840" w:rsidRDefault="00263463">
            <w:pPr>
              <w:jc w:val="right"/>
            </w:pPr>
            <w:r>
              <w:rPr>
                <w:rFonts w:eastAsiaTheme="minorEastAsia"/>
                <w:color w:val="000000" w:themeColor="text1"/>
                <w:szCs w:val="21"/>
              </w:rPr>
              <w:t>1.01%</w:t>
            </w:r>
          </w:p>
        </w:tc>
        <w:tc>
          <w:tcPr>
            <w:tcW w:w="1291" w:type="dxa"/>
            <w:vAlign w:val="center"/>
          </w:tcPr>
          <w:p w:rsidR="006D3840" w:rsidRDefault="00263463">
            <w:pPr>
              <w:jc w:val="right"/>
            </w:pPr>
            <w:r>
              <w:rPr>
                <w:rFonts w:eastAsiaTheme="minorEastAsia"/>
                <w:color w:val="000000" w:themeColor="text1"/>
                <w:szCs w:val="21"/>
              </w:rPr>
              <w:t>6.99%</w:t>
            </w:r>
          </w:p>
        </w:tc>
        <w:tc>
          <w:tcPr>
            <w:tcW w:w="1291" w:type="dxa"/>
            <w:vAlign w:val="center"/>
          </w:tcPr>
          <w:p w:rsidR="006D3840" w:rsidRDefault="00263463">
            <w:pPr>
              <w:jc w:val="right"/>
            </w:pPr>
            <w:r>
              <w:rPr>
                <w:rFonts w:eastAsiaTheme="minorEastAsia"/>
                <w:color w:val="000000" w:themeColor="text1"/>
                <w:szCs w:val="21"/>
              </w:rPr>
              <w:t>0.04%</w:t>
            </w:r>
          </w:p>
        </w:tc>
      </w:tr>
      <w:tr w:rsidR="006D3840">
        <w:tc>
          <w:tcPr>
            <w:tcW w:w="1290" w:type="dxa"/>
            <w:vAlign w:val="center"/>
          </w:tcPr>
          <w:p w:rsidR="006D3840" w:rsidRDefault="00263463">
            <w:pPr>
              <w:jc w:val="left"/>
            </w:pPr>
            <w:r>
              <w:rPr>
                <w:rFonts w:eastAsiaTheme="minorEastAsia"/>
                <w:color w:val="000000" w:themeColor="text1"/>
                <w:szCs w:val="21"/>
              </w:rPr>
              <w:t>过去五年</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r>
      <w:tr w:rsidR="006D3840">
        <w:tc>
          <w:tcPr>
            <w:tcW w:w="1290" w:type="dxa"/>
            <w:vAlign w:val="center"/>
          </w:tcPr>
          <w:p w:rsidR="006D3840" w:rsidRDefault="00263463">
            <w:pPr>
              <w:jc w:val="left"/>
            </w:pPr>
            <w:r>
              <w:rPr>
                <w:rFonts w:eastAsiaTheme="minorEastAsia"/>
                <w:color w:val="000000" w:themeColor="text1"/>
                <w:szCs w:val="21"/>
              </w:rPr>
              <w:t>自基金合同生效起至今</w:t>
            </w:r>
          </w:p>
        </w:tc>
        <w:tc>
          <w:tcPr>
            <w:tcW w:w="1291" w:type="dxa"/>
            <w:vAlign w:val="center"/>
          </w:tcPr>
          <w:p w:rsidR="006D3840" w:rsidRDefault="00263463">
            <w:pPr>
              <w:jc w:val="right"/>
            </w:pPr>
            <w:r>
              <w:rPr>
                <w:rFonts w:eastAsiaTheme="minorEastAsia"/>
                <w:color w:val="000000" w:themeColor="text1"/>
                <w:szCs w:val="21"/>
              </w:rPr>
              <w:t>-11.21%</w:t>
            </w:r>
          </w:p>
        </w:tc>
        <w:tc>
          <w:tcPr>
            <w:tcW w:w="1291" w:type="dxa"/>
            <w:vAlign w:val="center"/>
          </w:tcPr>
          <w:p w:rsidR="006D3840" w:rsidRDefault="00263463">
            <w:pPr>
              <w:jc w:val="right"/>
            </w:pPr>
            <w:r>
              <w:rPr>
                <w:rFonts w:eastAsiaTheme="minorEastAsia"/>
                <w:color w:val="000000" w:themeColor="text1"/>
                <w:szCs w:val="21"/>
              </w:rPr>
              <w:t>1.00%</w:t>
            </w:r>
          </w:p>
        </w:tc>
        <w:tc>
          <w:tcPr>
            <w:tcW w:w="1291" w:type="dxa"/>
            <w:vAlign w:val="center"/>
          </w:tcPr>
          <w:p w:rsidR="006D3840" w:rsidRDefault="00263463">
            <w:pPr>
              <w:jc w:val="right"/>
            </w:pPr>
            <w:r>
              <w:rPr>
                <w:rFonts w:eastAsiaTheme="minorEastAsia"/>
                <w:color w:val="000000" w:themeColor="text1"/>
                <w:szCs w:val="21"/>
              </w:rPr>
              <w:t>-18.76%</w:t>
            </w:r>
          </w:p>
        </w:tc>
        <w:tc>
          <w:tcPr>
            <w:tcW w:w="1291" w:type="dxa"/>
            <w:vAlign w:val="center"/>
          </w:tcPr>
          <w:p w:rsidR="006D3840" w:rsidRDefault="00263463">
            <w:pPr>
              <w:jc w:val="right"/>
            </w:pPr>
            <w:r>
              <w:rPr>
                <w:rFonts w:eastAsiaTheme="minorEastAsia"/>
                <w:color w:val="000000" w:themeColor="text1"/>
                <w:szCs w:val="21"/>
              </w:rPr>
              <w:t>0.98%</w:t>
            </w:r>
          </w:p>
        </w:tc>
        <w:tc>
          <w:tcPr>
            <w:tcW w:w="1291" w:type="dxa"/>
            <w:vAlign w:val="center"/>
          </w:tcPr>
          <w:p w:rsidR="006D3840" w:rsidRDefault="00263463">
            <w:pPr>
              <w:jc w:val="right"/>
            </w:pPr>
            <w:r>
              <w:rPr>
                <w:rFonts w:eastAsiaTheme="minorEastAsia"/>
                <w:color w:val="000000" w:themeColor="text1"/>
                <w:szCs w:val="21"/>
              </w:rPr>
              <w:t>7.55%</w:t>
            </w:r>
          </w:p>
        </w:tc>
        <w:tc>
          <w:tcPr>
            <w:tcW w:w="1291" w:type="dxa"/>
            <w:vAlign w:val="center"/>
          </w:tcPr>
          <w:p w:rsidR="006D3840" w:rsidRDefault="00263463">
            <w:pPr>
              <w:jc w:val="right"/>
            </w:pPr>
            <w:r>
              <w:rPr>
                <w:rFonts w:eastAsiaTheme="minorEastAsia"/>
                <w:color w:val="000000" w:themeColor="text1"/>
                <w:szCs w:val="21"/>
              </w:rPr>
              <w:t>0.02%</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上投摩根标普港股通低波红利指数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6D3840">
        <w:tc>
          <w:tcPr>
            <w:tcW w:w="1290" w:type="dxa"/>
            <w:vAlign w:val="center"/>
          </w:tcPr>
          <w:p w:rsidR="006D3840" w:rsidRDefault="00263463">
            <w:pPr>
              <w:jc w:val="left"/>
            </w:pPr>
            <w:r>
              <w:rPr>
                <w:rFonts w:eastAsiaTheme="minorEastAsia"/>
                <w:color w:val="000000" w:themeColor="text1"/>
                <w:szCs w:val="21"/>
              </w:rPr>
              <w:t>过去三个月</w:t>
            </w:r>
          </w:p>
        </w:tc>
        <w:tc>
          <w:tcPr>
            <w:tcW w:w="1291" w:type="dxa"/>
            <w:vAlign w:val="center"/>
          </w:tcPr>
          <w:p w:rsidR="006D3840" w:rsidRDefault="00263463">
            <w:pPr>
              <w:jc w:val="right"/>
            </w:pPr>
            <w:r>
              <w:rPr>
                <w:rFonts w:eastAsiaTheme="minorEastAsia"/>
                <w:color w:val="000000" w:themeColor="text1"/>
                <w:szCs w:val="21"/>
              </w:rPr>
              <w:t>0.99%</w:t>
            </w:r>
          </w:p>
        </w:tc>
        <w:tc>
          <w:tcPr>
            <w:tcW w:w="1291" w:type="dxa"/>
            <w:vAlign w:val="center"/>
          </w:tcPr>
          <w:p w:rsidR="006D3840" w:rsidRDefault="00263463">
            <w:pPr>
              <w:jc w:val="right"/>
            </w:pPr>
            <w:r>
              <w:rPr>
                <w:rFonts w:eastAsiaTheme="minorEastAsia"/>
                <w:color w:val="000000" w:themeColor="text1"/>
                <w:szCs w:val="21"/>
              </w:rPr>
              <w:t>0.86%</w:t>
            </w:r>
          </w:p>
        </w:tc>
        <w:tc>
          <w:tcPr>
            <w:tcW w:w="1291" w:type="dxa"/>
            <w:vAlign w:val="center"/>
          </w:tcPr>
          <w:p w:rsidR="006D3840" w:rsidRDefault="00263463">
            <w:pPr>
              <w:jc w:val="right"/>
            </w:pPr>
            <w:r>
              <w:rPr>
                <w:rFonts w:eastAsiaTheme="minorEastAsia"/>
                <w:color w:val="000000" w:themeColor="text1"/>
                <w:szCs w:val="21"/>
              </w:rPr>
              <w:t>-0.43%</w:t>
            </w:r>
          </w:p>
        </w:tc>
        <w:tc>
          <w:tcPr>
            <w:tcW w:w="1291" w:type="dxa"/>
            <w:vAlign w:val="center"/>
          </w:tcPr>
          <w:p w:rsidR="006D3840" w:rsidRDefault="00263463">
            <w:pPr>
              <w:jc w:val="right"/>
            </w:pPr>
            <w:r>
              <w:rPr>
                <w:rFonts w:eastAsiaTheme="minorEastAsia"/>
                <w:color w:val="000000" w:themeColor="text1"/>
                <w:szCs w:val="21"/>
              </w:rPr>
              <w:t>0.84%</w:t>
            </w:r>
          </w:p>
        </w:tc>
        <w:tc>
          <w:tcPr>
            <w:tcW w:w="1291" w:type="dxa"/>
            <w:vAlign w:val="center"/>
          </w:tcPr>
          <w:p w:rsidR="006D3840" w:rsidRDefault="00263463">
            <w:pPr>
              <w:jc w:val="right"/>
            </w:pPr>
            <w:r>
              <w:rPr>
                <w:rFonts w:eastAsiaTheme="minorEastAsia"/>
                <w:color w:val="000000" w:themeColor="text1"/>
                <w:szCs w:val="21"/>
              </w:rPr>
              <w:t>1.42%</w:t>
            </w:r>
          </w:p>
        </w:tc>
        <w:tc>
          <w:tcPr>
            <w:tcW w:w="1291" w:type="dxa"/>
            <w:vAlign w:val="center"/>
          </w:tcPr>
          <w:p w:rsidR="006D3840" w:rsidRDefault="00263463">
            <w:pPr>
              <w:jc w:val="right"/>
            </w:pPr>
            <w:r>
              <w:rPr>
                <w:rFonts w:eastAsiaTheme="minorEastAsia"/>
                <w:color w:val="000000" w:themeColor="text1"/>
                <w:szCs w:val="21"/>
              </w:rPr>
              <w:t>0.02%</w:t>
            </w:r>
          </w:p>
        </w:tc>
      </w:tr>
      <w:tr w:rsidR="006D3840">
        <w:tc>
          <w:tcPr>
            <w:tcW w:w="1290" w:type="dxa"/>
            <w:vAlign w:val="center"/>
          </w:tcPr>
          <w:p w:rsidR="006D3840" w:rsidRDefault="00263463">
            <w:pPr>
              <w:jc w:val="left"/>
            </w:pPr>
            <w:r>
              <w:rPr>
                <w:rFonts w:eastAsiaTheme="minorEastAsia"/>
                <w:color w:val="000000" w:themeColor="text1"/>
                <w:szCs w:val="21"/>
              </w:rPr>
              <w:t>过去六个月</w:t>
            </w:r>
          </w:p>
        </w:tc>
        <w:tc>
          <w:tcPr>
            <w:tcW w:w="1291" w:type="dxa"/>
            <w:vAlign w:val="center"/>
          </w:tcPr>
          <w:p w:rsidR="006D3840" w:rsidRDefault="00263463">
            <w:pPr>
              <w:jc w:val="right"/>
            </w:pPr>
            <w:r>
              <w:rPr>
                <w:rFonts w:eastAsiaTheme="minorEastAsia"/>
                <w:color w:val="000000" w:themeColor="text1"/>
                <w:szCs w:val="21"/>
              </w:rPr>
              <w:t>1.21%</w:t>
            </w:r>
          </w:p>
        </w:tc>
        <w:tc>
          <w:tcPr>
            <w:tcW w:w="1291" w:type="dxa"/>
            <w:vAlign w:val="center"/>
          </w:tcPr>
          <w:p w:rsidR="006D3840" w:rsidRDefault="00263463">
            <w:pPr>
              <w:jc w:val="right"/>
            </w:pPr>
            <w:r>
              <w:rPr>
                <w:rFonts w:eastAsiaTheme="minorEastAsia"/>
                <w:color w:val="000000" w:themeColor="text1"/>
                <w:szCs w:val="21"/>
              </w:rPr>
              <w:t>0.74%</w:t>
            </w:r>
          </w:p>
        </w:tc>
        <w:tc>
          <w:tcPr>
            <w:tcW w:w="1291" w:type="dxa"/>
            <w:vAlign w:val="center"/>
          </w:tcPr>
          <w:p w:rsidR="006D3840" w:rsidRDefault="00263463">
            <w:pPr>
              <w:jc w:val="right"/>
            </w:pPr>
            <w:r>
              <w:rPr>
                <w:rFonts w:eastAsiaTheme="minorEastAsia"/>
                <w:color w:val="000000" w:themeColor="text1"/>
                <w:szCs w:val="21"/>
              </w:rPr>
              <w:t>-2.72%</w:t>
            </w:r>
          </w:p>
        </w:tc>
        <w:tc>
          <w:tcPr>
            <w:tcW w:w="1291" w:type="dxa"/>
            <w:vAlign w:val="center"/>
          </w:tcPr>
          <w:p w:rsidR="006D3840" w:rsidRDefault="00263463">
            <w:pPr>
              <w:jc w:val="right"/>
            </w:pPr>
            <w:r>
              <w:rPr>
                <w:rFonts w:eastAsiaTheme="minorEastAsia"/>
                <w:color w:val="000000" w:themeColor="text1"/>
                <w:szCs w:val="21"/>
              </w:rPr>
              <w:t>0.72%</w:t>
            </w:r>
          </w:p>
        </w:tc>
        <w:tc>
          <w:tcPr>
            <w:tcW w:w="1291" w:type="dxa"/>
            <w:vAlign w:val="center"/>
          </w:tcPr>
          <w:p w:rsidR="006D3840" w:rsidRDefault="00263463">
            <w:pPr>
              <w:jc w:val="right"/>
            </w:pPr>
            <w:r>
              <w:rPr>
                <w:rFonts w:eastAsiaTheme="minorEastAsia"/>
                <w:color w:val="000000" w:themeColor="text1"/>
                <w:szCs w:val="21"/>
              </w:rPr>
              <w:t>3.93%</w:t>
            </w:r>
          </w:p>
        </w:tc>
        <w:tc>
          <w:tcPr>
            <w:tcW w:w="1291" w:type="dxa"/>
            <w:vAlign w:val="center"/>
          </w:tcPr>
          <w:p w:rsidR="006D3840" w:rsidRDefault="00263463">
            <w:pPr>
              <w:jc w:val="right"/>
            </w:pPr>
            <w:r>
              <w:rPr>
                <w:rFonts w:eastAsiaTheme="minorEastAsia"/>
                <w:color w:val="000000" w:themeColor="text1"/>
                <w:szCs w:val="21"/>
              </w:rPr>
              <w:t>0.02%</w:t>
            </w:r>
          </w:p>
        </w:tc>
      </w:tr>
      <w:tr w:rsidR="006D3840">
        <w:tc>
          <w:tcPr>
            <w:tcW w:w="1290" w:type="dxa"/>
            <w:vAlign w:val="center"/>
          </w:tcPr>
          <w:p w:rsidR="006D3840" w:rsidRDefault="00263463">
            <w:pPr>
              <w:jc w:val="left"/>
            </w:pPr>
            <w:r>
              <w:rPr>
                <w:rFonts w:eastAsiaTheme="minorEastAsia"/>
                <w:color w:val="000000" w:themeColor="text1"/>
                <w:szCs w:val="21"/>
              </w:rPr>
              <w:t>过去一年</w:t>
            </w:r>
          </w:p>
        </w:tc>
        <w:tc>
          <w:tcPr>
            <w:tcW w:w="1291" w:type="dxa"/>
            <w:vAlign w:val="center"/>
          </w:tcPr>
          <w:p w:rsidR="006D3840" w:rsidRDefault="00263463">
            <w:pPr>
              <w:jc w:val="right"/>
            </w:pPr>
            <w:r>
              <w:rPr>
                <w:rFonts w:eastAsiaTheme="minorEastAsia"/>
                <w:color w:val="000000" w:themeColor="text1"/>
                <w:szCs w:val="21"/>
              </w:rPr>
              <w:t>17.92%</w:t>
            </w:r>
          </w:p>
        </w:tc>
        <w:tc>
          <w:tcPr>
            <w:tcW w:w="1291" w:type="dxa"/>
            <w:vAlign w:val="center"/>
          </w:tcPr>
          <w:p w:rsidR="006D3840" w:rsidRDefault="00263463">
            <w:pPr>
              <w:jc w:val="right"/>
            </w:pPr>
            <w:r>
              <w:rPr>
                <w:rFonts w:eastAsiaTheme="minorEastAsia"/>
                <w:color w:val="000000" w:themeColor="text1"/>
                <w:szCs w:val="21"/>
              </w:rPr>
              <w:t>0.83%</w:t>
            </w:r>
          </w:p>
        </w:tc>
        <w:tc>
          <w:tcPr>
            <w:tcW w:w="1291" w:type="dxa"/>
            <w:vAlign w:val="center"/>
          </w:tcPr>
          <w:p w:rsidR="006D3840" w:rsidRDefault="00263463">
            <w:pPr>
              <w:jc w:val="right"/>
            </w:pPr>
            <w:r>
              <w:rPr>
                <w:rFonts w:eastAsiaTheme="minorEastAsia"/>
                <w:color w:val="000000" w:themeColor="text1"/>
                <w:szCs w:val="21"/>
              </w:rPr>
              <w:t>13.82%</w:t>
            </w:r>
          </w:p>
        </w:tc>
        <w:tc>
          <w:tcPr>
            <w:tcW w:w="1291" w:type="dxa"/>
            <w:vAlign w:val="center"/>
          </w:tcPr>
          <w:p w:rsidR="006D3840" w:rsidRDefault="00263463">
            <w:pPr>
              <w:jc w:val="right"/>
            </w:pPr>
            <w:r>
              <w:rPr>
                <w:rFonts w:eastAsiaTheme="minorEastAsia"/>
                <w:color w:val="000000" w:themeColor="text1"/>
                <w:szCs w:val="21"/>
              </w:rPr>
              <w:t>0.86%</w:t>
            </w:r>
          </w:p>
        </w:tc>
        <w:tc>
          <w:tcPr>
            <w:tcW w:w="1291" w:type="dxa"/>
            <w:vAlign w:val="center"/>
          </w:tcPr>
          <w:p w:rsidR="006D3840" w:rsidRDefault="00263463">
            <w:pPr>
              <w:jc w:val="right"/>
            </w:pPr>
            <w:r>
              <w:rPr>
                <w:rFonts w:eastAsiaTheme="minorEastAsia"/>
                <w:color w:val="000000" w:themeColor="text1"/>
                <w:szCs w:val="21"/>
              </w:rPr>
              <w:t>4.10%</w:t>
            </w:r>
          </w:p>
        </w:tc>
        <w:tc>
          <w:tcPr>
            <w:tcW w:w="1291" w:type="dxa"/>
            <w:vAlign w:val="center"/>
          </w:tcPr>
          <w:p w:rsidR="006D3840" w:rsidRDefault="00263463">
            <w:pPr>
              <w:jc w:val="right"/>
            </w:pPr>
            <w:r>
              <w:rPr>
                <w:rFonts w:eastAsiaTheme="minorEastAsia"/>
                <w:color w:val="000000" w:themeColor="text1"/>
                <w:szCs w:val="21"/>
              </w:rPr>
              <w:t>-0.03%</w:t>
            </w:r>
          </w:p>
        </w:tc>
      </w:tr>
      <w:tr w:rsidR="006D3840">
        <w:tc>
          <w:tcPr>
            <w:tcW w:w="1290" w:type="dxa"/>
            <w:vAlign w:val="center"/>
          </w:tcPr>
          <w:p w:rsidR="006D3840" w:rsidRDefault="00263463">
            <w:pPr>
              <w:jc w:val="left"/>
            </w:pPr>
            <w:r>
              <w:rPr>
                <w:rFonts w:eastAsiaTheme="minorEastAsia"/>
                <w:color w:val="000000" w:themeColor="text1"/>
                <w:szCs w:val="21"/>
              </w:rPr>
              <w:t>过去三年</w:t>
            </w:r>
          </w:p>
        </w:tc>
        <w:tc>
          <w:tcPr>
            <w:tcW w:w="1291" w:type="dxa"/>
            <w:vAlign w:val="center"/>
          </w:tcPr>
          <w:p w:rsidR="006D3840" w:rsidRDefault="00263463">
            <w:pPr>
              <w:jc w:val="right"/>
            </w:pPr>
            <w:r>
              <w:rPr>
                <w:rFonts w:eastAsiaTheme="minorEastAsia"/>
                <w:color w:val="000000" w:themeColor="text1"/>
                <w:szCs w:val="21"/>
              </w:rPr>
              <w:t>-14.24%</w:t>
            </w:r>
          </w:p>
        </w:tc>
        <w:tc>
          <w:tcPr>
            <w:tcW w:w="1291" w:type="dxa"/>
            <w:vAlign w:val="center"/>
          </w:tcPr>
          <w:p w:rsidR="006D3840" w:rsidRDefault="00263463">
            <w:pPr>
              <w:jc w:val="right"/>
            </w:pPr>
            <w:r>
              <w:rPr>
                <w:rFonts w:eastAsiaTheme="minorEastAsia"/>
                <w:color w:val="000000" w:themeColor="text1"/>
                <w:szCs w:val="21"/>
              </w:rPr>
              <w:t>1.05%</w:t>
            </w:r>
          </w:p>
        </w:tc>
        <w:tc>
          <w:tcPr>
            <w:tcW w:w="1291" w:type="dxa"/>
            <w:vAlign w:val="center"/>
          </w:tcPr>
          <w:p w:rsidR="006D3840" w:rsidRDefault="00263463">
            <w:pPr>
              <w:jc w:val="right"/>
            </w:pPr>
            <w:r>
              <w:rPr>
                <w:rFonts w:eastAsiaTheme="minorEastAsia"/>
                <w:color w:val="000000" w:themeColor="text1"/>
                <w:szCs w:val="21"/>
              </w:rPr>
              <w:t>-20.07%</w:t>
            </w:r>
          </w:p>
        </w:tc>
        <w:tc>
          <w:tcPr>
            <w:tcW w:w="1291" w:type="dxa"/>
            <w:vAlign w:val="center"/>
          </w:tcPr>
          <w:p w:rsidR="006D3840" w:rsidRDefault="00263463">
            <w:pPr>
              <w:jc w:val="right"/>
            </w:pPr>
            <w:r>
              <w:rPr>
                <w:rFonts w:eastAsiaTheme="minorEastAsia"/>
                <w:color w:val="000000" w:themeColor="text1"/>
                <w:szCs w:val="21"/>
              </w:rPr>
              <w:t>1.01%</w:t>
            </w:r>
          </w:p>
        </w:tc>
        <w:tc>
          <w:tcPr>
            <w:tcW w:w="1291" w:type="dxa"/>
            <w:vAlign w:val="center"/>
          </w:tcPr>
          <w:p w:rsidR="006D3840" w:rsidRDefault="00263463">
            <w:pPr>
              <w:jc w:val="right"/>
            </w:pPr>
            <w:r>
              <w:rPr>
                <w:rFonts w:eastAsiaTheme="minorEastAsia"/>
                <w:color w:val="000000" w:themeColor="text1"/>
                <w:szCs w:val="21"/>
              </w:rPr>
              <w:t>5.83%</w:t>
            </w:r>
          </w:p>
        </w:tc>
        <w:tc>
          <w:tcPr>
            <w:tcW w:w="1291" w:type="dxa"/>
            <w:vAlign w:val="center"/>
          </w:tcPr>
          <w:p w:rsidR="006D3840" w:rsidRDefault="00263463">
            <w:pPr>
              <w:jc w:val="right"/>
            </w:pPr>
            <w:r>
              <w:rPr>
                <w:rFonts w:eastAsiaTheme="minorEastAsia"/>
                <w:color w:val="000000" w:themeColor="text1"/>
                <w:szCs w:val="21"/>
              </w:rPr>
              <w:t>0.04%</w:t>
            </w:r>
          </w:p>
        </w:tc>
      </w:tr>
      <w:tr w:rsidR="006D3840">
        <w:tc>
          <w:tcPr>
            <w:tcW w:w="1290" w:type="dxa"/>
            <w:vAlign w:val="center"/>
          </w:tcPr>
          <w:p w:rsidR="006D3840" w:rsidRDefault="00263463">
            <w:pPr>
              <w:jc w:val="left"/>
            </w:pPr>
            <w:r>
              <w:rPr>
                <w:rFonts w:eastAsiaTheme="minorEastAsia"/>
                <w:color w:val="000000" w:themeColor="text1"/>
                <w:szCs w:val="21"/>
              </w:rPr>
              <w:t>过去五年</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c>
          <w:tcPr>
            <w:tcW w:w="1291" w:type="dxa"/>
            <w:vAlign w:val="center"/>
          </w:tcPr>
          <w:p w:rsidR="006D3840" w:rsidRDefault="00263463">
            <w:pPr>
              <w:jc w:val="right"/>
            </w:pPr>
            <w:r>
              <w:rPr>
                <w:rFonts w:eastAsiaTheme="minorEastAsia"/>
                <w:color w:val="000000" w:themeColor="text1"/>
                <w:szCs w:val="21"/>
              </w:rPr>
              <w:t>-</w:t>
            </w:r>
          </w:p>
        </w:tc>
      </w:tr>
      <w:tr w:rsidR="006D3840">
        <w:tc>
          <w:tcPr>
            <w:tcW w:w="1290" w:type="dxa"/>
            <w:vAlign w:val="center"/>
          </w:tcPr>
          <w:p w:rsidR="006D3840" w:rsidRDefault="00263463">
            <w:pPr>
              <w:jc w:val="left"/>
            </w:pPr>
            <w:r>
              <w:rPr>
                <w:rFonts w:eastAsiaTheme="minorEastAsia"/>
                <w:color w:val="000000" w:themeColor="text1"/>
                <w:szCs w:val="21"/>
              </w:rPr>
              <w:t>自基金合同生效起至今</w:t>
            </w:r>
          </w:p>
        </w:tc>
        <w:tc>
          <w:tcPr>
            <w:tcW w:w="1291" w:type="dxa"/>
            <w:vAlign w:val="center"/>
          </w:tcPr>
          <w:p w:rsidR="006D3840" w:rsidRDefault="00263463">
            <w:pPr>
              <w:jc w:val="right"/>
            </w:pPr>
            <w:r>
              <w:rPr>
                <w:rFonts w:eastAsiaTheme="minorEastAsia"/>
                <w:color w:val="000000" w:themeColor="text1"/>
                <w:szCs w:val="21"/>
              </w:rPr>
              <w:t>-12.69%</w:t>
            </w:r>
          </w:p>
        </w:tc>
        <w:tc>
          <w:tcPr>
            <w:tcW w:w="1291" w:type="dxa"/>
            <w:vAlign w:val="center"/>
          </w:tcPr>
          <w:p w:rsidR="006D3840" w:rsidRDefault="00263463">
            <w:pPr>
              <w:jc w:val="right"/>
            </w:pPr>
            <w:r>
              <w:rPr>
                <w:rFonts w:eastAsiaTheme="minorEastAsia"/>
                <w:color w:val="000000" w:themeColor="text1"/>
                <w:szCs w:val="21"/>
              </w:rPr>
              <w:t>1.00%</w:t>
            </w:r>
          </w:p>
        </w:tc>
        <w:tc>
          <w:tcPr>
            <w:tcW w:w="1291" w:type="dxa"/>
            <w:vAlign w:val="center"/>
          </w:tcPr>
          <w:p w:rsidR="006D3840" w:rsidRDefault="00263463">
            <w:pPr>
              <w:jc w:val="right"/>
            </w:pPr>
            <w:r>
              <w:rPr>
                <w:rFonts w:eastAsiaTheme="minorEastAsia"/>
                <w:color w:val="000000" w:themeColor="text1"/>
                <w:szCs w:val="21"/>
              </w:rPr>
              <w:t>-18.76%</w:t>
            </w:r>
          </w:p>
        </w:tc>
        <w:tc>
          <w:tcPr>
            <w:tcW w:w="1291" w:type="dxa"/>
            <w:vAlign w:val="center"/>
          </w:tcPr>
          <w:p w:rsidR="006D3840" w:rsidRDefault="00263463">
            <w:pPr>
              <w:jc w:val="right"/>
            </w:pPr>
            <w:r>
              <w:rPr>
                <w:rFonts w:eastAsiaTheme="minorEastAsia"/>
                <w:color w:val="000000" w:themeColor="text1"/>
                <w:szCs w:val="21"/>
              </w:rPr>
              <w:t>0.98%</w:t>
            </w:r>
          </w:p>
        </w:tc>
        <w:tc>
          <w:tcPr>
            <w:tcW w:w="1291" w:type="dxa"/>
            <w:vAlign w:val="center"/>
          </w:tcPr>
          <w:p w:rsidR="006D3840" w:rsidRDefault="00263463">
            <w:pPr>
              <w:jc w:val="right"/>
            </w:pPr>
            <w:r>
              <w:rPr>
                <w:rFonts w:eastAsiaTheme="minorEastAsia"/>
                <w:color w:val="000000" w:themeColor="text1"/>
                <w:szCs w:val="21"/>
              </w:rPr>
              <w:t>6.07%</w:t>
            </w:r>
          </w:p>
        </w:tc>
        <w:tc>
          <w:tcPr>
            <w:tcW w:w="1291" w:type="dxa"/>
            <w:vAlign w:val="center"/>
          </w:tcPr>
          <w:p w:rsidR="006D3840" w:rsidRDefault="00263463">
            <w:pPr>
              <w:jc w:val="right"/>
            </w:pPr>
            <w:r>
              <w:rPr>
                <w:rFonts w:eastAsiaTheme="minorEastAsia"/>
                <w:color w:val="000000" w:themeColor="text1"/>
                <w:szCs w:val="21"/>
              </w:rPr>
              <w:t>0.02%</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上投摩根标普港股通低波红利指数型证券投资基金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(2017</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4</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3840" w:rsidRDefault="002634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3840" w:rsidRDefault="002634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w:t>
      </w:r>
      <w:r w:rsidRPr="00EE3DBC">
        <w:rPr>
          <w:rFonts w:eastAsiaTheme="minorEastAsia"/>
          <w:color w:val="000000" w:themeColor="text1"/>
          <w:szCs w:val="21"/>
        </w:rPr>
        <w:lastRenderedPageBreak/>
        <w:t>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6D3840">
        <w:tc>
          <w:tcPr>
            <w:tcW w:w="952" w:type="dxa"/>
            <w:vAlign w:val="center"/>
          </w:tcPr>
          <w:p w:rsidR="006D3840" w:rsidRDefault="00263463">
            <w:pPr>
              <w:jc w:val="center"/>
            </w:pPr>
            <w:r>
              <w:rPr>
                <w:rFonts w:eastAsiaTheme="minorEastAsia"/>
                <w:color w:val="000000" w:themeColor="text1"/>
                <w:sz w:val="24"/>
              </w:rPr>
              <w:t>张军</w:t>
            </w:r>
          </w:p>
        </w:tc>
        <w:tc>
          <w:tcPr>
            <w:tcW w:w="930" w:type="dxa"/>
            <w:vAlign w:val="center"/>
          </w:tcPr>
          <w:p w:rsidR="006D3840" w:rsidRDefault="00263463">
            <w:pPr>
              <w:jc w:val="center"/>
            </w:pPr>
            <w:r>
              <w:rPr>
                <w:rFonts w:eastAsiaTheme="minorEastAsia"/>
                <w:color w:val="000000" w:themeColor="text1"/>
                <w:sz w:val="24"/>
              </w:rPr>
              <w:t>本基金基金经理、投资董事</w:t>
            </w:r>
          </w:p>
        </w:tc>
        <w:tc>
          <w:tcPr>
            <w:tcW w:w="1210" w:type="dxa"/>
            <w:vAlign w:val="center"/>
          </w:tcPr>
          <w:p w:rsidR="006D3840" w:rsidRDefault="00263463">
            <w:pPr>
              <w:jc w:val="center"/>
            </w:pPr>
            <w:r>
              <w:rPr>
                <w:rFonts w:eastAsiaTheme="minorEastAsia"/>
                <w:color w:val="000000" w:themeColor="text1"/>
                <w:sz w:val="24"/>
              </w:rPr>
              <w:t>2021-06-08</w:t>
            </w:r>
          </w:p>
        </w:tc>
        <w:tc>
          <w:tcPr>
            <w:tcW w:w="1309" w:type="dxa"/>
            <w:vAlign w:val="center"/>
          </w:tcPr>
          <w:p w:rsidR="006D3840" w:rsidRDefault="00263463">
            <w:pPr>
              <w:jc w:val="center"/>
            </w:pPr>
            <w:r>
              <w:rPr>
                <w:rFonts w:eastAsiaTheme="minorEastAsia"/>
                <w:color w:val="000000" w:themeColor="text1"/>
                <w:sz w:val="24"/>
              </w:rPr>
              <w:t>-</w:t>
            </w:r>
          </w:p>
        </w:tc>
        <w:tc>
          <w:tcPr>
            <w:tcW w:w="1254" w:type="dxa"/>
            <w:vAlign w:val="center"/>
          </w:tcPr>
          <w:p w:rsidR="006D3840" w:rsidRDefault="00263463">
            <w:pPr>
              <w:jc w:val="center"/>
            </w:pPr>
            <w:r>
              <w:rPr>
                <w:rFonts w:eastAsiaTheme="minorEastAsia"/>
                <w:color w:val="000000" w:themeColor="text1"/>
                <w:sz w:val="24"/>
              </w:rPr>
              <w:t>17</w:t>
            </w:r>
            <w:r>
              <w:rPr>
                <w:rFonts w:eastAsiaTheme="minorEastAsia"/>
                <w:color w:val="000000" w:themeColor="text1"/>
                <w:sz w:val="24"/>
              </w:rPr>
              <w:t>年（金融领域从业经验</w:t>
            </w:r>
            <w:r>
              <w:rPr>
                <w:rFonts w:eastAsiaTheme="minorEastAsia"/>
                <w:color w:val="000000" w:themeColor="text1"/>
                <w:sz w:val="24"/>
              </w:rPr>
              <w:t>28</w:t>
            </w:r>
            <w:r>
              <w:rPr>
                <w:rFonts w:eastAsiaTheme="minorEastAsia"/>
                <w:color w:val="000000" w:themeColor="text1"/>
                <w:sz w:val="24"/>
              </w:rPr>
              <w:t>年）</w:t>
            </w:r>
          </w:p>
        </w:tc>
        <w:tc>
          <w:tcPr>
            <w:tcW w:w="3276" w:type="dxa"/>
            <w:vAlign w:val="center"/>
          </w:tcPr>
          <w:p w:rsidR="006D3840" w:rsidRDefault="00263463">
            <w:r>
              <w:rPr>
                <w:rFonts w:eastAsiaTheme="minorEastAsia"/>
                <w:color w:val="000000" w:themeColor="text1"/>
                <w:sz w:val="24"/>
              </w:rPr>
              <w:t>基金经理张军先生，毕业于上海复旦大学。曾担任上海国际信托有限公司国际业务部经理，交易部经理。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月起担任上投摩根亚太优势混合型证券投资基金基金经理，自</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月起同时担任上投摩根全球天然资源混合型证券投资基金基金经理，自</w:t>
            </w:r>
            <w:r>
              <w:rPr>
                <w:rFonts w:eastAsiaTheme="minorEastAsia"/>
                <w:color w:val="000000" w:themeColor="text1"/>
                <w:sz w:val="24"/>
              </w:rPr>
              <w:t>2016</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月起同时担任上投摩根全球多元配置证券投资基金基金经理，自</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月起同时担任上投摩根欧洲动力策略股票型证券投资基金（</w:t>
            </w:r>
            <w:r>
              <w:rPr>
                <w:rFonts w:eastAsiaTheme="minorEastAsia"/>
                <w:color w:val="000000" w:themeColor="text1"/>
                <w:sz w:val="24"/>
              </w:rPr>
              <w:t>QDII</w:t>
            </w:r>
            <w:r>
              <w:rPr>
                <w:rFonts w:eastAsiaTheme="minorEastAsia"/>
                <w:color w:val="000000" w:themeColor="text1"/>
                <w:sz w:val="24"/>
              </w:rPr>
              <w:t>）基金经理，自</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月起同时担任上投摩根日本精选股票型证券投资基金（</w:t>
            </w:r>
            <w:r>
              <w:rPr>
                <w:rFonts w:eastAsiaTheme="minorEastAsia"/>
                <w:color w:val="000000" w:themeColor="text1"/>
                <w:sz w:val="24"/>
              </w:rPr>
              <w:t>QDII</w:t>
            </w:r>
            <w:r>
              <w:rPr>
                <w:rFonts w:eastAsiaTheme="minorEastAsia"/>
                <w:color w:val="000000" w:themeColor="text1"/>
                <w:sz w:val="24"/>
              </w:rPr>
              <w:t>）基金经理，自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月起同时担任上投摩根富时发达市场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月起同时担任上投摩根全球新兴市场混合型证券投资基金及上投摩根标普港股通低波红利指数型证券投资基</w:t>
            </w:r>
            <w:r>
              <w:rPr>
                <w:rFonts w:eastAsiaTheme="minorEastAsia"/>
                <w:color w:val="000000" w:themeColor="text1"/>
                <w:sz w:val="24"/>
              </w:rPr>
              <w:lastRenderedPageBreak/>
              <w:t>金基金经理。</w:t>
            </w:r>
          </w:p>
        </w:tc>
      </w:tr>
      <w:tr w:rsidR="006D3840">
        <w:tc>
          <w:tcPr>
            <w:tcW w:w="952" w:type="dxa"/>
            <w:vAlign w:val="center"/>
          </w:tcPr>
          <w:p w:rsidR="006D3840" w:rsidRDefault="00263463">
            <w:pPr>
              <w:jc w:val="center"/>
            </w:pPr>
            <w:r>
              <w:rPr>
                <w:rFonts w:eastAsiaTheme="minorEastAsia"/>
                <w:color w:val="000000" w:themeColor="text1"/>
                <w:sz w:val="24"/>
              </w:rPr>
              <w:lastRenderedPageBreak/>
              <w:t>胡迪</w:t>
            </w:r>
          </w:p>
        </w:tc>
        <w:tc>
          <w:tcPr>
            <w:tcW w:w="930" w:type="dxa"/>
            <w:vAlign w:val="center"/>
          </w:tcPr>
          <w:p w:rsidR="006D3840" w:rsidRDefault="00263463">
            <w:pPr>
              <w:jc w:val="center"/>
            </w:pPr>
            <w:r>
              <w:rPr>
                <w:rFonts w:eastAsiaTheme="minorEastAsia"/>
                <w:color w:val="000000" w:themeColor="text1"/>
                <w:sz w:val="24"/>
              </w:rPr>
              <w:t>本基金基金经理、指数及量化投资部总监</w:t>
            </w:r>
          </w:p>
        </w:tc>
        <w:tc>
          <w:tcPr>
            <w:tcW w:w="1210" w:type="dxa"/>
            <w:vAlign w:val="center"/>
          </w:tcPr>
          <w:p w:rsidR="006D3840" w:rsidRDefault="00263463">
            <w:pPr>
              <w:jc w:val="center"/>
            </w:pPr>
            <w:r>
              <w:rPr>
                <w:rFonts w:eastAsiaTheme="minorEastAsia"/>
                <w:color w:val="000000" w:themeColor="text1"/>
                <w:sz w:val="24"/>
              </w:rPr>
              <w:t>2021-01-07</w:t>
            </w:r>
          </w:p>
        </w:tc>
        <w:tc>
          <w:tcPr>
            <w:tcW w:w="1309" w:type="dxa"/>
            <w:vAlign w:val="center"/>
          </w:tcPr>
          <w:p w:rsidR="006D3840" w:rsidRDefault="00263463">
            <w:pPr>
              <w:jc w:val="center"/>
            </w:pPr>
            <w:r>
              <w:rPr>
                <w:rFonts w:eastAsiaTheme="minorEastAsia"/>
                <w:color w:val="000000" w:themeColor="text1"/>
                <w:sz w:val="24"/>
              </w:rPr>
              <w:t>-</w:t>
            </w:r>
          </w:p>
        </w:tc>
        <w:tc>
          <w:tcPr>
            <w:tcW w:w="1254" w:type="dxa"/>
            <w:vAlign w:val="center"/>
          </w:tcPr>
          <w:p w:rsidR="006D3840" w:rsidRDefault="00263463">
            <w:pPr>
              <w:jc w:val="center"/>
            </w:pPr>
            <w:r>
              <w:rPr>
                <w:rFonts w:eastAsiaTheme="minorEastAsia"/>
                <w:color w:val="000000" w:themeColor="text1"/>
                <w:sz w:val="24"/>
              </w:rPr>
              <w:t>14</w:t>
            </w:r>
            <w:r>
              <w:rPr>
                <w:rFonts w:eastAsiaTheme="minorEastAsia"/>
                <w:color w:val="000000" w:themeColor="text1"/>
                <w:sz w:val="24"/>
              </w:rPr>
              <w:t>年</w:t>
            </w:r>
          </w:p>
        </w:tc>
        <w:tc>
          <w:tcPr>
            <w:tcW w:w="3276" w:type="dxa"/>
            <w:vAlign w:val="center"/>
          </w:tcPr>
          <w:p w:rsidR="006D3840" w:rsidRDefault="00263463">
            <w:r>
              <w:rPr>
                <w:rFonts w:eastAsiaTheme="minorEastAsia"/>
                <w:color w:val="000000" w:themeColor="text1"/>
                <w:sz w:val="24"/>
              </w:rPr>
              <w:t>胡迪女士，</w:t>
            </w:r>
            <w:r>
              <w:rPr>
                <w:rFonts w:eastAsiaTheme="minorEastAsia"/>
                <w:color w:val="000000" w:themeColor="text1"/>
                <w:sz w:val="24"/>
              </w:rPr>
              <w:t>CFA</w:t>
            </w:r>
            <w:r>
              <w:rPr>
                <w:rFonts w:eastAsiaTheme="minorEastAsia"/>
                <w:color w:val="000000" w:themeColor="text1"/>
                <w:sz w:val="24"/>
              </w:rPr>
              <w:t>，</w:t>
            </w:r>
            <w:r>
              <w:rPr>
                <w:rFonts w:eastAsiaTheme="minorEastAsia"/>
                <w:color w:val="000000" w:themeColor="text1"/>
                <w:sz w:val="24"/>
              </w:rPr>
              <w:t>FRM</w:t>
            </w:r>
            <w:r>
              <w:rPr>
                <w:rFonts w:eastAsiaTheme="minorEastAsia"/>
                <w:color w:val="000000" w:themeColor="text1"/>
                <w:sz w:val="24"/>
              </w:rPr>
              <w:t>，美国哥伦比亚大学金融工程硕士，现任指数及量化投资部总监。胡迪女士自</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月至</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月在纽约美林证券担任全球资产管理部高级经理；自</w:t>
            </w:r>
            <w:r>
              <w:rPr>
                <w:rFonts w:eastAsiaTheme="minorEastAsia"/>
                <w:color w:val="000000" w:themeColor="text1"/>
                <w:sz w:val="24"/>
              </w:rPr>
              <w:t>2010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月至</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月在纽约标准普尔担任量化投资主管；自</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月在中国国际金融股份有限公司担任资产管理部执行总经理；自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月加入上投摩根基金管理有限公司，现任指数及量化投资部总监，自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股交易型开放式指数证券投资基金联接基金、上投摩根标普港股通低波红利指数型证券投资基金基金经理。</w:t>
            </w:r>
          </w:p>
        </w:tc>
      </w:tr>
      <w:tr w:rsidR="006D3840">
        <w:tc>
          <w:tcPr>
            <w:tcW w:w="952" w:type="dxa"/>
            <w:vAlign w:val="center"/>
          </w:tcPr>
          <w:p w:rsidR="006D3840" w:rsidRDefault="00263463">
            <w:pPr>
              <w:jc w:val="center"/>
            </w:pPr>
            <w:r>
              <w:rPr>
                <w:rFonts w:eastAsiaTheme="minorEastAsia"/>
                <w:color w:val="000000" w:themeColor="text1"/>
                <w:sz w:val="24"/>
              </w:rPr>
              <w:t>何智豪</w:t>
            </w:r>
          </w:p>
        </w:tc>
        <w:tc>
          <w:tcPr>
            <w:tcW w:w="930" w:type="dxa"/>
            <w:vAlign w:val="center"/>
          </w:tcPr>
          <w:p w:rsidR="006D3840" w:rsidRDefault="00263463">
            <w:pPr>
              <w:jc w:val="center"/>
            </w:pPr>
            <w:r>
              <w:rPr>
                <w:rFonts w:eastAsiaTheme="minorEastAsia"/>
                <w:color w:val="000000" w:themeColor="text1"/>
                <w:sz w:val="24"/>
              </w:rPr>
              <w:t>本基金基金经理</w:t>
            </w:r>
          </w:p>
        </w:tc>
        <w:tc>
          <w:tcPr>
            <w:tcW w:w="1210" w:type="dxa"/>
            <w:vAlign w:val="center"/>
          </w:tcPr>
          <w:p w:rsidR="006D3840" w:rsidRDefault="00263463">
            <w:pPr>
              <w:jc w:val="center"/>
            </w:pPr>
            <w:r>
              <w:rPr>
                <w:rFonts w:eastAsiaTheme="minorEastAsia"/>
                <w:color w:val="000000" w:themeColor="text1"/>
                <w:sz w:val="24"/>
              </w:rPr>
              <w:t>2021-02-19</w:t>
            </w:r>
          </w:p>
        </w:tc>
        <w:tc>
          <w:tcPr>
            <w:tcW w:w="1309" w:type="dxa"/>
            <w:vAlign w:val="center"/>
          </w:tcPr>
          <w:p w:rsidR="006D3840" w:rsidRDefault="00263463">
            <w:pPr>
              <w:jc w:val="center"/>
            </w:pPr>
            <w:r>
              <w:rPr>
                <w:rFonts w:eastAsiaTheme="minorEastAsia"/>
                <w:color w:val="000000" w:themeColor="text1"/>
                <w:sz w:val="24"/>
              </w:rPr>
              <w:t>-</w:t>
            </w:r>
          </w:p>
        </w:tc>
        <w:tc>
          <w:tcPr>
            <w:tcW w:w="1254" w:type="dxa"/>
            <w:vAlign w:val="center"/>
          </w:tcPr>
          <w:p w:rsidR="006D3840" w:rsidRDefault="00263463">
            <w:pPr>
              <w:jc w:val="center"/>
            </w:pPr>
            <w:r>
              <w:rPr>
                <w:rFonts w:eastAsiaTheme="minorEastAsia"/>
                <w:color w:val="000000" w:themeColor="text1"/>
                <w:sz w:val="24"/>
              </w:rPr>
              <w:t>7</w:t>
            </w:r>
            <w:r>
              <w:rPr>
                <w:rFonts w:eastAsiaTheme="minorEastAsia"/>
                <w:color w:val="000000" w:themeColor="text1"/>
                <w:sz w:val="24"/>
              </w:rPr>
              <w:t>年</w:t>
            </w:r>
          </w:p>
        </w:tc>
        <w:tc>
          <w:tcPr>
            <w:tcW w:w="3276" w:type="dxa"/>
            <w:vAlign w:val="center"/>
          </w:tcPr>
          <w:p w:rsidR="006D3840" w:rsidRDefault="00263463">
            <w:r>
              <w:rPr>
                <w:rFonts w:eastAsiaTheme="minorEastAsia"/>
                <w:color w:val="000000" w:themeColor="text1"/>
                <w:sz w:val="24"/>
              </w:rPr>
              <w:t>何智豪先生，复旦大学应用数学硕士，现任指数及量化投资部基金经理。何智豪先生自</w:t>
            </w:r>
            <w:r>
              <w:rPr>
                <w:rFonts w:eastAsiaTheme="minorEastAsia"/>
                <w:color w:val="000000" w:themeColor="text1"/>
                <w:sz w:val="24"/>
              </w:rPr>
              <w:t>2014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月，在中国国际金融股份有限公司担任组合与量化策略研究员、资产管理部高级经理；自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月起加入上投摩根基金管理有限公司。自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月起同时担任上投摩根量化多因子灵活配置混合型证券投资基金、上投摩根优选多因子股票型证券投资基金、上投摩根中证消费服务领先指</w:t>
            </w:r>
            <w:r>
              <w:rPr>
                <w:rFonts w:eastAsiaTheme="minorEastAsia"/>
                <w:color w:val="000000" w:themeColor="text1"/>
                <w:sz w:val="24"/>
              </w:rPr>
              <w:lastRenderedPageBreak/>
              <w:t>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股交易型开放式指数证券投资基金联接基金、上投摩根标普港股通低波红利指数型证券投资基金基金经理。</w:t>
            </w:r>
          </w:p>
        </w:tc>
      </w:tr>
    </w:tbl>
    <w:p w:rsidR="006D3840" w:rsidRDefault="00263463">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rsidR="00417735" w:rsidRPr="00EE3DBC" w:rsidRDefault="00417735" w:rsidP="00417735">
      <w:pPr>
        <w:autoSpaceDE w:val="0"/>
        <w:autoSpaceDN w:val="0"/>
        <w:adjustRightInd w:val="0"/>
        <w:spacing w:line="360" w:lineRule="auto"/>
        <w:jc w:val="left"/>
        <w:rPr>
          <w:rFonts w:eastAsia="Times New Roman"/>
          <w:b/>
          <w:color w:val="000000"/>
          <w:kern w:val="0"/>
          <w:sz w:val="24"/>
          <w:szCs w:val="21"/>
        </w:rPr>
      </w:pPr>
      <w:bookmarkStart w:id="1" w:name="_Hlk44921484"/>
      <w:r w:rsidRPr="00EE3DBC">
        <w:rPr>
          <w:b/>
          <w:color w:val="000000"/>
          <w:kern w:val="0"/>
          <w:sz w:val="24"/>
        </w:rPr>
        <w:t>4</w:t>
      </w:r>
      <w:r w:rsidRPr="00EE3DBC">
        <w:rPr>
          <w:rFonts w:eastAsia="Times New Roman"/>
          <w:b/>
          <w:color w:val="000000"/>
          <w:kern w:val="0"/>
          <w:sz w:val="24"/>
        </w:rPr>
        <w:t>.</w:t>
      </w:r>
      <w:r w:rsidRPr="00EE3DBC">
        <w:rPr>
          <w:b/>
          <w:color w:val="000000"/>
          <w:kern w:val="0"/>
          <w:sz w:val="24"/>
        </w:rPr>
        <w:t xml:space="preserve">1.1 </w:t>
      </w:r>
      <w:r w:rsidRPr="00EE3DBC">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417735" w:rsidRPr="00EE3DBC" w:rsidTr="00417735">
        <w:tc>
          <w:tcPr>
            <w:tcW w:w="959" w:type="dxa"/>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资产净值</w:t>
            </w:r>
            <w:r w:rsidRPr="00EE3DBC">
              <w:rPr>
                <w:rFonts w:eastAsiaTheme="minorEastAsia"/>
                <w:color w:val="000000"/>
                <w:sz w:val="24"/>
              </w:rPr>
              <w:t>(</w:t>
            </w:r>
            <w:r w:rsidRPr="00EE3DBC">
              <w:rPr>
                <w:rFonts w:eastAsiaTheme="minorEastAsia"/>
                <w:color w:val="000000"/>
                <w:sz w:val="24"/>
              </w:rPr>
              <w:t>元</w:t>
            </w:r>
            <w:r w:rsidRPr="00EE3DBC">
              <w:rPr>
                <w:rFonts w:eastAsiaTheme="minorEastAsia"/>
                <w:color w:val="000000"/>
                <w:sz w:val="24"/>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任职时间</w:t>
            </w:r>
          </w:p>
        </w:tc>
      </w:tr>
      <w:tr w:rsidR="00417735" w:rsidRPr="00EE3DBC" w:rsidTr="00417735">
        <w:tc>
          <w:tcPr>
            <w:tcW w:w="959" w:type="dxa"/>
            <w:vMerge w:val="restart"/>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张军</w:t>
            </w:r>
          </w:p>
        </w:tc>
        <w:tc>
          <w:tcPr>
            <w:tcW w:w="2410"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8</w:t>
            </w:r>
          </w:p>
        </w:tc>
        <w:tc>
          <w:tcPr>
            <w:tcW w:w="184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4,708,798,556.58</w:t>
            </w:r>
          </w:p>
        </w:tc>
        <w:tc>
          <w:tcPr>
            <w:tcW w:w="1381"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2008-03-08</w:t>
            </w:r>
          </w:p>
        </w:tc>
      </w:tr>
      <w:tr w:rsidR="00417735" w:rsidRPr="00EE3DBC" w:rsidTr="00417735">
        <w:tc>
          <w:tcPr>
            <w:tcW w:w="9286" w:type="dxa"/>
            <w:vMerge/>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widowControl/>
              <w:jc w:val="left"/>
              <w:rPr>
                <w:rFonts w:eastAsiaTheme="minorEastAsia"/>
                <w:color w:val="000000"/>
                <w:sz w:val="24"/>
                <w:szCs w:val="21"/>
              </w:rPr>
            </w:pPr>
          </w:p>
        </w:tc>
        <w:tc>
          <w:tcPr>
            <w:tcW w:w="2410"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1</w:t>
            </w:r>
          </w:p>
        </w:tc>
        <w:tc>
          <w:tcPr>
            <w:tcW w:w="184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155,287,767.00</w:t>
            </w:r>
          </w:p>
        </w:tc>
        <w:tc>
          <w:tcPr>
            <w:tcW w:w="1381"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2021-07-09</w:t>
            </w:r>
          </w:p>
        </w:tc>
      </w:tr>
      <w:tr w:rsidR="00417735" w:rsidRPr="00EE3DBC" w:rsidTr="00417735">
        <w:tc>
          <w:tcPr>
            <w:tcW w:w="9286" w:type="dxa"/>
            <w:vMerge/>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widowControl/>
              <w:jc w:val="left"/>
              <w:rPr>
                <w:rFonts w:eastAsiaTheme="minorEastAsia"/>
                <w:color w:val="000000"/>
                <w:sz w:val="24"/>
                <w:szCs w:val="21"/>
              </w:rPr>
            </w:pPr>
          </w:p>
        </w:tc>
        <w:tc>
          <w:tcPr>
            <w:tcW w:w="2410"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w:t>
            </w:r>
          </w:p>
        </w:tc>
        <w:tc>
          <w:tcPr>
            <w:tcW w:w="184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w:t>
            </w:r>
          </w:p>
        </w:tc>
        <w:tc>
          <w:tcPr>
            <w:tcW w:w="1381"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w:t>
            </w:r>
          </w:p>
        </w:tc>
      </w:tr>
      <w:tr w:rsidR="00417735" w:rsidRPr="00EE3DBC" w:rsidTr="00417735">
        <w:tc>
          <w:tcPr>
            <w:tcW w:w="9286" w:type="dxa"/>
            <w:vMerge/>
            <w:tcBorders>
              <w:top w:val="single" w:sz="4" w:space="0" w:color="auto"/>
              <w:left w:val="single" w:sz="4" w:space="0" w:color="auto"/>
              <w:bottom w:val="single" w:sz="4" w:space="0" w:color="auto"/>
              <w:right w:val="single" w:sz="4" w:space="0" w:color="auto"/>
            </w:tcBorders>
            <w:vAlign w:val="center"/>
            <w:hideMark/>
          </w:tcPr>
          <w:p w:rsidR="00417735" w:rsidRPr="00EE3DBC" w:rsidRDefault="00417735">
            <w:pPr>
              <w:widowControl/>
              <w:jc w:val="left"/>
              <w:rPr>
                <w:rFonts w:eastAsiaTheme="minorEastAsia"/>
                <w:color w:val="000000"/>
                <w:sz w:val="24"/>
                <w:szCs w:val="21"/>
              </w:rPr>
            </w:pPr>
          </w:p>
        </w:tc>
        <w:tc>
          <w:tcPr>
            <w:tcW w:w="2410"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合计</w:t>
            </w:r>
          </w:p>
        </w:tc>
        <w:tc>
          <w:tcPr>
            <w:tcW w:w="269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9</w:t>
            </w:r>
          </w:p>
        </w:tc>
        <w:tc>
          <w:tcPr>
            <w:tcW w:w="1843" w:type="dxa"/>
            <w:tcBorders>
              <w:top w:val="single" w:sz="4" w:space="0" w:color="auto"/>
              <w:left w:val="single" w:sz="4" w:space="0" w:color="auto"/>
              <w:bottom w:val="single" w:sz="4" w:space="0" w:color="auto"/>
              <w:right w:val="single" w:sz="4" w:space="0" w:color="auto"/>
            </w:tcBorders>
            <w:hideMark/>
          </w:tcPr>
          <w:p w:rsidR="00417735" w:rsidRPr="00EE3DBC" w:rsidRDefault="00417735">
            <w:pPr>
              <w:spacing w:line="288" w:lineRule="auto"/>
              <w:jc w:val="left"/>
              <w:rPr>
                <w:rFonts w:eastAsiaTheme="minorEastAsia"/>
                <w:color w:val="000000"/>
                <w:sz w:val="24"/>
              </w:rPr>
            </w:pPr>
            <w:r w:rsidRPr="00EE3DBC">
              <w:rPr>
                <w:rFonts w:eastAsiaTheme="minorEastAsia"/>
                <w:color w:val="000000"/>
                <w:sz w:val="24"/>
              </w:rPr>
              <w:t>4,864,086,323.58</w:t>
            </w:r>
          </w:p>
        </w:tc>
        <w:tc>
          <w:tcPr>
            <w:tcW w:w="1381" w:type="dxa"/>
            <w:tcBorders>
              <w:top w:val="single" w:sz="4" w:space="0" w:color="auto"/>
              <w:left w:val="single" w:sz="4" w:space="0" w:color="auto"/>
              <w:bottom w:val="single" w:sz="4" w:space="0" w:color="auto"/>
              <w:right w:val="single" w:sz="4" w:space="0" w:color="auto"/>
            </w:tcBorders>
          </w:tcPr>
          <w:p w:rsidR="00417735" w:rsidRPr="00EE3DBC" w:rsidRDefault="00417735">
            <w:pPr>
              <w:spacing w:line="288" w:lineRule="auto"/>
              <w:jc w:val="left"/>
              <w:rPr>
                <w:rFonts w:eastAsiaTheme="minorEastAsia"/>
                <w:color w:val="000000"/>
                <w:sz w:val="24"/>
              </w:rPr>
            </w:pP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上投摩根标普港股通低波红利指数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6D3840" w:rsidRDefault="00263463">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D3840" w:rsidRDefault="00263463">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6D3840" w:rsidRDefault="00263463">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6D3840" w:rsidRDefault="00263463">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三季度，港股市场维持震荡下行，港股表现整体弱于</w:t>
      </w:r>
      <w:r>
        <w:rPr>
          <w:rFonts w:eastAsiaTheme="minorEastAsia"/>
          <w:color w:val="000000" w:themeColor="text1"/>
          <w:kern w:val="0"/>
          <w:sz w:val="24"/>
        </w:rPr>
        <w:t>A</w:t>
      </w:r>
      <w:r>
        <w:rPr>
          <w:rFonts w:eastAsiaTheme="minorEastAsia"/>
          <w:color w:val="000000" w:themeColor="text1"/>
          <w:kern w:val="0"/>
          <w:sz w:val="24"/>
        </w:rPr>
        <w:t>股和美股。本基金在三季度的表现呈窄幅震荡，波动明显小于恒生指数和恒生科技指数。季度内，本基金跟踪的标普港股通低波红利指数下跌</w:t>
      </w:r>
      <w:r>
        <w:rPr>
          <w:rFonts w:eastAsiaTheme="minorEastAsia"/>
          <w:color w:val="000000" w:themeColor="text1"/>
          <w:kern w:val="0"/>
          <w:sz w:val="24"/>
        </w:rPr>
        <w:t>0.46%</w:t>
      </w:r>
      <w:r>
        <w:rPr>
          <w:rFonts w:eastAsiaTheme="minorEastAsia"/>
          <w:color w:val="000000" w:themeColor="text1"/>
          <w:kern w:val="0"/>
          <w:sz w:val="24"/>
        </w:rPr>
        <w:t>，同期恒生指数下跌</w:t>
      </w:r>
      <w:r>
        <w:rPr>
          <w:rFonts w:eastAsiaTheme="minorEastAsia"/>
          <w:color w:val="000000" w:themeColor="text1"/>
          <w:kern w:val="0"/>
          <w:sz w:val="24"/>
        </w:rPr>
        <w:t>14.75%</w:t>
      </w:r>
      <w:r>
        <w:rPr>
          <w:rFonts w:eastAsiaTheme="minorEastAsia"/>
          <w:color w:val="000000" w:themeColor="text1"/>
          <w:kern w:val="0"/>
          <w:sz w:val="24"/>
        </w:rPr>
        <w:t>，恒生科技指数下跌</w:t>
      </w:r>
      <w:r>
        <w:rPr>
          <w:rFonts w:eastAsiaTheme="minorEastAsia"/>
          <w:color w:val="000000" w:themeColor="text1"/>
          <w:kern w:val="0"/>
          <w:sz w:val="24"/>
        </w:rPr>
        <w:t>25.18%</w:t>
      </w:r>
      <w:r>
        <w:rPr>
          <w:rFonts w:eastAsiaTheme="minorEastAsia"/>
          <w:color w:val="000000" w:themeColor="text1"/>
          <w:kern w:val="0"/>
          <w:sz w:val="24"/>
        </w:rPr>
        <w:t>。由于房地产政策的收紧，导致海外投资者的风险偏好下降，进而使得地产、保险和银行板块均一度遭受抛售，地产问题是近期市场的主要扰动因素。另外，</w:t>
      </w:r>
      <w:r>
        <w:rPr>
          <w:rFonts w:eastAsiaTheme="minorEastAsia"/>
          <w:color w:val="000000" w:themeColor="text1"/>
          <w:kern w:val="0"/>
          <w:sz w:val="24"/>
        </w:rPr>
        <w:t>9</w:t>
      </w:r>
      <w:r>
        <w:rPr>
          <w:rFonts w:eastAsiaTheme="minorEastAsia"/>
          <w:color w:val="000000" w:themeColor="text1"/>
          <w:kern w:val="0"/>
          <w:sz w:val="24"/>
        </w:rPr>
        <w:t>月份美联储</w:t>
      </w:r>
      <w:r>
        <w:rPr>
          <w:rFonts w:eastAsiaTheme="minorEastAsia"/>
          <w:color w:val="000000" w:themeColor="text1"/>
          <w:kern w:val="0"/>
          <w:sz w:val="24"/>
        </w:rPr>
        <w:t>FOMC</w:t>
      </w:r>
      <w:r>
        <w:rPr>
          <w:rFonts w:eastAsiaTheme="minorEastAsia"/>
          <w:color w:val="000000" w:themeColor="text1"/>
          <w:kern w:val="0"/>
          <w:sz w:val="24"/>
        </w:rPr>
        <w:t>会议传递出快速减量的信号，点阵图变的更加鹰派，带动美债利率上行，可能会给香港市场带来持续扰动。运作上，本基金在报告期内采用被动复制的投资策略，仓位维持在正常水平，跟踪误差保持在合理范围内。</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首先全球经济持续复苏以及企业盈利修复将支撑港股继续向好，同时南下资金也有望继续流入港股市场。第二，继续看好能源、金融等受益于宏观经济向好和高通胀环境的周期板块。第三，随着美联储临近缩减购债规模以及进入加息周期，美债实际收益率将上升，这对高估值成长板块将造成较大冲击，而低估值高股息股票将具有更好的防御性。本基金作为配置于港股市场且具有鲜</w:t>
      </w:r>
      <w:r w:rsidRPr="00EE3DBC">
        <w:rPr>
          <w:rFonts w:eastAsiaTheme="minorEastAsia"/>
          <w:color w:val="000000" w:themeColor="text1"/>
          <w:kern w:val="0"/>
          <w:sz w:val="24"/>
        </w:rPr>
        <w:lastRenderedPageBreak/>
        <w:t>明风格特征的</w:t>
      </w:r>
      <w:r w:rsidRPr="00EE3DBC">
        <w:rPr>
          <w:rFonts w:eastAsiaTheme="minorEastAsia"/>
          <w:color w:val="000000" w:themeColor="text1"/>
          <w:kern w:val="0"/>
          <w:sz w:val="24"/>
        </w:rPr>
        <w:t>Smart Beta</w:t>
      </w:r>
      <w:r w:rsidRPr="00EE3DBC">
        <w:rPr>
          <w:rFonts w:eastAsiaTheme="minorEastAsia"/>
          <w:color w:val="000000" w:themeColor="text1"/>
          <w:kern w:val="0"/>
          <w:sz w:val="24"/>
        </w:rPr>
        <w:t>指数基金，既可以作为阶段性风格配置的工具，也可以作为中长期调节整体投资组合风险收益特征的有效工具。</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6D3840" w:rsidRDefault="00263463">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本报告期上投摩根标普港股通低波红利指数</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:1.13%</w:t>
      </w:r>
      <w:r>
        <w:rPr>
          <w:rFonts w:eastAsiaTheme="minorEastAsia"/>
          <w:color w:val="000000" w:themeColor="text1"/>
          <w:kern w:val="0"/>
          <w:sz w:val="24"/>
        </w:rPr>
        <w:t>，同期业绩比较基准收益率为</w:t>
      </w:r>
      <w:r>
        <w:rPr>
          <w:rFonts w:eastAsiaTheme="minorEastAsia"/>
          <w:color w:val="000000" w:themeColor="text1"/>
          <w:kern w:val="0"/>
          <w:sz w:val="24"/>
        </w:rPr>
        <w:t>:-0.43%,</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上投摩根标普港股通低波红利指数</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:0.99%</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:-0.43%</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220,897,371.05</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92.39</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220,897,371.05</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92.39</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14,759,168.30</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6.17</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3,428,194.16</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1.43</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239,084,733.51</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jc w:val="left"/>
        <w:rPr>
          <w:rFonts w:eastAsiaTheme="minorEastAsia"/>
          <w:color w:val="000000" w:themeColor="text1"/>
          <w:sz w:val="24"/>
        </w:rPr>
      </w:pPr>
      <w:r w:rsidRPr="00EE3DBC">
        <w:rPr>
          <w:rFonts w:eastAsiaTheme="minorEastAsia"/>
          <w:b/>
          <w:color w:val="000000" w:themeColor="text1"/>
          <w:kern w:val="0"/>
          <w:sz w:val="24"/>
        </w:rPr>
        <w:t>5.2.3</w:t>
      </w:r>
      <w:r w:rsidRPr="00EE3DBC">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A960A3" w:rsidRPr="00EE3DBC">
        <w:trPr>
          <w:jc w:val="center"/>
        </w:trPr>
        <w:tc>
          <w:tcPr>
            <w:tcW w:w="239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行业类别</w:t>
            </w:r>
          </w:p>
        </w:tc>
        <w:tc>
          <w:tcPr>
            <w:tcW w:w="3119"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公允价值（人民币）</w:t>
            </w:r>
          </w:p>
        </w:tc>
        <w:tc>
          <w:tcPr>
            <w:tcW w:w="3118"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A </w:t>
            </w:r>
            <w:r>
              <w:rPr>
                <w:rFonts w:eastAsiaTheme="minorEastAsia"/>
                <w:color w:val="000000" w:themeColor="text1"/>
                <w:sz w:val="24"/>
              </w:rPr>
              <w:t>基础材料</w:t>
            </w:r>
          </w:p>
        </w:tc>
        <w:tc>
          <w:tcPr>
            <w:tcW w:w="3119" w:type="dxa"/>
            <w:vAlign w:val="center"/>
          </w:tcPr>
          <w:p w:rsidR="006D3840" w:rsidRDefault="00263463">
            <w:pPr>
              <w:jc w:val="center"/>
            </w:pPr>
            <w:r>
              <w:rPr>
                <w:rFonts w:eastAsiaTheme="minorEastAsia"/>
                <w:color w:val="000000" w:themeColor="text1"/>
                <w:sz w:val="24"/>
              </w:rPr>
              <w:t>16,128,508.12</w:t>
            </w:r>
          </w:p>
        </w:tc>
        <w:tc>
          <w:tcPr>
            <w:tcW w:w="3118" w:type="dxa"/>
            <w:vAlign w:val="center"/>
          </w:tcPr>
          <w:p w:rsidR="006D3840" w:rsidRDefault="00263463">
            <w:pPr>
              <w:jc w:val="center"/>
            </w:pPr>
            <w:r>
              <w:rPr>
                <w:rFonts w:eastAsiaTheme="minorEastAsia"/>
                <w:color w:val="000000" w:themeColor="text1"/>
                <w:sz w:val="24"/>
              </w:rPr>
              <w:t>6.92</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B </w:t>
            </w:r>
            <w:r>
              <w:rPr>
                <w:rFonts w:eastAsiaTheme="minorEastAsia"/>
                <w:color w:val="000000" w:themeColor="text1"/>
                <w:sz w:val="24"/>
              </w:rPr>
              <w:t>消费者非必需品</w:t>
            </w:r>
          </w:p>
        </w:tc>
        <w:tc>
          <w:tcPr>
            <w:tcW w:w="3119" w:type="dxa"/>
            <w:vAlign w:val="center"/>
          </w:tcPr>
          <w:p w:rsidR="006D3840" w:rsidRDefault="00263463">
            <w:pPr>
              <w:jc w:val="center"/>
            </w:pPr>
            <w:r>
              <w:rPr>
                <w:rFonts w:eastAsiaTheme="minorEastAsia"/>
                <w:color w:val="000000" w:themeColor="text1"/>
                <w:sz w:val="24"/>
              </w:rPr>
              <w:t>-</w:t>
            </w:r>
          </w:p>
        </w:tc>
        <w:tc>
          <w:tcPr>
            <w:tcW w:w="3118" w:type="dxa"/>
            <w:vAlign w:val="center"/>
          </w:tcPr>
          <w:p w:rsidR="006D3840" w:rsidRDefault="00263463">
            <w:pPr>
              <w:jc w:val="center"/>
            </w:pPr>
            <w:r>
              <w:rPr>
                <w:rFonts w:eastAsiaTheme="minorEastAsia"/>
                <w:color w:val="000000" w:themeColor="text1"/>
                <w:sz w:val="24"/>
              </w:rPr>
              <w:t>-</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C </w:t>
            </w:r>
            <w:r>
              <w:rPr>
                <w:rFonts w:eastAsiaTheme="minorEastAsia"/>
                <w:color w:val="000000" w:themeColor="text1"/>
                <w:sz w:val="24"/>
              </w:rPr>
              <w:t>消费者常用品</w:t>
            </w:r>
          </w:p>
        </w:tc>
        <w:tc>
          <w:tcPr>
            <w:tcW w:w="3119" w:type="dxa"/>
            <w:vAlign w:val="center"/>
          </w:tcPr>
          <w:p w:rsidR="006D3840" w:rsidRDefault="00263463">
            <w:pPr>
              <w:jc w:val="center"/>
            </w:pPr>
            <w:r>
              <w:rPr>
                <w:rFonts w:eastAsiaTheme="minorEastAsia"/>
                <w:color w:val="000000" w:themeColor="text1"/>
                <w:sz w:val="24"/>
              </w:rPr>
              <w:t>9,106,378.80</w:t>
            </w:r>
          </w:p>
        </w:tc>
        <w:tc>
          <w:tcPr>
            <w:tcW w:w="3118" w:type="dxa"/>
            <w:vAlign w:val="center"/>
          </w:tcPr>
          <w:p w:rsidR="006D3840" w:rsidRDefault="00263463">
            <w:pPr>
              <w:jc w:val="center"/>
            </w:pPr>
            <w:r>
              <w:rPr>
                <w:rFonts w:eastAsiaTheme="minorEastAsia"/>
                <w:color w:val="000000" w:themeColor="text1"/>
                <w:sz w:val="24"/>
              </w:rPr>
              <w:t>3.91</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D </w:t>
            </w:r>
            <w:r>
              <w:rPr>
                <w:rFonts w:eastAsiaTheme="minorEastAsia"/>
                <w:color w:val="000000" w:themeColor="text1"/>
                <w:sz w:val="24"/>
              </w:rPr>
              <w:t>能源</w:t>
            </w:r>
          </w:p>
        </w:tc>
        <w:tc>
          <w:tcPr>
            <w:tcW w:w="3119" w:type="dxa"/>
            <w:vAlign w:val="center"/>
          </w:tcPr>
          <w:p w:rsidR="006D3840" w:rsidRDefault="00263463">
            <w:pPr>
              <w:jc w:val="center"/>
            </w:pPr>
            <w:r>
              <w:rPr>
                <w:rFonts w:eastAsiaTheme="minorEastAsia"/>
                <w:color w:val="000000" w:themeColor="text1"/>
                <w:sz w:val="24"/>
              </w:rPr>
              <w:t>23,937,520.92</w:t>
            </w:r>
          </w:p>
        </w:tc>
        <w:tc>
          <w:tcPr>
            <w:tcW w:w="3118" w:type="dxa"/>
            <w:vAlign w:val="center"/>
          </w:tcPr>
          <w:p w:rsidR="006D3840" w:rsidRDefault="00263463">
            <w:pPr>
              <w:jc w:val="center"/>
            </w:pPr>
            <w:r>
              <w:rPr>
                <w:rFonts w:eastAsiaTheme="minorEastAsia"/>
                <w:color w:val="000000" w:themeColor="text1"/>
                <w:sz w:val="24"/>
              </w:rPr>
              <w:t>10.27</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E </w:t>
            </w:r>
            <w:r>
              <w:rPr>
                <w:rFonts w:eastAsiaTheme="minorEastAsia"/>
                <w:color w:val="000000" w:themeColor="text1"/>
                <w:sz w:val="24"/>
              </w:rPr>
              <w:t>金融</w:t>
            </w:r>
          </w:p>
        </w:tc>
        <w:tc>
          <w:tcPr>
            <w:tcW w:w="3119" w:type="dxa"/>
            <w:vAlign w:val="center"/>
          </w:tcPr>
          <w:p w:rsidR="006D3840" w:rsidRDefault="00263463">
            <w:pPr>
              <w:jc w:val="center"/>
            </w:pPr>
            <w:r>
              <w:rPr>
                <w:rFonts w:eastAsiaTheme="minorEastAsia"/>
                <w:color w:val="000000" w:themeColor="text1"/>
                <w:sz w:val="24"/>
              </w:rPr>
              <w:t>62,709,377.91</w:t>
            </w:r>
          </w:p>
        </w:tc>
        <w:tc>
          <w:tcPr>
            <w:tcW w:w="3118" w:type="dxa"/>
            <w:vAlign w:val="center"/>
          </w:tcPr>
          <w:p w:rsidR="006D3840" w:rsidRDefault="00263463">
            <w:pPr>
              <w:jc w:val="center"/>
            </w:pPr>
            <w:r>
              <w:rPr>
                <w:rFonts w:eastAsiaTheme="minorEastAsia"/>
                <w:color w:val="000000" w:themeColor="text1"/>
                <w:sz w:val="24"/>
              </w:rPr>
              <w:t>26.90</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F </w:t>
            </w:r>
            <w:r>
              <w:rPr>
                <w:rFonts w:eastAsiaTheme="minorEastAsia"/>
                <w:color w:val="000000" w:themeColor="text1"/>
                <w:sz w:val="24"/>
              </w:rPr>
              <w:t>医疗保健</w:t>
            </w:r>
          </w:p>
        </w:tc>
        <w:tc>
          <w:tcPr>
            <w:tcW w:w="3119" w:type="dxa"/>
            <w:vAlign w:val="center"/>
          </w:tcPr>
          <w:p w:rsidR="006D3840" w:rsidRDefault="00263463">
            <w:pPr>
              <w:jc w:val="center"/>
            </w:pPr>
            <w:r>
              <w:rPr>
                <w:rFonts w:eastAsiaTheme="minorEastAsia"/>
                <w:color w:val="000000" w:themeColor="text1"/>
                <w:sz w:val="24"/>
              </w:rPr>
              <w:t>-</w:t>
            </w:r>
          </w:p>
        </w:tc>
        <w:tc>
          <w:tcPr>
            <w:tcW w:w="3118" w:type="dxa"/>
            <w:vAlign w:val="center"/>
          </w:tcPr>
          <w:p w:rsidR="006D3840" w:rsidRDefault="00263463">
            <w:pPr>
              <w:jc w:val="center"/>
            </w:pPr>
            <w:r>
              <w:rPr>
                <w:rFonts w:eastAsiaTheme="minorEastAsia"/>
                <w:color w:val="000000" w:themeColor="text1"/>
                <w:sz w:val="24"/>
              </w:rPr>
              <w:t>-</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G </w:t>
            </w:r>
            <w:r>
              <w:rPr>
                <w:rFonts w:eastAsiaTheme="minorEastAsia"/>
                <w:color w:val="000000" w:themeColor="text1"/>
                <w:sz w:val="24"/>
              </w:rPr>
              <w:t>工业</w:t>
            </w:r>
          </w:p>
        </w:tc>
        <w:tc>
          <w:tcPr>
            <w:tcW w:w="3119" w:type="dxa"/>
            <w:vAlign w:val="center"/>
          </w:tcPr>
          <w:p w:rsidR="006D3840" w:rsidRDefault="00263463">
            <w:pPr>
              <w:jc w:val="center"/>
            </w:pPr>
            <w:r>
              <w:rPr>
                <w:rFonts w:eastAsiaTheme="minorEastAsia"/>
                <w:color w:val="000000" w:themeColor="text1"/>
                <w:sz w:val="24"/>
              </w:rPr>
              <w:t>19,450,572.28</w:t>
            </w:r>
          </w:p>
        </w:tc>
        <w:tc>
          <w:tcPr>
            <w:tcW w:w="3118" w:type="dxa"/>
            <w:vAlign w:val="center"/>
          </w:tcPr>
          <w:p w:rsidR="006D3840" w:rsidRDefault="00263463">
            <w:pPr>
              <w:jc w:val="center"/>
            </w:pPr>
            <w:r>
              <w:rPr>
                <w:rFonts w:eastAsiaTheme="minorEastAsia"/>
                <w:color w:val="000000" w:themeColor="text1"/>
                <w:sz w:val="24"/>
              </w:rPr>
              <w:t>8.34</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H </w:t>
            </w:r>
            <w:r>
              <w:rPr>
                <w:rFonts w:eastAsiaTheme="minorEastAsia"/>
                <w:color w:val="000000" w:themeColor="text1"/>
                <w:sz w:val="24"/>
              </w:rPr>
              <w:t>信息技术</w:t>
            </w:r>
          </w:p>
        </w:tc>
        <w:tc>
          <w:tcPr>
            <w:tcW w:w="3119" w:type="dxa"/>
            <w:vAlign w:val="center"/>
          </w:tcPr>
          <w:p w:rsidR="006D3840" w:rsidRDefault="00263463">
            <w:pPr>
              <w:jc w:val="center"/>
            </w:pPr>
            <w:r>
              <w:rPr>
                <w:rFonts w:eastAsiaTheme="minorEastAsia"/>
                <w:color w:val="000000" w:themeColor="text1"/>
                <w:sz w:val="24"/>
              </w:rPr>
              <w:t>2,559,660.16</w:t>
            </w:r>
          </w:p>
        </w:tc>
        <w:tc>
          <w:tcPr>
            <w:tcW w:w="3118" w:type="dxa"/>
            <w:vAlign w:val="center"/>
          </w:tcPr>
          <w:p w:rsidR="006D3840" w:rsidRDefault="00263463">
            <w:pPr>
              <w:jc w:val="center"/>
            </w:pPr>
            <w:r>
              <w:rPr>
                <w:rFonts w:eastAsiaTheme="minorEastAsia"/>
                <w:color w:val="000000" w:themeColor="text1"/>
                <w:sz w:val="24"/>
              </w:rPr>
              <w:t>1.10</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I </w:t>
            </w:r>
            <w:r>
              <w:rPr>
                <w:rFonts w:eastAsiaTheme="minorEastAsia"/>
                <w:color w:val="000000" w:themeColor="text1"/>
                <w:sz w:val="24"/>
              </w:rPr>
              <w:t>电信服务</w:t>
            </w:r>
          </w:p>
        </w:tc>
        <w:tc>
          <w:tcPr>
            <w:tcW w:w="3119" w:type="dxa"/>
            <w:vAlign w:val="center"/>
          </w:tcPr>
          <w:p w:rsidR="006D3840" w:rsidRDefault="00263463">
            <w:pPr>
              <w:jc w:val="center"/>
            </w:pPr>
            <w:r>
              <w:rPr>
                <w:rFonts w:eastAsiaTheme="minorEastAsia"/>
                <w:color w:val="000000" w:themeColor="text1"/>
                <w:sz w:val="24"/>
              </w:rPr>
              <w:t>14,512,046.82</w:t>
            </w:r>
          </w:p>
        </w:tc>
        <w:tc>
          <w:tcPr>
            <w:tcW w:w="3118" w:type="dxa"/>
            <w:vAlign w:val="center"/>
          </w:tcPr>
          <w:p w:rsidR="006D3840" w:rsidRDefault="00263463">
            <w:pPr>
              <w:jc w:val="center"/>
            </w:pPr>
            <w:r>
              <w:rPr>
                <w:rFonts w:eastAsiaTheme="minorEastAsia"/>
                <w:color w:val="000000" w:themeColor="text1"/>
                <w:sz w:val="24"/>
              </w:rPr>
              <w:t>6.22</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J </w:t>
            </w:r>
            <w:r>
              <w:rPr>
                <w:rFonts w:eastAsiaTheme="minorEastAsia"/>
                <w:color w:val="000000" w:themeColor="text1"/>
                <w:sz w:val="24"/>
              </w:rPr>
              <w:t>公用事业</w:t>
            </w:r>
          </w:p>
        </w:tc>
        <w:tc>
          <w:tcPr>
            <w:tcW w:w="3119" w:type="dxa"/>
            <w:vAlign w:val="center"/>
          </w:tcPr>
          <w:p w:rsidR="006D3840" w:rsidRDefault="00263463">
            <w:pPr>
              <w:jc w:val="center"/>
            </w:pPr>
            <w:r>
              <w:rPr>
                <w:rFonts w:eastAsiaTheme="minorEastAsia"/>
                <w:color w:val="000000" w:themeColor="text1"/>
                <w:sz w:val="24"/>
              </w:rPr>
              <w:t>36,776,762.43</w:t>
            </w:r>
          </w:p>
        </w:tc>
        <w:tc>
          <w:tcPr>
            <w:tcW w:w="3118" w:type="dxa"/>
            <w:vAlign w:val="center"/>
          </w:tcPr>
          <w:p w:rsidR="006D3840" w:rsidRDefault="00263463">
            <w:pPr>
              <w:jc w:val="center"/>
            </w:pPr>
            <w:r>
              <w:rPr>
                <w:rFonts w:eastAsiaTheme="minorEastAsia"/>
                <w:color w:val="000000" w:themeColor="text1"/>
                <w:sz w:val="24"/>
              </w:rPr>
              <w:t>15.77</w:t>
            </w:r>
          </w:p>
        </w:tc>
      </w:tr>
      <w:tr w:rsidR="006D3840">
        <w:trPr>
          <w:jc w:val="center"/>
        </w:trPr>
        <w:tc>
          <w:tcPr>
            <w:tcW w:w="2397" w:type="dxa"/>
            <w:vAlign w:val="center"/>
          </w:tcPr>
          <w:p w:rsidR="006D3840" w:rsidRDefault="00263463">
            <w:pPr>
              <w:jc w:val="center"/>
            </w:pPr>
            <w:r>
              <w:rPr>
                <w:rFonts w:eastAsiaTheme="minorEastAsia"/>
                <w:color w:val="000000" w:themeColor="text1"/>
                <w:sz w:val="24"/>
              </w:rPr>
              <w:t xml:space="preserve">K </w:t>
            </w:r>
            <w:r>
              <w:rPr>
                <w:rFonts w:eastAsiaTheme="minorEastAsia"/>
                <w:color w:val="000000" w:themeColor="text1"/>
                <w:sz w:val="24"/>
              </w:rPr>
              <w:t>房地产</w:t>
            </w:r>
          </w:p>
        </w:tc>
        <w:tc>
          <w:tcPr>
            <w:tcW w:w="3119" w:type="dxa"/>
            <w:vAlign w:val="center"/>
          </w:tcPr>
          <w:p w:rsidR="006D3840" w:rsidRDefault="00263463">
            <w:pPr>
              <w:jc w:val="center"/>
            </w:pPr>
            <w:r>
              <w:rPr>
                <w:rFonts w:eastAsiaTheme="minorEastAsia"/>
                <w:color w:val="000000" w:themeColor="text1"/>
                <w:sz w:val="24"/>
              </w:rPr>
              <w:t>35,716,543.61</w:t>
            </w:r>
          </w:p>
        </w:tc>
        <w:tc>
          <w:tcPr>
            <w:tcW w:w="3118" w:type="dxa"/>
            <w:vAlign w:val="center"/>
          </w:tcPr>
          <w:p w:rsidR="006D3840" w:rsidRDefault="00263463">
            <w:pPr>
              <w:jc w:val="center"/>
            </w:pPr>
            <w:r>
              <w:rPr>
                <w:rFonts w:eastAsiaTheme="minorEastAsia"/>
                <w:color w:val="000000" w:themeColor="text1"/>
                <w:sz w:val="24"/>
              </w:rPr>
              <w:t>15.32</w:t>
            </w:r>
          </w:p>
        </w:tc>
      </w:tr>
      <w:tr w:rsidR="00A960A3" w:rsidRPr="00EE3DBC">
        <w:trPr>
          <w:jc w:val="center"/>
        </w:trPr>
        <w:tc>
          <w:tcPr>
            <w:tcW w:w="239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合计</w:t>
            </w:r>
          </w:p>
        </w:tc>
        <w:tc>
          <w:tcPr>
            <w:tcW w:w="3119" w:type="dxa"/>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220,897,371.05</w:t>
            </w:r>
          </w:p>
        </w:tc>
        <w:tc>
          <w:tcPr>
            <w:tcW w:w="3118" w:type="dxa"/>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94.74</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263463" w:rsidRPr="00EE3DBC" w:rsidTr="00263463">
        <w:tc>
          <w:tcPr>
            <w:tcW w:w="817" w:type="dxa"/>
          </w:tcPr>
          <w:p w:rsidR="00263463" w:rsidRPr="00EE3DBC" w:rsidRDefault="00263463" w:rsidP="006A57D5">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tcPr>
          <w:p w:rsidR="00263463" w:rsidRPr="00EE3DBC" w:rsidRDefault="00263463" w:rsidP="006A57D5">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tcPr>
          <w:p w:rsidR="00263463" w:rsidRPr="00EE3DBC" w:rsidRDefault="00263463" w:rsidP="006A57D5">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tcPr>
          <w:p w:rsidR="00263463" w:rsidRPr="00EE3DBC" w:rsidRDefault="00263463" w:rsidP="006A57D5">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tcPr>
          <w:p w:rsidR="00263463" w:rsidRPr="00EE3DBC" w:rsidRDefault="00263463" w:rsidP="006A57D5">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tcPr>
          <w:p w:rsidR="00263463" w:rsidRPr="00EE3DBC" w:rsidRDefault="00263463" w:rsidP="006A57D5">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263463" w:rsidTr="00263463">
        <w:tc>
          <w:tcPr>
            <w:tcW w:w="817" w:type="dxa"/>
          </w:tcPr>
          <w:p w:rsidR="00263463" w:rsidRDefault="00263463" w:rsidP="006A57D5">
            <w:pPr>
              <w:jc w:val="center"/>
            </w:pPr>
            <w:r>
              <w:rPr>
                <w:rFonts w:eastAsiaTheme="minorEastAsia"/>
                <w:color w:val="000000" w:themeColor="text1"/>
                <w:sz w:val="24"/>
              </w:rPr>
              <w:t>1</w:t>
            </w:r>
          </w:p>
        </w:tc>
        <w:tc>
          <w:tcPr>
            <w:tcW w:w="1276" w:type="dxa"/>
          </w:tcPr>
          <w:p w:rsidR="00263463" w:rsidRDefault="00263463" w:rsidP="006A57D5">
            <w:pPr>
              <w:jc w:val="center"/>
            </w:pPr>
            <w:r>
              <w:rPr>
                <w:rFonts w:eastAsiaTheme="minorEastAsia"/>
                <w:color w:val="000000" w:themeColor="text1"/>
                <w:sz w:val="24"/>
              </w:rPr>
              <w:t>01088</w:t>
            </w:r>
          </w:p>
        </w:tc>
        <w:tc>
          <w:tcPr>
            <w:tcW w:w="1701" w:type="dxa"/>
          </w:tcPr>
          <w:p w:rsidR="00263463" w:rsidRDefault="00263463" w:rsidP="006A57D5">
            <w:pPr>
              <w:jc w:val="center"/>
            </w:pPr>
            <w:r>
              <w:rPr>
                <w:rFonts w:eastAsiaTheme="minorEastAsia"/>
                <w:color w:val="000000" w:themeColor="text1"/>
                <w:sz w:val="24"/>
              </w:rPr>
              <w:t>中国神华</w:t>
            </w:r>
          </w:p>
        </w:tc>
        <w:tc>
          <w:tcPr>
            <w:tcW w:w="1276" w:type="dxa"/>
          </w:tcPr>
          <w:p w:rsidR="00263463" w:rsidRDefault="00263463" w:rsidP="006A57D5">
            <w:pPr>
              <w:jc w:val="right"/>
            </w:pPr>
            <w:r>
              <w:rPr>
                <w:rFonts w:eastAsiaTheme="minorEastAsia"/>
                <w:color w:val="000000" w:themeColor="text1"/>
                <w:sz w:val="24"/>
              </w:rPr>
              <w:t>801,000.00</w:t>
            </w:r>
          </w:p>
        </w:tc>
        <w:tc>
          <w:tcPr>
            <w:tcW w:w="1842" w:type="dxa"/>
          </w:tcPr>
          <w:p w:rsidR="00263463" w:rsidRDefault="00263463" w:rsidP="006A57D5">
            <w:pPr>
              <w:jc w:val="right"/>
            </w:pPr>
            <w:r>
              <w:rPr>
                <w:rFonts w:eastAsiaTheme="minorEastAsia"/>
                <w:color w:val="000000" w:themeColor="text1"/>
                <w:sz w:val="24"/>
              </w:rPr>
              <w:t>12,157,860.91</w:t>
            </w:r>
          </w:p>
        </w:tc>
        <w:tc>
          <w:tcPr>
            <w:tcW w:w="1616" w:type="dxa"/>
          </w:tcPr>
          <w:p w:rsidR="00263463" w:rsidRDefault="00263463" w:rsidP="006A57D5">
            <w:pPr>
              <w:jc w:val="right"/>
            </w:pPr>
            <w:r>
              <w:rPr>
                <w:rFonts w:eastAsiaTheme="minorEastAsia"/>
                <w:color w:val="000000" w:themeColor="text1"/>
                <w:sz w:val="24"/>
              </w:rPr>
              <w:t>5.21</w:t>
            </w:r>
          </w:p>
        </w:tc>
      </w:tr>
      <w:tr w:rsidR="00263463" w:rsidTr="00263463">
        <w:tc>
          <w:tcPr>
            <w:tcW w:w="817" w:type="dxa"/>
          </w:tcPr>
          <w:p w:rsidR="00263463" w:rsidRDefault="00263463" w:rsidP="006A57D5">
            <w:pPr>
              <w:jc w:val="center"/>
            </w:pPr>
            <w:r>
              <w:rPr>
                <w:rFonts w:eastAsiaTheme="minorEastAsia"/>
                <w:color w:val="000000" w:themeColor="text1"/>
                <w:sz w:val="24"/>
              </w:rPr>
              <w:t>2</w:t>
            </w:r>
          </w:p>
        </w:tc>
        <w:tc>
          <w:tcPr>
            <w:tcW w:w="1276" w:type="dxa"/>
          </w:tcPr>
          <w:p w:rsidR="00263463" w:rsidRDefault="00263463" w:rsidP="006A57D5">
            <w:pPr>
              <w:jc w:val="center"/>
            </w:pPr>
            <w:r>
              <w:rPr>
                <w:rFonts w:eastAsiaTheme="minorEastAsia"/>
                <w:color w:val="000000" w:themeColor="text1"/>
                <w:sz w:val="24"/>
              </w:rPr>
              <w:t>00836</w:t>
            </w:r>
          </w:p>
        </w:tc>
        <w:tc>
          <w:tcPr>
            <w:tcW w:w="1701" w:type="dxa"/>
          </w:tcPr>
          <w:p w:rsidR="00263463" w:rsidRDefault="00263463" w:rsidP="006A57D5">
            <w:pPr>
              <w:jc w:val="center"/>
            </w:pPr>
            <w:r>
              <w:rPr>
                <w:rFonts w:eastAsiaTheme="minorEastAsia"/>
                <w:color w:val="000000" w:themeColor="text1"/>
                <w:sz w:val="24"/>
              </w:rPr>
              <w:t>华润电力</w:t>
            </w:r>
          </w:p>
        </w:tc>
        <w:tc>
          <w:tcPr>
            <w:tcW w:w="1276" w:type="dxa"/>
          </w:tcPr>
          <w:p w:rsidR="00263463" w:rsidRDefault="00263463" w:rsidP="006A57D5">
            <w:pPr>
              <w:jc w:val="right"/>
            </w:pPr>
            <w:r>
              <w:rPr>
                <w:rFonts w:eastAsiaTheme="minorEastAsia"/>
                <w:color w:val="000000" w:themeColor="text1"/>
                <w:sz w:val="24"/>
              </w:rPr>
              <w:t>434,000.00</w:t>
            </w:r>
          </w:p>
        </w:tc>
        <w:tc>
          <w:tcPr>
            <w:tcW w:w="1842" w:type="dxa"/>
          </w:tcPr>
          <w:p w:rsidR="00263463" w:rsidRDefault="00263463" w:rsidP="006A57D5">
            <w:pPr>
              <w:jc w:val="right"/>
            </w:pPr>
            <w:r>
              <w:rPr>
                <w:rFonts w:eastAsiaTheme="minorEastAsia"/>
                <w:color w:val="000000" w:themeColor="text1"/>
                <w:sz w:val="24"/>
              </w:rPr>
              <w:t>8,116,753.50</w:t>
            </w:r>
          </w:p>
        </w:tc>
        <w:tc>
          <w:tcPr>
            <w:tcW w:w="1616" w:type="dxa"/>
          </w:tcPr>
          <w:p w:rsidR="00263463" w:rsidRDefault="00263463" w:rsidP="006A57D5">
            <w:pPr>
              <w:jc w:val="right"/>
            </w:pPr>
            <w:r>
              <w:rPr>
                <w:rFonts w:eastAsiaTheme="minorEastAsia"/>
                <w:color w:val="000000" w:themeColor="text1"/>
                <w:sz w:val="24"/>
              </w:rPr>
              <w:t>3.48</w:t>
            </w:r>
          </w:p>
        </w:tc>
      </w:tr>
      <w:tr w:rsidR="00263463" w:rsidTr="00263463">
        <w:tc>
          <w:tcPr>
            <w:tcW w:w="817" w:type="dxa"/>
          </w:tcPr>
          <w:p w:rsidR="00263463" w:rsidRDefault="00263463" w:rsidP="006A57D5">
            <w:pPr>
              <w:jc w:val="center"/>
            </w:pPr>
            <w:r>
              <w:rPr>
                <w:rFonts w:eastAsiaTheme="minorEastAsia"/>
                <w:color w:val="000000" w:themeColor="text1"/>
                <w:sz w:val="24"/>
              </w:rPr>
              <w:t>3</w:t>
            </w:r>
          </w:p>
        </w:tc>
        <w:tc>
          <w:tcPr>
            <w:tcW w:w="1276" w:type="dxa"/>
          </w:tcPr>
          <w:p w:rsidR="00263463" w:rsidRDefault="00263463" w:rsidP="006A57D5">
            <w:pPr>
              <w:jc w:val="center"/>
            </w:pPr>
            <w:r>
              <w:rPr>
                <w:rFonts w:eastAsiaTheme="minorEastAsia"/>
                <w:color w:val="000000" w:themeColor="text1"/>
                <w:sz w:val="24"/>
              </w:rPr>
              <w:t>02777</w:t>
            </w:r>
          </w:p>
        </w:tc>
        <w:tc>
          <w:tcPr>
            <w:tcW w:w="1701" w:type="dxa"/>
          </w:tcPr>
          <w:p w:rsidR="00263463" w:rsidRDefault="00263463" w:rsidP="006A57D5">
            <w:pPr>
              <w:jc w:val="center"/>
            </w:pPr>
            <w:r>
              <w:rPr>
                <w:rFonts w:eastAsiaTheme="minorEastAsia"/>
                <w:color w:val="000000" w:themeColor="text1"/>
                <w:sz w:val="24"/>
              </w:rPr>
              <w:t>富力地产</w:t>
            </w:r>
          </w:p>
        </w:tc>
        <w:tc>
          <w:tcPr>
            <w:tcW w:w="1276" w:type="dxa"/>
          </w:tcPr>
          <w:p w:rsidR="00263463" w:rsidRDefault="00263463" w:rsidP="006A57D5">
            <w:pPr>
              <w:jc w:val="right"/>
            </w:pPr>
            <w:r>
              <w:rPr>
                <w:rFonts w:eastAsiaTheme="minorEastAsia"/>
                <w:color w:val="000000" w:themeColor="text1"/>
                <w:sz w:val="24"/>
              </w:rPr>
              <w:t>1,376,000.00</w:t>
            </w:r>
          </w:p>
        </w:tc>
        <w:tc>
          <w:tcPr>
            <w:tcW w:w="1842" w:type="dxa"/>
          </w:tcPr>
          <w:p w:rsidR="00263463" w:rsidRDefault="00263463" w:rsidP="006A57D5">
            <w:pPr>
              <w:jc w:val="right"/>
            </w:pPr>
            <w:r>
              <w:rPr>
                <w:rFonts w:eastAsiaTheme="minorEastAsia"/>
                <w:color w:val="000000" w:themeColor="text1"/>
                <w:sz w:val="24"/>
              </w:rPr>
              <w:t>6,854,817.55</w:t>
            </w:r>
          </w:p>
        </w:tc>
        <w:tc>
          <w:tcPr>
            <w:tcW w:w="1616" w:type="dxa"/>
          </w:tcPr>
          <w:p w:rsidR="00263463" w:rsidRDefault="00263463" w:rsidP="006A57D5">
            <w:pPr>
              <w:jc w:val="right"/>
            </w:pPr>
            <w:r>
              <w:rPr>
                <w:rFonts w:eastAsiaTheme="minorEastAsia"/>
                <w:color w:val="000000" w:themeColor="text1"/>
                <w:sz w:val="24"/>
              </w:rPr>
              <w:t>2.94</w:t>
            </w:r>
          </w:p>
        </w:tc>
      </w:tr>
      <w:tr w:rsidR="00263463" w:rsidTr="00263463">
        <w:tc>
          <w:tcPr>
            <w:tcW w:w="817" w:type="dxa"/>
          </w:tcPr>
          <w:p w:rsidR="00263463" w:rsidRDefault="00263463" w:rsidP="006A57D5">
            <w:pPr>
              <w:jc w:val="center"/>
            </w:pPr>
            <w:r>
              <w:rPr>
                <w:rFonts w:eastAsiaTheme="minorEastAsia"/>
                <w:color w:val="000000" w:themeColor="text1"/>
                <w:sz w:val="24"/>
              </w:rPr>
              <w:t>4</w:t>
            </w:r>
          </w:p>
        </w:tc>
        <w:tc>
          <w:tcPr>
            <w:tcW w:w="1276" w:type="dxa"/>
          </w:tcPr>
          <w:p w:rsidR="00263463" w:rsidRDefault="00263463" w:rsidP="006A57D5">
            <w:pPr>
              <w:jc w:val="center"/>
            </w:pPr>
            <w:r>
              <w:rPr>
                <w:rFonts w:eastAsiaTheme="minorEastAsia"/>
                <w:color w:val="000000" w:themeColor="text1"/>
                <w:sz w:val="24"/>
              </w:rPr>
              <w:t>01071</w:t>
            </w:r>
          </w:p>
        </w:tc>
        <w:tc>
          <w:tcPr>
            <w:tcW w:w="1701" w:type="dxa"/>
          </w:tcPr>
          <w:p w:rsidR="00263463" w:rsidRDefault="00263463" w:rsidP="006A57D5">
            <w:pPr>
              <w:jc w:val="center"/>
            </w:pPr>
            <w:r>
              <w:rPr>
                <w:rFonts w:eastAsiaTheme="minorEastAsia"/>
                <w:color w:val="000000" w:themeColor="text1"/>
                <w:sz w:val="24"/>
              </w:rPr>
              <w:t>华电国际电力股份</w:t>
            </w:r>
          </w:p>
        </w:tc>
        <w:tc>
          <w:tcPr>
            <w:tcW w:w="1276" w:type="dxa"/>
          </w:tcPr>
          <w:p w:rsidR="00263463" w:rsidRDefault="00263463" w:rsidP="006A57D5">
            <w:pPr>
              <w:jc w:val="right"/>
            </w:pPr>
            <w:r>
              <w:rPr>
                <w:rFonts w:eastAsiaTheme="minorEastAsia"/>
                <w:color w:val="000000" w:themeColor="text1"/>
                <w:sz w:val="24"/>
              </w:rPr>
              <w:t>2,416,000.00</w:t>
            </w:r>
          </w:p>
        </w:tc>
        <w:tc>
          <w:tcPr>
            <w:tcW w:w="1842" w:type="dxa"/>
          </w:tcPr>
          <w:p w:rsidR="00263463" w:rsidRDefault="00263463" w:rsidP="006A57D5">
            <w:pPr>
              <w:jc w:val="right"/>
            </w:pPr>
            <w:r>
              <w:rPr>
                <w:rFonts w:eastAsiaTheme="minorEastAsia"/>
                <w:color w:val="000000" w:themeColor="text1"/>
                <w:sz w:val="24"/>
              </w:rPr>
              <w:t>6,500,933.66</w:t>
            </w:r>
          </w:p>
        </w:tc>
        <w:tc>
          <w:tcPr>
            <w:tcW w:w="1616" w:type="dxa"/>
          </w:tcPr>
          <w:p w:rsidR="00263463" w:rsidRDefault="00263463" w:rsidP="006A57D5">
            <w:pPr>
              <w:jc w:val="right"/>
            </w:pPr>
            <w:r>
              <w:rPr>
                <w:rFonts w:eastAsiaTheme="minorEastAsia"/>
                <w:color w:val="000000" w:themeColor="text1"/>
                <w:sz w:val="24"/>
              </w:rPr>
              <w:t>2.79</w:t>
            </w:r>
          </w:p>
        </w:tc>
      </w:tr>
      <w:tr w:rsidR="00263463" w:rsidTr="00263463">
        <w:tc>
          <w:tcPr>
            <w:tcW w:w="817" w:type="dxa"/>
          </w:tcPr>
          <w:p w:rsidR="00263463" w:rsidRDefault="00263463" w:rsidP="006A57D5">
            <w:pPr>
              <w:jc w:val="center"/>
            </w:pPr>
            <w:r>
              <w:rPr>
                <w:rFonts w:eastAsiaTheme="minorEastAsia"/>
                <w:color w:val="000000" w:themeColor="text1"/>
                <w:sz w:val="24"/>
              </w:rPr>
              <w:t>5</w:t>
            </w:r>
          </w:p>
        </w:tc>
        <w:tc>
          <w:tcPr>
            <w:tcW w:w="1276" w:type="dxa"/>
          </w:tcPr>
          <w:p w:rsidR="00263463" w:rsidRDefault="00263463" w:rsidP="006A57D5">
            <w:pPr>
              <w:jc w:val="center"/>
            </w:pPr>
            <w:r>
              <w:rPr>
                <w:rFonts w:eastAsiaTheme="minorEastAsia"/>
                <w:color w:val="000000" w:themeColor="text1"/>
                <w:sz w:val="24"/>
              </w:rPr>
              <w:t>01313</w:t>
            </w:r>
          </w:p>
        </w:tc>
        <w:tc>
          <w:tcPr>
            <w:tcW w:w="1701" w:type="dxa"/>
          </w:tcPr>
          <w:p w:rsidR="00263463" w:rsidRDefault="00263463" w:rsidP="006A57D5">
            <w:pPr>
              <w:jc w:val="center"/>
            </w:pPr>
            <w:r>
              <w:rPr>
                <w:rFonts w:eastAsiaTheme="minorEastAsia"/>
                <w:color w:val="000000" w:themeColor="text1"/>
                <w:sz w:val="24"/>
              </w:rPr>
              <w:t>华润水泥控股</w:t>
            </w:r>
          </w:p>
        </w:tc>
        <w:tc>
          <w:tcPr>
            <w:tcW w:w="1276" w:type="dxa"/>
          </w:tcPr>
          <w:p w:rsidR="00263463" w:rsidRDefault="00263463" w:rsidP="006A57D5">
            <w:pPr>
              <w:jc w:val="right"/>
            </w:pPr>
            <w:r>
              <w:rPr>
                <w:rFonts w:eastAsiaTheme="minorEastAsia"/>
                <w:color w:val="000000" w:themeColor="text1"/>
                <w:sz w:val="24"/>
              </w:rPr>
              <w:t>996,000.00</w:t>
            </w:r>
          </w:p>
        </w:tc>
        <w:tc>
          <w:tcPr>
            <w:tcW w:w="1842" w:type="dxa"/>
          </w:tcPr>
          <w:p w:rsidR="00263463" w:rsidRDefault="00263463" w:rsidP="006A57D5">
            <w:pPr>
              <w:jc w:val="right"/>
            </w:pPr>
            <w:r>
              <w:rPr>
                <w:rFonts w:eastAsiaTheme="minorEastAsia"/>
                <w:color w:val="000000" w:themeColor="text1"/>
                <w:sz w:val="24"/>
              </w:rPr>
              <w:t>6,231,255.48</w:t>
            </w:r>
          </w:p>
        </w:tc>
        <w:tc>
          <w:tcPr>
            <w:tcW w:w="1616" w:type="dxa"/>
          </w:tcPr>
          <w:p w:rsidR="00263463" w:rsidRDefault="00263463" w:rsidP="006A57D5">
            <w:pPr>
              <w:jc w:val="right"/>
            </w:pPr>
            <w:r>
              <w:rPr>
                <w:rFonts w:eastAsiaTheme="minorEastAsia"/>
                <w:color w:val="000000" w:themeColor="text1"/>
                <w:sz w:val="24"/>
              </w:rPr>
              <w:t>2.67</w:t>
            </w:r>
          </w:p>
        </w:tc>
      </w:tr>
      <w:tr w:rsidR="00263463" w:rsidTr="00263463">
        <w:tc>
          <w:tcPr>
            <w:tcW w:w="817" w:type="dxa"/>
          </w:tcPr>
          <w:p w:rsidR="00263463" w:rsidRDefault="00263463" w:rsidP="006A57D5">
            <w:pPr>
              <w:jc w:val="center"/>
            </w:pPr>
            <w:r>
              <w:rPr>
                <w:rFonts w:eastAsiaTheme="minorEastAsia"/>
                <w:color w:val="000000" w:themeColor="text1"/>
                <w:sz w:val="24"/>
              </w:rPr>
              <w:t>6</w:t>
            </w:r>
          </w:p>
        </w:tc>
        <w:tc>
          <w:tcPr>
            <w:tcW w:w="1276" w:type="dxa"/>
          </w:tcPr>
          <w:p w:rsidR="00263463" w:rsidRDefault="00263463" w:rsidP="006A57D5">
            <w:pPr>
              <w:jc w:val="center"/>
            </w:pPr>
            <w:r>
              <w:rPr>
                <w:rFonts w:eastAsiaTheme="minorEastAsia"/>
                <w:color w:val="000000" w:themeColor="text1"/>
                <w:sz w:val="24"/>
              </w:rPr>
              <w:t>03988</w:t>
            </w:r>
          </w:p>
        </w:tc>
        <w:tc>
          <w:tcPr>
            <w:tcW w:w="1701" w:type="dxa"/>
          </w:tcPr>
          <w:p w:rsidR="00263463" w:rsidRDefault="00263463" w:rsidP="006A57D5">
            <w:pPr>
              <w:jc w:val="center"/>
            </w:pPr>
            <w:r>
              <w:rPr>
                <w:rFonts w:eastAsiaTheme="minorEastAsia"/>
                <w:color w:val="000000" w:themeColor="text1"/>
                <w:sz w:val="24"/>
              </w:rPr>
              <w:t>中国银行</w:t>
            </w:r>
          </w:p>
        </w:tc>
        <w:tc>
          <w:tcPr>
            <w:tcW w:w="1276" w:type="dxa"/>
          </w:tcPr>
          <w:p w:rsidR="00263463" w:rsidRDefault="00263463" w:rsidP="006A57D5">
            <w:pPr>
              <w:jc w:val="right"/>
            </w:pPr>
            <w:r>
              <w:rPr>
                <w:rFonts w:eastAsiaTheme="minorEastAsia"/>
                <w:color w:val="000000" w:themeColor="text1"/>
                <w:sz w:val="24"/>
              </w:rPr>
              <w:t>2,606,000.00</w:t>
            </w:r>
          </w:p>
        </w:tc>
        <w:tc>
          <w:tcPr>
            <w:tcW w:w="1842" w:type="dxa"/>
          </w:tcPr>
          <w:p w:rsidR="00263463" w:rsidRDefault="00263463" w:rsidP="006A57D5">
            <w:pPr>
              <w:jc w:val="right"/>
            </w:pPr>
            <w:r>
              <w:rPr>
                <w:rFonts w:eastAsiaTheme="minorEastAsia"/>
                <w:color w:val="000000" w:themeColor="text1"/>
                <w:sz w:val="24"/>
              </w:rPr>
              <w:t>5,991,834.03</w:t>
            </w:r>
          </w:p>
        </w:tc>
        <w:tc>
          <w:tcPr>
            <w:tcW w:w="1616" w:type="dxa"/>
          </w:tcPr>
          <w:p w:rsidR="00263463" w:rsidRDefault="00263463" w:rsidP="006A57D5">
            <w:pPr>
              <w:jc w:val="right"/>
            </w:pPr>
            <w:r>
              <w:rPr>
                <w:rFonts w:eastAsiaTheme="minorEastAsia"/>
                <w:color w:val="000000" w:themeColor="text1"/>
                <w:sz w:val="24"/>
              </w:rPr>
              <w:t>2.57</w:t>
            </w:r>
          </w:p>
        </w:tc>
      </w:tr>
      <w:tr w:rsidR="00263463" w:rsidTr="00263463">
        <w:tc>
          <w:tcPr>
            <w:tcW w:w="817" w:type="dxa"/>
          </w:tcPr>
          <w:p w:rsidR="00263463" w:rsidRDefault="00263463" w:rsidP="006A57D5">
            <w:pPr>
              <w:jc w:val="center"/>
            </w:pPr>
            <w:r>
              <w:rPr>
                <w:rFonts w:eastAsiaTheme="minorEastAsia"/>
                <w:color w:val="000000" w:themeColor="text1"/>
                <w:sz w:val="24"/>
              </w:rPr>
              <w:lastRenderedPageBreak/>
              <w:t>7</w:t>
            </w:r>
          </w:p>
        </w:tc>
        <w:tc>
          <w:tcPr>
            <w:tcW w:w="1276" w:type="dxa"/>
          </w:tcPr>
          <w:p w:rsidR="00263463" w:rsidRDefault="00263463" w:rsidP="006A57D5">
            <w:pPr>
              <w:jc w:val="center"/>
            </w:pPr>
            <w:r>
              <w:rPr>
                <w:rFonts w:eastAsiaTheme="minorEastAsia"/>
                <w:color w:val="000000" w:themeColor="text1"/>
                <w:sz w:val="24"/>
              </w:rPr>
              <w:t>01310</w:t>
            </w:r>
          </w:p>
        </w:tc>
        <w:tc>
          <w:tcPr>
            <w:tcW w:w="1701" w:type="dxa"/>
          </w:tcPr>
          <w:p w:rsidR="00263463" w:rsidRDefault="00263463" w:rsidP="006A57D5">
            <w:pPr>
              <w:jc w:val="center"/>
            </w:pPr>
            <w:r>
              <w:rPr>
                <w:rFonts w:eastAsiaTheme="minorEastAsia"/>
                <w:color w:val="000000" w:themeColor="text1"/>
                <w:sz w:val="24"/>
              </w:rPr>
              <w:t>香港宽频</w:t>
            </w:r>
          </w:p>
        </w:tc>
        <w:tc>
          <w:tcPr>
            <w:tcW w:w="1276" w:type="dxa"/>
          </w:tcPr>
          <w:p w:rsidR="00263463" w:rsidRDefault="00263463" w:rsidP="006A57D5">
            <w:pPr>
              <w:jc w:val="right"/>
            </w:pPr>
            <w:r>
              <w:rPr>
                <w:rFonts w:eastAsiaTheme="minorEastAsia"/>
                <w:color w:val="000000" w:themeColor="text1"/>
                <w:sz w:val="24"/>
              </w:rPr>
              <w:t>775,000.00</w:t>
            </w:r>
          </w:p>
        </w:tc>
        <w:tc>
          <w:tcPr>
            <w:tcW w:w="1842" w:type="dxa"/>
          </w:tcPr>
          <w:p w:rsidR="00263463" w:rsidRDefault="00263463" w:rsidP="006A57D5">
            <w:pPr>
              <w:jc w:val="right"/>
            </w:pPr>
            <w:r>
              <w:rPr>
                <w:rFonts w:eastAsiaTheme="minorEastAsia"/>
                <w:color w:val="000000" w:themeColor="text1"/>
                <w:sz w:val="24"/>
              </w:rPr>
              <w:t>5,933,261.58</w:t>
            </w:r>
          </w:p>
        </w:tc>
        <w:tc>
          <w:tcPr>
            <w:tcW w:w="1616" w:type="dxa"/>
          </w:tcPr>
          <w:p w:rsidR="00263463" w:rsidRDefault="00263463" w:rsidP="006A57D5">
            <w:pPr>
              <w:jc w:val="right"/>
            </w:pPr>
            <w:r>
              <w:rPr>
                <w:rFonts w:eastAsiaTheme="minorEastAsia"/>
                <w:color w:val="000000" w:themeColor="text1"/>
                <w:sz w:val="24"/>
              </w:rPr>
              <w:t>2.54</w:t>
            </w:r>
          </w:p>
        </w:tc>
      </w:tr>
      <w:tr w:rsidR="00263463" w:rsidTr="00263463">
        <w:tc>
          <w:tcPr>
            <w:tcW w:w="817" w:type="dxa"/>
          </w:tcPr>
          <w:p w:rsidR="00263463" w:rsidRDefault="00263463" w:rsidP="006A57D5">
            <w:pPr>
              <w:jc w:val="center"/>
            </w:pPr>
            <w:r>
              <w:rPr>
                <w:rFonts w:eastAsiaTheme="minorEastAsia"/>
                <w:color w:val="000000" w:themeColor="text1"/>
                <w:sz w:val="24"/>
              </w:rPr>
              <w:t>8</w:t>
            </w:r>
          </w:p>
        </w:tc>
        <w:tc>
          <w:tcPr>
            <w:tcW w:w="1276" w:type="dxa"/>
          </w:tcPr>
          <w:p w:rsidR="00263463" w:rsidRDefault="00263463" w:rsidP="006A57D5">
            <w:pPr>
              <w:jc w:val="center"/>
            </w:pPr>
            <w:r>
              <w:rPr>
                <w:rFonts w:eastAsiaTheme="minorEastAsia"/>
                <w:color w:val="000000" w:themeColor="text1"/>
                <w:sz w:val="24"/>
              </w:rPr>
              <w:t>01288</w:t>
            </w:r>
          </w:p>
        </w:tc>
        <w:tc>
          <w:tcPr>
            <w:tcW w:w="1701" w:type="dxa"/>
          </w:tcPr>
          <w:p w:rsidR="00263463" w:rsidRDefault="00263463" w:rsidP="006A57D5">
            <w:pPr>
              <w:jc w:val="center"/>
            </w:pPr>
            <w:r>
              <w:rPr>
                <w:rFonts w:eastAsiaTheme="minorEastAsia"/>
                <w:color w:val="000000" w:themeColor="text1"/>
                <w:sz w:val="24"/>
              </w:rPr>
              <w:t>农业银行</w:t>
            </w:r>
          </w:p>
        </w:tc>
        <w:tc>
          <w:tcPr>
            <w:tcW w:w="1276" w:type="dxa"/>
          </w:tcPr>
          <w:p w:rsidR="00263463" w:rsidRDefault="00263463" w:rsidP="006A57D5">
            <w:pPr>
              <w:jc w:val="right"/>
            </w:pPr>
            <w:r>
              <w:rPr>
                <w:rFonts w:eastAsiaTheme="minorEastAsia"/>
                <w:color w:val="000000" w:themeColor="text1"/>
                <w:sz w:val="24"/>
              </w:rPr>
              <w:t>2,631,000.00</w:t>
            </w:r>
          </w:p>
        </w:tc>
        <w:tc>
          <w:tcPr>
            <w:tcW w:w="1842" w:type="dxa"/>
          </w:tcPr>
          <w:p w:rsidR="00263463" w:rsidRDefault="00263463" w:rsidP="006A57D5">
            <w:pPr>
              <w:jc w:val="right"/>
            </w:pPr>
            <w:r>
              <w:rPr>
                <w:rFonts w:eastAsiaTheme="minorEastAsia"/>
                <w:color w:val="000000" w:themeColor="text1"/>
                <w:sz w:val="24"/>
              </w:rPr>
              <w:t>5,873,972.70</w:t>
            </w:r>
          </w:p>
        </w:tc>
        <w:tc>
          <w:tcPr>
            <w:tcW w:w="1616" w:type="dxa"/>
          </w:tcPr>
          <w:p w:rsidR="00263463" w:rsidRDefault="00263463" w:rsidP="006A57D5">
            <w:pPr>
              <w:jc w:val="right"/>
            </w:pPr>
            <w:r>
              <w:rPr>
                <w:rFonts w:eastAsiaTheme="minorEastAsia"/>
                <w:color w:val="000000" w:themeColor="text1"/>
                <w:sz w:val="24"/>
              </w:rPr>
              <w:t>2.52</w:t>
            </w:r>
          </w:p>
        </w:tc>
      </w:tr>
      <w:tr w:rsidR="00263463" w:rsidTr="00263463">
        <w:tc>
          <w:tcPr>
            <w:tcW w:w="817" w:type="dxa"/>
          </w:tcPr>
          <w:p w:rsidR="00263463" w:rsidRDefault="00263463" w:rsidP="006A57D5">
            <w:pPr>
              <w:jc w:val="center"/>
            </w:pPr>
            <w:r>
              <w:rPr>
                <w:rFonts w:eastAsiaTheme="minorEastAsia"/>
                <w:color w:val="000000" w:themeColor="text1"/>
                <w:sz w:val="24"/>
              </w:rPr>
              <w:t>9</w:t>
            </w:r>
          </w:p>
        </w:tc>
        <w:tc>
          <w:tcPr>
            <w:tcW w:w="1276" w:type="dxa"/>
          </w:tcPr>
          <w:p w:rsidR="00263463" w:rsidRDefault="00263463" w:rsidP="006A57D5">
            <w:pPr>
              <w:jc w:val="center"/>
            </w:pPr>
            <w:r>
              <w:rPr>
                <w:rFonts w:eastAsiaTheme="minorEastAsia"/>
                <w:color w:val="000000" w:themeColor="text1"/>
                <w:sz w:val="24"/>
              </w:rPr>
              <w:t>03383</w:t>
            </w:r>
          </w:p>
        </w:tc>
        <w:tc>
          <w:tcPr>
            <w:tcW w:w="1701" w:type="dxa"/>
          </w:tcPr>
          <w:p w:rsidR="00263463" w:rsidRDefault="00263463" w:rsidP="006A57D5">
            <w:pPr>
              <w:jc w:val="center"/>
            </w:pPr>
            <w:r>
              <w:rPr>
                <w:rFonts w:eastAsiaTheme="minorEastAsia"/>
                <w:color w:val="000000" w:themeColor="text1"/>
                <w:sz w:val="24"/>
              </w:rPr>
              <w:t>雅居乐集团</w:t>
            </w:r>
          </w:p>
        </w:tc>
        <w:tc>
          <w:tcPr>
            <w:tcW w:w="1276" w:type="dxa"/>
          </w:tcPr>
          <w:p w:rsidR="00263463" w:rsidRDefault="00263463" w:rsidP="006A57D5">
            <w:pPr>
              <w:jc w:val="right"/>
            </w:pPr>
            <w:r>
              <w:rPr>
                <w:rFonts w:eastAsiaTheme="minorEastAsia"/>
                <w:color w:val="000000" w:themeColor="text1"/>
                <w:sz w:val="24"/>
              </w:rPr>
              <w:t>956,000.00</w:t>
            </w:r>
          </w:p>
        </w:tc>
        <w:tc>
          <w:tcPr>
            <w:tcW w:w="1842" w:type="dxa"/>
          </w:tcPr>
          <w:p w:rsidR="00263463" w:rsidRDefault="00263463" w:rsidP="006A57D5">
            <w:pPr>
              <w:jc w:val="right"/>
            </w:pPr>
            <w:r>
              <w:rPr>
                <w:rFonts w:eastAsiaTheme="minorEastAsia"/>
                <w:color w:val="000000" w:themeColor="text1"/>
                <w:sz w:val="24"/>
              </w:rPr>
              <w:t>5,797,831.02</w:t>
            </w:r>
          </w:p>
        </w:tc>
        <w:tc>
          <w:tcPr>
            <w:tcW w:w="1616" w:type="dxa"/>
          </w:tcPr>
          <w:p w:rsidR="00263463" w:rsidRDefault="00263463" w:rsidP="006A57D5">
            <w:pPr>
              <w:jc w:val="right"/>
            </w:pPr>
            <w:r>
              <w:rPr>
                <w:rFonts w:eastAsiaTheme="minorEastAsia"/>
                <w:color w:val="000000" w:themeColor="text1"/>
                <w:sz w:val="24"/>
              </w:rPr>
              <w:t>2.49</w:t>
            </w:r>
          </w:p>
        </w:tc>
      </w:tr>
      <w:tr w:rsidR="00263463" w:rsidTr="00263463">
        <w:tc>
          <w:tcPr>
            <w:tcW w:w="817" w:type="dxa"/>
          </w:tcPr>
          <w:p w:rsidR="00263463" w:rsidRDefault="00263463" w:rsidP="006A57D5">
            <w:pPr>
              <w:jc w:val="center"/>
            </w:pPr>
            <w:r>
              <w:rPr>
                <w:rFonts w:eastAsiaTheme="minorEastAsia"/>
                <w:color w:val="000000" w:themeColor="text1"/>
                <w:sz w:val="24"/>
              </w:rPr>
              <w:t>10</w:t>
            </w:r>
          </w:p>
        </w:tc>
        <w:tc>
          <w:tcPr>
            <w:tcW w:w="1276" w:type="dxa"/>
          </w:tcPr>
          <w:p w:rsidR="00263463" w:rsidRDefault="00263463" w:rsidP="006A57D5">
            <w:pPr>
              <w:jc w:val="center"/>
            </w:pPr>
            <w:r>
              <w:rPr>
                <w:rFonts w:eastAsiaTheme="minorEastAsia"/>
                <w:color w:val="000000" w:themeColor="text1"/>
                <w:sz w:val="24"/>
              </w:rPr>
              <w:t>03618</w:t>
            </w:r>
          </w:p>
        </w:tc>
        <w:tc>
          <w:tcPr>
            <w:tcW w:w="1701" w:type="dxa"/>
          </w:tcPr>
          <w:p w:rsidR="00263463" w:rsidRDefault="00263463" w:rsidP="006A57D5">
            <w:pPr>
              <w:jc w:val="center"/>
            </w:pPr>
            <w:r>
              <w:rPr>
                <w:rFonts w:eastAsiaTheme="minorEastAsia"/>
                <w:color w:val="000000" w:themeColor="text1"/>
                <w:sz w:val="24"/>
              </w:rPr>
              <w:t>重庆农村商业银行</w:t>
            </w:r>
          </w:p>
        </w:tc>
        <w:tc>
          <w:tcPr>
            <w:tcW w:w="1276" w:type="dxa"/>
          </w:tcPr>
          <w:p w:rsidR="00263463" w:rsidRDefault="00263463" w:rsidP="006A57D5">
            <w:pPr>
              <w:jc w:val="right"/>
            </w:pPr>
            <w:r>
              <w:rPr>
                <w:rFonts w:eastAsiaTheme="minorEastAsia"/>
                <w:color w:val="000000" w:themeColor="text1"/>
                <w:sz w:val="24"/>
              </w:rPr>
              <w:t>2,418,000.00</w:t>
            </w:r>
          </w:p>
        </w:tc>
        <w:tc>
          <w:tcPr>
            <w:tcW w:w="1842" w:type="dxa"/>
          </w:tcPr>
          <w:p w:rsidR="00263463" w:rsidRDefault="00263463" w:rsidP="006A57D5">
            <w:pPr>
              <w:jc w:val="right"/>
            </w:pPr>
            <w:r>
              <w:rPr>
                <w:rFonts w:eastAsiaTheme="minorEastAsia"/>
                <w:color w:val="000000" w:themeColor="text1"/>
                <w:sz w:val="24"/>
              </w:rPr>
              <w:t>5,720,722.99</w:t>
            </w:r>
          </w:p>
        </w:tc>
        <w:tc>
          <w:tcPr>
            <w:tcW w:w="1616" w:type="dxa"/>
          </w:tcPr>
          <w:p w:rsidR="00263463" w:rsidRDefault="00263463" w:rsidP="006A57D5">
            <w:pPr>
              <w:jc w:val="right"/>
            </w:pPr>
            <w:r>
              <w:rPr>
                <w:rFonts w:eastAsiaTheme="minorEastAsia"/>
                <w:color w:val="000000" w:themeColor="text1"/>
                <w:sz w:val="24"/>
              </w:rPr>
              <w:t>2.45</w:t>
            </w:r>
          </w:p>
        </w:tc>
      </w:tr>
    </w:tbl>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5.9.1</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报告期末本基金投资的股指期货持仓和损益明细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5.9.2</w:t>
      </w:r>
      <w:r w:rsidRPr="00EE3DBC">
        <w:rPr>
          <w:rFonts w:eastAsiaTheme="minorEastAsia"/>
          <w:b/>
          <w:color w:val="000000" w:themeColor="text1"/>
          <w:sz w:val="24"/>
        </w:rPr>
        <w:t xml:space="preserve"> </w:t>
      </w:r>
      <w:r w:rsidRPr="00EE3DBC">
        <w:rPr>
          <w:rFonts w:eastAsiaTheme="minorEastAsia"/>
          <w:b/>
          <w:color w:val="000000" w:themeColor="text1"/>
          <w:sz w:val="24"/>
        </w:rPr>
        <w:t>本基金投资股指期货的投资政策</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5.10.1</w:t>
      </w:r>
      <w:r w:rsidRPr="00EE3DBC">
        <w:rPr>
          <w:rFonts w:eastAsiaTheme="minorEastAsia"/>
          <w:b/>
          <w:color w:val="000000" w:themeColor="text1"/>
          <w:sz w:val="24"/>
        </w:rPr>
        <w:t xml:space="preserve"> </w:t>
      </w:r>
      <w:r w:rsidRPr="00EE3DBC">
        <w:rPr>
          <w:rFonts w:eastAsiaTheme="minorEastAsia"/>
          <w:b/>
          <w:color w:val="000000" w:themeColor="text1"/>
          <w:sz w:val="24"/>
        </w:rPr>
        <w:t>本期国债期货投资政策</w:t>
      </w:r>
    </w:p>
    <w:p w:rsidR="00A960A3" w:rsidRPr="00EE3DBC" w:rsidRDefault="005B4E34">
      <w:pPr>
        <w:autoSpaceDE w:val="0"/>
        <w:autoSpaceDN w:val="0"/>
        <w:adjustRightInd w:val="0"/>
        <w:spacing w:line="360" w:lineRule="auto"/>
        <w:ind w:firstLine="420"/>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sz w:val="24"/>
        </w:rPr>
      </w:pPr>
      <w:r w:rsidRPr="00EE3DBC">
        <w:rPr>
          <w:rFonts w:eastAsiaTheme="minorEastAsia"/>
          <w:b/>
          <w:bCs/>
          <w:color w:val="000000" w:themeColor="text1"/>
          <w:kern w:val="0"/>
          <w:sz w:val="24"/>
        </w:rPr>
        <w:t>5.10.2</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报告期末本基金投资的国债期货持仓和损益明细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报告期内本基金投资的前十名证券的发行主体本期没有出现被监管部门立案调查，或在报告编制日前一年内受到公开谴责、处罚的情形。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1,969,925.70</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1,392,873.63</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5,907.77</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100.00</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59,387.06</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3,428,194.16</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w:t>
      </w:r>
      <w:r w:rsidRPr="00EE3DBC">
        <w:rPr>
          <w:rFonts w:eastAsiaTheme="minorEastAsia"/>
          <w:color w:val="000000" w:themeColor="text1"/>
          <w:kern w:val="0"/>
          <w:sz w:val="24"/>
        </w:rPr>
        <w:t>,</w:t>
      </w:r>
      <w:r w:rsidRPr="00EE3DBC">
        <w:rPr>
          <w:rFonts w:eastAsiaTheme="minorEastAsia"/>
          <w:color w:val="000000" w:themeColor="text1"/>
          <w:kern w:val="0"/>
          <w:sz w:val="24"/>
        </w:rPr>
        <w:t>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214,469,161.51</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62,228,636.53</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20,036,969.35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27,893,499.20</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56,741,984.96</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3,856,874.32</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177,764,145.90</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86,265,261.41</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无。</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6D3840">
        <w:tc>
          <w:tcPr>
            <w:tcW w:w="993" w:type="dxa"/>
            <w:vAlign w:val="center"/>
          </w:tcPr>
          <w:p w:rsidR="006D3840" w:rsidRDefault="00263463">
            <w:r>
              <w:rPr>
                <w:bCs/>
                <w:color w:val="000000"/>
                <w:kern w:val="0"/>
                <w:sz w:val="24"/>
              </w:rPr>
              <w:lastRenderedPageBreak/>
              <w:t>机构</w:t>
            </w:r>
          </w:p>
        </w:tc>
        <w:tc>
          <w:tcPr>
            <w:tcW w:w="992" w:type="dxa"/>
            <w:vAlign w:val="center"/>
          </w:tcPr>
          <w:p w:rsidR="006D3840" w:rsidRDefault="00263463">
            <w:pPr>
              <w:jc w:val="center"/>
            </w:pPr>
            <w:r>
              <w:rPr>
                <w:color w:val="000000"/>
                <w:kern w:val="0"/>
                <w:sz w:val="24"/>
              </w:rPr>
              <w:t>1</w:t>
            </w:r>
          </w:p>
        </w:tc>
        <w:tc>
          <w:tcPr>
            <w:tcW w:w="1843" w:type="dxa"/>
            <w:vAlign w:val="center"/>
          </w:tcPr>
          <w:p w:rsidR="006D3840" w:rsidRDefault="00263463">
            <w:pPr>
              <w:jc w:val="center"/>
            </w:pPr>
            <w:r>
              <w:rPr>
                <w:color w:val="000000"/>
                <w:kern w:val="0"/>
                <w:sz w:val="24"/>
              </w:rPr>
              <w:t>20210813-20210815</w:t>
            </w:r>
          </w:p>
        </w:tc>
        <w:tc>
          <w:tcPr>
            <w:tcW w:w="851" w:type="dxa"/>
            <w:vAlign w:val="center"/>
          </w:tcPr>
          <w:p w:rsidR="006D3840" w:rsidRDefault="00263463">
            <w:pPr>
              <w:jc w:val="center"/>
            </w:pPr>
            <w:r>
              <w:rPr>
                <w:color w:val="000000"/>
                <w:kern w:val="0"/>
                <w:sz w:val="24"/>
              </w:rPr>
              <w:t>50,690,660.25</w:t>
            </w:r>
          </w:p>
        </w:tc>
        <w:tc>
          <w:tcPr>
            <w:tcW w:w="850" w:type="dxa"/>
            <w:vAlign w:val="center"/>
          </w:tcPr>
          <w:p w:rsidR="006D3840" w:rsidRDefault="00263463">
            <w:pPr>
              <w:jc w:val="center"/>
            </w:pPr>
            <w:r>
              <w:rPr>
                <w:color w:val="000000"/>
                <w:kern w:val="0"/>
                <w:sz w:val="24"/>
              </w:rPr>
              <w:t>0.00</w:t>
            </w:r>
          </w:p>
        </w:tc>
        <w:tc>
          <w:tcPr>
            <w:tcW w:w="1134" w:type="dxa"/>
            <w:vAlign w:val="center"/>
          </w:tcPr>
          <w:p w:rsidR="006D3840" w:rsidRDefault="00263463">
            <w:pPr>
              <w:jc w:val="center"/>
            </w:pPr>
            <w:r>
              <w:rPr>
                <w:color w:val="000000"/>
                <w:kern w:val="0"/>
                <w:sz w:val="24"/>
              </w:rPr>
              <w:t>0.00</w:t>
            </w:r>
          </w:p>
        </w:tc>
        <w:tc>
          <w:tcPr>
            <w:tcW w:w="1419" w:type="dxa"/>
            <w:vAlign w:val="center"/>
          </w:tcPr>
          <w:p w:rsidR="006D3840" w:rsidRDefault="00263463">
            <w:pPr>
              <w:jc w:val="center"/>
            </w:pPr>
            <w:r>
              <w:rPr>
                <w:color w:val="000000"/>
                <w:kern w:val="0"/>
                <w:sz w:val="24"/>
              </w:rPr>
              <w:t>50,690,660.25</w:t>
            </w:r>
          </w:p>
        </w:tc>
        <w:tc>
          <w:tcPr>
            <w:tcW w:w="1130" w:type="dxa"/>
            <w:vAlign w:val="center"/>
          </w:tcPr>
          <w:p w:rsidR="006D3840" w:rsidRDefault="00263463">
            <w:pPr>
              <w:jc w:val="center"/>
            </w:pPr>
            <w:r>
              <w:rPr>
                <w:color w:val="000000"/>
                <w:kern w:val="0"/>
                <w:sz w:val="24"/>
              </w:rPr>
              <w:t>19.20%</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1. </w:t>
      </w:r>
      <w:r>
        <w:rPr>
          <w:rFonts w:eastAsiaTheme="minorEastAsia"/>
          <w:color w:val="000000" w:themeColor="text1"/>
          <w:sz w:val="24"/>
        </w:rPr>
        <w:t>中国证监会准予上投摩根标普港股通低波红利指数型证券投资基金募集注册的文件；</w:t>
      </w:r>
      <w:r>
        <w:rPr>
          <w:rFonts w:eastAsiaTheme="minorEastAsia"/>
          <w:color w:val="000000" w:themeColor="text1"/>
          <w:sz w:val="24"/>
        </w:rPr>
        <w:t xml:space="preserve"> </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《上投摩根标普港股通低波红利指数型证券投资基金基金合同》；</w:t>
      </w:r>
      <w:r>
        <w:rPr>
          <w:rFonts w:eastAsiaTheme="minorEastAsia"/>
          <w:color w:val="000000" w:themeColor="text1"/>
          <w:sz w:val="24"/>
        </w:rPr>
        <w:t xml:space="preserve"> </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3. </w:t>
      </w:r>
      <w:r>
        <w:rPr>
          <w:rFonts w:eastAsiaTheme="minorEastAsia"/>
          <w:color w:val="000000" w:themeColor="text1"/>
          <w:sz w:val="24"/>
        </w:rPr>
        <w:t>《上投摩根标普港股通低波红利指数型证券投资基金托管协议》；</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4. </w:t>
      </w:r>
      <w:r>
        <w:rPr>
          <w:rFonts w:eastAsiaTheme="minorEastAsia"/>
          <w:color w:val="000000" w:themeColor="text1"/>
          <w:sz w:val="24"/>
        </w:rPr>
        <w:t>《上投摩根开放式基金业务规则》；</w:t>
      </w:r>
      <w:r>
        <w:rPr>
          <w:rFonts w:eastAsiaTheme="minorEastAsia"/>
          <w:color w:val="000000" w:themeColor="text1"/>
          <w:sz w:val="24"/>
        </w:rPr>
        <w:t xml:space="preserve"> </w:t>
      </w:r>
    </w:p>
    <w:p w:rsidR="006D3840" w:rsidRDefault="00263463">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5. </w:t>
      </w:r>
      <w:r>
        <w:rPr>
          <w:rFonts w:eastAsiaTheme="minorEastAsia"/>
          <w:color w:val="000000" w:themeColor="text1"/>
          <w:sz w:val="24"/>
        </w:rPr>
        <w:t>基金管理人业务资格批件、营业执照；</w:t>
      </w:r>
      <w:r>
        <w:rPr>
          <w:rFonts w:eastAsiaTheme="minorEastAsia"/>
          <w:color w:val="000000" w:themeColor="text1"/>
          <w:sz w:val="24"/>
        </w:rPr>
        <w:t xml:space="preserve"> </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 xml:space="preserve">6. </w:t>
      </w:r>
      <w:r w:rsidRPr="00EE3DBC">
        <w:rPr>
          <w:rFonts w:eastAsiaTheme="minorEastAsia"/>
          <w:color w:val="000000" w:themeColor="text1"/>
          <w:sz w:val="24"/>
        </w:rPr>
        <w:t>基金托管人业务资格批件和营业执照。</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基金管理人或基金托管人住所。</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上投摩根基金管理有限公司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二〇二一年十月二十七日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38" w:rsidRDefault="004F4F38">
      <w:r>
        <w:separator/>
      </w:r>
    </w:p>
  </w:endnote>
  <w:endnote w:type="continuationSeparator" w:id="0">
    <w:p w:rsidR="004F4F38" w:rsidRDefault="004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1B4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1B4F">
      <w:rPr>
        <w:noProof/>
        <w:kern w:val="0"/>
        <w:szCs w:val="21"/>
      </w:rPr>
      <w:t>19</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81B4F">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38" w:rsidRDefault="004F4F38">
      <w:r>
        <w:separator/>
      </w:r>
    </w:p>
  </w:footnote>
  <w:footnote w:type="continuationSeparator" w:id="0">
    <w:p w:rsidR="004F4F38" w:rsidRDefault="004F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上投摩根标普港股通低波红利指数型证券投资基金</w:t>
    </w:r>
    <w:r>
      <w:rPr>
        <w:sz w:val="21"/>
        <w:szCs w:val="21"/>
      </w:rPr>
      <w:t>2021</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463"/>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3840"/>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B4F"/>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1537</Words>
  <Characters>8762</Characters>
  <Application>Microsoft Office Word</Application>
  <DocSecurity>0</DocSecurity>
  <Lines>73</Lines>
  <Paragraphs>20</Paragraphs>
  <ScaleCrop>false</ScaleCrop>
  <Company>TRT. Ltd. Co.</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163</cp:revision>
  <cp:lastPrinted>2007-07-19T00:46:00Z</cp:lastPrinted>
  <dcterms:created xsi:type="dcterms:W3CDTF">2012-11-28T02:28:00Z</dcterms:created>
  <dcterms:modified xsi:type="dcterms:W3CDTF">2021-10-26T03:03:00Z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