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A3" w:rsidRPr="00EE3DBC" w:rsidRDefault="00A960A3">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上投摩根标普港股通低波红利指数型证券投资基金</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2021</w:t>
      </w:r>
      <w:r w:rsidRPr="00EE3DBC">
        <w:rPr>
          <w:rFonts w:eastAsiaTheme="minorEastAsia"/>
          <w:b/>
          <w:color w:val="000000" w:themeColor="text1"/>
          <w:sz w:val="36"/>
          <w:szCs w:val="36"/>
        </w:rPr>
        <w:t>年第</w:t>
      </w:r>
      <w:r w:rsidRPr="00EE3DBC">
        <w:rPr>
          <w:rFonts w:eastAsiaTheme="minorEastAsia"/>
          <w:b/>
          <w:color w:val="000000" w:themeColor="text1"/>
          <w:sz w:val="36"/>
          <w:szCs w:val="36"/>
        </w:rPr>
        <w:t>3</w:t>
      </w:r>
      <w:r w:rsidRPr="00EE3DBC">
        <w:rPr>
          <w:rFonts w:eastAsiaTheme="minorEastAsia"/>
          <w:b/>
          <w:color w:val="000000" w:themeColor="text1"/>
          <w:sz w:val="36"/>
          <w:szCs w:val="36"/>
        </w:rPr>
        <w:t>季度报告</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2021</w:t>
      </w:r>
      <w:r w:rsidRPr="00EE3DBC">
        <w:rPr>
          <w:rFonts w:eastAsiaTheme="minorEastAsia"/>
          <w:b/>
          <w:color w:val="000000" w:themeColor="text1"/>
          <w:sz w:val="36"/>
          <w:szCs w:val="36"/>
        </w:rPr>
        <w:t>年</w:t>
      </w:r>
      <w:r w:rsidRPr="00EE3DBC">
        <w:rPr>
          <w:rFonts w:eastAsiaTheme="minorEastAsia"/>
          <w:b/>
          <w:color w:val="000000" w:themeColor="text1"/>
          <w:sz w:val="36"/>
          <w:szCs w:val="36"/>
        </w:rPr>
        <w:t>9</w:t>
      </w:r>
      <w:r w:rsidRPr="00EE3DBC">
        <w:rPr>
          <w:rFonts w:eastAsiaTheme="minorEastAsia"/>
          <w:b/>
          <w:color w:val="000000" w:themeColor="text1"/>
          <w:sz w:val="36"/>
          <w:szCs w:val="36"/>
        </w:rPr>
        <w:t>月</w:t>
      </w:r>
      <w:r w:rsidRPr="00EE3DBC">
        <w:rPr>
          <w:rFonts w:eastAsiaTheme="minorEastAsia"/>
          <w:b/>
          <w:color w:val="000000" w:themeColor="text1"/>
          <w:sz w:val="36"/>
          <w:szCs w:val="36"/>
        </w:rPr>
        <w:t>30</w:t>
      </w:r>
      <w:r w:rsidRPr="00EE3DBC">
        <w:rPr>
          <w:rFonts w:eastAsiaTheme="minorEastAsia"/>
          <w:b/>
          <w:color w:val="000000" w:themeColor="text1"/>
          <w:sz w:val="36"/>
          <w:szCs w:val="36"/>
        </w:rPr>
        <w:t>日</w:t>
      </w: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rPr>
          <w:rFonts w:eastAsiaTheme="minorEastAsia"/>
          <w:b/>
          <w:color w:val="000000" w:themeColor="text1"/>
          <w:sz w:val="24"/>
        </w:rPr>
      </w:pP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基金管理人：上投摩根基金管理有限公司</w:t>
      </w: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基金托管人：中国银行股份有限公司</w:t>
      </w:r>
    </w:p>
    <w:p w:rsidR="00A960A3" w:rsidRPr="00EE3DBC" w:rsidRDefault="005B4E34">
      <w:pPr>
        <w:spacing w:line="360" w:lineRule="auto"/>
        <w:ind w:firstLineChars="900" w:firstLine="2168"/>
        <w:rPr>
          <w:rFonts w:eastAsiaTheme="minorEastAsia"/>
          <w:b/>
          <w:color w:val="000000" w:themeColor="text1"/>
          <w:sz w:val="24"/>
        </w:rPr>
        <w:sectPr w:rsidR="00A960A3" w:rsidRPr="00EE3DBC">
          <w:headerReference w:type="default" r:id="rId7"/>
          <w:footerReference w:type="default" r:id="rId8"/>
          <w:pgSz w:w="11926" w:h="15840"/>
          <w:pgMar w:top="1418" w:right="1418" w:bottom="851" w:left="1418" w:header="851" w:footer="992" w:gutter="0"/>
          <w:cols w:space="720"/>
        </w:sectPr>
      </w:pPr>
      <w:r w:rsidRPr="00EE3DBC">
        <w:rPr>
          <w:rFonts w:eastAsiaTheme="minorEastAsia"/>
          <w:b/>
          <w:color w:val="000000" w:themeColor="text1"/>
          <w:sz w:val="24"/>
        </w:rPr>
        <w:t>报告送出日期：二〇二一年十月二十七日</w:t>
      </w:r>
    </w:p>
    <w:p w:rsidR="00A960A3" w:rsidRPr="00EE3DBC" w:rsidRDefault="005B4E34" w:rsidP="009A3BD8">
      <w:pPr>
        <w:pStyle w:val="1"/>
        <w:spacing w:beforeLines="100" w:before="312" w:afterLines="100" w:after="312" w:line="360" w:lineRule="auto"/>
        <w:jc w:val="center"/>
        <w:rPr>
          <w:rFonts w:eastAsiaTheme="minorEastAsia"/>
          <w:b w:val="0"/>
          <w:color w:val="000000" w:themeColor="text1"/>
          <w:kern w:val="0"/>
          <w:sz w:val="24"/>
          <w:szCs w:val="24"/>
        </w:rPr>
      </w:pPr>
      <w:r w:rsidRPr="00EE3DBC">
        <w:rPr>
          <w:rFonts w:eastAsiaTheme="minorEastAsia"/>
          <w:color w:val="000000" w:themeColor="text1"/>
          <w:kern w:val="0"/>
          <w:sz w:val="24"/>
          <w:szCs w:val="24"/>
        </w:rPr>
        <w:lastRenderedPageBreak/>
        <w:t xml:space="preserve">§1  </w:t>
      </w:r>
      <w:r w:rsidRPr="00EE3DBC">
        <w:rPr>
          <w:rFonts w:eastAsiaTheme="minorEastAsia"/>
          <w:color w:val="000000" w:themeColor="text1"/>
          <w:kern w:val="0"/>
          <w:sz w:val="24"/>
          <w:szCs w:val="24"/>
        </w:rPr>
        <w:t>重要提示</w:t>
      </w:r>
    </w:p>
    <w:p w:rsidR="006D3840" w:rsidRDefault="00263463">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6D3840" w:rsidRDefault="00263463">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基金托管人中国银行股份有限公司根据本基金合同规定，于</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w:t>
      </w:r>
      <w:r>
        <w:rPr>
          <w:rFonts w:eastAsiaTheme="minorEastAsia"/>
          <w:color w:val="000000" w:themeColor="text1"/>
          <w:sz w:val="24"/>
        </w:rPr>
        <w:t>26</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6D3840" w:rsidRDefault="00263463">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6D3840" w:rsidRDefault="00263463">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r>
        <w:rPr>
          <w:rFonts w:eastAsiaTheme="minorEastAsia"/>
          <w:color w:val="000000" w:themeColor="text1"/>
          <w:sz w:val="24"/>
        </w:rPr>
        <w:t xml:space="preserve"> </w:t>
      </w:r>
    </w:p>
    <w:p w:rsidR="006D3840" w:rsidRDefault="00263463">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本报告期自</w:t>
      </w:r>
      <w:r w:rsidRPr="00EE3DBC">
        <w:rPr>
          <w:rFonts w:eastAsiaTheme="minorEastAsia"/>
          <w:color w:val="000000" w:themeColor="text1"/>
          <w:sz w:val="24"/>
        </w:rPr>
        <w:t>2021</w:t>
      </w:r>
      <w:r w:rsidRPr="00EE3DBC">
        <w:rPr>
          <w:rFonts w:eastAsiaTheme="minorEastAsia"/>
          <w:color w:val="000000" w:themeColor="text1"/>
          <w:sz w:val="24"/>
        </w:rPr>
        <w:t>年</w:t>
      </w:r>
      <w:r w:rsidRPr="00EE3DBC">
        <w:rPr>
          <w:rFonts w:eastAsiaTheme="minorEastAsia"/>
          <w:color w:val="000000" w:themeColor="text1"/>
          <w:sz w:val="24"/>
        </w:rPr>
        <w:t>7</w:t>
      </w:r>
      <w:r w:rsidRPr="00EE3DBC">
        <w:rPr>
          <w:rFonts w:eastAsiaTheme="minorEastAsia"/>
          <w:color w:val="000000" w:themeColor="text1"/>
          <w:sz w:val="24"/>
        </w:rPr>
        <w:t>月</w:t>
      </w:r>
      <w:r w:rsidRPr="00EE3DBC">
        <w:rPr>
          <w:rFonts w:eastAsiaTheme="minorEastAsia"/>
          <w:color w:val="000000" w:themeColor="text1"/>
          <w:sz w:val="24"/>
        </w:rPr>
        <w:t>1</w:t>
      </w:r>
      <w:r w:rsidRPr="00EE3DBC">
        <w:rPr>
          <w:rFonts w:eastAsiaTheme="minorEastAsia"/>
          <w:color w:val="000000" w:themeColor="text1"/>
          <w:sz w:val="24"/>
        </w:rPr>
        <w:t>日起至</w:t>
      </w:r>
      <w:r w:rsidRPr="00EE3DBC">
        <w:rPr>
          <w:rFonts w:eastAsiaTheme="minorEastAsia"/>
          <w:color w:val="000000" w:themeColor="text1"/>
          <w:sz w:val="24"/>
        </w:rPr>
        <w:t>9</w:t>
      </w:r>
      <w:r w:rsidRPr="00EE3DBC">
        <w:rPr>
          <w:rFonts w:eastAsiaTheme="minorEastAsia"/>
          <w:color w:val="000000" w:themeColor="text1"/>
          <w:sz w:val="24"/>
        </w:rPr>
        <w:t>月</w:t>
      </w:r>
      <w:r w:rsidRPr="00EE3DBC">
        <w:rPr>
          <w:rFonts w:eastAsiaTheme="minorEastAsia"/>
          <w:color w:val="000000" w:themeColor="text1"/>
          <w:sz w:val="24"/>
        </w:rPr>
        <w:t>30</w:t>
      </w:r>
      <w:r w:rsidRPr="00EE3DBC">
        <w:rPr>
          <w:rFonts w:eastAsiaTheme="minorEastAsia"/>
          <w:color w:val="000000" w:themeColor="text1"/>
          <w:sz w:val="24"/>
        </w:rPr>
        <w:t>日止。</w:t>
      </w:r>
    </w:p>
    <w:p w:rsidR="00A30F47" w:rsidRPr="00EE3DBC" w:rsidRDefault="00A30F47" w:rsidP="00A30F47">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§2  </w:t>
      </w:r>
      <w:r w:rsidRPr="00EE3DBC">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2785"/>
      </w:tblGrid>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基金简称</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上投摩根标普港股通低波红利指数</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005051</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交易代码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005051</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基金运作方式</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契约型开放式</w:t>
            </w:r>
            <w:r w:rsidRPr="00EE3DBC">
              <w:rPr>
                <w:rFonts w:eastAsiaTheme="minorEastAsia"/>
                <w:color w:val="000000" w:themeColor="text1"/>
                <w:kern w:val="0"/>
                <w:sz w:val="24"/>
              </w:rPr>
              <w:t xml:space="preserve"> </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基金合同生效日</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2017</w:t>
            </w:r>
            <w:r w:rsidRPr="00EE3DBC">
              <w:rPr>
                <w:rFonts w:eastAsiaTheme="minorEastAsia"/>
                <w:color w:val="000000" w:themeColor="text1"/>
                <w:kern w:val="0"/>
                <w:sz w:val="24"/>
              </w:rPr>
              <w:t>年</w:t>
            </w:r>
            <w:r w:rsidRPr="00EE3DBC">
              <w:rPr>
                <w:rFonts w:eastAsiaTheme="minorEastAsia"/>
                <w:color w:val="000000" w:themeColor="text1"/>
                <w:kern w:val="0"/>
                <w:sz w:val="24"/>
              </w:rPr>
              <w:t>12</w:t>
            </w:r>
            <w:r w:rsidRPr="00EE3DBC">
              <w:rPr>
                <w:rFonts w:eastAsiaTheme="minorEastAsia"/>
                <w:color w:val="000000" w:themeColor="text1"/>
                <w:kern w:val="0"/>
                <w:sz w:val="24"/>
              </w:rPr>
              <w:t>月</w:t>
            </w:r>
            <w:r w:rsidRPr="00EE3DBC">
              <w:rPr>
                <w:rFonts w:eastAsiaTheme="minorEastAsia"/>
                <w:color w:val="000000" w:themeColor="text1"/>
                <w:kern w:val="0"/>
                <w:sz w:val="24"/>
              </w:rPr>
              <w:t>4</w:t>
            </w:r>
            <w:r w:rsidRPr="00EE3DBC">
              <w:rPr>
                <w:rFonts w:eastAsiaTheme="minorEastAsia"/>
                <w:color w:val="000000" w:themeColor="text1"/>
                <w:kern w:val="0"/>
                <w:sz w:val="24"/>
              </w:rPr>
              <w:t>日</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报告期末基金份额总额</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264,029,407.31</w:t>
            </w:r>
            <w:r w:rsidRPr="00EE3DBC">
              <w:rPr>
                <w:rFonts w:eastAsiaTheme="minorEastAsia"/>
                <w:color w:val="000000" w:themeColor="text1"/>
                <w:kern w:val="0"/>
                <w:sz w:val="24"/>
              </w:rPr>
              <w:t>份</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投资目标</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本基金进行被动式指数化投资，通过严格的投资纪律约束和数量化风险管理手段，力争控制本基金的净值增长率与业绩比较基准之间的日均跟踪偏离度不超过</w:t>
            </w:r>
            <w:r w:rsidRPr="00EE3DBC">
              <w:rPr>
                <w:rFonts w:eastAsiaTheme="minorEastAsia"/>
                <w:color w:val="000000" w:themeColor="text1"/>
                <w:kern w:val="0"/>
                <w:sz w:val="24"/>
              </w:rPr>
              <w:t>0.35%</w:t>
            </w:r>
            <w:r w:rsidRPr="00EE3DBC">
              <w:rPr>
                <w:rFonts w:eastAsiaTheme="minorEastAsia"/>
                <w:color w:val="000000" w:themeColor="text1"/>
                <w:kern w:val="0"/>
                <w:sz w:val="24"/>
              </w:rPr>
              <w:t>，年跟踪误差控制在</w:t>
            </w:r>
            <w:r w:rsidRPr="00EE3DBC">
              <w:rPr>
                <w:rFonts w:eastAsiaTheme="minorEastAsia"/>
                <w:color w:val="000000" w:themeColor="text1"/>
                <w:kern w:val="0"/>
                <w:sz w:val="24"/>
              </w:rPr>
              <w:t>4%</w:t>
            </w:r>
            <w:r w:rsidRPr="00EE3DBC">
              <w:rPr>
                <w:rFonts w:eastAsiaTheme="minorEastAsia"/>
                <w:color w:val="000000" w:themeColor="text1"/>
                <w:kern w:val="0"/>
                <w:sz w:val="24"/>
              </w:rPr>
              <w:t>以内，以实现对标的指数有效跟踪。</w:t>
            </w:r>
            <w:r w:rsidRPr="00EE3DBC">
              <w:rPr>
                <w:rFonts w:eastAsiaTheme="minorEastAsia"/>
                <w:color w:val="000000" w:themeColor="text1"/>
                <w:kern w:val="0"/>
                <w:sz w:val="24"/>
              </w:rPr>
              <w:t xml:space="preserve"> </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投资策略</w:t>
            </w:r>
          </w:p>
        </w:tc>
        <w:tc>
          <w:tcPr>
            <w:tcW w:w="5479" w:type="dxa"/>
            <w:gridSpan w:val="2"/>
          </w:tcPr>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本基金通过完全复制策略进行被动式指数化投资，根据标普港股通低波红利指数成份股的基准权重</w:t>
            </w:r>
            <w:r>
              <w:rPr>
                <w:rFonts w:eastAsiaTheme="minorEastAsia"/>
                <w:color w:val="000000" w:themeColor="text1"/>
                <w:kern w:val="0"/>
                <w:sz w:val="24"/>
              </w:rPr>
              <w:lastRenderedPageBreak/>
              <w:t>构建股票资产组合，对于因法规限制、流动性限制而无法交易的成份股，将采用与被限制股预期收益率相近的股票或股票组合进行相应的替代。在买入过程中，本基金采取相应的交易策略降低建仓成本，力求跟踪误差最小化。在投资运作过程中，本基金以标的指数权重为标准配置个股，并根据成份股构成及其权重的变动进行动态调整。</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、资产配置策略</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为了实现追踪误差最小化，本基金投资于股票的资产占基金资产的比例不低于</w:t>
            </w:r>
            <w:r>
              <w:rPr>
                <w:rFonts w:eastAsiaTheme="minorEastAsia"/>
                <w:color w:val="000000" w:themeColor="text1"/>
                <w:kern w:val="0"/>
                <w:sz w:val="24"/>
              </w:rPr>
              <w:t>90%</w:t>
            </w:r>
            <w:r>
              <w:rPr>
                <w:rFonts w:eastAsiaTheme="minorEastAsia"/>
                <w:color w:val="000000" w:themeColor="text1"/>
                <w:kern w:val="0"/>
                <w:sz w:val="24"/>
              </w:rPr>
              <w:t>，将不低于</w:t>
            </w:r>
            <w:r>
              <w:rPr>
                <w:rFonts w:eastAsiaTheme="minorEastAsia"/>
                <w:color w:val="000000" w:themeColor="text1"/>
                <w:kern w:val="0"/>
                <w:sz w:val="24"/>
              </w:rPr>
              <w:t>90%</w:t>
            </w:r>
            <w:r>
              <w:rPr>
                <w:rFonts w:eastAsiaTheme="minorEastAsia"/>
                <w:color w:val="000000" w:themeColor="text1"/>
                <w:kern w:val="0"/>
                <w:sz w:val="24"/>
              </w:rPr>
              <w:t>的非现金基金资产投资于标普港股通低波红利指数的成份股及其备选成份股。</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、股票投资策略</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w:t>
            </w:r>
            <w:r>
              <w:rPr>
                <w:rFonts w:eastAsiaTheme="minorEastAsia"/>
                <w:color w:val="000000" w:themeColor="text1"/>
                <w:kern w:val="0"/>
                <w:sz w:val="24"/>
              </w:rPr>
              <w:t>1</w:t>
            </w:r>
            <w:r>
              <w:rPr>
                <w:rFonts w:eastAsiaTheme="minorEastAsia"/>
                <w:color w:val="000000" w:themeColor="text1"/>
                <w:kern w:val="0"/>
                <w:sz w:val="24"/>
              </w:rPr>
              <w:t>）投资组合构建</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通过完全复制策略进行被动式指数化投资，根据标普港股通低波红利指数成份股的基准权重构建股票资产组合，对于因法规限制、流动性限制而无法交易的成份股，将采用与被限制股预期收益率相近的股票或股票组合进行相应的替代。在初始建仓期或者为申购资金建仓时，本基金按照标普港股通低波红利指数各成份股所占权重逐步买入。在买入过程中，本基金采取相应的交易策略降低建仓成本，力求跟踪误差最小化。在投资运作过程中，本基金以标的指数权重为标准配置个股，并根据成份股构成及其权重的变动进行动态调整。</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w:t>
            </w:r>
            <w:r>
              <w:rPr>
                <w:rFonts w:eastAsiaTheme="minorEastAsia"/>
                <w:color w:val="000000" w:themeColor="text1"/>
                <w:kern w:val="0"/>
                <w:sz w:val="24"/>
              </w:rPr>
              <w:t>2</w:t>
            </w:r>
            <w:r>
              <w:rPr>
                <w:rFonts w:eastAsiaTheme="minorEastAsia"/>
                <w:color w:val="000000" w:themeColor="text1"/>
                <w:kern w:val="0"/>
                <w:sz w:val="24"/>
              </w:rPr>
              <w:t>）投资组合调整</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）定期调整</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本基金所构建的投资组合将定期根据所跟踪标的指数成份股的调整进行相应的跟踪调整。标普港股</w:t>
            </w:r>
            <w:r>
              <w:rPr>
                <w:rFonts w:eastAsiaTheme="minorEastAsia"/>
                <w:color w:val="000000" w:themeColor="text1"/>
                <w:kern w:val="0"/>
                <w:sz w:val="24"/>
              </w:rPr>
              <w:lastRenderedPageBreak/>
              <w:t>通低波红利指数的样本股每半年调整一次，指数调整方案公布后，本基金将及时对现有组合的构成进行相应的调整，若成分股的集中调整短期内会对跟踪误差产生较大影响，将采用逐步调整的方式。</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）不定期调整</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①</w:t>
            </w:r>
            <w:r>
              <w:rPr>
                <w:rFonts w:eastAsiaTheme="minorEastAsia"/>
                <w:color w:val="000000" w:themeColor="text1"/>
                <w:kern w:val="0"/>
                <w:sz w:val="24"/>
              </w:rPr>
              <w:t>根据指数编制规则，当标的指数成份股因增发、送配等股权变动而需进行成份股权重调整时，本基金将根据标的指数权重比例的变化，进行相应调整。</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②</w:t>
            </w:r>
            <w:r>
              <w:rPr>
                <w:rFonts w:eastAsiaTheme="minorEastAsia"/>
                <w:color w:val="000000" w:themeColor="text1"/>
                <w:kern w:val="0"/>
                <w:sz w:val="24"/>
              </w:rPr>
              <w:t>当标的指数成份股因停牌、流动性不足等因素导致基金无法按照指数权重进行配置，基金管理人将综合考虑跟踪误差和投资者利益，选择相关股票进行适当的替代。</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③</w:t>
            </w:r>
            <w:r>
              <w:rPr>
                <w:rFonts w:eastAsiaTheme="minorEastAsia"/>
                <w:color w:val="000000" w:themeColor="text1"/>
                <w:kern w:val="0"/>
                <w:sz w:val="24"/>
              </w:rPr>
              <w:t>本基金将根据申购和赎回情况对股票投资组合进行调整，保证基金正常运行，从而有效跟踪标的指数。</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3)</w:t>
            </w:r>
            <w:r>
              <w:rPr>
                <w:rFonts w:eastAsiaTheme="minorEastAsia"/>
                <w:color w:val="000000" w:themeColor="text1"/>
                <w:kern w:val="0"/>
                <w:sz w:val="24"/>
              </w:rPr>
              <w:t>股票替代</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通常情况下，本基金根据标的指数成份股票在指数中的权重确定成份股票的买卖数量。但在如标的指数成份股流动性严重不足或停牌、标的指数成份股因法律法规的相关规定而为本基金限制投资的股票等特殊情况下，本基金可以选择其他股票或股票组合对标的指数中的成份股进行替换。</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在选择替代股票时，为尽可能的降低跟踪误差，本基金将采用定性与定量相结合的方法，在对替代股票与被替代股票的基本面、股价技术面等指标进行相关性分析的基础上，优先从标的指数成份股及备选成份股中选择基本面良好，流动性充裕的股票进行替代投资。</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lastRenderedPageBreak/>
              <w:t>3</w:t>
            </w:r>
            <w:r>
              <w:rPr>
                <w:rFonts w:eastAsiaTheme="minorEastAsia"/>
                <w:color w:val="000000" w:themeColor="text1"/>
                <w:kern w:val="0"/>
                <w:sz w:val="24"/>
              </w:rPr>
              <w:t>、债券投资策略</w:t>
            </w:r>
          </w:p>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4</w:t>
            </w:r>
            <w:r w:rsidRPr="00EE3DBC">
              <w:rPr>
                <w:rFonts w:eastAsiaTheme="minorEastAsia"/>
                <w:color w:val="000000" w:themeColor="text1"/>
                <w:kern w:val="0"/>
                <w:sz w:val="24"/>
              </w:rPr>
              <w:t>、其他投资策略：包括股指期货投资策略、资产支持证券投资策略、股票期权投资策略、存托凭证投资策略等。</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lastRenderedPageBreak/>
              <w:t>业绩比较基准</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95%×</w:t>
            </w:r>
            <w:r w:rsidRPr="00EE3DBC">
              <w:rPr>
                <w:rFonts w:eastAsiaTheme="minorEastAsia"/>
                <w:color w:val="000000" w:themeColor="text1"/>
                <w:kern w:val="0"/>
                <w:sz w:val="24"/>
              </w:rPr>
              <w:t>标普港股通低波红利指数收益率</w:t>
            </w:r>
            <w:r w:rsidRPr="00EE3DBC">
              <w:rPr>
                <w:rFonts w:eastAsiaTheme="minorEastAsia"/>
                <w:color w:val="000000" w:themeColor="text1"/>
                <w:kern w:val="0"/>
                <w:sz w:val="24"/>
              </w:rPr>
              <w:t>+ 5%×</w:t>
            </w:r>
            <w:r w:rsidRPr="00EE3DBC">
              <w:rPr>
                <w:rFonts w:eastAsiaTheme="minorEastAsia"/>
                <w:color w:val="000000" w:themeColor="text1"/>
                <w:kern w:val="0"/>
                <w:sz w:val="24"/>
              </w:rPr>
              <w:t>税后银行活期存款收益率</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风险收益特征</w:t>
            </w:r>
          </w:p>
        </w:tc>
        <w:tc>
          <w:tcPr>
            <w:tcW w:w="5479" w:type="dxa"/>
            <w:gridSpan w:val="2"/>
          </w:tcPr>
          <w:p w:rsidR="006D3840" w:rsidRDefault="00263463">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本基金属于股票型基金产品，预期风险和收益水平高于混合型基金、债券型基金和货币市场基金，属于较高风险收益水平的基金产品。本基金将投资港股通标的股票，需承担汇率风险以及境外市场的风险。</w:t>
            </w:r>
          </w:p>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根据</w:t>
            </w:r>
            <w:r w:rsidRPr="00EE3DBC">
              <w:rPr>
                <w:rFonts w:eastAsiaTheme="minorEastAsia"/>
                <w:color w:val="000000" w:themeColor="text1"/>
                <w:kern w:val="0"/>
                <w:sz w:val="24"/>
              </w:rPr>
              <w:t>2017</w:t>
            </w:r>
            <w:r w:rsidRPr="00EE3DBC">
              <w:rPr>
                <w:rFonts w:eastAsiaTheme="minorEastAsia"/>
                <w:color w:val="000000" w:themeColor="text1"/>
                <w:kern w:val="0"/>
                <w:sz w:val="24"/>
              </w:rPr>
              <w:t>年</w:t>
            </w:r>
            <w:r w:rsidRPr="00EE3DBC">
              <w:rPr>
                <w:rFonts w:eastAsiaTheme="minorEastAsia"/>
                <w:color w:val="000000" w:themeColor="text1"/>
                <w:kern w:val="0"/>
                <w:sz w:val="24"/>
              </w:rPr>
              <w:t>7</w:t>
            </w:r>
            <w:r w:rsidRPr="00EE3DBC">
              <w:rPr>
                <w:rFonts w:eastAsiaTheme="minorEastAsia"/>
                <w:color w:val="000000" w:themeColor="text1"/>
                <w:kern w:val="0"/>
                <w:sz w:val="24"/>
              </w:rPr>
              <w:t>月</w:t>
            </w:r>
            <w:r w:rsidRPr="00EE3DBC">
              <w:rPr>
                <w:rFonts w:eastAsiaTheme="minorEastAsia"/>
                <w:color w:val="000000" w:themeColor="text1"/>
                <w:kern w:val="0"/>
                <w:sz w:val="24"/>
              </w:rPr>
              <w:t>1</w:t>
            </w:r>
            <w:r w:rsidRPr="00EE3DBC">
              <w:rPr>
                <w:rFonts w:eastAsiaTheme="minorEastAsia"/>
                <w:color w:val="000000" w:themeColor="text1"/>
                <w:kern w:val="0"/>
                <w:sz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基金管理人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上投摩根基金管理有限公司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基金托管人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中国银行股份有限公司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sz w:val="24"/>
              </w:rPr>
              <w:t>下属</w:t>
            </w:r>
            <w:r w:rsidRPr="00EE3DBC">
              <w:rPr>
                <w:rFonts w:eastAsiaTheme="minorEastAsia"/>
                <w:color w:val="000000" w:themeColor="text1"/>
                <w:szCs w:val="21"/>
              </w:rPr>
              <w:t>分</w:t>
            </w:r>
            <w:r w:rsidRPr="00EE3DBC">
              <w:rPr>
                <w:rFonts w:eastAsiaTheme="minorEastAsia"/>
                <w:color w:val="000000" w:themeColor="text1"/>
                <w:sz w:val="24"/>
              </w:rPr>
              <w:t>级基金的基金简</w:t>
            </w:r>
            <w:r w:rsidRPr="00EE3DBC">
              <w:rPr>
                <w:rFonts w:eastAsiaTheme="minorEastAsia"/>
                <w:color w:val="000000" w:themeColor="text1"/>
                <w:sz w:val="24"/>
              </w:rPr>
              <w:lastRenderedPageBreak/>
              <w:t>称</w:t>
            </w:r>
          </w:p>
        </w:tc>
        <w:tc>
          <w:tcPr>
            <w:tcW w:w="2694"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lastRenderedPageBreak/>
              <w:t>上投摩根标普港股通低</w:t>
            </w:r>
            <w:r w:rsidRPr="00EE3DBC">
              <w:rPr>
                <w:rFonts w:eastAsiaTheme="minorEastAsia"/>
                <w:color w:val="000000" w:themeColor="text1"/>
                <w:sz w:val="24"/>
              </w:rPr>
              <w:lastRenderedPageBreak/>
              <w:t>波红利指数</w:t>
            </w:r>
            <w:r w:rsidRPr="00EE3DBC">
              <w:rPr>
                <w:rFonts w:eastAsiaTheme="minorEastAsia"/>
                <w:color w:val="000000" w:themeColor="text1"/>
                <w:sz w:val="24"/>
              </w:rPr>
              <w:t>A</w:t>
            </w:r>
          </w:p>
        </w:tc>
        <w:tc>
          <w:tcPr>
            <w:tcW w:w="2785"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lastRenderedPageBreak/>
              <w:t>上投摩根标普港股通低</w:t>
            </w:r>
            <w:r w:rsidRPr="00EE3DBC">
              <w:rPr>
                <w:rFonts w:eastAsiaTheme="minorEastAsia"/>
                <w:color w:val="000000" w:themeColor="text1"/>
                <w:sz w:val="24"/>
              </w:rPr>
              <w:lastRenderedPageBreak/>
              <w:t>波红利指数</w:t>
            </w:r>
            <w:r w:rsidRPr="00EE3DBC">
              <w:rPr>
                <w:rFonts w:eastAsiaTheme="minorEastAsia"/>
                <w:color w:val="000000" w:themeColor="text1"/>
                <w:sz w:val="24"/>
              </w:rPr>
              <w:t>C</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lastRenderedPageBreak/>
              <w:t>下属</w:t>
            </w:r>
            <w:r w:rsidRPr="00EE3DBC">
              <w:rPr>
                <w:rFonts w:eastAsiaTheme="minorEastAsia"/>
                <w:color w:val="000000" w:themeColor="text1"/>
                <w:szCs w:val="21"/>
              </w:rPr>
              <w:t>分</w:t>
            </w:r>
            <w:r w:rsidRPr="00EE3DBC">
              <w:rPr>
                <w:rFonts w:eastAsiaTheme="minorEastAsia"/>
                <w:color w:val="000000" w:themeColor="text1"/>
                <w:sz w:val="24"/>
              </w:rPr>
              <w:t>级基金的交易代码</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005051</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005052</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报告期末下属</w:t>
            </w:r>
            <w:r w:rsidRPr="00EE3DBC">
              <w:rPr>
                <w:rFonts w:eastAsiaTheme="minorEastAsia"/>
                <w:color w:val="000000" w:themeColor="text1"/>
                <w:szCs w:val="21"/>
              </w:rPr>
              <w:t>分</w:t>
            </w:r>
            <w:r w:rsidRPr="00EE3DBC">
              <w:rPr>
                <w:rFonts w:eastAsiaTheme="minorEastAsia"/>
                <w:color w:val="000000" w:themeColor="text1"/>
                <w:sz w:val="24"/>
              </w:rPr>
              <w:t>级基金的份额总额</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177,764,145.90</w:t>
            </w:r>
            <w:r w:rsidRPr="00EE3DBC">
              <w:rPr>
                <w:rFonts w:eastAsiaTheme="minorEastAsia"/>
                <w:color w:val="000000" w:themeColor="text1"/>
                <w:kern w:val="0"/>
                <w:sz w:val="24"/>
              </w:rPr>
              <w:t>份</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86,265,261.41</w:t>
            </w:r>
            <w:r w:rsidRPr="00EE3DBC">
              <w:rPr>
                <w:rFonts w:eastAsiaTheme="minorEastAsia"/>
                <w:color w:val="000000" w:themeColor="text1"/>
                <w:kern w:val="0"/>
                <w:sz w:val="24"/>
              </w:rPr>
              <w:t>份</w:t>
            </w:r>
          </w:p>
        </w:tc>
      </w:tr>
    </w:tbl>
    <w:p w:rsidR="009A3BD8" w:rsidRPr="00EE3DBC" w:rsidRDefault="009A3BD8" w:rsidP="009A3BD8">
      <w:pPr>
        <w:pStyle w:val="1"/>
        <w:spacing w:beforeLines="100" w:before="312" w:afterLines="100" w:after="312" w:line="360" w:lineRule="auto"/>
        <w:jc w:val="center"/>
        <w:rPr>
          <w:rFonts w:eastAsiaTheme="minorEastAsia"/>
          <w:color w:val="000000" w:themeColor="text1"/>
          <w:kern w:val="0"/>
          <w:sz w:val="21"/>
          <w:szCs w:val="21"/>
        </w:rPr>
      </w:pPr>
      <w:r w:rsidRPr="00EE3DBC">
        <w:rPr>
          <w:rFonts w:eastAsiaTheme="minorEastAsia"/>
          <w:color w:val="000000" w:themeColor="text1"/>
          <w:kern w:val="0"/>
          <w:sz w:val="21"/>
          <w:szCs w:val="21"/>
        </w:rPr>
        <w:t xml:space="preserve">§3  </w:t>
      </w:r>
      <w:r w:rsidRPr="00EE3DBC">
        <w:rPr>
          <w:rFonts w:eastAsiaTheme="minorEastAsia"/>
          <w:color w:val="000000" w:themeColor="text1"/>
          <w:kern w:val="0"/>
          <w:sz w:val="21"/>
          <w:szCs w:val="21"/>
        </w:rPr>
        <w:t>主要财务指标和基金净值表现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3.1 </w:t>
      </w:r>
      <w:r w:rsidRPr="00EE3DBC">
        <w:rPr>
          <w:rFonts w:eastAsiaTheme="minorEastAsia"/>
          <w:b/>
          <w:color w:val="000000" w:themeColor="text1"/>
          <w:kern w:val="0"/>
          <w:szCs w:val="21"/>
        </w:rPr>
        <w:t>主要财务指标</w:t>
      </w:r>
    </w:p>
    <w:p w:rsidR="009A3BD8" w:rsidRPr="00EE3DBC" w:rsidRDefault="009A3BD8" w:rsidP="009A3BD8">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A3BD8" w:rsidRPr="00EE3DBC" w:rsidTr="00DA6FA7">
        <w:tc>
          <w:tcPr>
            <w:tcW w:w="3402" w:type="dxa"/>
            <w:vMerge w:val="restart"/>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主要财务指标</w:t>
            </w:r>
          </w:p>
        </w:tc>
        <w:tc>
          <w:tcPr>
            <w:tcW w:w="4962" w:type="dxa"/>
            <w:gridSpan w:val="2"/>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报告期</w:t>
            </w:r>
          </w:p>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(2021</w:t>
            </w:r>
            <w:r w:rsidRPr="00EE3DBC">
              <w:rPr>
                <w:rFonts w:eastAsiaTheme="minorEastAsia"/>
                <w:color w:val="000000" w:themeColor="text1"/>
                <w:szCs w:val="21"/>
              </w:rPr>
              <w:t>年</w:t>
            </w:r>
            <w:r w:rsidRPr="00EE3DBC">
              <w:rPr>
                <w:rFonts w:eastAsiaTheme="minorEastAsia"/>
                <w:color w:val="000000" w:themeColor="text1"/>
                <w:szCs w:val="21"/>
              </w:rPr>
              <w:t>7</w:t>
            </w:r>
            <w:r w:rsidRPr="00EE3DBC">
              <w:rPr>
                <w:rFonts w:eastAsiaTheme="minorEastAsia"/>
                <w:color w:val="000000" w:themeColor="text1"/>
                <w:szCs w:val="21"/>
              </w:rPr>
              <w:t>月</w:t>
            </w:r>
            <w:r w:rsidRPr="00EE3DBC">
              <w:rPr>
                <w:rFonts w:eastAsiaTheme="minorEastAsia"/>
                <w:color w:val="000000" w:themeColor="text1"/>
                <w:szCs w:val="21"/>
              </w:rPr>
              <w:t>1</w:t>
            </w:r>
            <w:r w:rsidRPr="00EE3DBC">
              <w:rPr>
                <w:rFonts w:eastAsiaTheme="minorEastAsia"/>
                <w:color w:val="000000" w:themeColor="text1"/>
                <w:szCs w:val="21"/>
              </w:rPr>
              <w:t>日</w:t>
            </w:r>
            <w:r w:rsidRPr="00EE3DBC">
              <w:rPr>
                <w:rFonts w:eastAsiaTheme="minorEastAsia"/>
                <w:color w:val="000000" w:themeColor="text1"/>
                <w:szCs w:val="21"/>
              </w:rPr>
              <w:t>-2021</w:t>
            </w:r>
            <w:r w:rsidRPr="00EE3DBC">
              <w:rPr>
                <w:rFonts w:eastAsiaTheme="minorEastAsia"/>
                <w:color w:val="000000" w:themeColor="text1"/>
                <w:szCs w:val="21"/>
              </w:rPr>
              <w:t>年</w:t>
            </w:r>
            <w:r w:rsidRPr="00EE3DBC">
              <w:rPr>
                <w:rFonts w:eastAsiaTheme="minorEastAsia"/>
                <w:color w:val="000000" w:themeColor="text1"/>
                <w:szCs w:val="21"/>
              </w:rPr>
              <w:t>9</w:t>
            </w:r>
            <w:r w:rsidRPr="00EE3DBC">
              <w:rPr>
                <w:rFonts w:eastAsiaTheme="minorEastAsia"/>
                <w:color w:val="000000" w:themeColor="text1"/>
                <w:szCs w:val="21"/>
              </w:rPr>
              <w:t>月</w:t>
            </w:r>
            <w:r w:rsidRPr="00EE3DBC">
              <w:rPr>
                <w:rFonts w:eastAsiaTheme="minorEastAsia"/>
                <w:color w:val="000000" w:themeColor="text1"/>
                <w:szCs w:val="21"/>
              </w:rPr>
              <w:t>30</w:t>
            </w:r>
            <w:r w:rsidRPr="00EE3DBC">
              <w:rPr>
                <w:rFonts w:eastAsiaTheme="minorEastAsia"/>
                <w:color w:val="000000" w:themeColor="text1"/>
                <w:szCs w:val="21"/>
              </w:rPr>
              <w:t>日</w:t>
            </w:r>
            <w:r w:rsidRPr="00EE3DBC">
              <w:rPr>
                <w:rFonts w:eastAsiaTheme="minorEastAsia"/>
                <w:color w:val="000000" w:themeColor="text1"/>
                <w:szCs w:val="21"/>
              </w:rPr>
              <w:t>)</w:t>
            </w:r>
          </w:p>
        </w:tc>
      </w:tr>
      <w:tr w:rsidR="009A3BD8" w:rsidRPr="00EE3DBC" w:rsidTr="00DA6FA7">
        <w:tc>
          <w:tcPr>
            <w:tcW w:w="3402" w:type="dxa"/>
            <w:vMerge/>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A</w:t>
            </w: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C</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1.</w:t>
            </w:r>
            <w:r w:rsidRPr="00EE3DBC">
              <w:rPr>
                <w:rFonts w:eastAsiaTheme="minorEastAsia"/>
                <w:color w:val="000000" w:themeColor="text1"/>
                <w:kern w:val="0"/>
                <w:szCs w:val="21"/>
              </w:rPr>
              <w:t>本期已实现收益</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4,147,354.48</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1,386,000.51</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2.</w:t>
            </w:r>
            <w:r w:rsidRPr="00EE3DBC">
              <w:rPr>
                <w:rFonts w:eastAsiaTheme="minorEastAsia"/>
                <w:color w:val="000000" w:themeColor="text1"/>
                <w:kern w:val="0"/>
                <w:szCs w:val="21"/>
              </w:rPr>
              <w:t>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2,126,536.21</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1,064,396.40</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3.</w:t>
            </w:r>
            <w:r w:rsidRPr="00EE3DBC">
              <w:rPr>
                <w:rFonts w:eastAsiaTheme="minorEastAsia"/>
                <w:color w:val="000000" w:themeColor="text1"/>
                <w:kern w:val="0"/>
                <w:szCs w:val="21"/>
              </w:rPr>
              <w:t>加权平均基金份额本期利润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0.0111</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0.0144</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4.</w:t>
            </w:r>
            <w:r w:rsidRPr="00EE3DBC">
              <w:rPr>
                <w:rFonts w:eastAsiaTheme="minorEastAsia"/>
                <w:color w:val="000000" w:themeColor="text1"/>
                <w:kern w:val="0"/>
                <w:szCs w:val="21"/>
              </w:rPr>
              <w:t>期末基金资产净值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157,829,491.33</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75,321,347.25</w:t>
            </w:r>
          </w:p>
        </w:tc>
      </w:tr>
      <w:tr w:rsidR="009A3BD8" w:rsidRPr="00EE3DBC" w:rsidTr="00DA6FA7">
        <w:trPr>
          <w:trHeight w:val="158"/>
        </w:trPr>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5.</w:t>
            </w:r>
            <w:r w:rsidRPr="00EE3DBC">
              <w:rPr>
                <w:rFonts w:eastAsiaTheme="minorEastAsia"/>
                <w:color w:val="000000" w:themeColor="text1"/>
                <w:kern w:val="0"/>
                <w:szCs w:val="21"/>
              </w:rPr>
              <w:t>期末基金份额净值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0.8879</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0.8731</w:t>
            </w:r>
          </w:p>
        </w:tc>
      </w:tr>
    </w:tbl>
    <w:p w:rsidR="006D3840" w:rsidRDefault="0026346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9A3BD8" w:rsidRPr="00EE3DBC" w:rsidRDefault="009A3BD8" w:rsidP="009A3BD8">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9A3BD8" w:rsidRPr="00EE3DBC" w:rsidRDefault="009A3BD8" w:rsidP="009A3BD8">
      <w:pPr>
        <w:autoSpaceDE w:val="0"/>
        <w:autoSpaceDN w:val="0"/>
        <w:adjustRightInd w:val="0"/>
        <w:spacing w:beforeLines="100" w:before="312"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3.2 </w:t>
      </w:r>
      <w:r w:rsidRPr="00EE3DBC">
        <w:rPr>
          <w:rFonts w:eastAsiaTheme="minorEastAsia"/>
          <w:b/>
          <w:color w:val="000000" w:themeColor="text1"/>
          <w:kern w:val="0"/>
          <w:szCs w:val="21"/>
        </w:rPr>
        <w:t>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3.2.1</w:t>
      </w:r>
      <w:r w:rsidRPr="00EE3DBC">
        <w:rPr>
          <w:rFonts w:eastAsiaTheme="minorEastAsia"/>
          <w:b/>
          <w:color w:val="000000" w:themeColor="text1"/>
          <w:kern w:val="0"/>
          <w:szCs w:val="21"/>
        </w:rPr>
        <w:t>本报告期基金份额净值增长率及其与同期业绩比较基准收益率的比较</w:t>
      </w:r>
    </w:p>
    <w:p w:rsidR="009A3BD8" w:rsidRPr="00EE3DBC" w:rsidRDefault="009A3BD8" w:rsidP="009A3BD8">
      <w:pPr>
        <w:spacing w:line="360" w:lineRule="auto"/>
        <w:rPr>
          <w:rFonts w:eastAsiaTheme="minorEastAsia"/>
          <w:b/>
          <w:color w:val="000000" w:themeColor="text1"/>
          <w:szCs w:val="21"/>
        </w:rPr>
      </w:pPr>
      <w:r w:rsidRPr="00EE3DBC">
        <w:rPr>
          <w:rFonts w:eastAsiaTheme="minorEastAsia"/>
          <w:b/>
          <w:color w:val="000000" w:themeColor="text1"/>
          <w:szCs w:val="21"/>
        </w:rPr>
        <w:t>1</w:t>
      </w:r>
      <w:r w:rsidRPr="00EE3DBC">
        <w:rPr>
          <w:rFonts w:eastAsiaTheme="minorEastAsia"/>
          <w:b/>
          <w:color w:val="000000" w:themeColor="text1"/>
          <w:szCs w:val="21"/>
        </w:rPr>
        <w:t>、</w:t>
      </w:r>
      <w:r w:rsidRPr="00EE3DBC">
        <w:rPr>
          <w:rFonts w:eastAsiaTheme="minorEastAsia"/>
          <w:b/>
          <w:color w:val="000000" w:themeColor="text1"/>
          <w:kern w:val="0"/>
          <w:szCs w:val="21"/>
        </w:rPr>
        <w:t>上投摩根标普港股通低波红利指数</w:t>
      </w:r>
      <w:r w:rsidRPr="00EE3DBC">
        <w:rPr>
          <w:rFonts w:eastAsiaTheme="minorEastAsia"/>
          <w:b/>
          <w:color w:val="000000" w:themeColor="text1"/>
          <w:kern w:val="0"/>
          <w:szCs w:val="21"/>
        </w:rPr>
        <w:t>A</w:t>
      </w:r>
      <w:r w:rsidRPr="00EE3DBC">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6D3840">
        <w:tc>
          <w:tcPr>
            <w:tcW w:w="1290" w:type="dxa"/>
            <w:vAlign w:val="center"/>
          </w:tcPr>
          <w:p w:rsidR="006D3840" w:rsidRDefault="00263463">
            <w:pPr>
              <w:jc w:val="left"/>
            </w:pPr>
            <w:r>
              <w:rPr>
                <w:rFonts w:eastAsiaTheme="minorEastAsia"/>
                <w:color w:val="000000" w:themeColor="text1"/>
                <w:szCs w:val="21"/>
              </w:rPr>
              <w:t>过去三个月</w:t>
            </w:r>
          </w:p>
        </w:tc>
        <w:tc>
          <w:tcPr>
            <w:tcW w:w="1291" w:type="dxa"/>
            <w:vAlign w:val="center"/>
          </w:tcPr>
          <w:p w:rsidR="006D3840" w:rsidRDefault="00263463">
            <w:pPr>
              <w:jc w:val="right"/>
            </w:pPr>
            <w:r>
              <w:rPr>
                <w:rFonts w:eastAsiaTheme="minorEastAsia"/>
                <w:color w:val="000000" w:themeColor="text1"/>
                <w:szCs w:val="21"/>
              </w:rPr>
              <w:t>1.13%</w:t>
            </w:r>
          </w:p>
        </w:tc>
        <w:tc>
          <w:tcPr>
            <w:tcW w:w="1291" w:type="dxa"/>
            <w:vAlign w:val="center"/>
          </w:tcPr>
          <w:p w:rsidR="006D3840" w:rsidRDefault="00263463">
            <w:pPr>
              <w:jc w:val="right"/>
            </w:pPr>
            <w:r>
              <w:rPr>
                <w:rFonts w:eastAsiaTheme="minorEastAsia"/>
                <w:color w:val="000000" w:themeColor="text1"/>
                <w:szCs w:val="21"/>
              </w:rPr>
              <w:t>0.86%</w:t>
            </w:r>
          </w:p>
        </w:tc>
        <w:tc>
          <w:tcPr>
            <w:tcW w:w="1291" w:type="dxa"/>
            <w:vAlign w:val="center"/>
          </w:tcPr>
          <w:p w:rsidR="006D3840" w:rsidRDefault="00263463">
            <w:pPr>
              <w:jc w:val="right"/>
            </w:pPr>
            <w:r>
              <w:rPr>
                <w:rFonts w:eastAsiaTheme="minorEastAsia"/>
                <w:color w:val="000000" w:themeColor="text1"/>
                <w:szCs w:val="21"/>
              </w:rPr>
              <w:t>-0.43%</w:t>
            </w:r>
          </w:p>
        </w:tc>
        <w:tc>
          <w:tcPr>
            <w:tcW w:w="1291" w:type="dxa"/>
            <w:vAlign w:val="center"/>
          </w:tcPr>
          <w:p w:rsidR="006D3840" w:rsidRDefault="00263463">
            <w:pPr>
              <w:jc w:val="right"/>
            </w:pPr>
            <w:r>
              <w:rPr>
                <w:rFonts w:eastAsiaTheme="minorEastAsia"/>
                <w:color w:val="000000" w:themeColor="text1"/>
                <w:szCs w:val="21"/>
              </w:rPr>
              <w:t>0.84%</w:t>
            </w:r>
          </w:p>
        </w:tc>
        <w:tc>
          <w:tcPr>
            <w:tcW w:w="1291" w:type="dxa"/>
            <w:vAlign w:val="center"/>
          </w:tcPr>
          <w:p w:rsidR="006D3840" w:rsidRDefault="00263463">
            <w:pPr>
              <w:jc w:val="right"/>
            </w:pPr>
            <w:r>
              <w:rPr>
                <w:rFonts w:eastAsiaTheme="minorEastAsia"/>
                <w:color w:val="000000" w:themeColor="text1"/>
                <w:szCs w:val="21"/>
              </w:rPr>
              <w:t>1.56%</w:t>
            </w:r>
          </w:p>
        </w:tc>
        <w:tc>
          <w:tcPr>
            <w:tcW w:w="1291" w:type="dxa"/>
            <w:vAlign w:val="center"/>
          </w:tcPr>
          <w:p w:rsidR="006D3840" w:rsidRDefault="00263463">
            <w:pPr>
              <w:jc w:val="right"/>
            </w:pPr>
            <w:r>
              <w:rPr>
                <w:rFonts w:eastAsiaTheme="minorEastAsia"/>
                <w:color w:val="000000" w:themeColor="text1"/>
                <w:szCs w:val="21"/>
              </w:rPr>
              <w:t>0.02%</w:t>
            </w:r>
          </w:p>
        </w:tc>
      </w:tr>
      <w:tr w:rsidR="006D3840">
        <w:tc>
          <w:tcPr>
            <w:tcW w:w="1290" w:type="dxa"/>
            <w:vAlign w:val="center"/>
          </w:tcPr>
          <w:p w:rsidR="006D3840" w:rsidRDefault="00263463">
            <w:pPr>
              <w:jc w:val="left"/>
            </w:pPr>
            <w:r>
              <w:rPr>
                <w:rFonts w:eastAsiaTheme="minorEastAsia"/>
                <w:color w:val="000000" w:themeColor="text1"/>
                <w:szCs w:val="21"/>
              </w:rPr>
              <w:lastRenderedPageBreak/>
              <w:t>过去六个月</w:t>
            </w:r>
          </w:p>
        </w:tc>
        <w:tc>
          <w:tcPr>
            <w:tcW w:w="1291" w:type="dxa"/>
            <w:vAlign w:val="center"/>
          </w:tcPr>
          <w:p w:rsidR="006D3840" w:rsidRDefault="00263463">
            <w:pPr>
              <w:jc w:val="right"/>
            </w:pPr>
            <w:r>
              <w:rPr>
                <w:rFonts w:eastAsiaTheme="minorEastAsia"/>
                <w:color w:val="000000" w:themeColor="text1"/>
                <w:szCs w:val="21"/>
              </w:rPr>
              <w:t>1.46%</w:t>
            </w:r>
          </w:p>
        </w:tc>
        <w:tc>
          <w:tcPr>
            <w:tcW w:w="1291" w:type="dxa"/>
            <w:vAlign w:val="center"/>
          </w:tcPr>
          <w:p w:rsidR="006D3840" w:rsidRDefault="00263463">
            <w:pPr>
              <w:jc w:val="right"/>
            </w:pPr>
            <w:r>
              <w:rPr>
                <w:rFonts w:eastAsiaTheme="minorEastAsia"/>
                <w:color w:val="000000" w:themeColor="text1"/>
                <w:szCs w:val="21"/>
              </w:rPr>
              <w:t>0.74%</w:t>
            </w:r>
          </w:p>
        </w:tc>
        <w:tc>
          <w:tcPr>
            <w:tcW w:w="1291" w:type="dxa"/>
            <w:vAlign w:val="center"/>
          </w:tcPr>
          <w:p w:rsidR="006D3840" w:rsidRDefault="00263463">
            <w:pPr>
              <w:jc w:val="right"/>
            </w:pPr>
            <w:r>
              <w:rPr>
                <w:rFonts w:eastAsiaTheme="minorEastAsia"/>
                <w:color w:val="000000" w:themeColor="text1"/>
                <w:szCs w:val="21"/>
              </w:rPr>
              <w:t>-2.72%</w:t>
            </w:r>
          </w:p>
        </w:tc>
        <w:tc>
          <w:tcPr>
            <w:tcW w:w="1291" w:type="dxa"/>
            <w:vAlign w:val="center"/>
          </w:tcPr>
          <w:p w:rsidR="006D3840" w:rsidRDefault="00263463">
            <w:pPr>
              <w:jc w:val="right"/>
            </w:pPr>
            <w:r>
              <w:rPr>
                <w:rFonts w:eastAsiaTheme="minorEastAsia"/>
                <w:color w:val="000000" w:themeColor="text1"/>
                <w:szCs w:val="21"/>
              </w:rPr>
              <w:t>0.72%</w:t>
            </w:r>
          </w:p>
        </w:tc>
        <w:tc>
          <w:tcPr>
            <w:tcW w:w="1291" w:type="dxa"/>
            <w:vAlign w:val="center"/>
          </w:tcPr>
          <w:p w:rsidR="006D3840" w:rsidRDefault="00263463">
            <w:pPr>
              <w:jc w:val="right"/>
            </w:pPr>
            <w:r>
              <w:rPr>
                <w:rFonts w:eastAsiaTheme="minorEastAsia"/>
                <w:color w:val="000000" w:themeColor="text1"/>
                <w:szCs w:val="21"/>
              </w:rPr>
              <w:t>4.18%</w:t>
            </w:r>
          </w:p>
        </w:tc>
        <w:tc>
          <w:tcPr>
            <w:tcW w:w="1291" w:type="dxa"/>
            <w:vAlign w:val="center"/>
          </w:tcPr>
          <w:p w:rsidR="006D3840" w:rsidRDefault="00263463">
            <w:pPr>
              <w:jc w:val="right"/>
            </w:pPr>
            <w:r>
              <w:rPr>
                <w:rFonts w:eastAsiaTheme="minorEastAsia"/>
                <w:color w:val="000000" w:themeColor="text1"/>
                <w:szCs w:val="21"/>
              </w:rPr>
              <w:t>0.02%</w:t>
            </w:r>
          </w:p>
        </w:tc>
      </w:tr>
      <w:tr w:rsidR="006D3840">
        <w:tc>
          <w:tcPr>
            <w:tcW w:w="1290" w:type="dxa"/>
            <w:vAlign w:val="center"/>
          </w:tcPr>
          <w:p w:rsidR="006D3840" w:rsidRDefault="00263463">
            <w:pPr>
              <w:jc w:val="left"/>
            </w:pPr>
            <w:r>
              <w:rPr>
                <w:rFonts w:eastAsiaTheme="minorEastAsia"/>
                <w:color w:val="000000" w:themeColor="text1"/>
                <w:szCs w:val="21"/>
              </w:rPr>
              <w:t>过去一年</w:t>
            </w:r>
          </w:p>
        </w:tc>
        <w:tc>
          <w:tcPr>
            <w:tcW w:w="1291" w:type="dxa"/>
            <w:vAlign w:val="center"/>
          </w:tcPr>
          <w:p w:rsidR="006D3840" w:rsidRDefault="00263463">
            <w:pPr>
              <w:jc w:val="right"/>
            </w:pPr>
            <w:r>
              <w:rPr>
                <w:rFonts w:eastAsiaTheme="minorEastAsia"/>
                <w:color w:val="000000" w:themeColor="text1"/>
                <w:szCs w:val="21"/>
              </w:rPr>
              <w:t>18.51%</w:t>
            </w:r>
          </w:p>
        </w:tc>
        <w:tc>
          <w:tcPr>
            <w:tcW w:w="1291" w:type="dxa"/>
            <w:vAlign w:val="center"/>
          </w:tcPr>
          <w:p w:rsidR="006D3840" w:rsidRDefault="00263463">
            <w:pPr>
              <w:jc w:val="right"/>
            </w:pPr>
            <w:r>
              <w:rPr>
                <w:rFonts w:eastAsiaTheme="minorEastAsia"/>
                <w:color w:val="000000" w:themeColor="text1"/>
                <w:szCs w:val="21"/>
              </w:rPr>
              <w:t>0.83%</w:t>
            </w:r>
          </w:p>
        </w:tc>
        <w:tc>
          <w:tcPr>
            <w:tcW w:w="1291" w:type="dxa"/>
            <w:vAlign w:val="center"/>
          </w:tcPr>
          <w:p w:rsidR="006D3840" w:rsidRDefault="00263463">
            <w:pPr>
              <w:jc w:val="right"/>
            </w:pPr>
            <w:r>
              <w:rPr>
                <w:rFonts w:eastAsiaTheme="minorEastAsia"/>
                <w:color w:val="000000" w:themeColor="text1"/>
                <w:szCs w:val="21"/>
              </w:rPr>
              <w:t>13.82%</w:t>
            </w:r>
          </w:p>
        </w:tc>
        <w:tc>
          <w:tcPr>
            <w:tcW w:w="1291" w:type="dxa"/>
            <w:vAlign w:val="center"/>
          </w:tcPr>
          <w:p w:rsidR="006D3840" w:rsidRDefault="00263463">
            <w:pPr>
              <w:jc w:val="right"/>
            </w:pPr>
            <w:r>
              <w:rPr>
                <w:rFonts w:eastAsiaTheme="minorEastAsia"/>
                <w:color w:val="000000" w:themeColor="text1"/>
                <w:szCs w:val="21"/>
              </w:rPr>
              <w:t>0.86%</w:t>
            </w:r>
          </w:p>
        </w:tc>
        <w:tc>
          <w:tcPr>
            <w:tcW w:w="1291" w:type="dxa"/>
            <w:vAlign w:val="center"/>
          </w:tcPr>
          <w:p w:rsidR="006D3840" w:rsidRDefault="00263463">
            <w:pPr>
              <w:jc w:val="right"/>
            </w:pPr>
            <w:r>
              <w:rPr>
                <w:rFonts w:eastAsiaTheme="minorEastAsia"/>
                <w:color w:val="000000" w:themeColor="text1"/>
                <w:szCs w:val="21"/>
              </w:rPr>
              <w:t>4.69%</w:t>
            </w:r>
          </w:p>
        </w:tc>
        <w:tc>
          <w:tcPr>
            <w:tcW w:w="1291" w:type="dxa"/>
            <w:vAlign w:val="center"/>
          </w:tcPr>
          <w:p w:rsidR="006D3840" w:rsidRDefault="00263463">
            <w:pPr>
              <w:jc w:val="right"/>
            </w:pPr>
            <w:r>
              <w:rPr>
                <w:rFonts w:eastAsiaTheme="minorEastAsia"/>
                <w:color w:val="000000" w:themeColor="text1"/>
                <w:szCs w:val="21"/>
              </w:rPr>
              <w:t>-0.03%</w:t>
            </w:r>
          </w:p>
        </w:tc>
      </w:tr>
      <w:tr w:rsidR="006D3840">
        <w:tc>
          <w:tcPr>
            <w:tcW w:w="1290" w:type="dxa"/>
            <w:vAlign w:val="center"/>
          </w:tcPr>
          <w:p w:rsidR="006D3840" w:rsidRDefault="00263463">
            <w:pPr>
              <w:jc w:val="left"/>
            </w:pPr>
            <w:r>
              <w:rPr>
                <w:rFonts w:eastAsiaTheme="minorEastAsia"/>
                <w:color w:val="000000" w:themeColor="text1"/>
                <w:szCs w:val="21"/>
              </w:rPr>
              <w:t>过去三年</w:t>
            </w:r>
          </w:p>
        </w:tc>
        <w:tc>
          <w:tcPr>
            <w:tcW w:w="1291" w:type="dxa"/>
            <w:vAlign w:val="center"/>
          </w:tcPr>
          <w:p w:rsidR="006D3840" w:rsidRDefault="00263463">
            <w:pPr>
              <w:jc w:val="right"/>
            </w:pPr>
            <w:r>
              <w:rPr>
                <w:rFonts w:eastAsiaTheme="minorEastAsia"/>
                <w:color w:val="000000" w:themeColor="text1"/>
                <w:szCs w:val="21"/>
              </w:rPr>
              <w:t>-13.08%</w:t>
            </w:r>
          </w:p>
        </w:tc>
        <w:tc>
          <w:tcPr>
            <w:tcW w:w="1291" w:type="dxa"/>
            <w:vAlign w:val="center"/>
          </w:tcPr>
          <w:p w:rsidR="006D3840" w:rsidRDefault="00263463">
            <w:pPr>
              <w:jc w:val="right"/>
            </w:pPr>
            <w:r>
              <w:rPr>
                <w:rFonts w:eastAsiaTheme="minorEastAsia"/>
                <w:color w:val="000000" w:themeColor="text1"/>
                <w:szCs w:val="21"/>
              </w:rPr>
              <w:t>1.05%</w:t>
            </w:r>
          </w:p>
        </w:tc>
        <w:tc>
          <w:tcPr>
            <w:tcW w:w="1291" w:type="dxa"/>
            <w:vAlign w:val="center"/>
          </w:tcPr>
          <w:p w:rsidR="006D3840" w:rsidRDefault="00263463">
            <w:pPr>
              <w:jc w:val="right"/>
            </w:pPr>
            <w:r>
              <w:rPr>
                <w:rFonts w:eastAsiaTheme="minorEastAsia"/>
                <w:color w:val="000000" w:themeColor="text1"/>
                <w:szCs w:val="21"/>
              </w:rPr>
              <w:t>-20.07%</w:t>
            </w:r>
          </w:p>
        </w:tc>
        <w:tc>
          <w:tcPr>
            <w:tcW w:w="1291" w:type="dxa"/>
            <w:vAlign w:val="center"/>
          </w:tcPr>
          <w:p w:rsidR="006D3840" w:rsidRDefault="00263463">
            <w:pPr>
              <w:jc w:val="right"/>
            </w:pPr>
            <w:r>
              <w:rPr>
                <w:rFonts w:eastAsiaTheme="minorEastAsia"/>
                <w:color w:val="000000" w:themeColor="text1"/>
                <w:szCs w:val="21"/>
              </w:rPr>
              <w:t>1.01%</w:t>
            </w:r>
          </w:p>
        </w:tc>
        <w:tc>
          <w:tcPr>
            <w:tcW w:w="1291" w:type="dxa"/>
            <w:vAlign w:val="center"/>
          </w:tcPr>
          <w:p w:rsidR="006D3840" w:rsidRDefault="00263463">
            <w:pPr>
              <w:jc w:val="right"/>
            </w:pPr>
            <w:r>
              <w:rPr>
                <w:rFonts w:eastAsiaTheme="minorEastAsia"/>
                <w:color w:val="000000" w:themeColor="text1"/>
                <w:szCs w:val="21"/>
              </w:rPr>
              <w:t>6.99%</w:t>
            </w:r>
          </w:p>
        </w:tc>
        <w:tc>
          <w:tcPr>
            <w:tcW w:w="1291" w:type="dxa"/>
            <w:vAlign w:val="center"/>
          </w:tcPr>
          <w:p w:rsidR="006D3840" w:rsidRDefault="00263463">
            <w:pPr>
              <w:jc w:val="right"/>
            </w:pPr>
            <w:r>
              <w:rPr>
                <w:rFonts w:eastAsiaTheme="minorEastAsia"/>
                <w:color w:val="000000" w:themeColor="text1"/>
                <w:szCs w:val="21"/>
              </w:rPr>
              <w:t>0.04%</w:t>
            </w:r>
          </w:p>
        </w:tc>
      </w:tr>
      <w:tr w:rsidR="006D3840">
        <w:tc>
          <w:tcPr>
            <w:tcW w:w="1290" w:type="dxa"/>
            <w:vAlign w:val="center"/>
          </w:tcPr>
          <w:p w:rsidR="006D3840" w:rsidRDefault="00263463">
            <w:pPr>
              <w:jc w:val="left"/>
            </w:pPr>
            <w:r>
              <w:rPr>
                <w:rFonts w:eastAsiaTheme="minorEastAsia"/>
                <w:color w:val="000000" w:themeColor="text1"/>
                <w:szCs w:val="21"/>
              </w:rPr>
              <w:t>过去五年</w:t>
            </w:r>
          </w:p>
        </w:tc>
        <w:tc>
          <w:tcPr>
            <w:tcW w:w="1291" w:type="dxa"/>
            <w:vAlign w:val="center"/>
          </w:tcPr>
          <w:p w:rsidR="006D3840" w:rsidRDefault="00263463">
            <w:pPr>
              <w:jc w:val="right"/>
            </w:pPr>
            <w:r>
              <w:rPr>
                <w:rFonts w:eastAsiaTheme="minorEastAsia"/>
                <w:color w:val="000000" w:themeColor="text1"/>
                <w:szCs w:val="21"/>
              </w:rPr>
              <w:t>-</w:t>
            </w:r>
          </w:p>
        </w:tc>
        <w:tc>
          <w:tcPr>
            <w:tcW w:w="1291" w:type="dxa"/>
            <w:vAlign w:val="center"/>
          </w:tcPr>
          <w:p w:rsidR="006D3840" w:rsidRDefault="00263463">
            <w:pPr>
              <w:jc w:val="right"/>
            </w:pPr>
            <w:r>
              <w:rPr>
                <w:rFonts w:eastAsiaTheme="minorEastAsia"/>
                <w:color w:val="000000" w:themeColor="text1"/>
                <w:szCs w:val="21"/>
              </w:rPr>
              <w:t>-</w:t>
            </w:r>
          </w:p>
        </w:tc>
        <w:tc>
          <w:tcPr>
            <w:tcW w:w="1291" w:type="dxa"/>
            <w:vAlign w:val="center"/>
          </w:tcPr>
          <w:p w:rsidR="006D3840" w:rsidRDefault="00263463">
            <w:pPr>
              <w:jc w:val="right"/>
            </w:pPr>
            <w:r>
              <w:rPr>
                <w:rFonts w:eastAsiaTheme="minorEastAsia"/>
                <w:color w:val="000000" w:themeColor="text1"/>
                <w:szCs w:val="21"/>
              </w:rPr>
              <w:t>-</w:t>
            </w:r>
          </w:p>
        </w:tc>
        <w:tc>
          <w:tcPr>
            <w:tcW w:w="1291" w:type="dxa"/>
            <w:vAlign w:val="center"/>
          </w:tcPr>
          <w:p w:rsidR="006D3840" w:rsidRDefault="00263463">
            <w:pPr>
              <w:jc w:val="right"/>
            </w:pPr>
            <w:r>
              <w:rPr>
                <w:rFonts w:eastAsiaTheme="minorEastAsia"/>
                <w:color w:val="000000" w:themeColor="text1"/>
                <w:szCs w:val="21"/>
              </w:rPr>
              <w:t>-</w:t>
            </w:r>
          </w:p>
        </w:tc>
        <w:tc>
          <w:tcPr>
            <w:tcW w:w="1291" w:type="dxa"/>
            <w:vAlign w:val="center"/>
          </w:tcPr>
          <w:p w:rsidR="006D3840" w:rsidRDefault="00263463">
            <w:pPr>
              <w:jc w:val="right"/>
            </w:pPr>
            <w:r>
              <w:rPr>
                <w:rFonts w:eastAsiaTheme="minorEastAsia"/>
                <w:color w:val="000000" w:themeColor="text1"/>
                <w:szCs w:val="21"/>
              </w:rPr>
              <w:t>-</w:t>
            </w:r>
          </w:p>
        </w:tc>
        <w:tc>
          <w:tcPr>
            <w:tcW w:w="1291" w:type="dxa"/>
            <w:vAlign w:val="center"/>
          </w:tcPr>
          <w:p w:rsidR="006D3840" w:rsidRDefault="00263463">
            <w:pPr>
              <w:jc w:val="right"/>
            </w:pPr>
            <w:r>
              <w:rPr>
                <w:rFonts w:eastAsiaTheme="minorEastAsia"/>
                <w:color w:val="000000" w:themeColor="text1"/>
                <w:szCs w:val="21"/>
              </w:rPr>
              <w:t>-</w:t>
            </w:r>
          </w:p>
        </w:tc>
      </w:tr>
      <w:tr w:rsidR="006D3840">
        <w:tc>
          <w:tcPr>
            <w:tcW w:w="1290" w:type="dxa"/>
            <w:vAlign w:val="center"/>
          </w:tcPr>
          <w:p w:rsidR="006D3840" w:rsidRDefault="00263463">
            <w:pPr>
              <w:jc w:val="left"/>
            </w:pPr>
            <w:r>
              <w:rPr>
                <w:rFonts w:eastAsiaTheme="minorEastAsia"/>
                <w:color w:val="000000" w:themeColor="text1"/>
                <w:szCs w:val="21"/>
              </w:rPr>
              <w:t>自基金合同生效起至今</w:t>
            </w:r>
          </w:p>
        </w:tc>
        <w:tc>
          <w:tcPr>
            <w:tcW w:w="1291" w:type="dxa"/>
            <w:vAlign w:val="center"/>
          </w:tcPr>
          <w:p w:rsidR="006D3840" w:rsidRDefault="00263463">
            <w:pPr>
              <w:jc w:val="right"/>
            </w:pPr>
            <w:r>
              <w:rPr>
                <w:rFonts w:eastAsiaTheme="minorEastAsia"/>
                <w:color w:val="000000" w:themeColor="text1"/>
                <w:szCs w:val="21"/>
              </w:rPr>
              <w:t>-11.21%</w:t>
            </w:r>
          </w:p>
        </w:tc>
        <w:tc>
          <w:tcPr>
            <w:tcW w:w="1291" w:type="dxa"/>
            <w:vAlign w:val="center"/>
          </w:tcPr>
          <w:p w:rsidR="006D3840" w:rsidRDefault="00263463">
            <w:pPr>
              <w:jc w:val="right"/>
            </w:pPr>
            <w:r>
              <w:rPr>
                <w:rFonts w:eastAsiaTheme="minorEastAsia"/>
                <w:color w:val="000000" w:themeColor="text1"/>
                <w:szCs w:val="21"/>
              </w:rPr>
              <w:t>1.00%</w:t>
            </w:r>
          </w:p>
        </w:tc>
        <w:tc>
          <w:tcPr>
            <w:tcW w:w="1291" w:type="dxa"/>
            <w:vAlign w:val="center"/>
          </w:tcPr>
          <w:p w:rsidR="006D3840" w:rsidRDefault="00263463">
            <w:pPr>
              <w:jc w:val="right"/>
            </w:pPr>
            <w:r>
              <w:rPr>
                <w:rFonts w:eastAsiaTheme="minorEastAsia"/>
                <w:color w:val="000000" w:themeColor="text1"/>
                <w:szCs w:val="21"/>
              </w:rPr>
              <w:t>-18.76%</w:t>
            </w:r>
          </w:p>
        </w:tc>
        <w:tc>
          <w:tcPr>
            <w:tcW w:w="1291" w:type="dxa"/>
            <w:vAlign w:val="center"/>
          </w:tcPr>
          <w:p w:rsidR="006D3840" w:rsidRDefault="00263463">
            <w:pPr>
              <w:jc w:val="right"/>
            </w:pPr>
            <w:r>
              <w:rPr>
                <w:rFonts w:eastAsiaTheme="minorEastAsia"/>
                <w:color w:val="000000" w:themeColor="text1"/>
                <w:szCs w:val="21"/>
              </w:rPr>
              <w:t>0.98%</w:t>
            </w:r>
          </w:p>
        </w:tc>
        <w:tc>
          <w:tcPr>
            <w:tcW w:w="1291" w:type="dxa"/>
            <w:vAlign w:val="center"/>
          </w:tcPr>
          <w:p w:rsidR="006D3840" w:rsidRDefault="00263463">
            <w:pPr>
              <w:jc w:val="right"/>
            </w:pPr>
            <w:r>
              <w:rPr>
                <w:rFonts w:eastAsiaTheme="minorEastAsia"/>
                <w:color w:val="000000" w:themeColor="text1"/>
                <w:szCs w:val="21"/>
              </w:rPr>
              <w:t>7.55%</w:t>
            </w:r>
          </w:p>
        </w:tc>
        <w:tc>
          <w:tcPr>
            <w:tcW w:w="1291" w:type="dxa"/>
            <w:vAlign w:val="center"/>
          </w:tcPr>
          <w:p w:rsidR="006D3840" w:rsidRDefault="00263463">
            <w:pPr>
              <w:jc w:val="right"/>
            </w:pPr>
            <w:r>
              <w:rPr>
                <w:rFonts w:eastAsiaTheme="minorEastAsia"/>
                <w:color w:val="000000" w:themeColor="text1"/>
                <w:szCs w:val="21"/>
              </w:rPr>
              <w:t>0.02%</w:t>
            </w:r>
          </w:p>
        </w:tc>
      </w:tr>
    </w:tbl>
    <w:p w:rsidR="009A3BD8" w:rsidRPr="00EE3DBC" w:rsidRDefault="009A3BD8" w:rsidP="009A3BD8">
      <w:pPr>
        <w:adjustRightInd w:val="0"/>
        <w:spacing w:beforeLines="100" w:before="312" w:line="360" w:lineRule="auto"/>
        <w:rPr>
          <w:rFonts w:eastAsiaTheme="minorEastAsia"/>
          <w:b/>
          <w:color w:val="000000" w:themeColor="text1"/>
          <w:kern w:val="0"/>
          <w:szCs w:val="21"/>
        </w:rPr>
      </w:pPr>
      <w:r w:rsidRPr="00EE3DBC">
        <w:rPr>
          <w:rFonts w:eastAsiaTheme="minorEastAsia"/>
          <w:b/>
          <w:color w:val="000000" w:themeColor="text1"/>
          <w:szCs w:val="21"/>
        </w:rPr>
        <w:t>2</w:t>
      </w:r>
      <w:r w:rsidRPr="00EE3DBC">
        <w:rPr>
          <w:rFonts w:eastAsiaTheme="minorEastAsia"/>
          <w:b/>
          <w:color w:val="000000" w:themeColor="text1"/>
          <w:szCs w:val="21"/>
        </w:rPr>
        <w:t>、</w:t>
      </w:r>
      <w:r w:rsidRPr="00EE3DBC">
        <w:rPr>
          <w:rFonts w:eastAsiaTheme="minorEastAsia"/>
          <w:b/>
          <w:color w:val="000000" w:themeColor="text1"/>
          <w:kern w:val="0"/>
          <w:szCs w:val="21"/>
        </w:rPr>
        <w:t>上投摩根标普港股通低波红利指数</w:t>
      </w:r>
      <w:r w:rsidRPr="00EE3DBC">
        <w:rPr>
          <w:rFonts w:eastAsiaTheme="minorEastAsia"/>
          <w:b/>
          <w:color w:val="000000" w:themeColor="text1"/>
          <w:kern w:val="0"/>
          <w:szCs w:val="21"/>
        </w:rPr>
        <w:t>C</w:t>
      </w:r>
      <w:r w:rsidRPr="00EE3DBC">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6D3840">
        <w:tc>
          <w:tcPr>
            <w:tcW w:w="1290" w:type="dxa"/>
            <w:vAlign w:val="center"/>
          </w:tcPr>
          <w:p w:rsidR="006D3840" w:rsidRDefault="00263463">
            <w:pPr>
              <w:jc w:val="left"/>
            </w:pPr>
            <w:r>
              <w:rPr>
                <w:rFonts w:eastAsiaTheme="minorEastAsia"/>
                <w:color w:val="000000" w:themeColor="text1"/>
                <w:szCs w:val="21"/>
              </w:rPr>
              <w:t>过去三个月</w:t>
            </w:r>
          </w:p>
        </w:tc>
        <w:tc>
          <w:tcPr>
            <w:tcW w:w="1291" w:type="dxa"/>
            <w:vAlign w:val="center"/>
          </w:tcPr>
          <w:p w:rsidR="006D3840" w:rsidRDefault="00263463">
            <w:pPr>
              <w:jc w:val="right"/>
            </w:pPr>
            <w:r>
              <w:rPr>
                <w:rFonts w:eastAsiaTheme="minorEastAsia"/>
                <w:color w:val="000000" w:themeColor="text1"/>
                <w:szCs w:val="21"/>
              </w:rPr>
              <w:t>0.99%</w:t>
            </w:r>
          </w:p>
        </w:tc>
        <w:tc>
          <w:tcPr>
            <w:tcW w:w="1291" w:type="dxa"/>
            <w:vAlign w:val="center"/>
          </w:tcPr>
          <w:p w:rsidR="006D3840" w:rsidRDefault="00263463">
            <w:pPr>
              <w:jc w:val="right"/>
            </w:pPr>
            <w:r>
              <w:rPr>
                <w:rFonts w:eastAsiaTheme="minorEastAsia"/>
                <w:color w:val="000000" w:themeColor="text1"/>
                <w:szCs w:val="21"/>
              </w:rPr>
              <w:t>0.86%</w:t>
            </w:r>
          </w:p>
        </w:tc>
        <w:tc>
          <w:tcPr>
            <w:tcW w:w="1291" w:type="dxa"/>
            <w:vAlign w:val="center"/>
          </w:tcPr>
          <w:p w:rsidR="006D3840" w:rsidRDefault="00263463">
            <w:pPr>
              <w:jc w:val="right"/>
            </w:pPr>
            <w:r>
              <w:rPr>
                <w:rFonts w:eastAsiaTheme="minorEastAsia"/>
                <w:color w:val="000000" w:themeColor="text1"/>
                <w:szCs w:val="21"/>
              </w:rPr>
              <w:t>-0.43%</w:t>
            </w:r>
          </w:p>
        </w:tc>
        <w:tc>
          <w:tcPr>
            <w:tcW w:w="1291" w:type="dxa"/>
            <w:vAlign w:val="center"/>
          </w:tcPr>
          <w:p w:rsidR="006D3840" w:rsidRDefault="00263463">
            <w:pPr>
              <w:jc w:val="right"/>
            </w:pPr>
            <w:r>
              <w:rPr>
                <w:rFonts w:eastAsiaTheme="minorEastAsia"/>
                <w:color w:val="000000" w:themeColor="text1"/>
                <w:szCs w:val="21"/>
              </w:rPr>
              <w:t>0.84%</w:t>
            </w:r>
          </w:p>
        </w:tc>
        <w:tc>
          <w:tcPr>
            <w:tcW w:w="1291" w:type="dxa"/>
            <w:vAlign w:val="center"/>
          </w:tcPr>
          <w:p w:rsidR="006D3840" w:rsidRDefault="00263463">
            <w:pPr>
              <w:jc w:val="right"/>
            </w:pPr>
            <w:r>
              <w:rPr>
                <w:rFonts w:eastAsiaTheme="minorEastAsia"/>
                <w:color w:val="000000" w:themeColor="text1"/>
                <w:szCs w:val="21"/>
              </w:rPr>
              <w:t>1.42%</w:t>
            </w:r>
          </w:p>
        </w:tc>
        <w:tc>
          <w:tcPr>
            <w:tcW w:w="1291" w:type="dxa"/>
            <w:vAlign w:val="center"/>
          </w:tcPr>
          <w:p w:rsidR="006D3840" w:rsidRDefault="00263463">
            <w:pPr>
              <w:jc w:val="right"/>
            </w:pPr>
            <w:r>
              <w:rPr>
                <w:rFonts w:eastAsiaTheme="minorEastAsia"/>
                <w:color w:val="000000" w:themeColor="text1"/>
                <w:szCs w:val="21"/>
              </w:rPr>
              <w:t>0.02%</w:t>
            </w:r>
          </w:p>
        </w:tc>
      </w:tr>
      <w:tr w:rsidR="006D3840">
        <w:tc>
          <w:tcPr>
            <w:tcW w:w="1290" w:type="dxa"/>
            <w:vAlign w:val="center"/>
          </w:tcPr>
          <w:p w:rsidR="006D3840" w:rsidRDefault="00263463">
            <w:pPr>
              <w:jc w:val="left"/>
            </w:pPr>
            <w:r>
              <w:rPr>
                <w:rFonts w:eastAsiaTheme="minorEastAsia"/>
                <w:color w:val="000000" w:themeColor="text1"/>
                <w:szCs w:val="21"/>
              </w:rPr>
              <w:t>过去六个月</w:t>
            </w:r>
          </w:p>
        </w:tc>
        <w:tc>
          <w:tcPr>
            <w:tcW w:w="1291" w:type="dxa"/>
            <w:vAlign w:val="center"/>
          </w:tcPr>
          <w:p w:rsidR="006D3840" w:rsidRDefault="00263463">
            <w:pPr>
              <w:jc w:val="right"/>
            </w:pPr>
            <w:r>
              <w:rPr>
                <w:rFonts w:eastAsiaTheme="minorEastAsia"/>
                <w:color w:val="000000" w:themeColor="text1"/>
                <w:szCs w:val="21"/>
              </w:rPr>
              <w:t>1.21%</w:t>
            </w:r>
          </w:p>
        </w:tc>
        <w:tc>
          <w:tcPr>
            <w:tcW w:w="1291" w:type="dxa"/>
            <w:vAlign w:val="center"/>
          </w:tcPr>
          <w:p w:rsidR="006D3840" w:rsidRDefault="00263463">
            <w:pPr>
              <w:jc w:val="right"/>
            </w:pPr>
            <w:r>
              <w:rPr>
                <w:rFonts w:eastAsiaTheme="minorEastAsia"/>
                <w:color w:val="000000" w:themeColor="text1"/>
                <w:szCs w:val="21"/>
              </w:rPr>
              <w:t>0.74%</w:t>
            </w:r>
          </w:p>
        </w:tc>
        <w:tc>
          <w:tcPr>
            <w:tcW w:w="1291" w:type="dxa"/>
            <w:vAlign w:val="center"/>
          </w:tcPr>
          <w:p w:rsidR="006D3840" w:rsidRDefault="00263463">
            <w:pPr>
              <w:jc w:val="right"/>
            </w:pPr>
            <w:r>
              <w:rPr>
                <w:rFonts w:eastAsiaTheme="minorEastAsia"/>
                <w:color w:val="000000" w:themeColor="text1"/>
                <w:szCs w:val="21"/>
              </w:rPr>
              <w:t>-2.72%</w:t>
            </w:r>
          </w:p>
        </w:tc>
        <w:tc>
          <w:tcPr>
            <w:tcW w:w="1291" w:type="dxa"/>
            <w:vAlign w:val="center"/>
          </w:tcPr>
          <w:p w:rsidR="006D3840" w:rsidRDefault="00263463">
            <w:pPr>
              <w:jc w:val="right"/>
            </w:pPr>
            <w:r>
              <w:rPr>
                <w:rFonts w:eastAsiaTheme="minorEastAsia"/>
                <w:color w:val="000000" w:themeColor="text1"/>
                <w:szCs w:val="21"/>
              </w:rPr>
              <w:t>0.72%</w:t>
            </w:r>
          </w:p>
        </w:tc>
        <w:tc>
          <w:tcPr>
            <w:tcW w:w="1291" w:type="dxa"/>
            <w:vAlign w:val="center"/>
          </w:tcPr>
          <w:p w:rsidR="006D3840" w:rsidRDefault="00263463">
            <w:pPr>
              <w:jc w:val="right"/>
            </w:pPr>
            <w:r>
              <w:rPr>
                <w:rFonts w:eastAsiaTheme="minorEastAsia"/>
                <w:color w:val="000000" w:themeColor="text1"/>
                <w:szCs w:val="21"/>
              </w:rPr>
              <w:t>3.93%</w:t>
            </w:r>
          </w:p>
        </w:tc>
        <w:tc>
          <w:tcPr>
            <w:tcW w:w="1291" w:type="dxa"/>
            <w:vAlign w:val="center"/>
          </w:tcPr>
          <w:p w:rsidR="006D3840" w:rsidRDefault="00263463">
            <w:pPr>
              <w:jc w:val="right"/>
            </w:pPr>
            <w:r>
              <w:rPr>
                <w:rFonts w:eastAsiaTheme="minorEastAsia"/>
                <w:color w:val="000000" w:themeColor="text1"/>
                <w:szCs w:val="21"/>
              </w:rPr>
              <w:t>0.02%</w:t>
            </w:r>
          </w:p>
        </w:tc>
      </w:tr>
      <w:tr w:rsidR="006D3840">
        <w:tc>
          <w:tcPr>
            <w:tcW w:w="1290" w:type="dxa"/>
            <w:vAlign w:val="center"/>
          </w:tcPr>
          <w:p w:rsidR="006D3840" w:rsidRDefault="00263463">
            <w:pPr>
              <w:jc w:val="left"/>
            </w:pPr>
            <w:r>
              <w:rPr>
                <w:rFonts w:eastAsiaTheme="minorEastAsia"/>
                <w:color w:val="000000" w:themeColor="text1"/>
                <w:szCs w:val="21"/>
              </w:rPr>
              <w:t>过去一年</w:t>
            </w:r>
          </w:p>
        </w:tc>
        <w:tc>
          <w:tcPr>
            <w:tcW w:w="1291" w:type="dxa"/>
            <w:vAlign w:val="center"/>
          </w:tcPr>
          <w:p w:rsidR="006D3840" w:rsidRDefault="00263463">
            <w:pPr>
              <w:jc w:val="right"/>
            </w:pPr>
            <w:r>
              <w:rPr>
                <w:rFonts w:eastAsiaTheme="minorEastAsia"/>
                <w:color w:val="000000" w:themeColor="text1"/>
                <w:szCs w:val="21"/>
              </w:rPr>
              <w:t>17.92%</w:t>
            </w:r>
          </w:p>
        </w:tc>
        <w:tc>
          <w:tcPr>
            <w:tcW w:w="1291" w:type="dxa"/>
            <w:vAlign w:val="center"/>
          </w:tcPr>
          <w:p w:rsidR="006D3840" w:rsidRDefault="00263463">
            <w:pPr>
              <w:jc w:val="right"/>
            </w:pPr>
            <w:r>
              <w:rPr>
                <w:rFonts w:eastAsiaTheme="minorEastAsia"/>
                <w:color w:val="000000" w:themeColor="text1"/>
                <w:szCs w:val="21"/>
              </w:rPr>
              <w:t>0.83%</w:t>
            </w:r>
          </w:p>
        </w:tc>
        <w:tc>
          <w:tcPr>
            <w:tcW w:w="1291" w:type="dxa"/>
            <w:vAlign w:val="center"/>
          </w:tcPr>
          <w:p w:rsidR="006D3840" w:rsidRDefault="00263463">
            <w:pPr>
              <w:jc w:val="right"/>
            </w:pPr>
            <w:r>
              <w:rPr>
                <w:rFonts w:eastAsiaTheme="minorEastAsia"/>
                <w:color w:val="000000" w:themeColor="text1"/>
                <w:szCs w:val="21"/>
              </w:rPr>
              <w:t>13.82%</w:t>
            </w:r>
          </w:p>
        </w:tc>
        <w:tc>
          <w:tcPr>
            <w:tcW w:w="1291" w:type="dxa"/>
            <w:vAlign w:val="center"/>
          </w:tcPr>
          <w:p w:rsidR="006D3840" w:rsidRDefault="00263463">
            <w:pPr>
              <w:jc w:val="right"/>
            </w:pPr>
            <w:r>
              <w:rPr>
                <w:rFonts w:eastAsiaTheme="minorEastAsia"/>
                <w:color w:val="000000" w:themeColor="text1"/>
                <w:szCs w:val="21"/>
              </w:rPr>
              <w:t>0.86%</w:t>
            </w:r>
          </w:p>
        </w:tc>
        <w:tc>
          <w:tcPr>
            <w:tcW w:w="1291" w:type="dxa"/>
            <w:vAlign w:val="center"/>
          </w:tcPr>
          <w:p w:rsidR="006D3840" w:rsidRDefault="00263463">
            <w:pPr>
              <w:jc w:val="right"/>
            </w:pPr>
            <w:r>
              <w:rPr>
                <w:rFonts w:eastAsiaTheme="minorEastAsia"/>
                <w:color w:val="000000" w:themeColor="text1"/>
                <w:szCs w:val="21"/>
              </w:rPr>
              <w:t>4.10%</w:t>
            </w:r>
          </w:p>
        </w:tc>
        <w:tc>
          <w:tcPr>
            <w:tcW w:w="1291" w:type="dxa"/>
            <w:vAlign w:val="center"/>
          </w:tcPr>
          <w:p w:rsidR="006D3840" w:rsidRDefault="00263463">
            <w:pPr>
              <w:jc w:val="right"/>
            </w:pPr>
            <w:r>
              <w:rPr>
                <w:rFonts w:eastAsiaTheme="minorEastAsia"/>
                <w:color w:val="000000" w:themeColor="text1"/>
                <w:szCs w:val="21"/>
              </w:rPr>
              <w:t>-0.03%</w:t>
            </w:r>
          </w:p>
        </w:tc>
      </w:tr>
      <w:tr w:rsidR="006D3840">
        <w:tc>
          <w:tcPr>
            <w:tcW w:w="1290" w:type="dxa"/>
            <w:vAlign w:val="center"/>
          </w:tcPr>
          <w:p w:rsidR="006D3840" w:rsidRDefault="00263463">
            <w:pPr>
              <w:jc w:val="left"/>
            </w:pPr>
            <w:r>
              <w:rPr>
                <w:rFonts w:eastAsiaTheme="minorEastAsia"/>
                <w:color w:val="000000" w:themeColor="text1"/>
                <w:szCs w:val="21"/>
              </w:rPr>
              <w:t>过去三年</w:t>
            </w:r>
          </w:p>
        </w:tc>
        <w:tc>
          <w:tcPr>
            <w:tcW w:w="1291" w:type="dxa"/>
            <w:vAlign w:val="center"/>
          </w:tcPr>
          <w:p w:rsidR="006D3840" w:rsidRDefault="00263463">
            <w:pPr>
              <w:jc w:val="right"/>
            </w:pPr>
            <w:r>
              <w:rPr>
                <w:rFonts w:eastAsiaTheme="minorEastAsia"/>
                <w:color w:val="000000" w:themeColor="text1"/>
                <w:szCs w:val="21"/>
              </w:rPr>
              <w:t>-14.24%</w:t>
            </w:r>
          </w:p>
        </w:tc>
        <w:tc>
          <w:tcPr>
            <w:tcW w:w="1291" w:type="dxa"/>
            <w:vAlign w:val="center"/>
          </w:tcPr>
          <w:p w:rsidR="006D3840" w:rsidRDefault="00263463">
            <w:pPr>
              <w:jc w:val="right"/>
            </w:pPr>
            <w:r>
              <w:rPr>
                <w:rFonts w:eastAsiaTheme="minorEastAsia"/>
                <w:color w:val="000000" w:themeColor="text1"/>
                <w:szCs w:val="21"/>
              </w:rPr>
              <w:t>1.05%</w:t>
            </w:r>
          </w:p>
        </w:tc>
        <w:tc>
          <w:tcPr>
            <w:tcW w:w="1291" w:type="dxa"/>
            <w:vAlign w:val="center"/>
          </w:tcPr>
          <w:p w:rsidR="006D3840" w:rsidRDefault="00263463">
            <w:pPr>
              <w:jc w:val="right"/>
            </w:pPr>
            <w:r>
              <w:rPr>
                <w:rFonts w:eastAsiaTheme="minorEastAsia"/>
                <w:color w:val="000000" w:themeColor="text1"/>
                <w:szCs w:val="21"/>
              </w:rPr>
              <w:t>-20.07%</w:t>
            </w:r>
          </w:p>
        </w:tc>
        <w:tc>
          <w:tcPr>
            <w:tcW w:w="1291" w:type="dxa"/>
            <w:vAlign w:val="center"/>
          </w:tcPr>
          <w:p w:rsidR="006D3840" w:rsidRDefault="00263463">
            <w:pPr>
              <w:jc w:val="right"/>
            </w:pPr>
            <w:r>
              <w:rPr>
                <w:rFonts w:eastAsiaTheme="minorEastAsia"/>
                <w:color w:val="000000" w:themeColor="text1"/>
                <w:szCs w:val="21"/>
              </w:rPr>
              <w:t>1.01%</w:t>
            </w:r>
          </w:p>
        </w:tc>
        <w:tc>
          <w:tcPr>
            <w:tcW w:w="1291" w:type="dxa"/>
            <w:vAlign w:val="center"/>
          </w:tcPr>
          <w:p w:rsidR="006D3840" w:rsidRDefault="00263463">
            <w:pPr>
              <w:jc w:val="right"/>
            </w:pPr>
            <w:r>
              <w:rPr>
                <w:rFonts w:eastAsiaTheme="minorEastAsia"/>
                <w:color w:val="000000" w:themeColor="text1"/>
                <w:szCs w:val="21"/>
              </w:rPr>
              <w:t>5.83%</w:t>
            </w:r>
          </w:p>
        </w:tc>
        <w:tc>
          <w:tcPr>
            <w:tcW w:w="1291" w:type="dxa"/>
            <w:vAlign w:val="center"/>
          </w:tcPr>
          <w:p w:rsidR="006D3840" w:rsidRDefault="00263463">
            <w:pPr>
              <w:jc w:val="right"/>
            </w:pPr>
            <w:r>
              <w:rPr>
                <w:rFonts w:eastAsiaTheme="minorEastAsia"/>
                <w:color w:val="000000" w:themeColor="text1"/>
                <w:szCs w:val="21"/>
              </w:rPr>
              <w:t>0.04%</w:t>
            </w:r>
          </w:p>
        </w:tc>
      </w:tr>
      <w:tr w:rsidR="006D3840">
        <w:tc>
          <w:tcPr>
            <w:tcW w:w="1290" w:type="dxa"/>
            <w:vAlign w:val="center"/>
          </w:tcPr>
          <w:p w:rsidR="006D3840" w:rsidRDefault="00263463">
            <w:pPr>
              <w:jc w:val="left"/>
            </w:pPr>
            <w:r>
              <w:rPr>
                <w:rFonts w:eastAsiaTheme="minorEastAsia"/>
                <w:color w:val="000000" w:themeColor="text1"/>
                <w:szCs w:val="21"/>
              </w:rPr>
              <w:t>过去五年</w:t>
            </w:r>
          </w:p>
        </w:tc>
        <w:tc>
          <w:tcPr>
            <w:tcW w:w="1291" w:type="dxa"/>
            <w:vAlign w:val="center"/>
          </w:tcPr>
          <w:p w:rsidR="006D3840" w:rsidRDefault="00263463">
            <w:pPr>
              <w:jc w:val="right"/>
            </w:pPr>
            <w:r>
              <w:rPr>
                <w:rFonts w:eastAsiaTheme="minorEastAsia"/>
                <w:color w:val="000000" w:themeColor="text1"/>
                <w:szCs w:val="21"/>
              </w:rPr>
              <w:t>-</w:t>
            </w:r>
          </w:p>
        </w:tc>
        <w:tc>
          <w:tcPr>
            <w:tcW w:w="1291" w:type="dxa"/>
            <w:vAlign w:val="center"/>
          </w:tcPr>
          <w:p w:rsidR="006D3840" w:rsidRDefault="00263463">
            <w:pPr>
              <w:jc w:val="right"/>
            </w:pPr>
            <w:r>
              <w:rPr>
                <w:rFonts w:eastAsiaTheme="minorEastAsia"/>
                <w:color w:val="000000" w:themeColor="text1"/>
                <w:szCs w:val="21"/>
              </w:rPr>
              <w:t>-</w:t>
            </w:r>
          </w:p>
        </w:tc>
        <w:tc>
          <w:tcPr>
            <w:tcW w:w="1291" w:type="dxa"/>
            <w:vAlign w:val="center"/>
          </w:tcPr>
          <w:p w:rsidR="006D3840" w:rsidRDefault="00263463">
            <w:pPr>
              <w:jc w:val="right"/>
            </w:pPr>
            <w:r>
              <w:rPr>
                <w:rFonts w:eastAsiaTheme="minorEastAsia"/>
                <w:color w:val="000000" w:themeColor="text1"/>
                <w:szCs w:val="21"/>
              </w:rPr>
              <w:t>-</w:t>
            </w:r>
          </w:p>
        </w:tc>
        <w:tc>
          <w:tcPr>
            <w:tcW w:w="1291" w:type="dxa"/>
            <w:vAlign w:val="center"/>
          </w:tcPr>
          <w:p w:rsidR="006D3840" w:rsidRDefault="00263463">
            <w:pPr>
              <w:jc w:val="right"/>
            </w:pPr>
            <w:r>
              <w:rPr>
                <w:rFonts w:eastAsiaTheme="minorEastAsia"/>
                <w:color w:val="000000" w:themeColor="text1"/>
                <w:szCs w:val="21"/>
              </w:rPr>
              <w:t>-</w:t>
            </w:r>
          </w:p>
        </w:tc>
        <w:tc>
          <w:tcPr>
            <w:tcW w:w="1291" w:type="dxa"/>
            <w:vAlign w:val="center"/>
          </w:tcPr>
          <w:p w:rsidR="006D3840" w:rsidRDefault="00263463">
            <w:pPr>
              <w:jc w:val="right"/>
            </w:pPr>
            <w:r>
              <w:rPr>
                <w:rFonts w:eastAsiaTheme="minorEastAsia"/>
                <w:color w:val="000000" w:themeColor="text1"/>
                <w:szCs w:val="21"/>
              </w:rPr>
              <w:t>-</w:t>
            </w:r>
          </w:p>
        </w:tc>
        <w:tc>
          <w:tcPr>
            <w:tcW w:w="1291" w:type="dxa"/>
            <w:vAlign w:val="center"/>
          </w:tcPr>
          <w:p w:rsidR="006D3840" w:rsidRDefault="00263463">
            <w:pPr>
              <w:jc w:val="right"/>
            </w:pPr>
            <w:r>
              <w:rPr>
                <w:rFonts w:eastAsiaTheme="minorEastAsia"/>
                <w:color w:val="000000" w:themeColor="text1"/>
                <w:szCs w:val="21"/>
              </w:rPr>
              <w:t>-</w:t>
            </w:r>
          </w:p>
        </w:tc>
      </w:tr>
      <w:tr w:rsidR="006D3840">
        <w:tc>
          <w:tcPr>
            <w:tcW w:w="1290" w:type="dxa"/>
            <w:vAlign w:val="center"/>
          </w:tcPr>
          <w:p w:rsidR="006D3840" w:rsidRDefault="00263463">
            <w:pPr>
              <w:jc w:val="left"/>
            </w:pPr>
            <w:r>
              <w:rPr>
                <w:rFonts w:eastAsiaTheme="minorEastAsia"/>
                <w:color w:val="000000" w:themeColor="text1"/>
                <w:szCs w:val="21"/>
              </w:rPr>
              <w:t>自基金合同生效起至今</w:t>
            </w:r>
          </w:p>
        </w:tc>
        <w:tc>
          <w:tcPr>
            <w:tcW w:w="1291" w:type="dxa"/>
            <w:vAlign w:val="center"/>
          </w:tcPr>
          <w:p w:rsidR="006D3840" w:rsidRDefault="00263463">
            <w:pPr>
              <w:jc w:val="right"/>
            </w:pPr>
            <w:r>
              <w:rPr>
                <w:rFonts w:eastAsiaTheme="minorEastAsia"/>
                <w:color w:val="000000" w:themeColor="text1"/>
                <w:szCs w:val="21"/>
              </w:rPr>
              <w:t>-12.69%</w:t>
            </w:r>
          </w:p>
        </w:tc>
        <w:tc>
          <w:tcPr>
            <w:tcW w:w="1291" w:type="dxa"/>
            <w:vAlign w:val="center"/>
          </w:tcPr>
          <w:p w:rsidR="006D3840" w:rsidRDefault="00263463">
            <w:pPr>
              <w:jc w:val="right"/>
            </w:pPr>
            <w:r>
              <w:rPr>
                <w:rFonts w:eastAsiaTheme="minorEastAsia"/>
                <w:color w:val="000000" w:themeColor="text1"/>
                <w:szCs w:val="21"/>
              </w:rPr>
              <w:t>1.00%</w:t>
            </w:r>
          </w:p>
        </w:tc>
        <w:tc>
          <w:tcPr>
            <w:tcW w:w="1291" w:type="dxa"/>
            <w:vAlign w:val="center"/>
          </w:tcPr>
          <w:p w:rsidR="006D3840" w:rsidRDefault="00263463">
            <w:pPr>
              <w:jc w:val="right"/>
            </w:pPr>
            <w:r>
              <w:rPr>
                <w:rFonts w:eastAsiaTheme="minorEastAsia"/>
                <w:color w:val="000000" w:themeColor="text1"/>
                <w:szCs w:val="21"/>
              </w:rPr>
              <w:t>-18.76%</w:t>
            </w:r>
          </w:p>
        </w:tc>
        <w:tc>
          <w:tcPr>
            <w:tcW w:w="1291" w:type="dxa"/>
            <w:vAlign w:val="center"/>
          </w:tcPr>
          <w:p w:rsidR="006D3840" w:rsidRDefault="00263463">
            <w:pPr>
              <w:jc w:val="right"/>
            </w:pPr>
            <w:r>
              <w:rPr>
                <w:rFonts w:eastAsiaTheme="minorEastAsia"/>
                <w:color w:val="000000" w:themeColor="text1"/>
                <w:szCs w:val="21"/>
              </w:rPr>
              <w:t>0.98%</w:t>
            </w:r>
          </w:p>
        </w:tc>
        <w:tc>
          <w:tcPr>
            <w:tcW w:w="1291" w:type="dxa"/>
            <w:vAlign w:val="center"/>
          </w:tcPr>
          <w:p w:rsidR="006D3840" w:rsidRDefault="00263463">
            <w:pPr>
              <w:jc w:val="right"/>
            </w:pPr>
            <w:r>
              <w:rPr>
                <w:rFonts w:eastAsiaTheme="minorEastAsia"/>
                <w:color w:val="000000" w:themeColor="text1"/>
                <w:szCs w:val="21"/>
              </w:rPr>
              <w:t>6.07%</w:t>
            </w:r>
          </w:p>
        </w:tc>
        <w:tc>
          <w:tcPr>
            <w:tcW w:w="1291" w:type="dxa"/>
            <w:vAlign w:val="center"/>
          </w:tcPr>
          <w:p w:rsidR="006D3840" w:rsidRDefault="00263463">
            <w:pPr>
              <w:jc w:val="right"/>
            </w:pPr>
            <w:r>
              <w:rPr>
                <w:rFonts w:eastAsiaTheme="minorEastAsia"/>
                <w:color w:val="000000" w:themeColor="text1"/>
                <w:szCs w:val="21"/>
              </w:rPr>
              <w:t>0.02%</w:t>
            </w:r>
          </w:p>
        </w:tc>
      </w:tr>
    </w:tbl>
    <w:p w:rsidR="009A3BD8" w:rsidRPr="00EE3DBC" w:rsidRDefault="009A3BD8" w:rsidP="009A3BD8">
      <w:pPr>
        <w:spacing w:beforeLines="100" w:before="312" w:line="360" w:lineRule="auto"/>
        <w:rPr>
          <w:rFonts w:eastAsiaTheme="minorEastAsia"/>
          <w:b/>
          <w:color w:val="000000" w:themeColor="text1"/>
          <w:kern w:val="0"/>
          <w:szCs w:val="21"/>
        </w:rPr>
      </w:pPr>
      <w:r w:rsidRPr="00EE3DBC">
        <w:rPr>
          <w:rFonts w:eastAsiaTheme="minorEastAsia"/>
          <w:b/>
          <w:color w:val="000000" w:themeColor="text1"/>
          <w:kern w:val="0"/>
          <w:szCs w:val="21"/>
        </w:rPr>
        <w:t>3.2.2</w:t>
      </w:r>
      <w:r w:rsidRPr="00EE3DBC">
        <w:rPr>
          <w:rFonts w:eastAsiaTheme="minorEastAsia"/>
          <w:b/>
          <w:color w:val="000000" w:themeColor="text1"/>
          <w:kern w:val="0"/>
          <w:szCs w:val="21"/>
        </w:rPr>
        <w:t xml:space="preserve">　</w:t>
      </w:r>
      <w:r w:rsidRPr="00EE3DBC">
        <w:rPr>
          <w:rStyle w:val="af4"/>
          <w:color w:val="000000" w:themeColor="text1"/>
          <w:szCs w:val="21"/>
          <w:shd w:val="clear" w:color="auto" w:fill="FFFFFF"/>
        </w:rPr>
        <w:t>自基金合同生效以来</w:t>
      </w:r>
      <w:r w:rsidRPr="00EE3DBC">
        <w:rPr>
          <w:rFonts w:eastAsiaTheme="minorEastAsia"/>
          <w:b/>
          <w:color w:val="000000" w:themeColor="text1"/>
          <w:szCs w:val="21"/>
        </w:rPr>
        <w:t>基金累计净值增长率变动及其与同期业绩比较基准收益率变动的比较</w:t>
      </w:r>
    </w:p>
    <w:p w:rsidR="009A3BD8" w:rsidRPr="00EE3DBC" w:rsidRDefault="009A3BD8" w:rsidP="009A3BD8">
      <w:pPr>
        <w:spacing w:line="360" w:lineRule="auto"/>
        <w:jc w:val="center"/>
        <w:rPr>
          <w:rFonts w:eastAsiaTheme="minorEastAsia"/>
          <w:color w:val="000000" w:themeColor="text1"/>
          <w:szCs w:val="21"/>
        </w:rPr>
      </w:pPr>
      <w:r w:rsidRPr="00EE3DBC">
        <w:rPr>
          <w:rFonts w:eastAsiaTheme="minorEastAsia"/>
          <w:color w:val="000000" w:themeColor="text1"/>
          <w:szCs w:val="21"/>
        </w:rPr>
        <w:t>上投摩根标普港股通低波红利指数型证券投资基金</w:t>
      </w:r>
    </w:p>
    <w:p w:rsidR="009A3BD8" w:rsidRPr="00EE3DBC" w:rsidRDefault="009A3BD8" w:rsidP="009A3BD8">
      <w:pPr>
        <w:pStyle w:val="a9"/>
        <w:snapToGrid w:val="0"/>
        <w:spacing w:line="360" w:lineRule="auto"/>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累计净值增长率与业绩比较基准收益率的历史走势对比图</w:t>
      </w:r>
    </w:p>
    <w:p w:rsidR="009A3BD8" w:rsidRPr="00EE3DBC" w:rsidRDefault="009A3BD8" w:rsidP="009A3BD8">
      <w:pPr>
        <w:pStyle w:val="a9"/>
        <w:snapToGrid w:val="0"/>
        <w:spacing w:line="360" w:lineRule="auto"/>
        <w:ind w:firstLine="480"/>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(2017</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12</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4</w:t>
      </w:r>
      <w:r w:rsidRPr="00EE3DBC">
        <w:rPr>
          <w:rFonts w:ascii="Times New Roman" w:eastAsiaTheme="minorEastAsia" w:hAnsi="Times New Roman"/>
          <w:color w:val="000000" w:themeColor="text1"/>
        </w:rPr>
        <w:t>日至</w:t>
      </w:r>
      <w:r w:rsidRPr="00EE3DBC">
        <w:rPr>
          <w:rFonts w:ascii="Times New Roman" w:eastAsiaTheme="minorEastAsia" w:hAnsi="Times New Roman"/>
          <w:color w:val="000000" w:themeColor="text1"/>
        </w:rPr>
        <w:t>2021</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9</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30</w:t>
      </w:r>
      <w:r w:rsidRPr="00EE3DBC">
        <w:rPr>
          <w:rFonts w:ascii="Times New Roman" w:eastAsiaTheme="minorEastAsia" w:hAnsi="Times New Roman"/>
          <w:color w:val="000000" w:themeColor="text1"/>
        </w:rPr>
        <w:t>日</w:t>
      </w:r>
      <w:r w:rsidRPr="00EE3DBC">
        <w:rPr>
          <w:rFonts w:ascii="Times New Roman" w:eastAsiaTheme="minorEastAsia" w:hAnsi="Times New Roman"/>
          <w:color w:val="000000" w:themeColor="text1"/>
        </w:rPr>
        <w:t>)</w:t>
      </w:r>
    </w:p>
    <w:p w:rsidR="009A3BD8" w:rsidRPr="00EE3DBC" w:rsidRDefault="009A3BD8" w:rsidP="009A3BD8">
      <w:pPr>
        <w:snapToGrid w:val="0"/>
        <w:spacing w:line="360" w:lineRule="auto"/>
        <w:rPr>
          <w:rFonts w:eastAsiaTheme="minorEastAsia"/>
          <w:color w:val="000000" w:themeColor="text1"/>
          <w:szCs w:val="21"/>
        </w:rPr>
      </w:pPr>
      <w:r w:rsidRPr="00EE3DBC">
        <w:rPr>
          <w:rFonts w:eastAsiaTheme="minorEastAsia"/>
          <w:color w:val="000000" w:themeColor="text1"/>
          <w:szCs w:val="21"/>
        </w:rPr>
        <w:t>1</w:t>
      </w: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A</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lastRenderedPageBreak/>
        <w:drawing>
          <wp:inline distT="0" distB="0" distL="0" distR="0" wp14:anchorId="7CC319B6" wp14:editId="63BE4B82">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D3840" w:rsidRDefault="0026346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日，图示的时间段为合同生效日至本报告期末。</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snapToGrid w:val="0"/>
        <w:spacing w:beforeLines="100" w:before="312" w:line="360" w:lineRule="auto"/>
        <w:rPr>
          <w:rFonts w:eastAsiaTheme="minorEastAsia"/>
          <w:color w:val="000000" w:themeColor="text1"/>
          <w:szCs w:val="21"/>
        </w:rPr>
      </w:pPr>
      <w:r w:rsidRPr="00EE3DBC">
        <w:rPr>
          <w:rFonts w:eastAsiaTheme="minorEastAsia"/>
          <w:color w:val="000000" w:themeColor="text1"/>
          <w:szCs w:val="21"/>
        </w:rPr>
        <w:t>2</w:t>
      </w: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C</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drawing>
          <wp:inline distT="0" distB="0" distL="0" distR="0" wp14:anchorId="1663A5C0" wp14:editId="07DA8355">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D3840" w:rsidRDefault="0026346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日，图示的时间段为合同生效日至本报告期末。</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w:t>
      </w:r>
      <w:r w:rsidRPr="00EE3DBC">
        <w:rPr>
          <w:rFonts w:eastAsiaTheme="minorEastAsia"/>
          <w:color w:val="000000" w:themeColor="text1"/>
          <w:szCs w:val="21"/>
        </w:rPr>
        <w:lastRenderedPageBreak/>
        <w:t>基金合同规定。</w:t>
      </w:r>
    </w:p>
    <w:p w:rsidR="009A3BD8" w:rsidRPr="00EE3DBC" w:rsidRDefault="009A3BD8" w:rsidP="009A3BD8">
      <w:pPr>
        <w:tabs>
          <w:tab w:val="left" w:pos="1800"/>
        </w:tabs>
        <w:spacing w:line="288" w:lineRule="auto"/>
        <w:rPr>
          <w:rFonts w:eastAsiaTheme="minorEastAsia"/>
          <w:color w:val="000000" w:themeColor="text1"/>
          <w:szCs w:val="21"/>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§4  </w:t>
      </w:r>
      <w:r w:rsidRPr="00EE3DBC">
        <w:rPr>
          <w:rFonts w:eastAsiaTheme="minorEastAsia"/>
          <w:color w:val="000000" w:themeColor="text1"/>
          <w:kern w:val="0"/>
          <w:sz w:val="24"/>
          <w:szCs w:val="24"/>
        </w:rPr>
        <w:t>管理人报告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4.1 </w:t>
      </w:r>
      <w:r w:rsidRPr="00EE3DBC">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A960A3" w:rsidRPr="00EE3DBC">
        <w:trPr>
          <w:cantSplit/>
        </w:trPr>
        <w:tc>
          <w:tcPr>
            <w:tcW w:w="952"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姓名</w:t>
            </w:r>
          </w:p>
        </w:tc>
        <w:tc>
          <w:tcPr>
            <w:tcW w:w="930"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职务</w:t>
            </w:r>
          </w:p>
        </w:tc>
        <w:tc>
          <w:tcPr>
            <w:tcW w:w="2519" w:type="dxa"/>
            <w:gridSpan w:val="2"/>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任本基金的基金经理期限</w:t>
            </w:r>
          </w:p>
        </w:tc>
        <w:tc>
          <w:tcPr>
            <w:tcW w:w="1254"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证券从业年限</w:t>
            </w:r>
          </w:p>
        </w:tc>
        <w:tc>
          <w:tcPr>
            <w:tcW w:w="3276"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说明</w:t>
            </w:r>
          </w:p>
        </w:tc>
      </w:tr>
      <w:tr w:rsidR="00A960A3" w:rsidRPr="00EE3DBC">
        <w:trPr>
          <w:cantSplit/>
        </w:trPr>
        <w:tc>
          <w:tcPr>
            <w:tcW w:w="952"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930" w:type="dxa"/>
            <w:vMerge/>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1210"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任职日期</w:t>
            </w:r>
          </w:p>
        </w:tc>
        <w:tc>
          <w:tcPr>
            <w:tcW w:w="1309"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离任日期</w:t>
            </w:r>
          </w:p>
        </w:tc>
        <w:tc>
          <w:tcPr>
            <w:tcW w:w="1254"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3276"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r>
      <w:tr w:rsidR="006D3840">
        <w:tc>
          <w:tcPr>
            <w:tcW w:w="952" w:type="dxa"/>
            <w:vAlign w:val="center"/>
          </w:tcPr>
          <w:p w:rsidR="006D3840" w:rsidRDefault="00263463">
            <w:pPr>
              <w:jc w:val="center"/>
            </w:pPr>
            <w:r>
              <w:rPr>
                <w:rFonts w:eastAsiaTheme="minorEastAsia"/>
                <w:color w:val="000000" w:themeColor="text1"/>
                <w:sz w:val="24"/>
              </w:rPr>
              <w:t>张军</w:t>
            </w:r>
          </w:p>
        </w:tc>
        <w:tc>
          <w:tcPr>
            <w:tcW w:w="930" w:type="dxa"/>
            <w:vAlign w:val="center"/>
          </w:tcPr>
          <w:p w:rsidR="006D3840" w:rsidRDefault="00263463">
            <w:pPr>
              <w:jc w:val="center"/>
            </w:pPr>
            <w:r>
              <w:rPr>
                <w:rFonts w:eastAsiaTheme="minorEastAsia"/>
                <w:color w:val="000000" w:themeColor="text1"/>
                <w:sz w:val="24"/>
              </w:rPr>
              <w:t>本基金基金经理、投资董事</w:t>
            </w:r>
          </w:p>
        </w:tc>
        <w:tc>
          <w:tcPr>
            <w:tcW w:w="1210" w:type="dxa"/>
            <w:vAlign w:val="center"/>
          </w:tcPr>
          <w:p w:rsidR="006D3840" w:rsidRDefault="00263463">
            <w:pPr>
              <w:jc w:val="center"/>
            </w:pPr>
            <w:r>
              <w:rPr>
                <w:rFonts w:eastAsiaTheme="minorEastAsia"/>
                <w:color w:val="000000" w:themeColor="text1"/>
                <w:sz w:val="24"/>
              </w:rPr>
              <w:t>2021-06-08</w:t>
            </w:r>
          </w:p>
        </w:tc>
        <w:tc>
          <w:tcPr>
            <w:tcW w:w="1309" w:type="dxa"/>
            <w:vAlign w:val="center"/>
          </w:tcPr>
          <w:p w:rsidR="006D3840" w:rsidRDefault="00263463">
            <w:pPr>
              <w:jc w:val="center"/>
            </w:pPr>
            <w:r>
              <w:rPr>
                <w:rFonts w:eastAsiaTheme="minorEastAsia"/>
                <w:color w:val="000000" w:themeColor="text1"/>
                <w:sz w:val="24"/>
              </w:rPr>
              <w:t>-</w:t>
            </w:r>
          </w:p>
        </w:tc>
        <w:tc>
          <w:tcPr>
            <w:tcW w:w="1254" w:type="dxa"/>
            <w:vAlign w:val="center"/>
          </w:tcPr>
          <w:p w:rsidR="006D3840" w:rsidRDefault="00263463">
            <w:pPr>
              <w:jc w:val="center"/>
            </w:pPr>
            <w:r>
              <w:rPr>
                <w:rFonts w:eastAsiaTheme="minorEastAsia"/>
                <w:color w:val="000000" w:themeColor="text1"/>
                <w:sz w:val="24"/>
              </w:rPr>
              <w:t>17</w:t>
            </w:r>
            <w:r>
              <w:rPr>
                <w:rFonts w:eastAsiaTheme="minorEastAsia"/>
                <w:color w:val="000000" w:themeColor="text1"/>
                <w:sz w:val="24"/>
              </w:rPr>
              <w:t>年（金融领域从业经验</w:t>
            </w:r>
            <w:r>
              <w:rPr>
                <w:rFonts w:eastAsiaTheme="minorEastAsia"/>
                <w:color w:val="000000" w:themeColor="text1"/>
                <w:sz w:val="24"/>
              </w:rPr>
              <w:t>28</w:t>
            </w:r>
            <w:r>
              <w:rPr>
                <w:rFonts w:eastAsiaTheme="minorEastAsia"/>
                <w:color w:val="000000" w:themeColor="text1"/>
                <w:sz w:val="24"/>
              </w:rPr>
              <w:t>年）</w:t>
            </w:r>
          </w:p>
        </w:tc>
        <w:tc>
          <w:tcPr>
            <w:tcW w:w="3276" w:type="dxa"/>
            <w:vAlign w:val="center"/>
          </w:tcPr>
          <w:p w:rsidR="006D3840" w:rsidRDefault="00263463">
            <w:r>
              <w:rPr>
                <w:rFonts w:eastAsiaTheme="minorEastAsia"/>
                <w:color w:val="000000" w:themeColor="text1"/>
                <w:sz w:val="24"/>
              </w:rPr>
              <w:t>基金经理张军先生，毕业于上海复旦大学。曾担任上海国际信托有限公司国际业务部经理，交易部经理。</w:t>
            </w:r>
            <w:r>
              <w:rPr>
                <w:rFonts w:eastAsiaTheme="minorEastAsia"/>
                <w:color w:val="000000" w:themeColor="text1"/>
                <w:sz w:val="24"/>
              </w:rPr>
              <w:t>2004</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月加入上投摩根基金管理有限公司，先后担任交易部总监、投资经理、基金经理、投资组合管理部总监、投资绩效评估总监、国际投资部总监、组合基金投资部总监，现担任投资董事兼高级基金经理。自</w:t>
            </w:r>
            <w:r>
              <w:rPr>
                <w:rFonts w:eastAsiaTheme="minorEastAsia"/>
                <w:color w:val="000000" w:themeColor="text1"/>
                <w:sz w:val="24"/>
              </w:rPr>
              <w:t>2008</w:t>
            </w:r>
            <w:r>
              <w:rPr>
                <w:rFonts w:eastAsiaTheme="minorEastAsia"/>
                <w:color w:val="000000" w:themeColor="text1"/>
                <w:sz w:val="24"/>
              </w:rPr>
              <w:t>年</w:t>
            </w:r>
            <w:r>
              <w:rPr>
                <w:rFonts w:eastAsiaTheme="minorEastAsia"/>
                <w:color w:val="000000" w:themeColor="text1"/>
                <w:sz w:val="24"/>
              </w:rPr>
              <w:t>3</w:t>
            </w:r>
            <w:r>
              <w:rPr>
                <w:rFonts w:eastAsiaTheme="minorEastAsia"/>
                <w:color w:val="000000" w:themeColor="text1"/>
                <w:sz w:val="24"/>
              </w:rPr>
              <w:t>月起担任上投摩根亚太优势混合型证券投资基金基金经理，自</w:t>
            </w:r>
            <w:r>
              <w:rPr>
                <w:rFonts w:eastAsiaTheme="minorEastAsia"/>
                <w:color w:val="000000" w:themeColor="text1"/>
                <w:sz w:val="24"/>
              </w:rPr>
              <w:t>2012</w:t>
            </w:r>
            <w:r>
              <w:rPr>
                <w:rFonts w:eastAsiaTheme="minorEastAsia"/>
                <w:color w:val="000000" w:themeColor="text1"/>
                <w:sz w:val="24"/>
              </w:rPr>
              <w:t>年</w:t>
            </w:r>
            <w:r>
              <w:rPr>
                <w:rFonts w:eastAsiaTheme="minorEastAsia"/>
                <w:color w:val="000000" w:themeColor="text1"/>
                <w:sz w:val="24"/>
              </w:rPr>
              <w:t>3</w:t>
            </w:r>
            <w:r>
              <w:rPr>
                <w:rFonts w:eastAsiaTheme="minorEastAsia"/>
                <w:color w:val="000000" w:themeColor="text1"/>
                <w:sz w:val="24"/>
              </w:rPr>
              <w:t>月起同时担任上投摩根全球天然资源混合型证券投资基金基金经理，自</w:t>
            </w:r>
            <w:r>
              <w:rPr>
                <w:rFonts w:eastAsiaTheme="minorEastAsia"/>
                <w:color w:val="000000" w:themeColor="text1"/>
                <w:sz w:val="24"/>
              </w:rPr>
              <w:t>2016</w:t>
            </w:r>
            <w:r>
              <w:rPr>
                <w:rFonts w:eastAsiaTheme="minorEastAsia"/>
                <w:color w:val="000000" w:themeColor="text1"/>
                <w:sz w:val="24"/>
              </w:rPr>
              <w:t>年</w:t>
            </w:r>
            <w:r>
              <w:rPr>
                <w:rFonts w:eastAsiaTheme="minorEastAsia"/>
                <w:color w:val="000000" w:themeColor="text1"/>
                <w:sz w:val="24"/>
              </w:rPr>
              <w:t>12</w:t>
            </w:r>
            <w:r>
              <w:rPr>
                <w:rFonts w:eastAsiaTheme="minorEastAsia"/>
                <w:color w:val="000000" w:themeColor="text1"/>
                <w:sz w:val="24"/>
              </w:rPr>
              <w:t>月起同时担任上投摩根全球多元配置证券投资基金基金经理，自</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月起同时担任上投摩根欧洲动力策略股票型证券投资基金（</w:t>
            </w:r>
            <w:r>
              <w:rPr>
                <w:rFonts w:eastAsiaTheme="minorEastAsia"/>
                <w:color w:val="000000" w:themeColor="text1"/>
                <w:sz w:val="24"/>
              </w:rPr>
              <w:t>QDII</w:t>
            </w:r>
            <w:r>
              <w:rPr>
                <w:rFonts w:eastAsiaTheme="minorEastAsia"/>
                <w:color w:val="000000" w:themeColor="text1"/>
                <w:sz w:val="24"/>
              </w:rPr>
              <w:t>）基金经理，自</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月起同时担任上投摩根日本精选股票型证券投资基金（</w:t>
            </w:r>
            <w:r>
              <w:rPr>
                <w:rFonts w:eastAsiaTheme="minorEastAsia"/>
                <w:color w:val="000000" w:themeColor="text1"/>
                <w:sz w:val="24"/>
              </w:rPr>
              <w:t>QDII</w:t>
            </w:r>
            <w:r>
              <w:rPr>
                <w:rFonts w:eastAsiaTheme="minorEastAsia"/>
                <w:color w:val="000000" w:themeColor="text1"/>
                <w:sz w:val="24"/>
              </w:rPr>
              <w:t>）基金经理，自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月起同时担任上投摩根富时发达市场</w:t>
            </w:r>
            <w:r>
              <w:rPr>
                <w:rFonts w:eastAsiaTheme="minorEastAsia"/>
                <w:color w:val="000000" w:themeColor="text1"/>
                <w:sz w:val="24"/>
              </w:rPr>
              <w:t>REITs</w:t>
            </w:r>
            <w:r>
              <w:rPr>
                <w:rFonts w:eastAsiaTheme="minorEastAsia"/>
                <w:color w:val="000000" w:themeColor="text1"/>
                <w:sz w:val="24"/>
              </w:rPr>
              <w:t>指数型证券投资基金（</w:t>
            </w:r>
            <w:r>
              <w:rPr>
                <w:rFonts w:eastAsiaTheme="minorEastAsia"/>
                <w:color w:val="000000" w:themeColor="text1"/>
                <w:sz w:val="24"/>
              </w:rPr>
              <w:t>QDII</w:t>
            </w:r>
            <w:r>
              <w:rPr>
                <w:rFonts w:eastAsiaTheme="minorEastAsia"/>
                <w:color w:val="000000" w:themeColor="text1"/>
                <w:sz w:val="24"/>
              </w:rPr>
              <w:t>）基金经理，自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月起同时担任上投摩根全球新兴市场混合型证券投资基金及上投摩根标普港股通低波红利指数型证券投资基</w:t>
            </w:r>
            <w:r>
              <w:rPr>
                <w:rFonts w:eastAsiaTheme="minorEastAsia"/>
                <w:color w:val="000000" w:themeColor="text1"/>
                <w:sz w:val="24"/>
              </w:rPr>
              <w:lastRenderedPageBreak/>
              <w:t>金基金经理。</w:t>
            </w:r>
          </w:p>
        </w:tc>
      </w:tr>
      <w:tr w:rsidR="006D3840">
        <w:tc>
          <w:tcPr>
            <w:tcW w:w="952" w:type="dxa"/>
            <w:vAlign w:val="center"/>
          </w:tcPr>
          <w:p w:rsidR="006D3840" w:rsidRDefault="00263463">
            <w:pPr>
              <w:jc w:val="center"/>
            </w:pPr>
            <w:r>
              <w:rPr>
                <w:rFonts w:eastAsiaTheme="minorEastAsia"/>
                <w:color w:val="000000" w:themeColor="text1"/>
                <w:sz w:val="24"/>
              </w:rPr>
              <w:lastRenderedPageBreak/>
              <w:t>胡迪</w:t>
            </w:r>
          </w:p>
        </w:tc>
        <w:tc>
          <w:tcPr>
            <w:tcW w:w="930" w:type="dxa"/>
            <w:vAlign w:val="center"/>
          </w:tcPr>
          <w:p w:rsidR="006D3840" w:rsidRDefault="00263463">
            <w:pPr>
              <w:jc w:val="center"/>
            </w:pPr>
            <w:r>
              <w:rPr>
                <w:rFonts w:eastAsiaTheme="minorEastAsia"/>
                <w:color w:val="000000" w:themeColor="text1"/>
                <w:sz w:val="24"/>
              </w:rPr>
              <w:t>本基金基金经理、指数及量化投资部总监</w:t>
            </w:r>
          </w:p>
        </w:tc>
        <w:tc>
          <w:tcPr>
            <w:tcW w:w="1210" w:type="dxa"/>
            <w:vAlign w:val="center"/>
          </w:tcPr>
          <w:p w:rsidR="006D3840" w:rsidRDefault="00263463">
            <w:pPr>
              <w:jc w:val="center"/>
            </w:pPr>
            <w:r>
              <w:rPr>
                <w:rFonts w:eastAsiaTheme="minorEastAsia"/>
                <w:color w:val="000000" w:themeColor="text1"/>
                <w:sz w:val="24"/>
              </w:rPr>
              <w:t>2021-01-07</w:t>
            </w:r>
          </w:p>
        </w:tc>
        <w:tc>
          <w:tcPr>
            <w:tcW w:w="1309" w:type="dxa"/>
            <w:vAlign w:val="center"/>
          </w:tcPr>
          <w:p w:rsidR="006D3840" w:rsidRDefault="00263463">
            <w:pPr>
              <w:jc w:val="center"/>
            </w:pPr>
            <w:r>
              <w:rPr>
                <w:rFonts w:eastAsiaTheme="minorEastAsia"/>
                <w:color w:val="000000" w:themeColor="text1"/>
                <w:sz w:val="24"/>
              </w:rPr>
              <w:t>-</w:t>
            </w:r>
          </w:p>
        </w:tc>
        <w:tc>
          <w:tcPr>
            <w:tcW w:w="1254" w:type="dxa"/>
            <w:vAlign w:val="center"/>
          </w:tcPr>
          <w:p w:rsidR="006D3840" w:rsidRDefault="00263463">
            <w:pPr>
              <w:jc w:val="center"/>
            </w:pPr>
            <w:r>
              <w:rPr>
                <w:rFonts w:eastAsiaTheme="minorEastAsia"/>
                <w:color w:val="000000" w:themeColor="text1"/>
                <w:sz w:val="24"/>
              </w:rPr>
              <w:t>14</w:t>
            </w:r>
            <w:r>
              <w:rPr>
                <w:rFonts w:eastAsiaTheme="minorEastAsia"/>
                <w:color w:val="000000" w:themeColor="text1"/>
                <w:sz w:val="24"/>
              </w:rPr>
              <w:t>年</w:t>
            </w:r>
          </w:p>
        </w:tc>
        <w:tc>
          <w:tcPr>
            <w:tcW w:w="3276" w:type="dxa"/>
            <w:vAlign w:val="center"/>
          </w:tcPr>
          <w:p w:rsidR="006D3840" w:rsidRDefault="00263463">
            <w:r>
              <w:rPr>
                <w:rFonts w:eastAsiaTheme="minorEastAsia"/>
                <w:color w:val="000000" w:themeColor="text1"/>
                <w:sz w:val="24"/>
              </w:rPr>
              <w:t>胡迪女士，</w:t>
            </w:r>
            <w:r>
              <w:rPr>
                <w:rFonts w:eastAsiaTheme="minorEastAsia"/>
                <w:color w:val="000000" w:themeColor="text1"/>
                <w:sz w:val="24"/>
              </w:rPr>
              <w:t>CFA</w:t>
            </w:r>
            <w:r>
              <w:rPr>
                <w:rFonts w:eastAsiaTheme="minorEastAsia"/>
                <w:color w:val="000000" w:themeColor="text1"/>
                <w:sz w:val="24"/>
              </w:rPr>
              <w:t>，</w:t>
            </w:r>
            <w:r>
              <w:rPr>
                <w:rFonts w:eastAsiaTheme="minorEastAsia"/>
                <w:color w:val="000000" w:themeColor="text1"/>
                <w:sz w:val="24"/>
              </w:rPr>
              <w:t>FRM</w:t>
            </w:r>
            <w:r>
              <w:rPr>
                <w:rFonts w:eastAsiaTheme="minorEastAsia"/>
                <w:color w:val="000000" w:themeColor="text1"/>
                <w:sz w:val="24"/>
              </w:rPr>
              <w:t>，美国哥伦比亚大学金融工程硕士，现任指数及量化投资部总监。胡迪女士自</w:t>
            </w:r>
            <w:r>
              <w:rPr>
                <w:rFonts w:eastAsiaTheme="minorEastAsia"/>
                <w:color w:val="000000" w:themeColor="text1"/>
                <w:sz w:val="24"/>
              </w:rPr>
              <w:t>2008</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月至</w:t>
            </w:r>
            <w:r>
              <w:rPr>
                <w:rFonts w:eastAsiaTheme="minorEastAsia"/>
                <w:color w:val="000000" w:themeColor="text1"/>
                <w:sz w:val="24"/>
              </w:rPr>
              <w:t>2009</w:t>
            </w:r>
            <w:r>
              <w:rPr>
                <w:rFonts w:eastAsiaTheme="minorEastAsia"/>
                <w:color w:val="000000" w:themeColor="text1"/>
                <w:sz w:val="24"/>
              </w:rPr>
              <w:t>年</w:t>
            </w:r>
            <w:r>
              <w:rPr>
                <w:rFonts w:eastAsiaTheme="minorEastAsia"/>
                <w:color w:val="000000" w:themeColor="text1"/>
                <w:sz w:val="24"/>
              </w:rPr>
              <w:t>12</w:t>
            </w:r>
            <w:r>
              <w:rPr>
                <w:rFonts w:eastAsiaTheme="minorEastAsia"/>
                <w:color w:val="000000" w:themeColor="text1"/>
                <w:sz w:val="24"/>
              </w:rPr>
              <w:t>月在纽约美林证券担任全球资产管理部高级经理；自</w:t>
            </w:r>
            <w:r>
              <w:rPr>
                <w:rFonts w:eastAsiaTheme="minorEastAsia"/>
                <w:color w:val="000000" w:themeColor="text1"/>
                <w:sz w:val="24"/>
              </w:rPr>
              <w:t>2010</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月至</w:t>
            </w:r>
            <w:r>
              <w:rPr>
                <w:rFonts w:eastAsiaTheme="minorEastAsia"/>
                <w:color w:val="000000" w:themeColor="text1"/>
                <w:sz w:val="24"/>
              </w:rPr>
              <w:t>2012</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月在纽约标准普尔担任量化投资主管；自</w:t>
            </w:r>
            <w:r>
              <w:rPr>
                <w:rFonts w:eastAsiaTheme="minorEastAsia"/>
                <w:color w:val="000000" w:themeColor="text1"/>
                <w:sz w:val="24"/>
              </w:rPr>
              <w:t>2012</w:t>
            </w:r>
            <w:r>
              <w:rPr>
                <w:rFonts w:eastAsiaTheme="minorEastAsia"/>
                <w:color w:val="000000" w:themeColor="text1"/>
                <w:sz w:val="24"/>
              </w:rPr>
              <w:t>年</w:t>
            </w:r>
            <w:r>
              <w:rPr>
                <w:rFonts w:eastAsiaTheme="minorEastAsia"/>
                <w:color w:val="000000" w:themeColor="text1"/>
                <w:sz w:val="24"/>
              </w:rPr>
              <w:t>11</w:t>
            </w:r>
            <w:r>
              <w:rPr>
                <w:rFonts w:eastAsiaTheme="minorEastAsia"/>
                <w:color w:val="000000" w:themeColor="text1"/>
                <w:sz w:val="24"/>
              </w:rPr>
              <w:t>月至</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月在中国国际金融股份有限公司担任资产管理部执行总经理；自</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5</w:t>
            </w:r>
            <w:r>
              <w:rPr>
                <w:rFonts w:eastAsiaTheme="minorEastAsia"/>
                <w:color w:val="000000" w:themeColor="text1"/>
                <w:sz w:val="24"/>
              </w:rPr>
              <w:t>月加入上投摩根基金管理有限公司，现任指数及量化投资部总监，自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起同时担任上投摩根量化多因子灵活配置混合型证券投资基金、上投摩根优选多因子股票型证券投资基金、上投摩根动态多因子策略灵活配置混合型证券投资基金、上投摩根中证消费服务领先指数证券投资基金、上投摩根</w:t>
            </w:r>
            <w:r>
              <w:rPr>
                <w:rFonts w:eastAsiaTheme="minorEastAsia"/>
                <w:color w:val="000000" w:themeColor="text1"/>
                <w:sz w:val="24"/>
              </w:rPr>
              <w:t>MSCI</w:t>
            </w:r>
            <w:r>
              <w:rPr>
                <w:rFonts w:eastAsiaTheme="minorEastAsia"/>
                <w:color w:val="000000" w:themeColor="text1"/>
                <w:sz w:val="24"/>
              </w:rPr>
              <w:t>中国</w:t>
            </w:r>
            <w:r>
              <w:rPr>
                <w:rFonts w:eastAsiaTheme="minorEastAsia"/>
                <w:color w:val="000000" w:themeColor="text1"/>
                <w:sz w:val="24"/>
              </w:rPr>
              <w:t>A</w:t>
            </w:r>
            <w:r>
              <w:rPr>
                <w:rFonts w:eastAsiaTheme="minorEastAsia"/>
                <w:color w:val="000000" w:themeColor="text1"/>
                <w:sz w:val="24"/>
              </w:rPr>
              <w:t>股交易型开放式指数证券投资基金、上投摩根</w:t>
            </w:r>
            <w:r>
              <w:rPr>
                <w:rFonts w:eastAsiaTheme="minorEastAsia"/>
                <w:color w:val="000000" w:themeColor="text1"/>
                <w:sz w:val="24"/>
              </w:rPr>
              <w:t>MSCI</w:t>
            </w:r>
            <w:r>
              <w:rPr>
                <w:rFonts w:eastAsiaTheme="minorEastAsia"/>
                <w:color w:val="000000" w:themeColor="text1"/>
                <w:sz w:val="24"/>
              </w:rPr>
              <w:t>中国</w:t>
            </w:r>
            <w:r>
              <w:rPr>
                <w:rFonts w:eastAsiaTheme="minorEastAsia"/>
                <w:color w:val="000000" w:themeColor="text1"/>
                <w:sz w:val="24"/>
              </w:rPr>
              <w:t>A</w:t>
            </w:r>
            <w:r>
              <w:rPr>
                <w:rFonts w:eastAsiaTheme="minorEastAsia"/>
                <w:color w:val="000000" w:themeColor="text1"/>
                <w:sz w:val="24"/>
              </w:rPr>
              <w:t>股交易型开放式指数证券投资基金联接基金、上投摩根标普港股通低波红利指数型证券投资基金基金经理。</w:t>
            </w:r>
          </w:p>
        </w:tc>
      </w:tr>
      <w:tr w:rsidR="006D3840">
        <w:tc>
          <w:tcPr>
            <w:tcW w:w="952" w:type="dxa"/>
            <w:vAlign w:val="center"/>
          </w:tcPr>
          <w:p w:rsidR="006D3840" w:rsidRDefault="00263463">
            <w:pPr>
              <w:jc w:val="center"/>
            </w:pPr>
            <w:r>
              <w:rPr>
                <w:rFonts w:eastAsiaTheme="minorEastAsia"/>
                <w:color w:val="000000" w:themeColor="text1"/>
                <w:sz w:val="24"/>
              </w:rPr>
              <w:t>何智豪</w:t>
            </w:r>
          </w:p>
        </w:tc>
        <w:tc>
          <w:tcPr>
            <w:tcW w:w="930" w:type="dxa"/>
            <w:vAlign w:val="center"/>
          </w:tcPr>
          <w:p w:rsidR="006D3840" w:rsidRDefault="00263463">
            <w:pPr>
              <w:jc w:val="center"/>
            </w:pPr>
            <w:r>
              <w:rPr>
                <w:rFonts w:eastAsiaTheme="minorEastAsia"/>
                <w:color w:val="000000" w:themeColor="text1"/>
                <w:sz w:val="24"/>
              </w:rPr>
              <w:t>本基金基金经理</w:t>
            </w:r>
          </w:p>
        </w:tc>
        <w:tc>
          <w:tcPr>
            <w:tcW w:w="1210" w:type="dxa"/>
            <w:vAlign w:val="center"/>
          </w:tcPr>
          <w:p w:rsidR="006D3840" w:rsidRDefault="00263463">
            <w:pPr>
              <w:jc w:val="center"/>
            </w:pPr>
            <w:r>
              <w:rPr>
                <w:rFonts w:eastAsiaTheme="minorEastAsia"/>
                <w:color w:val="000000" w:themeColor="text1"/>
                <w:sz w:val="24"/>
              </w:rPr>
              <w:t>2021-02-19</w:t>
            </w:r>
          </w:p>
        </w:tc>
        <w:tc>
          <w:tcPr>
            <w:tcW w:w="1309" w:type="dxa"/>
            <w:vAlign w:val="center"/>
          </w:tcPr>
          <w:p w:rsidR="006D3840" w:rsidRDefault="00263463">
            <w:pPr>
              <w:jc w:val="center"/>
            </w:pPr>
            <w:r>
              <w:rPr>
                <w:rFonts w:eastAsiaTheme="minorEastAsia"/>
                <w:color w:val="000000" w:themeColor="text1"/>
                <w:sz w:val="24"/>
              </w:rPr>
              <w:t>-</w:t>
            </w:r>
          </w:p>
        </w:tc>
        <w:tc>
          <w:tcPr>
            <w:tcW w:w="1254" w:type="dxa"/>
            <w:vAlign w:val="center"/>
          </w:tcPr>
          <w:p w:rsidR="006D3840" w:rsidRDefault="00263463">
            <w:pPr>
              <w:jc w:val="center"/>
            </w:pPr>
            <w:r>
              <w:rPr>
                <w:rFonts w:eastAsiaTheme="minorEastAsia"/>
                <w:color w:val="000000" w:themeColor="text1"/>
                <w:sz w:val="24"/>
              </w:rPr>
              <w:t>7</w:t>
            </w:r>
            <w:r>
              <w:rPr>
                <w:rFonts w:eastAsiaTheme="minorEastAsia"/>
                <w:color w:val="000000" w:themeColor="text1"/>
                <w:sz w:val="24"/>
              </w:rPr>
              <w:t>年</w:t>
            </w:r>
          </w:p>
        </w:tc>
        <w:tc>
          <w:tcPr>
            <w:tcW w:w="3276" w:type="dxa"/>
            <w:vAlign w:val="center"/>
          </w:tcPr>
          <w:p w:rsidR="006D3840" w:rsidRDefault="00263463">
            <w:r>
              <w:rPr>
                <w:rFonts w:eastAsiaTheme="minorEastAsia"/>
                <w:color w:val="000000" w:themeColor="text1"/>
                <w:sz w:val="24"/>
              </w:rPr>
              <w:t>何智豪先生，复旦大学应用数学硕士，现任指数及量化投资部基金经理。何智豪先生自</w:t>
            </w:r>
            <w:r>
              <w:rPr>
                <w:rFonts w:eastAsiaTheme="minorEastAsia"/>
                <w:color w:val="000000" w:themeColor="text1"/>
                <w:sz w:val="24"/>
              </w:rPr>
              <w:t>2014</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月至</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月，在中国国际金融股份有限公司担任组合与量化策略研究员、资产管理部高级经理；自</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月起加入上投摩根基金管理有限公司。自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月起同时担任上投摩根量化多因子灵活配置混合型证券投资基金、上投摩根优选多因子股票型证券投资基金、上投摩根中证消费服务领先指</w:t>
            </w:r>
            <w:r>
              <w:rPr>
                <w:rFonts w:eastAsiaTheme="minorEastAsia"/>
                <w:color w:val="000000" w:themeColor="text1"/>
                <w:sz w:val="24"/>
              </w:rPr>
              <w:lastRenderedPageBreak/>
              <w:t>数证券投资基金、上投摩根</w:t>
            </w:r>
            <w:r>
              <w:rPr>
                <w:rFonts w:eastAsiaTheme="minorEastAsia"/>
                <w:color w:val="000000" w:themeColor="text1"/>
                <w:sz w:val="24"/>
              </w:rPr>
              <w:t>MSCI</w:t>
            </w:r>
            <w:r>
              <w:rPr>
                <w:rFonts w:eastAsiaTheme="minorEastAsia"/>
                <w:color w:val="000000" w:themeColor="text1"/>
                <w:sz w:val="24"/>
              </w:rPr>
              <w:t>中国</w:t>
            </w:r>
            <w:r>
              <w:rPr>
                <w:rFonts w:eastAsiaTheme="minorEastAsia"/>
                <w:color w:val="000000" w:themeColor="text1"/>
                <w:sz w:val="24"/>
              </w:rPr>
              <w:t>A</w:t>
            </w:r>
            <w:r>
              <w:rPr>
                <w:rFonts w:eastAsiaTheme="minorEastAsia"/>
                <w:color w:val="000000" w:themeColor="text1"/>
                <w:sz w:val="24"/>
              </w:rPr>
              <w:t>股交易型开放式指数证券投资基金、上投摩根</w:t>
            </w:r>
            <w:r>
              <w:rPr>
                <w:rFonts w:eastAsiaTheme="minorEastAsia"/>
                <w:color w:val="000000" w:themeColor="text1"/>
                <w:sz w:val="24"/>
              </w:rPr>
              <w:t>MSCI</w:t>
            </w:r>
            <w:r>
              <w:rPr>
                <w:rFonts w:eastAsiaTheme="minorEastAsia"/>
                <w:color w:val="000000" w:themeColor="text1"/>
                <w:sz w:val="24"/>
              </w:rPr>
              <w:t>中国</w:t>
            </w:r>
            <w:r>
              <w:rPr>
                <w:rFonts w:eastAsiaTheme="minorEastAsia"/>
                <w:color w:val="000000" w:themeColor="text1"/>
                <w:sz w:val="24"/>
              </w:rPr>
              <w:t>A</w:t>
            </w:r>
            <w:r>
              <w:rPr>
                <w:rFonts w:eastAsiaTheme="minorEastAsia"/>
                <w:color w:val="000000" w:themeColor="text1"/>
                <w:sz w:val="24"/>
              </w:rPr>
              <w:t>股交易型开放式指数证券投资基金联接基金、上投摩根标普港股通低波红利指数型证券投资基金基金经理。</w:t>
            </w:r>
          </w:p>
        </w:tc>
      </w:tr>
    </w:tbl>
    <w:p w:rsidR="006D3840" w:rsidRDefault="00263463">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lastRenderedPageBreak/>
        <w:t>注：</w:t>
      </w:r>
      <w:r>
        <w:rPr>
          <w:rFonts w:eastAsiaTheme="minorEastAsia"/>
          <w:color w:val="000000" w:themeColor="text1"/>
          <w:sz w:val="24"/>
        </w:rPr>
        <w:t>1.</w:t>
      </w:r>
      <w:r>
        <w:rPr>
          <w:rFonts w:eastAsiaTheme="minorEastAsia"/>
          <w:color w:val="000000" w:themeColor="text1"/>
          <w:sz w:val="24"/>
        </w:rPr>
        <w:t>任职日期和离任日期均指根据公司决定确定的聘任日期和解聘日期。</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2.</w:t>
      </w:r>
      <w:r w:rsidRPr="00EE3DBC">
        <w:rPr>
          <w:rFonts w:eastAsiaTheme="minorEastAsia"/>
          <w:color w:val="000000" w:themeColor="text1"/>
          <w:sz w:val="24"/>
        </w:rPr>
        <w:t>证券从业的含义遵从行业协会《证券业从业人员资格管理办法》的相关规定。</w:t>
      </w:r>
    </w:p>
    <w:p w:rsidR="00417735" w:rsidRPr="00EE3DBC" w:rsidRDefault="00417735" w:rsidP="00417735">
      <w:pPr>
        <w:autoSpaceDE w:val="0"/>
        <w:autoSpaceDN w:val="0"/>
        <w:adjustRightInd w:val="0"/>
        <w:spacing w:line="360" w:lineRule="auto"/>
        <w:jc w:val="left"/>
        <w:rPr>
          <w:rFonts w:eastAsia="Times New Roman"/>
          <w:b/>
          <w:color w:val="000000"/>
          <w:kern w:val="0"/>
          <w:sz w:val="24"/>
          <w:szCs w:val="21"/>
        </w:rPr>
      </w:pPr>
      <w:bookmarkStart w:id="1" w:name="_Hlk44921484"/>
      <w:r w:rsidRPr="00EE3DBC">
        <w:rPr>
          <w:b/>
          <w:color w:val="000000"/>
          <w:kern w:val="0"/>
          <w:sz w:val="24"/>
        </w:rPr>
        <w:t>4</w:t>
      </w:r>
      <w:r w:rsidRPr="00EE3DBC">
        <w:rPr>
          <w:rFonts w:eastAsia="Times New Roman"/>
          <w:b/>
          <w:color w:val="000000"/>
          <w:kern w:val="0"/>
          <w:sz w:val="24"/>
        </w:rPr>
        <w:t>.</w:t>
      </w:r>
      <w:r w:rsidRPr="00EE3DBC">
        <w:rPr>
          <w:b/>
          <w:color w:val="000000"/>
          <w:kern w:val="0"/>
          <w:sz w:val="24"/>
        </w:rPr>
        <w:t xml:space="preserve">1.1 </w:t>
      </w:r>
      <w:r w:rsidRPr="00EE3DBC">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2038"/>
        <w:gridCol w:w="2358"/>
        <w:gridCol w:w="1896"/>
        <w:gridCol w:w="1372"/>
      </w:tblGrid>
      <w:tr w:rsidR="00417735" w:rsidRPr="00EE3DBC" w:rsidTr="00417735">
        <w:tc>
          <w:tcPr>
            <w:tcW w:w="959" w:type="dxa"/>
            <w:tcBorders>
              <w:top w:val="single" w:sz="4" w:space="0" w:color="auto"/>
              <w:left w:val="single" w:sz="4" w:space="0" w:color="auto"/>
              <w:bottom w:val="single" w:sz="4" w:space="0" w:color="auto"/>
              <w:right w:val="single" w:sz="4" w:space="0" w:color="auto"/>
            </w:tcBorders>
            <w:vAlign w:val="center"/>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资产净值</w:t>
            </w:r>
            <w:r w:rsidRPr="00EE3DBC">
              <w:rPr>
                <w:rFonts w:eastAsiaTheme="minorEastAsia"/>
                <w:color w:val="000000"/>
                <w:sz w:val="24"/>
              </w:rPr>
              <w:t>(</w:t>
            </w:r>
            <w:r w:rsidRPr="00EE3DBC">
              <w:rPr>
                <w:rFonts w:eastAsiaTheme="minorEastAsia"/>
                <w:color w:val="000000"/>
                <w:sz w:val="24"/>
              </w:rPr>
              <w:t>元</w:t>
            </w:r>
            <w:r w:rsidRPr="00EE3DBC">
              <w:rPr>
                <w:rFonts w:eastAsiaTheme="minorEastAsia"/>
                <w:color w:val="000000"/>
                <w:sz w:val="24"/>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任职时间</w:t>
            </w:r>
          </w:p>
        </w:tc>
      </w:tr>
      <w:tr w:rsidR="00417735" w:rsidRPr="00EE3DBC" w:rsidTr="00417735">
        <w:tc>
          <w:tcPr>
            <w:tcW w:w="959" w:type="dxa"/>
            <w:vMerge w:val="restart"/>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张军</w:t>
            </w:r>
          </w:p>
        </w:tc>
        <w:tc>
          <w:tcPr>
            <w:tcW w:w="2410"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公募基金</w:t>
            </w:r>
          </w:p>
        </w:tc>
        <w:tc>
          <w:tcPr>
            <w:tcW w:w="2693"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8</w:t>
            </w:r>
          </w:p>
        </w:tc>
        <w:tc>
          <w:tcPr>
            <w:tcW w:w="1843"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4,708,798,556.58</w:t>
            </w:r>
          </w:p>
        </w:tc>
        <w:tc>
          <w:tcPr>
            <w:tcW w:w="1381"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2008-03-08</w:t>
            </w:r>
          </w:p>
        </w:tc>
      </w:tr>
      <w:tr w:rsidR="00417735" w:rsidRPr="00EE3DBC" w:rsidTr="00417735">
        <w:tc>
          <w:tcPr>
            <w:tcW w:w="9286" w:type="dxa"/>
            <w:vMerge/>
            <w:tcBorders>
              <w:top w:val="single" w:sz="4" w:space="0" w:color="auto"/>
              <w:left w:val="single" w:sz="4" w:space="0" w:color="auto"/>
              <w:bottom w:val="single" w:sz="4" w:space="0" w:color="auto"/>
              <w:right w:val="single" w:sz="4" w:space="0" w:color="auto"/>
            </w:tcBorders>
            <w:vAlign w:val="center"/>
            <w:hideMark/>
          </w:tcPr>
          <w:p w:rsidR="00417735" w:rsidRPr="00EE3DBC" w:rsidRDefault="00417735">
            <w:pPr>
              <w:widowControl/>
              <w:jc w:val="left"/>
              <w:rPr>
                <w:rFonts w:eastAsiaTheme="minorEastAsia"/>
                <w:color w:val="000000"/>
                <w:sz w:val="24"/>
                <w:szCs w:val="21"/>
              </w:rPr>
            </w:pPr>
          </w:p>
        </w:tc>
        <w:tc>
          <w:tcPr>
            <w:tcW w:w="2410"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1</w:t>
            </w:r>
          </w:p>
        </w:tc>
        <w:tc>
          <w:tcPr>
            <w:tcW w:w="1843"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155,287,767.00</w:t>
            </w:r>
          </w:p>
        </w:tc>
        <w:tc>
          <w:tcPr>
            <w:tcW w:w="1381"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2021-07-09</w:t>
            </w:r>
          </w:p>
        </w:tc>
      </w:tr>
      <w:tr w:rsidR="00417735" w:rsidRPr="00EE3DBC" w:rsidTr="00417735">
        <w:tc>
          <w:tcPr>
            <w:tcW w:w="9286" w:type="dxa"/>
            <w:vMerge/>
            <w:tcBorders>
              <w:top w:val="single" w:sz="4" w:space="0" w:color="auto"/>
              <w:left w:val="single" w:sz="4" w:space="0" w:color="auto"/>
              <w:bottom w:val="single" w:sz="4" w:space="0" w:color="auto"/>
              <w:right w:val="single" w:sz="4" w:space="0" w:color="auto"/>
            </w:tcBorders>
            <w:vAlign w:val="center"/>
            <w:hideMark/>
          </w:tcPr>
          <w:p w:rsidR="00417735" w:rsidRPr="00EE3DBC" w:rsidRDefault="00417735">
            <w:pPr>
              <w:widowControl/>
              <w:jc w:val="left"/>
              <w:rPr>
                <w:rFonts w:eastAsiaTheme="minorEastAsia"/>
                <w:color w:val="000000"/>
                <w:sz w:val="24"/>
                <w:szCs w:val="21"/>
              </w:rPr>
            </w:pPr>
          </w:p>
        </w:tc>
        <w:tc>
          <w:tcPr>
            <w:tcW w:w="2410"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其他组合</w:t>
            </w:r>
          </w:p>
        </w:tc>
        <w:tc>
          <w:tcPr>
            <w:tcW w:w="2693"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w:t>
            </w:r>
          </w:p>
        </w:tc>
        <w:tc>
          <w:tcPr>
            <w:tcW w:w="1843"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w:t>
            </w:r>
          </w:p>
        </w:tc>
        <w:tc>
          <w:tcPr>
            <w:tcW w:w="1381"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w:t>
            </w:r>
          </w:p>
        </w:tc>
      </w:tr>
      <w:tr w:rsidR="00417735" w:rsidRPr="00EE3DBC" w:rsidTr="00417735">
        <w:tc>
          <w:tcPr>
            <w:tcW w:w="9286" w:type="dxa"/>
            <w:vMerge/>
            <w:tcBorders>
              <w:top w:val="single" w:sz="4" w:space="0" w:color="auto"/>
              <w:left w:val="single" w:sz="4" w:space="0" w:color="auto"/>
              <w:bottom w:val="single" w:sz="4" w:space="0" w:color="auto"/>
              <w:right w:val="single" w:sz="4" w:space="0" w:color="auto"/>
            </w:tcBorders>
            <w:vAlign w:val="center"/>
            <w:hideMark/>
          </w:tcPr>
          <w:p w:rsidR="00417735" w:rsidRPr="00EE3DBC" w:rsidRDefault="00417735">
            <w:pPr>
              <w:widowControl/>
              <w:jc w:val="left"/>
              <w:rPr>
                <w:rFonts w:eastAsiaTheme="minorEastAsia"/>
                <w:color w:val="000000"/>
                <w:sz w:val="24"/>
                <w:szCs w:val="21"/>
              </w:rPr>
            </w:pPr>
          </w:p>
        </w:tc>
        <w:tc>
          <w:tcPr>
            <w:tcW w:w="2410"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合计</w:t>
            </w:r>
          </w:p>
        </w:tc>
        <w:tc>
          <w:tcPr>
            <w:tcW w:w="2693"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9</w:t>
            </w:r>
          </w:p>
        </w:tc>
        <w:tc>
          <w:tcPr>
            <w:tcW w:w="1843" w:type="dxa"/>
            <w:tcBorders>
              <w:top w:val="single" w:sz="4" w:space="0" w:color="auto"/>
              <w:left w:val="single" w:sz="4" w:space="0" w:color="auto"/>
              <w:bottom w:val="single" w:sz="4" w:space="0" w:color="auto"/>
              <w:right w:val="single" w:sz="4" w:space="0" w:color="auto"/>
            </w:tcBorders>
            <w:hideMark/>
          </w:tcPr>
          <w:p w:rsidR="00417735" w:rsidRPr="00EE3DBC" w:rsidRDefault="00417735">
            <w:pPr>
              <w:spacing w:line="288" w:lineRule="auto"/>
              <w:jc w:val="left"/>
              <w:rPr>
                <w:rFonts w:eastAsiaTheme="minorEastAsia"/>
                <w:color w:val="000000"/>
                <w:sz w:val="24"/>
              </w:rPr>
            </w:pPr>
            <w:r w:rsidRPr="00EE3DBC">
              <w:rPr>
                <w:rFonts w:eastAsiaTheme="minorEastAsia"/>
                <w:color w:val="000000"/>
                <w:sz w:val="24"/>
              </w:rPr>
              <w:t>4,864,086,323.58</w:t>
            </w:r>
          </w:p>
        </w:tc>
        <w:tc>
          <w:tcPr>
            <w:tcW w:w="1381" w:type="dxa"/>
            <w:tcBorders>
              <w:top w:val="single" w:sz="4" w:space="0" w:color="auto"/>
              <w:left w:val="single" w:sz="4" w:space="0" w:color="auto"/>
              <w:bottom w:val="single" w:sz="4" w:space="0" w:color="auto"/>
              <w:right w:val="single" w:sz="4" w:space="0" w:color="auto"/>
            </w:tcBorders>
          </w:tcPr>
          <w:p w:rsidR="00417735" w:rsidRPr="00EE3DBC" w:rsidRDefault="00417735">
            <w:pPr>
              <w:spacing w:line="288" w:lineRule="auto"/>
              <w:jc w:val="left"/>
              <w:rPr>
                <w:rFonts w:eastAsiaTheme="minorEastAsia"/>
                <w:color w:val="000000"/>
                <w:sz w:val="24"/>
              </w:rPr>
            </w:pPr>
          </w:p>
        </w:tc>
      </w:tr>
    </w:tbl>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4.2</w:t>
      </w:r>
      <w:r w:rsidRPr="00EE3DBC">
        <w:rPr>
          <w:rFonts w:eastAsiaTheme="minorEastAsia"/>
          <w:b/>
          <w:bCs/>
          <w:color w:val="000000" w:themeColor="text1"/>
          <w:sz w:val="24"/>
        </w:rPr>
        <w:t>管理人对报告期内本基金运作遵规守信情况的说明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在本报告期内，基金管理人不存在损害基金份额持有人利益的行为，勤勉尽责地为基金份额持有人谋求利益。基金管理人遵守了《证券投资基金法》及其他有关法律法规、《上投摩根标普港股通低波红利指数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4.3 </w:t>
      </w:r>
      <w:r w:rsidRPr="00EE3DBC">
        <w:rPr>
          <w:rFonts w:eastAsiaTheme="minorEastAsia"/>
          <w:b/>
          <w:color w:val="000000" w:themeColor="text1"/>
          <w:kern w:val="0"/>
          <w:sz w:val="24"/>
        </w:rPr>
        <w:t>公平交易专项说明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4.3.1 </w:t>
      </w:r>
      <w:r w:rsidRPr="00EE3DBC">
        <w:rPr>
          <w:rFonts w:eastAsiaTheme="minorEastAsia"/>
          <w:color w:val="000000" w:themeColor="text1"/>
          <w:sz w:val="24"/>
        </w:rPr>
        <w:t>公平交易制度的执行情况</w:t>
      </w:r>
    </w:p>
    <w:p w:rsidR="006D3840" w:rsidRDefault="00263463">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D3840" w:rsidRDefault="00263463">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lastRenderedPageBreak/>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报告期内，通过对不同投资组合之间的收益率差异比较、对同向交易和反向交易的交易时机和交易价差监控分析，未发现整体公平交易执行出现异常的情况。</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4.3.2 </w:t>
      </w:r>
      <w:r w:rsidRPr="00EE3DBC">
        <w:rPr>
          <w:rFonts w:eastAsiaTheme="minorEastAsia"/>
          <w:color w:val="000000" w:themeColor="text1"/>
          <w:sz w:val="24"/>
        </w:rPr>
        <w:t>异常交易行为的专项说明</w:t>
      </w:r>
    </w:p>
    <w:p w:rsidR="006D3840" w:rsidRDefault="00263463">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报告期内，通过对交易价格、交易时间、交易方向等的分析，未发现有可能导致不公平交易和利益输送的异常交易行为。</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所有投资组合参与的交易所公开竞价同日反向交易成交较少的单边交易量超过该证券当日成交量的</w:t>
      </w:r>
      <w:r w:rsidRPr="00EE3DBC">
        <w:rPr>
          <w:rFonts w:eastAsiaTheme="minorEastAsia"/>
          <w:color w:val="000000" w:themeColor="text1"/>
          <w:kern w:val="0"/>
          <w:sz w:val="24"/>
        </w:rPr>
        <w:t>5%</w:t>
      </w:r>
      <w:r w:rsidRPr="00EE3DBC">
        <w:rPr>
          <w:rFonts w:eastAsiaTheme="minorEastAsia"/>
          <w:color w:val="000000" w:themeColor="text1"/>
          <w:kern w:val="0"/>
          <w:sz w:val="24"/>
        </w:rPr>
        <w:t>的情形：无。</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4.4 </w:t>
      </w:r>
      <w:r w:rsidRPr="00EE3DBC">
        <w:rPr>
          <w:rFonts w:eastAsiaTheme="minorEastAsia"/>
          <w:b/>
          <w:color w:val="000000" w:themeColor="text1"/>
          <w:kern w:val="0"/>
          <w:sz w:val="24"/>
        </w:rPr>
        <w:t>报告期内基金的投资策略和业绩表现说明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4.4.1</w:t>
      </w:r>
      <w:r w:rsidRPr="00EE3DBC">
        <w:rPr>
          <w:rFonts w:eastAsiaTheme="minorEastAsia"/>
          <w:color w:val="000000" w:themeColor="text1"/>
          <w:sz w:val="24"/>
        </w:rPr>
        <w:t>报告期内基金投资策略和运作分析</w:t>
      </w:r>
    </w:p>
    <w:p w:rsidR="006D3840" w:rsidRDefault="00263463">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三季度，港股市场维持震荡下行，港股表现整体弱于</w:t>
      </w:r>
      <w:r>
        <w:rPr>
          <w:rFonts w:eastAsiaTheme="minorEastAsia"/>
          <w:color w:val="000000" w:themeColor="text1"/>
          <w:kern w:val="0"/>
          <w:sz w:val="24"/>
        </w:rPr>
        <w:t>A</w:t>
      </w:r>
      <w:r>
        <w:rPr>
          <w:rFonts w:eastAsiaTheme="minorEastAsia"/>
          <w:color w:val="000000" w:themeColor="text1"/>
          <w:kern w:val="0"/>
          <w:sz w:val="24"/>
        </w:rPr>
        <w:t>股和美股。本基金在三季度的表现呈窄幅震荡，波动明显小于恒生指数和恒生科技指数。季度内，本基金跟踪的标普港股通低波红利指数下跌</w:t>
      </w:r>
      <w:r>
        <w:rPr>
          <w:rFonts w:eastAsiaTheme="minorEastAsia"/>
          <w:color w:val="000000" w:themeColor="text1"/>
          <w:kern w:val="0"/>
          <w:sz w:val="24"/>
        </w:rPr>
        <w:t>0.46%</w:t>
      </w:r>
      <w:r>
        <w:rPr>
          <w:rFonts w:eastAsiaTheme="minorEastAsia"/>
          <w:color w:val="000000" w:themeColor="text1"/>
          <w:kern w:val="0"/>
          <w:sz w:val="24"/>
        </w:rPr>
        <w:t>，同期恒生指数下跌</w:t>
      </w:r>
      <w:r>
        <w:rPr>
          <w:rFonts w:eastAsiaTheme="minorEastAsia"/>
          <w:color w:val="000000" w:themeColor="text1"/>
          <w:kern w:val="0"/>
          <w:sz w:val="24"/>
        </w:rPr>
        <w:t>14.75%</w:t>
      </w:r>
      <w:r>
        <w:rPr>
          <w:rFonts w:eastAsiaTheme="minorEastAsia"/>
          <w:color w:val="000000" w:themeColor="text1"/>
          <w:kern w:val="0"/>
          <w:sz w:val="24"/>
        </w:rPr>
        <w:t>，恒生科技指数下跌</w:t>
      </w:r>
      <w:r>
        <w:rPr>
          <w:rFonts w:eastAsiaTheme="minorEastAsia"/>
          <w:color w:val="000000" w:themeColor="text1"/>
          <w:kern w:val="0"/>
          <w:sz w:val="24"/>
        </w:rPr>
        <w:t>25.18%</w:t>
      </w:r>
      <w:r>
        <w:rPr>
          <w:rFonts w:eastAsiaTheme="minorEastAsia"/>
          <w:color w:val="000000" w:themeColor="text1"/>
          <w:kern w:val="0"/>
          <w:sz w:val="24"/>
        </w:rPr>
        <w:t>。由于房地产政策的收紧，导致海外投资者的风险偏好下降，进而使得地产、保险和银行板块均一度遭受抛售，地产问题是近期市场的主要扰动因素。另外，</w:t>
      </w:r>
      <w:r>
        <w:rPr>
          <w:rFonts w:eastAsiaTheme="minorEastAsia"/>
          <w:color w:val="000000" w:themeColor="text1"/>
          <w:kern w:val="0"/>
          <w:sz w:val="24"/>
        </w:rPr>
        <w:t>9</w:t>
      </w:r>
      <w:r>
        <w:rPr>
          <w:rFonts w:eastAsiaTheme="minorEastAsia"/>
          <w:color w:val="000000" w:themeColor="text1"/>
          <w:kern w:val="0"/>
          <w:sz w:val="24"/>
        </w:rPr>
        <w:t>月份美联储</w:t>
      </w:r>
      <w:r>
        <w:rPr>
          <w:rFonts w:eastAsiaTheme="minorEastAsia"/>
          <w:color w:val="000000" w:themeColor="text1"/>
          <w:kern w:val="0"/>
          <w:sz w:val="24"/>
        </w:rPr>
        <w:t>FOMC</w:t>
      </w:r>
      <w:r>
        <w:rPr>
          <w:rFonts w:eastAsiaTheme="minorEastAsia"/>
          <w:color w:val="000000" w:themeColor="text1"/>
          <w:kern w:val="0"/>
          <w:sz w:val="24"/>
        </w:rPr>
        <w:t>会议传递出快速减量的信号，点阵图变的更加鹰派，带动美债利率上行，可能会给香港市场带来持续扰动。运作上，本基金在报告期内采用被动复制的投资策略，仓位维持在正常水平，跟踪误差保持在合理范围内。</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展望未来，首先全球经济持续复苏以及企业盈利修复将支撑港股继续向好，同时南下资金也有望继续流入港股市场。第二，继续看好能源、金融等受益于宏观经济向好和高通胀环境的周期板块。第三，随着美联储临近缩减购债规模以及进入加息周期，美债实际收益率将上升，这对高估值成长板块将造成较大冲击，而低估值高股息股票将具有更好的防御性。本基金作为配置于港股市场且具有鲜</w:t>
      </w:r>
      <w:r w:rsidRPr="00EE3DBC">
        <w:rPr>
          <w:rFonts w:eastAsiaTheme="minorEastAsia"/>
          <w:color w:val="000000" w:themeColor="text1"/>
          <w:kern w:val="0"/>
          <w:sz w:val="24"/>
        </w:rPr>
        <w:lastRenderedPageBreak/>
        <w:t>明风格特征的</w:t>
      </w:r>
      <w:r w:rsidRPr="00EE3DBC">
        <w:rPr>
          <w:rFonts w:eastAsiaTheme="minorEastAsia"/>
          <w:color w:val="000000" w:themeColor="text1"/>
          <w:kern w:val="0"/>
          <w:sz w:val="24"/>
        </w:rPr>
        <w:t>Smart Beta</w:t>
      </w:r>
      <w:r w:rsidRPr="00EE3DBC">
        <w:rPr>
          <w:rFonts w:eastAsiaTheme="minorEastAsia"/>
          <w:color w:val="000000" w:themeColor="text1"/>
          <w:kern w:val="0"/>
          <w:sz w:val="24"/>
        </w:rPr>
        <w:t>指数基金，既可以作为阶段性风格配置的工具，也可以作为中长期调节整体投资组合风险收益特征的有效工具。</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4.4.2</w:t>
      </w:r>
      <w:r w:rsidRPr="00EE3DBC">
        <w:rPr>
          <w:rFonts w:eastAsiaTheme="minorEastAsia"/>
          <w:color w:val="000000" w:themeColor="text1"/>
          <w:sz w:val="24"/>
        </w:rPr>
        <w:t>报告期内基金的业绩表现</w:t>
      </w:r>
    </w:p>
    <w:p w:rsidR="006D3840" w:rsidRDefault="00263463">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本报告期上投摩根标普港股通低波红利指数</w:t>
      </w:r>
      <w:r>
        <w:rPr>
          <w:rFonts w:eastAsiaTheme="minorEastAsia"/>
          <w:color w:val="000000" w:themeColor="text1"/>
          <w:kern w:val="0"/>
          <w:sz w:val="24"/>
        </w:rPr>
        <w:t>A</w:t>
      </w:r>
      <w:r>
        <w:rPr>
          <w:rFonts w:eastAsiaTheme="minorEastAsia"/>
          <w:color w:val="000000" w:themeColor="text1"/>
          <w:kern w:val="0"/>
          <w:sz w:val="24"/>
        </w:rPr>
        <w:t>份额净值增长率为</w:t>
      </w:r>
      <w:r>
        <w:rPr>
          <w:rFonts w:eastAsiaTheme="minorEastAsia"/>
          <w:color w:val="000000" w:themeColor="text1"/>
          <w:kern w:val="0"/>
          <w:sz w:val="24"/>
        </w:rPr>
        <w:t>:1.13%</w:t>
      </w:r>
      <w:r>
        <w:rPr>
          <w:rFonts w:eastAsiaTheme="minorEastAsia"/>
          <w:color w:val="000000" w:themeColor="text1"/>
          <w:kern w:val="0"/>
          <w:sz w:val="24"/>
        </w:rPr>
        <w:t>，同期业绩比较基准收益率为</w:t>
      </w:r>
      <w:r>
        <w:rPr>
          <w:rFonts w:eastAsiaTheme="minorEastAsia"/>
          <w:color w:val="000000" w:themeColor="text1"/>
          <w:kern w:val="0"/>
          <w:sz w:val="24"/>
        </w:rPr>
        <w:t>:-0.43%,</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上投摩根标普港股通低波红利指数</w:t>
      </w:r>
      <w:r w:rsidRPr="00EE3DBC">
        <w:rPr>
          <w:rFonts w:eastAsiaTheme="minorEastAsia"/>
          <w:color w:val="000000" w:themeColor="text1"/>
          <w:kern w:val="0"/>
          <w:sz w:val="24"/>
        </w:rPr>
        <w:t>C</w:t>
      </w:r>
      <w:r w:rsidRPr="00EE3DBC">
        <w:rPr>
          <w:rFonts w:eastAsiaTheme="minorEastAsia"/>
          <w:color w:val="000000" w:themeColor="text1"/>
          <w:kern w:val="0"/>
          <w:sz w:val="24"/>
        </w:rPr>
        <w:t>份额净值增长率为</w:t>
      </w:r>
      <w:r w:rsidRPr="00EE3DBC">
        <w:rPr>
          <w:rFonts w:eastAsiaTheme="minorEastAsia"/>
          <w:color w:val="000000" w:themeColor="text1"/>
          <w:kern w:val="0"/>
          <w:sz w:val="24"/>
        </w:rPr>
        <w:t>:0.99%</w:t>
      </w:r>
      <w:r w:rsidRPr="00EE3DBC">
        <w:rPr>
          <w:rFonts w:eastAsiaTheme="minorEastAsia"/>
          <w:color w:val="000000" w:themeColor="text1"/>
          <w:kern w:val="0"/>
          <w:sz w:val="24"/>
        </w:rPr>
        <w:t>，同期业绩比较基准收益率为</w:t>
      </w:r>
      <w:r w:rsidRPr="00EE3DBC">
        <w:rPr>
          <w:rFonts w:eastAsiaTheme="minorEastAsia"/>
          <w:color w:val="000000" w:themeColor="text1"/>
          <w:kern w:val="0"/>
          <w:sz w:val="24"/>
        </w:rPr>
        <w:t>:-0.43%</w:t>
      </w:r>
      <w:r w:rsidRPr="00EE3DBC">
        <w:rPr>
          <w:rFonts w:eastAsiaTheme="minorEastAsia"/>
          <w:color w:val="000000" w:themeColor="text1"/>
          <w:kern w:val="0"/>
          <w:sz w:val="24"/>
        </w:rPr>
        <w:t>。</w:t>
      </w:r>
    </w:p>
    <w:p w:rsidR="00A960A3" w:rsidRPr="00EE3DBC" w:rsidRDefault="00A960A3">
      <w:pPr>
        <w:spacing w:line="360" w:lineRule="auto"/>
        <w:ind w:firstLineChars="200" w:firstLine="480"/>
        <w:rPr>
          <w:rFonts w:eastAsiaTheme="minorEastAsia"/>
          <w:color w:val="000000" w:themeColor="text1"/>
          <w:kern w:val="0"/>
          <w:sz w:val="24"/>
        </w:rPr>
      </w:pPr>
    </w:p>
    <w:p w:rsidR="00A960A3" w:rsidRPr="00EE3DBC" w:rsidRDefault="005B4E34">
      <w:pPr>
        <w:spacing w:line="360" w:lineRule="auto"/>
        <w:rPr>
          <w:rFonts w:eastAsiaTheme="minorEastAsia"/>
          <w:color w:val="000000" w:themeColor="text1"/>
          <w:sz w:val="24"/>
        </w:rPr>
      </w:pPr>
      <w:r w:rsidRPr="00EE3DBC">
        <w:rPr>
          <w:rFonts w:eastAsiaTheme="minorEastAsia"/>
          <w:b/>
          <w:color w:val="000000" w:themeColor="text1"/>
          <w:kern w:val="0"/>
          <w:sz w:val="24"/>
        </w:rPr>
        <w:t>4.5</w:t>
      </w:r>
      <w:r w:rsidRPr="00EE3DBC">
        <w:rPr>
          <w:rFonts w:eastAsiaTheme="minorEastAsia"/>
          <w:b/>
          <w:color w:val="000000" w:themeColor="text1"/>
          <w:kern w:val="0"/>
          <w:sz w:val="24"/>
        </w:rPr>
        <w:t>报告期内基金持有人数或基金资产净值预警说明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无。</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§5  </w:t>
      </w:r>
      <w:r w:rsidRPr="00EE3DBC">
        <w:rPr>
          <w:rFonts w:eastAsiaTheme="minorEastAsia"/>
          <w:color w:val="000000" w:themeColor="text1"/>
          <w:kern w:val="0"/>
          <w:sz w:val="24"/>
          <w:szCs w:val="24"/>
        </w:rPr>
        <w:t>投资组合报告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 </w:t>
      </w:r>
      <w:r w:rsidRPr="00EE3DBC">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335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项目</w:t>
            </w:r>
          </w:p>
        </w:tc>
        <w:tc>
          <w:tcPr>
            <w:tcW w:w="297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金额</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占基金总资产的比例</w:t>
            </w: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1</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权益投资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220,897,371.05</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92.39</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其中：股票</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220,897,371.05</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92.39</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2</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固定收益投资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其中：债券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autoSpaceDE w:val="0"/>
              <w:autoSpaceDN w:val="0"/>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资产支持证券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3</w:t>
            </w:r>
          </w:p>
        </w:tc>
        <w:tc>
          <w:tcPr>
            <w:tcW w:w="3357" w:type="dxa"/>
          </w:tcPr>
          <w:p w:rsidR="00A960A3" w:rsidRPr="00EE3DBC" w:rsidRDefault="005B4E34">
            <w:pPr>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贵金属投资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4</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金融衍生品投资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5</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其中：买断式回购的买入返售金融资产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6</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银行存款和结算备付金合计</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14,759,168.30</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6.17</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7</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其他各项资产</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3,428,194.16</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1.43</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8</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合计</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239,084,733.51</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100.00</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5.2 </w:t>
      </w:r>
      <w:r w:rsidRPr="00EE3DBC">
        <w:rPr>
          <w:rFonts w:eastAsiaTheme="minorEastAsia"/>
          <w:b/>
          <w:color w:val="000000" w:themeColor="text1"/>
          <w:kern w:val="0"/>
          <w:sz w:val="24"/>
        </w:rPr>
        <w:t>报告期末按行业分类的股票投资组合</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5.2.1</w:t>
      </w:r>
      <w:r w:rsidRPr="00EE3DBC">
        <w:rPr>
          <w:rFonts w:eastAsiaTheme="minorEastAsia"/>
          <w:b/>
          <w:color w:val="000000" w:themeColor="text1"/>
          <w:kern w:val="0"/>
          <w:sz w:val="24"/>
        </w:rPr>
        <w:t>积极投资按行业分类的股票投资组合</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本基金本报告期末未持有积极投资股票。</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5.2.2</w:t>
      </w:r>
      <w:r w:rsidRPr="00EE3DBC">
        <w:rPr>
          <w:rFonts w:eastAsiaTheme="minorEastAsia"/>
          <w:b/>
          <w:color w:val="000000" w:themeColor="text1"/>
          <w:kern w:val="0"/>
          <w:sz w:val="24"/>
        </w:rPr>
        <w:t>指数投资按行业分类的股票投资组合</w:t>
      </w:r>
    </w:p>
    <w:p w:rsidR="00A960A3" w:rsidRPr="00EE3DBC" w:rsidRDefault="005B4E34">
      <w:pPr>
        <w:jc w:val="left"/>
        <w:rPr>
          <w:rFonts w:eastAsiaTheme="minorEastAsia"/>
          <w:color w:val="000000" w:themeColor="text1"/>
          <w:sz w:val="24"/>
        </w:rPr>
      </w:pPr>
      <w:r w:rsidRPr="00EE3DBC">
        <w:rPr>
          <w:rFonts w:eastAsiaTheme="minorEastAsia"/>
          <w:b/>
          <w:color w:val="000000" w:themeColor="text1"/>
          <w:kern w:val="0"/>
          <w:sz w:val="24"/>
        </w:rPr>
        <w:t>5.2.3</w:t>
      </w:r>
      <w:r w:rsidRPr="00EE3DBC">
        <w:rPr>
          <w:rFonts w:eastAsiaTheme="minorEastAsia"/>
          <w:b/>
          <w:color w:val="000000" w:themeColor="text1"/>
          <w:kern w:val="0"/>
          <w:sz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A960A3" w:rsidRPr="00EE3DBC">
        <w:trPr>
          <w:jc w:val="center"/>
        </w:trPr>
        <w:tc>
          <w:tcPr>
            <w:tcW w:w="239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行业类别</w:t>
            </w:r>
          </w:p>
        </w:tc>
        <w:tc>
          <w:tcPr>
            <w:tcW w:w="3119"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公允价值（人民币）</w:t>
            </w:r>
          </w:p>
        </w:tc>
        <w:tc>
          <w:tcPr>
            <w:tcW w:w="3118"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A </w:t>
            </w:r>
            <w:r>
              <w:rPr>
                <w:rFonts w:eastAsiaTheme="minorEastAsia"/>
                <w:color w:val="000000" w:themeColor="text1"/>
                <w:sz w:val="24"/>
              </w:rPr>
              <w:t>基础材料</w:t>
            </w:r>
          </w:p>
        </w:tc>
        <w:tc>
          <w:tcPr>
            <w:tcW w:w="3119" w:type="dxa"/>
            <w:vAlign w:val="center"/>
          </w:tcPr>
          <w:p w:rsidR="006D3840" w:rsidRDefault="00263463">
            <w:pPr>
              <w:jc w:val="center"/>
            </w:pPr>
            <w:r>
              <w:rPr>
                <w:rFonts w:eastAsiaTheme="minorEastAsia"/>
                <w:color w:val="000000" w:themeColor="text1"/>
                <w:sz w:val="24"/>
              </w:rPr>
              <w:t>16,128,508.12</w:t>
            </w:r>
          </w:p>
        </w:tc>
        <w:tc>
          <w:tcPr>
            <w:tcW w:w="3118" w:type="dxa"/>
            <w:vAlign w:val="center"/>
          </w:tcPr>
          <w:p w:rsidR="006D3840" w:rsidRDefault="00263463">
            <w:pPr>
              <w:jc w:val="center"/>
            </w:pPr>
            <w:r>
              <w:rPr>
                <w:rFonts w:eastAsiaTheme="minorEastAsia"/>
                <w:color w:val="000000" w:themeColor="text1"/>
                <w:sz w:val="24"/>
              </w:rPr>
              <w:t>6.92</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B </w:t>
            </w:r>
            <w:r>
              <w:rPr>
                <w:rFonts w:eastAsiaTheme="minorEastAsia"/>
                <w:color w:val="000000" w:themeColor="text1"/>
                <w:sz w:val="24"/>
              </w:rPr>
              <w:t>消费者非必需品</w:t>
            </w:r>
          </w:p>
        </w:tc>
        <w:tc>
          <w:tcPr>
            <w:tcW w:w="3119" w:type="dxa"/>
            <w:vAlign w:val="center"/>
          </w:tcPr>
          <w:p w:rsidR="006D3840" w:rsidRDefault="00263463">
            <w:pPr>
              <w:jc w:val="center"/>
            </w:pPr>
            <w:r>
              <w:rPr>
                <w:rFonts w:eastAsiaTheme="minorEastAsia"/>
                <w:color w:val="000000" w:themeColor="text1"/>
                <w:sz w:val="24"/>
              </w:rPr>
              <w:t>-</w:t>
            </w:r>
          </w:p>
        </w:tc>
        <w:tc>
          <w:tcPr>
            <w:tcW w:w="3118" w:type="dxa"/>
            <w:vAlign w:val="center"/>
          </w:tcPr>
          <w:p w:rsidR="006D3840" w:rsidRDefault="00263463">
            <w:pPr>
              <w:jc w:val="center"/>
            </w:pPr>
            <w:r>
              <w:rPr>
                <w:rFonts w:eastAsiaTheme="minorEastAsia"/>
                <w:color w:val="000000" w:themeColor="text1"/>
                <w:sz w:val="24"/>
              </w:rPr>
              <w:t>-</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C </w:t>
            </w:r>
            <w:r>
              <w:rPr>
                <w:rFonts w:eastAsiaTheme="minorEastAsia"/>
                <w:color w:val="000000" w:themeColor="text1"/>
                <w:sz w:val="24"/>
              </w:rPr>
              <w:t>消费者常用品</w:t>
            </w:r>
          </w:p>
        </w:tc>
        <w:tc>
          <w:tcPr>
            <w:tcW w:w="3119" w:type="dxa"/>
            <w:vAlign w:val="center"/>
          </w:tcPr>
          <w:p w:rsidR="006D3840" w:rsidRDefault="00263463">
            <w:pPr>
              <w:jc w:val="center"/>
            </w:pPr>
            <w:r>
              <w:rPr>
                <w:rFonts w:eastAsiaTheme="minorEastAsia"/>
                <w:color w:val="000000" w:themeColor="text1"/>
                <w:sz w:val="24"/>
              </w:rPr>
              <w:t>9,106,378.80</w:t>
            </w:r>
          </w:p>
        </w:tc>
        <w:tc>
          <w:tcPr>
            <w:tcW w:w="3118" w:type="dxa"/>
            <w:vAlign w:val="center"/>
          </w:tcPr>
          <w:p w:rsidR="006D3840" w:rsidRDefault="00263463">
            <w:pPr>
              <w:jc w:val="center"/>
            </w:pPr>
            <w:r>
              <w:rPr>
                <w:rFonts w:eastAsiaTheme="minorEastAsia"/>
                <w:color w:val="000000" w:themeColor="text1"/>
                <w:sz w:val="24"/>
              </w:rPr>
              <w:t>3.91</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D </w:t>
            </w:r>
            <w:r>
              <w:rPr>
                <w:rFonts w:eastAsiaTheme="minorEastAsia"/>
                <w:color w:val="000000" w:themeColor="text1"/>
                <w:sz w:val="24"/>
              </w:rPr>
              <w:t>能源</w:t>
            </w:r>
          </w:p>
        </w:tc>
        <w:tc>
          <w:tcPr>
            <w:tcW w:w="3119" w:type="dxa"/>
            <w:vAlign w:val="center"/>
          </w:tcPr>
          <w:p w:rsidR="006D3840" w:rsidRDefault="00263463">
            <w:pPr>
              <w:jc w:val="center"/>
            </w:pPr>
            <w:r>
              <w:rPr>
                <w:rFonts w:eastAsiaTheme="minorEastAsia"/>
                <w:color w:val="000000" w:themeColor="text1"/>
                <w:sz w:val="24"/>
              </w:rPr>
              <w:t>23,937,520.92</w:t>
            </w:r>
          </w:p>
        </w:tc>
        <w:tc>
          <w:tcPr>
            <w:tcW w:w="3118" w:type="dxa"/>
            <w:vAlign w:val="center"/>
          </w:tcPr>
          <w:p w:rsidR="006D3840" w:rsidRDefault="00263463">
            <w:pPr>
              <w:jc w:val="center"/>
            </w:pPr>
            <w:r>
              <w:rPr>
                <w:rFonts w:eastAsiaTheme="minorEastAsia"/>
                <w:color w:val="000000" w:themeColor="text1"/>
                <w:sz w:val="24"/>
              </w:rPr>
              <w:t>10.27</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E </w:t>
            </w:r>
            <w:r>
              <w:rPr>
                <w:rFonts w:eastAsiaTheme="minorEastAsia"/>
                <w:color w:val="000000" w:themeColor="text1"/>
                <w:sz w:val="24"/>
              </w:rPr>
              <w:t>金融</w:t>
            </w:r>
          </w:p>
        </w:tc>
        <w:tc>
          <w:tcPr>
            <w:tcW w:w="3119" w:type="dxa"/>
            <w:vAlign w:val="center"/>
          </w:tcPr>
          <w:p w:rsidR="006D3840" w:rsidRDefault="00263463">
            <w:pPr>
              <w:jc w:val="center"/>
            </w:pPr>
            <w:r>
              <w:rPr>
                <w:rFonts w:eastAsiaTheme="minorEastAsia"/>
                <w:color w:val="000000" w:themeColor="text1"/>
                <w:sz w:val="24"/>
              </w:rPr>
              <w:t>62,709,377.91</w:t>
            </w:r>
          </w:p>
        </w:tc>
        <w:tc>
          <w:tcPr>
            <w:tcW w:w="3118" w:type="dxa"/>
            <w:vAlign w:val="center"/>
          </w:tcPr>
          <w:p w:rsidR="006D3840" w:rsidRDefault="00263463">
            <w:pPr>
              <w:jc w:val="center"/>
            </w:pPr>
            <w:r>
              <w:rPr>
                <w:rFonts w:eastAsiaTheme="minorEastAsia"/>
                <w:color w:val="000000" w:themeColor="text1"/>
                <w:sz w:val="24"/>
              </w:rPr>
              <w:t>26.90</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F </w:t>
            </w:r>
            <w:r>
              <w:rPr>
                <w:rFonts w:eastAsiaTheme="minorEastAsia"/>
                <w:color w:val="000000" w:themeColor="text1"/>
                <w:sz w:val="24"/>
              </w:rPr>
              <w:t>医疗保健</w:t>
            </w:r>
          </w:p>
        </w:tc>
        <w:tc>
          <w:tcPr>
            <w:tcW w:w="3119" w:type="dxa"/>
            <w:vAlign w:val="center"/>
          </w:tcPr>
          <w:p w:rsidR="006D3840" w:rsidRDefault="00263463">
            <w:pPr>
              <w:jc w:val="center"/>
            </w:pPr>
            <w:r>
              <w:rPr>
                <w:rFonts w:eastAsiaTheme="minorEastAsia"/>
                <w:color w:val="000000" w:themeColor="text1"/>
                <w:sz w:val="24"/>
              </w:rPr>
              <w:t>-</w:t>
            </w:r>
          </w:p>
        </w:tc>
        <w:tc>
          <w:tcPr>
            <w:tcW w:w="3118" w:type="dxa"/>
            <w:vAlign w:val="center"/>
          </w:tcPr>
          <w:p w:rsidR="006D3840" w:rsidRDefault="00263463">
            <w:pPr>
              <w:jc w:val="center"/>
            </w:pPr>
            <w:r>
              <w:rPr>
                <w:rFonts w:eastAsiaTheme="minorEastAsia"/>
                <w:color w:val="000000" w:themeColor="text1"/>
                <w:sz w:val="24"/>
              </w:rPr>
              <w:t>-</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G </w:t>
            </w:r>
            <w:r>
              <w:rPr>
                <w:rFonts w:eastAsiaTheme="minorEastAsia"/>
                <w:color w:val="000000" w:themeColor="text1"/>
                <w:sz w:val="24"/>
              </w:rPr>
              <w:t>工业</w:t>
            </w:r>
          </w:p>
        </w:tc>
        <w:tc>
          <w:tcPr>
            <w:tcW w:w="3119" w:type="dxa"/>
            <w:vAlign w:val="center"/>
          </w:tcPr>
          <w:p w:rsidR="006D3840" w:rsidRDefault="00263463">
            <w:pPr>
              <w:jc w:val="center"/>
            </w:pPr>
            <w:r>
              <w:rPr>
                <w:rFonts w:eastAsiaTheme="minorEastAsia"/>
                <w:color w:val="000000" w:themeColor="text1"/>
                <w:sz w:val="24"/>
              </w:rPr>
              <w:t>19,450,572.28</w:t>
            </w:r>
          </w:p>
        </w:tc>
        <w:tc>
          <w:tcPr>
            <w:tcW w:w="3118" w:type="dxa"/>
            <w:vAlign w:val="center"/>
          </w:tcPr>
          <w:p w:rsidR="006D3840" w:rsidRDefault="00263463">
            <w:pPr>
              <w:jc w:val="center"/>
            </w:pPr>
            <w:r>
              <w:rPr>
                <w:rFonts w:eastAsiaTheme="minorEastAsia"/>
                <w:color w:val="000000" w:themeColor="text1"/>
                <w:sz w:val="24"/>
              </w:rPr>
              <w:t>8.34</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H </w:t>
            </w:r>
            <w:r>
              <w:rPr>
                <w:rFonts w:eastAsiaTheme="minorEastAsia"/>
                <w:color w:val="000000" w:themeColor="text1"/>
                <w:sz w:val="24"/>
              </w:rPr>
              <w:t>信息技术</w:t>
            </w:r>
          </w:p>
        </w:tc>
        <w:tc>
          <w:tcPr>
            <w:tcW w:w="3119" w:type="dxa"/>
            <w:vAlign w:val="center"/>
          </w:tcPr>
          <w:p w:rsidR="006D3840" w:rsidRDefault="00263463">
            <w:pPr>
              <w:jc w:val="center"/>
            </w:pPr>
            <w:r>
              <w:rPr>
                <w:rFonts w:eastAsiaTheme="minorEastAsia"/>
                <w:color w:val="000000" w:themeColor="text1"/>
                <w:sz w:val="24"/>
              </w:rPr>
              <w:t>2,559,660.16</w:t>
            </w:r>
          </w:p>
        </w:tc>
        <w:tc>
          <w:tcPr>
            <w:tcW w:w="3118" w:type="dxa"/>
            <w:vAlign w:val="center"/>
          </w:tcPr>
          <w:p w:rsidR="006D3840" w:rsidRDefault="00263463">
            <w:pPr>
              <w:jc w:val="center"/>
            </w:pPr>
            <w:r>
              <w:rPr>
                <w:rFonts w:eastAsiaTheme="minorEastAsia"/>
                <w:color w:val="000000" w:themeColor="text1"/>
                <w:sz w:val="24"/>
              </w:rPr>
              <w:t>1.10</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I </w:t>
            </w:r>
            <w:r>
              <w:rPr>
                <w:rFonts w:eastAsiaTheme="minorEastAsia"/>
                <w:color w:val="000000" w:themeColor="text1"/>
                <w:sz w:val="24"/>
              </w:rPr>
              <w:t>电信服务</w:t>
            </w:r>
          </w:p>
        </w:tc>
        <w:tc>
          <w:tcPr>
            <w:tcW w:w="3119" w:type="dxa"/>
            <w:vAlign w:val="center"/>
          </w:tcPr>
          <w:p w:rsidR="006D3840" w:rsidRDefault="00263463">
            <w:pPr>
              <w:jc w:val="center"/>
            </w:pPr>
            <w:r>
              <w:rPr>
                <w:rFonts w:eastAsiaTheme="minorEastAsia"/>
                <w:color w:val="000000" w:themeColor="text1"/>
                <w:sz w:val="24"/>
              </w:rPr>
              <w:t>14,512,046.82</w:t>
            </w:r>
          </w:p>
        </w:tc>
        <w:tc>
          <w:tcPr>
            <w:tcW w:w="3118" w:type="dxa"/>
            <w:vAlign w:val="center"/>
          </w:tcPr>
          <w:p w:rsidR="006D3840" w:rsidRDefault="00263463">
            <w:pPr>
              <w:jc w:val="center"/>
            </w:pPr>
            <w:r>
              <w:rPr>
                <w:rFonts w:eastAsiaTheme="minorEastAsia"/>
                <w:color w:val="000000" w:themeColor="text1"/>
                <w:sz w:val="24"/>
              </w:rPr>
              <w:t>6.22</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J </w:t>
            </w:r>
            <w:r>
              <w:rPr>
                <w:rFonts w:eastAsiaTheme="minorEastAsia"/>
                <w:color w:val="000000" w:themeColor="text1"/>
                <w:sz w:val="24"/>
              </w:rPr>
              <w:t>公用事业</w:t>
            </w:r>
          </w:p>
        </w:tc>
        <w:tc>
          <w:tcPr>
            <w:tcW w:w="3119" w:type="dxa"/>
            <w:vAlign w:val="center"/>
          </w:tcPr>
          <w:p w:rsidR="006D3840" w:rsidRDefault="00263463">
            <w:pPr>
              <w:jc w:val="center"/>
            </w:pPr>
            <w:r>
              <w:rPr>
                <w:rFonts w:eastAsiaTheme="minorEastAsia"/>
                <w:color w:val="000000" w:themeColor="text1"/>
                <w:sz w:val="24"/>
              </w:rPr>
              <w:t>36,776,762.43</w:t>
            </w:r>
          </w:p>
        </w:tc>
        <w:tc>
          <w:tcPr>
            <w:tcW w:w="3118" w:type="dxa"/>
            <w:vAlign w:val="center"/>
          </w:tcPr>
          <w:p w:rsidR="006D3840" w:rsidRDefault="00263463">
            <w:pPr>
              <w:jc w:val="center"/>
            </w:pPr>
            <w:r>
              <w:rPr>
                <w:rFonts w:eastAsiaTheme="minorEastAsia"/>
                <w:color w:val="000000" w:themeColor="text1"/>
                <w:sz w:val="24"/>
              </w:rPr>
              <w:t>15.77</w:t>
            </w:r>
          </w:p>
        </w:tc>
      </w:tr>
      <w:tr w:rsidR="006D3840">
        <w:trPr>
          <w:jc w:val="center"/>
        </w:trPr>
        <w:tc>
          <w:tcPr>
            <w:tcW w:w="2397" w:type="dxa"/>
            <w:vAlign w:val="center"/>
          </w:tcPr>
          <w:p w:rsidR="006D3840" w:rsidRDefault="00263463">
            <w:pPr>
              <w:jc w:val="center"/>
            </w:pPr>
            <w:r>
              <w:rPr>
                <w:rFonts w:eastAsiaTheme="minorEastAsia"/>
                <w:color w:val="000000" w:themeColor="text1"/>
                <w:sz w:val="24"/>
              </w:rPr>
              <w:t xml:space="preserve">K </w:t>
            </w:r>
            <w:r>
              <w:rPr>
                <w:rFonts w:eastAsiaTheme="minorEastAsia"/>
                <w:color w:val="000000" w:themeColor="text1"/>
                <w:sz w:val="24"/>
              </w:rPr>
              <w:t>房地产</w:t>
            </w:r>
          </w:p>
        </w:tc>
        <w:tc>
          <w:tcPr>
            <w:tcW w:w="3119" w:type="dxa"/>
            <w:vAlign w:val="center"/>
          </w:tcPr>
          <w:p w:rsidR="006D3840" w:rsidRDefault="00263463">
            <w:pPr>
              <w:jc w:val="center"/>
            </w:pPr>
            <w:r>
              <w:rPr>
                <w:rFonts w:eastAsiaTheme="minorEastAsia"/>
                <w:color w:val="000000" w:themeColor="text1"/>
                <w:sz w:val="24"/>
              </w:rPr>
              <w:t>35,716,543.61</w:t>
            </w:r>
          </w:p>
        </w:tc>
        <w:tc>
          <w:tcPr>
            <w:tcW w:w="3118" w:type="dxa"/>
            <w:vAlign w:val="center"/>
          </w:tcPr>
          <w:p w:rsidR="006D3840" w:rsidRDefault="00263463">
            <w:pPr>
              <w:jc w:val="center"/>
            </w:pPr>
            <w:r>
              <w:rPr>
                <w:rFonts w:eastAsiaTheme="minorEastAsia"/>
                <w:color w:val="000000" w:themeColor="text1"/>
                <w:sz w:val="24"/>
              </w:rPr>
              <w:t>15.32</w:t>
            </w:r>
          </w:p>
        </w:tc>
      </w:tr>
      <w:tr w:rsidR="00A960A3" w:rsidRPr="00EE3DBC">
        <w:trPr>
          <w:jc w:val="center"/>
        </w:trPr>
        <w:tc>
          <w:tcPr>
            <w:tcW w:w="239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合计</w:t>
            </w:r>
          </w:p>
        </w:tc>
        <w:tc>
          <w:tcPr>
            <w:tcW w:w="3119" w:type="dxa"/>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220,897,371.05</w:t>
            </w:r>
          </w:p>
        </w:tc>
        <w:tc>
          <w:tcPr>
            <w:tcW w:w="3118" w:type="dxa"/>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94.74</w:t>
            </w:r>
          </w:p>
        </w:tc>
      </w:tr>
    </w:tbl>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5.3</w:t>
      </w:r>
      <w:r w:rsidRPr="00EE3DBC">
        <w:rPr>
          <w:rFonts w:eastAsiaTheme="minorEastAsia"/>
          <w:b/>
          <w:color w:val="000000" w:themeColor="text1"/>
          <w:kern w:val="0"/>
          <w:sz w:val="24"/>
        </w:rPr>
        <w:t>期末按公允价值占基金资产净值比例大小排序的股票投资明细</w:t>
      </w:r>
    </w:p>
    <w:p w:rsidR="00A960A3"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5.3.1</w:t>
      </w:r>
      <w:r w:rsidRPr="00EE3DBC">
        <w:rPr>
          <w:rFonts w:eastAsiaTheme="minorEastAsia"/>
          <w:b/>
          <w:color w:val="000000" w:themeColor="text1"/>
          <w:kern w:val="0"/>
          <w:sz w:val="24"/>
        </w:rPr>
        <w:t>期末</w:t>
      </w:r>
      <w:r w:rsidRPr="00EE3DBC">
        <w:rPr>
          <w:rFonts w:eastAsiaTheme="minor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263463" w:rsidRPr="00EE3DBC" w:rsidTr="00263463">
        <w:tc>
          <w:tcPr>
            <w:tcW w:w="817" w:type="dxa"/>
          </w:tcPr>
          <w:p w:rsidR="00263463" w:rsidRPr="00EE3DBC" w:rsidRDefault="00263463" w:rsidP="006A57D5">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276" w:type="dxa"/>
          </w:tcPr>
          <w:p w:rsidR="00263463" w:rsidRPr="00EE3DBC" w:rsidRDefault="00263463" w:rsidP="006A57D5">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股票代码</w:t>
            </w:r>
          </w:p>
        </w:tc>
        <w:tc>
          <w:tcPr>
            <w:tcW w:w="1701" w:type="dxa"/>
          </w:tcPr>
          <w:p w:rsidR="00263463" w:rsidRPr="00EE3DBC" w:rsidRDefault="00263463" w:rsidP="006A57D5">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股票名称</w:t>
            </w:r>
          </w:p>
        </w:tc>
        <w:tc>
          <w:tcPr>
            <w:tcW w:w="1276" w:type="dxa"/>
          </w:tcPr>
          <w:p w:rsidR="00263463" w:rsidRPr="00EE3DBC" w:rsidRDefault="00263463" w:rsidP="006A57D5">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股</w:t>
            </w:r>
            <w:r w:rsidRPr="00EE3DBC">
              <w:rPr>
                <w:rFonts w:eastAsiaTheme="minorEastAsia"/>
                <w:color w:val="000000" w:themeColor="text1"/>
                <w:sz w:val="24"/>
              </w:rPr>
              <w:t>)</w:t>
            </w:r>
          </w:p>
        </w:tc>
        <w:tc>
          <w:tcPr>
            <w:tcW w:w="1842" w:type="dxa"/>
          </w:tcPr>
          <w:p w:rsidR="00263463" w:rsidRPr="00EE3DBC" w:rsidRDefault="00263463" w:rsidP="006A57D5">
            <w:pPr>
              <w:autoSpaceDE w:val="0"/>
              <w:autoSpaceDN w:val="0"/>
              <w:adjustRightInd w:val="0"/>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tcPr>
          <w:p w:rsidR="00263463" w:rsidRPr="00EE3DBC" w:rsidRDefault="00263463" w:rsidP="006A57D5">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263463" w:rsidTr="00263463">
        <w:tc>
          <w:tcPr>
            <w:tcW w:w="817" w:type="dxa"/>
          </w:tcPr>
          <w:p w:rsidR="00263463" w:rsidRDefault="00263463" w:rsidP="006A57D5">
            <w:pPr>
              <w:jc w:val="center"/>
            </w:pPr>
            <w:r>
              <w:rPr>
                <w:rFonts w:eastAsiaTheme="minorEastAsia"/>
                <w:color w:val="000000" w:themeColor="text1"/>
                <w:sz w:val="24"/>
              </w:rPr>
              <w:t>1</w:t>
            </w:r>
          </w:p>
        </w:tc>
        <w:tc>
          <w:tcPr>
            <w:tcW w:w="1276" w:type="dxa"/>
          </w:tcPr>
          <w:p w:rsidR="00263463" w:rsidRDefault="00263463" w:rsidP="006A57D5">
            <w:pPr>
              <w:jc w:val="center"/>
            </w:pPr>
            <w:r>
              <w:rPr>
                <w:rFonts w:eastAsiaTheme="minorEastAsia"/>
                <w:color w:val="000000" w:themeColor="text1"/>
                <w:sz w:val="24"/>
              </w:rPr>
              <w:t>01088</w:t>
            </w:r>
          </w:p>
        </w:tc>
        <w:tc>
          <w:tcPr>
            <w:tcW w:w="1701" w:type="dxa"/>
          </w:tcPr>
          <w:p w:rsidR="00263463" w:rsidRDefault="00263463" w:rsidP="006A57D5">
            <w:pPr>
              <w:jc w:val="center"/>
            </w:pPr>
            <w:r>
              <w:rPr>
                <w:rFonts w:eastAsiaTheme="minorEastAsia"/>
                <w:color w:val="000000" w:themeColor="text1"/>
                <w:sz w:val="24"/>
              </w:rPr>
              <w:t>中国神华</w:t>
            </w:r>
          </w:p>
        </w:tc>
        <w:tc>
          <w:tcPr>
            <w:tcW w:w="1276" w:type="dxa"/>
          </w:tcPr>
          <w:p w:rsidR="00263463" w:rsidRDefault="00263463" w:rsidP="006A57D5">
            <w:pPr>
              <w:jc w:val="right"/>
            </w:pPr>
            <w:r>
              <w:rPr>
                <w:rFonts w:eastAsiaTheme="minorEastAsia"/>
                <w:color w:val="000000" w:themeColor="text1"/>
                <w:sz w:val="24"/>
              </w:rPr>
              <w:t>801,000.00</w:t>
            </w:r>
          </w:p>
        </w:tc>
        <w:tc>
          <w:tcPr>
            <w:tcW w:w="1842" w:type="dxa"/>
          </w:tcPr>
          <w:p w:rsidR="00263463" w:rsidRDefault="00263463" w:rsidP="006A57D5">
            <w:pPr>
              <w:jc w:val="right"/>
            </w:pPr>
            <w:r>
              <w:rPr>
                <w:rFonts w:eastAsiaTheme="minorEastAsia"/>
                <w:color w:val="000000" w:themeColor="text1"/>
                <w:sz w:val="24"/>
              </w:rPr>
              <w:t>12,157,860.91</w:t>
            </w:r>
          </w:p>
        </w:tc>
        <w:tc>
          <w:tcPr>
            <w:tcW w:w="1616" w:type="dxa"/>
          </w:tcPr>
          <w:p w:rsidR="00263463" w:rsidRDefault="00263463" w:rsidP="006A57D5">
            <w:pPr>
              <w:jc w:val="right"/>
            </w:pPr>
            <w:r>
              <w:rPr>
                <w:rFonts w:eastAsiaTheme="minorEastAsia"/>
                <w:color w:val="000000" w:themeColor="text1"/>
                <w:sz w:val="24"/>
              </w:rPr>
              <w:t>5.21</w:t>
            </w:r>
          </w:p>
        </w:tc>
      </w:tr>
      <w:tr w:rsidR="00263463" w:rsidTr="00263463">
        <w:tc>
          <w:tcPr>
            <w:tcW w:w="817" w:type="dxa"/>
          </w:tcPr>
          <w:p w:rsidR="00263463" w:rsidRDefault="00263463" w:rsidP="006A57D5">
            <w:pPr>
              <w:jc w:val="center"/>
            </w:pPr>
            <w:r>
              <w:rPr>
                <w:rFonts w:eastAsiaTheme="minorEastAsia"/>
                <w:color w:val="000000" w:themeColor="text1"/>
                <w:sz w:val="24"/>
              </w:rPr>
              <w:t>2</w:t>
            </w:r>
          </w:p>
        </w:tc>
        <w:tc>
          <w:tcPr>
            <w:tcW w:w="1276" w:type="dxa"/>
          </w:tcPr>
          <w:p w:rsidR="00263463" w:rsidRDefault="00263463" w:rsidP="006A57D5">
            <w:pPr>
              <w:jc w:val="center"/>
            </w:pPr>
            <w:r>
              <w:rPr>
                <w:rFonts w:eastAsiaTheme="minorEastAsia"/>
                <w:color w:val="000000" w:themeColor="text1"/>
                <w:sz w:val="24"/>
              </w:rPr>
              <w:t>00836</w:t>
            </w:r>
          </w:p>
        </w:tc>
        <w:tc>
          <w:tcPr>
            <w:tcW w:w="1701" w:type="dxa"/>
          </w:tcPr>
          <w:p w:rsidR="00263463" w:rsidRDefault="00263463" w:rsidP="006A57D5">
            <w:pPr>
              <w:jc w:val="center"/>
            </w:pPr>
            <w:r>
              <w:rPr>
                <w:rFonts w:eastAsiaTheme="minorEastAsia"/>
                <w:color w:val="000000" w:themeColor="text1"/>
                <w:sz w:val="24"/>
              </w:rPr>
              <w:t>华润电力</w:t>
            </w:r>
          </w:p>
        </w:tc>
        <w:tc>
          <w:tcPr>
            <w:tcW w:w="1276" w:type="dxa"/>
          </w:tcPr>
          <w:p w:rsidR="00263463" w:rsidRDefault="00263463" w:rsidP="006A57D5">
            <w:pPr>
              <w:jc w:val="right"/>
            </w:pPr>
            <w:r>
              <w:rPr>
                <w:rFonts w:eastAsiaTheme="minorEastAsia"/>
                <w:color w:val="000000" w:themeColor="text1"/>
                <w:sz w:val="24"/>
              </w:rPr>
              <w:t>434,000.00</w:t>
            </w:r>
          </w:p>
        </w:tc>
        <w:tc>
          <w:tcPr>
            <w:tcW w:w="1842" w:type="dxa"/>
          </w:tcPr>
          <w:p w:rsidR="00263463" w:rsidRDefault="00263463" w:rsidP="006A57D5">
            <w:pPr>
              <w:jc w:val="right"/>
            </w:pPr>
            <w:r>
              <w:rPr>
                <w:rFonts w:eastAsiaTheme="minorEastAsia"/>
                <w:color w:val="000000" w:themeColor="text1"/>
                <w:sz w:val="24"/>
              </w:rPr>
              <w:t>8,116,753.50</w:t>
            </w:r>
          </w:p>
        </w:tc>
        <w:tc>
          <w:tcPr>
            <w:tcW w:w="1616" w:type="dxa"/>
          </w:tcPr>
          <w:p w:rsidR="00263463" w:rsidRDefault="00263463" w:rsidP="006A57D5">
            <w:pPr>
              <w:jc w:val="right"/>
            </w:pPr>
            <w:r>
              <w:rPr>
                <w:rFonts w:eastAsiaTheme="minorEastAsia"/>
                <w:color w:val="000000" w:themeColor="text1"/>
                <w:sz w:val="24"/>
              </w:rPr>
              <w:t>3.48</w:t>
            </w:r>
          </w:p>
        </w:tc>
      </w:tr>
      <w:tr w:rsidR="00263463" w:rsidTr="00263463">
        <w:tc>
          <w:tcPr>
            <w:tcW w:w="817" w:type="dxa"/>
          </w:tcPr>
          <w:p w:rsidR="00263463" w:rsidRDefault="00263463" w:rsidP="006A57D5">
            <w:pPr>
              <w:jc w:val="center"/>
            </w:pPr>
            <w:r>
              <w:rPr>
                <w:rFonts w:eastAsiaTheme="minorEastAsia"/>
                <w:color w:val="000000" w:themeColor="text1"/>
                <w:sz w:val="24"/>
              </w:rPr>
              <w:t>3</w:t>
            </w:r>
          </w:p>
        </w:tc>
        <w:tc>
          <w:tcPr>
            <w:tcW w:w="1276" w:type="dxa"/>
          </w:tcPr>
          <w:p w:rsidR="00263463" w:rsidRDefault="00263463" w:rsidP="006A57D5">
            <w:pPr>
              <w:jc w:val="center"/>
            </w:pPr>
            <w:r>
              <w:rPr>
                <w:rFonts w:eastAsiaTheme="minorEastAsia"/>
                <w:color w:val="000000" w:themeColor="text1"/>
                <w:sz w:val="24"/>
              </w:rPr>
              <w:t>02777</w:t>
            </w:r>
          </w:p>
        </w:tc>
        <w:tc>
          <w:tcPr>
            <w:tcW w:w="1701" w:type="dxa"/>
          </w:tcPr>
          <w:p w:rsidR="00263463" w:rsidRDefault="00263463" w:rsidP="006A57D5">
            <w:pPr>
              <w:jc w:val="center"/>
            </w:pPr>
            <w:r>
              <w:rPr>
                <w:rFonts w:eastAsiaTheme="minorEastAsia"/>
                <w:color w:val="000000" w:themeColor="text1"/>
                <w:sz w:val="24"/>
              </w:rPr>
              <w:t>富力地产</w:t>
            </w:r>
          </w:p>
        </w:tc>
        <w:tc>
          <w:tcPr>
            <w:tcW w:w="1276" w:type="dxa"/>
          </w:tcPr>
          <w:p w:rsidR="00263463" w:rsidRDefault="00263463" w:rsidP="006A57D5">
            <w:pPr>
              <w:jc w:val="right"/>
            </w:pPr>
            <w:r>
              <w:rPr>
                <w:rFonts w:eastAsiaTheme="minorEastAsia"/>
                <w:color w:val="000000" w:themeColor="text1"/>
                <w:sz w:val="24"/>
              </w:rPr>
              <w:t>1,376,000.00</w:t>
            </w:r>
          </w:p>
        </w:tc>
        <w:tc>
          <w:tcPr>
            <w:tcW w:w="1842" w:type="dxa"/>
          </w:tcPr>
          <w:p w:rsidR="00263463" w:rsidRDefault="00263463" w:rsidP="006A57D5">
            <w:pPr>
              <w:jc w:val="right"/>
            </w:pPr>
            <w:r>
              <w:rPr>
                <w:rFonts w:eastAsiaTheme="minorEastAsia"/>
                <w:color w:val="000000" w:themeColor="text1"/>
                <w:sz w:val="24"/>
              </w:rPr>
              <w:t>6,854,817.55</w:t>
            </w:r>
          </w:p>
        </w:tc>
        <w:tc>
          <w:tcPr>
            <w:tcW w:w="1616" w:type="dxa"/>
          </w:tcPr>
          <w:p w:rsidR="00263463" w:rsidRDefault="00263463" w:rsidP="006A57D5">
            <w:pPr>
              <w:jc w:val="right"/>
            </w:pPr>
            <w:r>
              <w:rPr>
                <w:rFonts w:eastAsiaTheme="minorEastAsia"/>
                <w:color w:val="000000" w:themeColor="text1"/>
                <w:sz w:val="24"/>
              </w:rPr>
              <w:t>2.94</w:t>
            </w:r>
          </w:p>
        </w:tc>
      </w:tr>
      <w:tr w:rsidR="00263463" w:rsidTr="00263463">
        <w:tc>
          <w:tcPr>
            <w:tcW w:w="817" w:type="dxa"/>
          </w:tcPr>
          <w:p w:rsidR="00263463" w:rsidRDefault="00263463" w:rsidP="006A57D5">
            <w:pPr>
              <w:jc w:val="center"/>
            </w:pPr>
            <w:r>
              <w:rPr>
                <w:rFonts w:eastAsiaTheme="minorEastAsia"/>
                <w:color w:val="000000" w:themeColor="text1"/>
                <w:sz w:val="24"/>
              </w:rPr>
              <w:t>4</w:t>
            </w:r>
          </w:p>
        </w:tc>
        <w:tc>
          <w:tcPr>
            <w:tcW w:w="1276" w:type="dxa"/>
          </w:tcPr>
          <w:p w:rsidR="00263463" w:rsidRDefault="00263463" w:rsidP="006A57D5">
            <w:pPr>
              <w:jc w:val="center"/>
            </w:pPr>
            <w:r>
              <w:rPr>
                <w:rFonts w:eastAsiaTheme="minorEastAsia"/>
                <w:color w:val="000000" w:themeColor="text1"/>
                <w:sz w:val="24"/>
              </w:rPr>
              <w:t>01071</w:t>
            </w:r>
          </w:p>
        </w:tc>
        <w:tc>
          <w:tcPr>
            <w:tcW w:w="1701" w:type="dxa"/>
          </w:tcPr>
          <w:p w:rsidR="00263463" w:rsidRDefault="00263463" w:rsidP="006A57D5">
            <w:pPr>
              <w:jc w:val="center"/>
            </w:pPr>
            <w:r>
              <w:rPr>
                <w:rFonts w:eastAsiaTheme="minorEastAsia"/>
                <w:color w:val="000000" w:themeColor="text1"/>
                <w:sz w:val="24"/>
              </w:rPr>
              <w:t>华电国际电力股份</w:t>
            </w:r>
          </w:p>
        </w:tc>
        <w:tc>
          <w:tcPr>
            <w:tcW w:w="1276" w:type="dxa"/>
          </w:tcPr>
          <w:p w:rsidR="00263463" w:rsidRDefault="00263463" w:rsidP="006A57D5">
            <w:pPr>
              <w:jc w:val="right"/>
            </w:pPr>
            <w:r>
              <w:rPr>
                <w:rFonts w:eastAsiaTheme="minorEastAsia"/>
                <w:color w:val="000000" w:themeColor="text1"/>
                <w:sz w:val="24"/>
              </w:rPr>
              <w:t>2,416,000.00</w:t>
            </w:r>
          </w:p>
        </w:tc>
        <w:tc>
          <w:tcPr>
            <w:tcW w:w="1842" w:type="dxa"/>
          </w:tcPr>
          <w:p w:rsidR="00263463" w:rsidRDefault="00263463" w:rsidP="006A57D5">
            <w:pPr>
              <w:jc w:val="right"/>
            </w:pPr>
            <w:r>
              <w:rPr>
                <w:rFonts w:eastAsiaTheme="minorEastAsia"/>
                <w:color w:val="000000" w:themeColor="text1"/>
                <w:sz w:val="24"/>
              </w:rPr>
              <w:t>6,500,933.66</w:t>
            </w:r>
          </w:p>
        </w:tc>
        <w:tc>
          <w:tcPr>
            <w:tcW w:w="1616" w:type="dxa"/>
          </w:tcPr>
          <w:p w:rsidR="00263463" w:rsidRDefault="00263463" w:rsidP="006A57D5">
            <w:pPr>
              <w:jc w:val="right"/>
            </w:pPr>
            <w:r>
              <w:rPr>
                <w:rFonts w:eastAsiaTheme="minorEastAsia"/>
                <w:color w:val="000000" w:themeColor="text1"/>
                <w:sz w:val="24"/>
              </w:rPr>
              <w:t>2.79</w:t>
            </w:r>
          </w:p>
        </w:tc>
      </w:tr>
      <w:tr w:rsidR="00263463" w:rsidTr="00263463">
        <w:tc>
          <w:tcPr>
            <w:tcW w:w="817" w:type="dxa"/>
          </w:tcPr>
          <w:p w:rsidR="00263463" w:rsidRDefault="00263463" w:rsidP="006A57D5">
            <w:pPr>
              <w:jc w:val="center"/>
            </w:pPr>
            <w:r>
              <w:rPr>
                <w:rFonts w:eastAsiaTheme="minorEastAsia"/>
                <w:color w:val="000000" w:themeColor="text1"/>
                <w:sz w:val="24"/>
              </w:rPr>
              <w:t>5</w:t>
            </w:r>
          </w:p>
        </w:tc>
        <w:tc>
          <w:tcPr>
            <w:tcW w:w="1276" w:type="dxa"/>
          </w:tcPr>
          <w:p w:rsidR="00263463" w:rsidRDefault="00263463" w:rsidP="006A57D5">
            <w:pPr>
              <w:jc w:val="center"/>
            </w:pPr>
            <w:r>
              <w:rPr>
                <w:rFonts w:eastAsiaTheme="minorEastAsia"/>
                <w:color w:val="000000" w:themeColor="text1"/>
                <w:sz w:val="24"/>
              </w:rPr>
              <w:t>01313</w:t>
            </w:r>
          </w:p>
        </w:tc>
        <w:tc>
          <w:tcPr>
            <w:tcW w:w="1701" w:type="dxa"/>
          </w:tcPr>
          <w:p w:rsidR="00263463" w:rsidRDefault="00263463" w:rsidP="006A57D5">
            <w:pPr>
              <w:jc w:val="center"/>
            </w:pPr>
            <w:r>
              <w:rPr>
                <w:rFonts w:eastAsiaTheme="minorEastAsia"/>
                <w:color w:val="000000" w:themeColor="text1"/>
                <w:sz w:val="24"/>
              </w:rPr>
              <w:t>华润水泥控股</w:t>
            </w:r>
          </w:p>
        </w:tc>
        <w:tc>
          <w:tcPr>
            <w:tcW w:w="1276" w:type="dxa"/>
          </w:tcPr>
          <w:p w:rsidR="00263463" w:rsidRDefault="00263463" w:rsidP="006A57D5">
            <w:pPr>
              <w:jc w:val="right"/>
            </w:pPr>
            <w:r>
              <w:rPr>
                <w:rFonts w:eastAsiaTheme="minorEastAsia"/>
                <w:color w:val="000000" w:themeColor="text1"/>
                <w:sz w:val="24"/>
              </w:rPr>
              <w:t>996,000.00</w:t>
            </w:r>
          </w:p>
        </w:tc>
        <w:tc>
          <w:tcPr>
            <w:tcW w:w="1842" w:type="dxa"/>
          </w:tcPr>
          <w:p w:rsidR="00263463" w:rsidRDefault="00263463" w:rsidP="006A57D5">
            <w:pPr>
              <w:jc w:val="right"/>
            </w:pPr>
            <w:r>
              <w:rPr>
                <w:rFonts w:eastAsiaTheme="minorEastAsia"/>
                <w:color w:val="000000" w:themeColor="text1"/>
                <w:sz w:val="24"/>
              </w:rPr>
              <w:t>6,231,255.48</w:t>
            </w:r>
          </w:p>
        </w:tc>
        <w:tc>
          <w:tcPr>
            <w:tcW w:w="1616" w:type="dxa"/>
          </w:tcPr>
          <w:p w:rsidR="00263463" w:rsidRDefault="00263463" w:rsidP="006A57D5">
            <w:pPr>
              <w:jc w:val="right"/>
            </w:pPr>
            <w:r>
              <w:rPr>
                <w:rFonts w:eastAsiaTheme="minorEastAsia"/>
                <w:color w:val="000000" w:themeColor="text1"/>
                <w:sz w:val="24"/>
              </w:rPr>
              <w:t>2.67</w:t>
            </w:r>
          </w:p>
        </w:tc>
      </w:tr>
      <w:tr w:rsidR="00263463" w:rsidTr="00263463">
        <w:tc>
          <w:tcPr>
            <w:tcW w:w="817" w:type="dxa"/>
          </w:tcPr>
          <w:p w:rsidR="00263463" w:rsidRDefault="00263463" w:rsidP="006A57D5">
            <w:pPr>
              <w:jc w:val="center"/>
            </w:pPr>
            <w:r>
              <w:rPr>
                <w:rFonts w:eastAsiaTheme="minorEastAsia"/>
                <w:color w:val="000000" w:themeColor="text1"/>
                <w:sz w:val="24"/>
              </w:rPr>
              <w:t>6</w:t>
            </w:r>
          </w:p>
        </w:tc>
        <w:tc>
          <w:tcPr>
            <w:tcW w:w="1276" w:type="dxa"/>
          </w:tcPr>
          <w:p w:rsidR="00263463" w:rsidRDefault="00263463" w:rsidP="006A57D5">
            <w:pPr>
              <w:jc w:val="center"/>
            </w:pPr>
            <w:r>
              <w:rPr>
                <w:rFonts w:eastAsiaTheme="minorEastAsia"/>
                <w:color w:val="000000" w:themeColor="text1"/>
                <w:sz w:val="24"/>
              </w:rPr>
              <w:t>03988</w:t>
            </w:r>
          </w:p>
        </w:tc>
        <w:tc>
          <w:tcPr>
            <w:tcW w:w="1701" w:type="dxa"/>
          </w:tcPr>
          <w:p w:rsidR="00263463" w:rsidRDefault="00263463" w:rsidP="006A57D5">
            <w:pPr>
              <w:jc w:val="center"/>
            </w:pPr>
            <w:r>
              <w:rPr>
                <w:rFonts w:eastAsiaTheme="minorEastAsia"/>
                <w:color w:val="000000" w:themeColor="text1"/>
                <w:sz w:val="24"/>
              </w:rPr>
              <w:t>中国银行</w:t>
            </w:r>
          </w:p>
        </w:tc>
        <w:tc>
          <w:tcPr>
            <w:tcW w:w="1276" w:type="dxa"/>
          </w:tcPr>
          <w:p w:rsidR="00263463" w:rsidRDefault="00263463" w:rsidP="006A57D5">
            <w:pPr>
              <w:jc w:val="right"/>
            </w:pPr>
            <w:r>
              <w:rPr>
                <w:rFonts w:eastAsiaTheme="minorEastAsia"/>
                <w:color w:val="000000" w:themeColor="text1"/>
                <w:sz w:val="24"/>
              </w:rPr>
              <w:t>2,606,000.00</w:t>
            </w:r>
          </w:p>
        </w:tc>
        <w:tc>
          <w:tcPr>
            <w:tcW w:w="1842" w:type="dxa"/>
          </w:tcPr>
          <w:p w:rsidR="00263463" w:rsidRDefault="00263463" w:rsidP="006A57D5">
            <w:pPr>
              <w:jc w:val="right"/>
            </w:pPr>
            <w:r>
              <w:rPr>
                <w:rFonts w:eastAsiaTheme="minorEastAsia"/>
                <w:color w:val="000000" w:themeColor="text1"/>
                <w:sz w:val="24"/>
              </w:rPr>
              <w:t>5,991,834.03</w:t>
            </w:r>
          </w:p>
        </w:tc>
        <w:tc>
          <w:tcPr>
            <w:tcW w:w="1616" w:type="dxa"/>
          </w:tcPr>
          <w:p w:rsidR="00263463" w:rsidRDefault="00263463" w:rsidP="006A57D5">
            <w:pPr>
              <w:jc w:val="right"/>
            </w:pPr>
            <w:r>
              <w:rPr>
                <w:rFonts w:eastAsiaTheme="minorEastAsia"/>
                <w:color w:val="000000" w:themeColor="text1"/>
                <w:sz w:val="24"/>
              </w:rPr>
              <w:t>2.57</w:t>
            </w:r>
          </w:p>
        </w:tc>
      </w:tr>
      <w:tr w:rsidR="00263463" w:rsidTr="00263463">
        <w:tc>
          <w:tcPr>
            <w:tcW w:w="817" w:type="dxa"/>
          </w:tcPr>
          <w:p w:rsidR="00263463" w:rsidRDefault="00263463" w:rsidP="006A57D5">
            <w:pPr>
              <w:jc w:val="center"/>
            </w:pPr>
            <w:r>
              <w:rPr>
                <w:rFonts w:eastAsiaTheme="minorEastAsia"/>
                <w:color w:val="000000" w:themeColor="text1"/>
                <w:sz w:val="24"/>
              </w:rPr>
              <w:lastRenderedPageBreak/>
              <w:t>7</w:t>
            </w:r>
          </w:p>
        </w:tc>
        <w:tc>
          <w:tcPr>
            <w:tcW w:w="1276" w:type="dxa"/>
          </w:tcPr>
          <w:p w:rsidR="00263463" w:rsidRDefault="00263463" w:rsidP="006A57D5">
            <w:pPr>
              <w:jc w:val="center"/>
            </w:pPr>
            <w:r>
              <w:rPr>
                <w:rFonts w:eastAsiaTheme="minorEastAsia"/>
                <w:color w:val="000000" w:themeColor="text1"/>
                <w:sz w:val="24"/>
              </w:rPr>
              <w:t>01310</w:t>
            </w:r>
          </w:p>
        </w:tc>
        <w:tc>
          <w:tcPr>
            <w:tcW w:w="1701" w:type="dxa"/>
          </w:tcPr>
          <w:p w:rsidR="00263463" w:rsidRDefault="00263463" w:rsidP="006A57D5">
            <w:pPr>
              <w:jc w:val="center"/>
            </w:pPr>
            <w:r>
              <w:rPr>
                <w:rFonts w:eastAsiaTheme="minorEastAsia"/>
                <w:color w:val="000000" w:themeColor="text1"/>
                <w:sz w:val="24"/>
              </w:rPr>
              <w:t>香港宽频</w:t>
            </w:r>
          </w:p>
        </w:tc>
        <w:tc>
          <w:tcPr>
            <w:tcW w:w="1276" w:type="dxa"/>
          </w:tcPr>
          <w:p w:rsidR="00263463" w:rsidRDefault="00263463" w:rsidP="006A57D5">
            <w:pPr>
              <w:jc w:val="right"/>
            </w:pPr>
            <w:r>
              <w:rPr>
                <w:rFonts w:eastAsiaTheme="minorEastAsia"/>
                <w:color w:val="000000" w:themeColor="text1"/>
                <w:sz w:val="24"/>
              </w:rPr>
              <w:t>775,000.00</w:t>
            </w:r>
          </w:p>
        </w:tc>
        <w:tc>
          <w:tcPr>
            <w:tcW w:w="1842" w:type="dxa"/>
          </w:tcPr>
          <w:p w:rsidR="00263463" w:rsidRDefault="00263463" w:rsidP="006A57D5">
            <w:pPr>
              <w:jc w:val="right"/>
            </w:pPr>
            <w:r>
              <w:rPr>
                <w:rFonts w:eastAsiaTheme="minorEastAsia"/>
                <w:color w:val="000000" w:themeColor="text1"/>
                <w:sz w:val="24"/>
              </w:rPr>
              <w:t>5,933,261.58</w:t>
            </w:r>
          </w:p>
        </w:tc>
        <w:tc>
          <w:tcPr>
            <w:tcW w:w="1616" w:type="dxa"/>
          </w:tcPr>
          <w:p w:rsidR="00263463" w:rsidRDefault="00263463" w:rsidP="006A57D5">
            <w:pPr>
              <w:jc w:val="right"/>
            </w:pPr>
            <w:r>
              <w:rPr>
                <w:rFonts w:eastAsiaTheme="minorEastAsia"/>
                <w:color w:val="000000" w:themeColor="text1"/>
                <w:sz w:val="24"/>
              </w:rPr>
              <w:t>2.54</w:t>
            </w:r>
          </w:p>
        </w:tc>
      </w:tr>
      <w:tr w:rsidR="00263463" w:rsidTr="00263463">
        <w:tc>
          <w:tcPr>
            <w:tcW w:w="817" w:type="dxa"/>
          </w:tcPr>
          <w:p w:rsidR="00263463" w:rsidRDefault="00263463" w:rsidP="006A57D5">
            <w:pPr>
              <w:jc w:val="center"/>
            </w:pPr>
            <w:r>
              <w:rPr>
                <w:rFonts w:eastAsiaTheme="minorEastAsia"/>
                <w:color w:val="000000" w:themeColor="text1"/>
                <w:sz w:val="24"/>
              </w:rPr>
              <w:t>8</w:t>
            </w:r>
          </w:p>
        </w:tc>
        <w:tc>
          <w:tcPr>
            <w:tcW w:w="1276" w:type="dxa"/>
          </w:tcPr>
          <w:p w:rsidR="00263463" w:rsidRDefault="00263463" w:rsidP="006A57D5">
            <w:pPr>
              <w:jc w:val="center"/>
            </w:pPr>
            <w:r>
              <w:rPr>
                <w:rFonts w:eastAsiaTheme="minorEastAsia"/>
                <w:color w:val="000000" w:themeColor="text1"/>
                <w:sz w:val="24"/>
              </w:rPr>
              <w:t>01288</w:t>
            </w:r>
          </w:p>
        </w:tc>
        <w:tc>
          <w:tcPr>
            <w:tcW w:w="1701" w:type="dxa"/>
          </w:tcPr>
          <w:p w:rsidR="00263463" w:rsidRDefault="00263463" w:rsidP="006A57D5">
            <w:pPr>
              <w:jc w:val="center"/>
            </w:pPr>
            <w:r>
              <w:rPr>
                <w:rFonts w:eastAsiaTheme="minorEastAsia"/>
                <w:color w:val="000000" w:themeColor="text1"/>
                <w:sz w:val="24"/>
              </w:rPr>
              <w:t>农业银行</w:t>
            </w:r>
          </w:p>
        </w:tc>
        <w:tc>
          <w:tcPr>
            <w:tcW w:w="1276" w:type="dxa"/>
          </w:tcPr>
          <w:p w:rsidR="00263463" w:rsidRDefault="00263463" w:rsidP="006A57D5">
            <w:pPr>
              <w:jc w:val="right"/>
            </w:pPr>
            <w:r>
              <w:rPr>
                <w:rFonts w:eastAsiaTheme="minorEastAsia"/>
                <w:color w:val="000000" w:themeColor="text1"/>
                <w:sz w:val="24"/>
              </w:rPr>
              <w:t>2,631,000.00</w:t>
            </w:r>
          </w:p>
        </w:tc>
        <w:tc>
          <w:tcPr>
            <w:tcW w:w="1842" w:type="dxa"/>
          </w:tcPr>
          <w:p w:rsidR="00263463" w:rsidRDefault="00263463" w:rsidP="006A57D5">
            <w:pPr>
              <w:jc w:val="right"/>
            </w:pPr>
            <w:r>
              <w:rPr>
                <w:rFonts w:eastAsiaTheme="minorEastAsia"/>
                <w:color w:val="000000" w:themeColor="text1"/>
                <w:sz w:val="24"/>
              </w:rPr>
              <w:t>5,873,972.70</w:t>
            </w:r>
          </w:p>
        </w:tc>
        <w:tc>
          <w:tcPr>
            <w:tcW w:w="1616" w:type="dxa"/>
          </w:tcPr>
          <w:p w:rsidR="00263463" w:rsidRDefault="00263463" w:rsidP="006A57D5">
            <w:pPr>
              <w:jc w:val="right"/>
            </w:pPr>
            <w:r>
              <w:rPr>
                <w:rFonts w:eastAsiaTheme="minorEastAsia"/>
                <w:color w:val="000000" w:themeColor="text1"/>
                <w:sz w:val="24"/>
              </w:rPr>
              <w:t>2.52</w:t>
            </w:r>
          </w:p>
        </w:tc>
      </w:tr>
      <w:tr w:rsidR="00263463" w:rsidTr="00263463">
        <w:tc>
          <w:tcPr>
            <w:tcW w:w="817" w:type="dxa"/>
          </w:tcPr>
          <w:p w:rsidR="00263463" w:rsidRDefault="00263463" w:rsidP="006A57D5">
            <w:pPr>
              <w:jc w:val="center"/>
            </w:pPr>
            <w:r>
              <w:rPr>
                <w:rFonts w:eastAsiaTheme="minorEastAsia"/>
                <w:color w:val="000000" w:themeColor="text1"/>
                <w:sz w:val="24"/>
              </w:rPr>
              <w:t>9</w:t>
            </w:r>
          </w:p>
        </w:tc>
        <w:tc>
          <w:tcPr>
            <w:tcW w:w="1276" w:type="dxa"/>
          </w:tcPr>
          <w:p w:rsidR="00263463" w:rsidRDefault="00263463" w:rsidP="006A57D5">
            <w:pPr>
              <w:jc w:val="center"/>
            </w:pPr>
            <w:r>
              <w:rPr>
                <w:rFonts w:eastAsiaTheme="minorEastAsia"/>
                <w:color w:val="000000" w:themeColor="text1"/>
                <w:sz w:val="24"/>
              </w:rPr>
              <w:t>03383</w:t>
            </w:r>
          </w:p>
        </w:tc>
        <w:tc>
          <w:tcPr>
            <w:tcW w:w="1701" w:type="dxa"/>
          </w:tcPr>
          <w:p w:rsidR="00263463" w:rsidRDefault="00263463" w:rsidP="006A57D5">
            <w:pPr>
              <w:jc w:val="center"/>
            </w:pPr>
            <w:r>
              <w:rPr>
                <w:rFonts w:eastAsiaTheme="minorEastAsia"/>
                <w:color w:val="000000" w:themeColor="text1"/>
                <w:sz w:val="24"/>
              </w:rPr>
              <w:t>雅居乐集团</w:t>
            </w:r>
          </w:p>
        </w:tc>
        <w:tc>
          <w:tcPr>
            <w:tcW w:w="1276" w:type="dxa"/>
          </w:tcPr>
          <w:p w:rsidR="00263463" w:rsidRDefault="00263463" w:rsidP="006A57D5">
            <w:pPr>
              <w:jc w:val="right"/>
            </w:pPr>
            <w:r>
              <w:rPr>
                <w:rFonts w:eastAsiaTheme="minorEastAsia"/>
                <w:color w:val="000000" w:themeColor="text1"/>
                <w:sz w:val="24"/>
              </w:rPr>
              <w:t>956,000.00</w:t>
            </w:r>
          </w:p>
        </w:tc>
        <w:tc>
          <w:tcPr>
            <w:tcW w:w="1842" w:type="dxa"/>
          </w:tcPr>
          <w:p w:rsidR="00263463" w:rsidRDefault="00263463" w:rsidP="006A57D5">
            <w:pPr>
              <w:jc w:val="right"/>
            </w:pPr>
            <w:r>
              <w:rPr>
                <w:rFonts w:eastAsiaTheme="minorEastAsia"/>
                <w:color w:val="000000" w:themeColor="text1"/>
                <w:sz w:val="24"/>
              </w:rPr>
              <w:t>5,797,831.02</w:t>
            </w:r>
          </w:p>
        </w:tc>
        <w:tc>
          <w:tcPr>
            <w:tcW w:w="1616" w:type="dxa"/>
          </w:tcPr>
          <w:p w:rsidR="00263463" w:rsidRDefault="00263463" w:rsidP="006A57D5">
            <w:pPr>
              <w:jc w:val="right"/>
            </w:pPr>
            <w:r>
              <w:rPr>
                <w:rFonts w:eastAsiaTheme="minorEastAsia"/>
                <w:color w:val="000000" w:themeColor="text1"/>
                <w:sz w:val="24"/>
              </w:rPr>
              <w:t>2.49</w:t>
            </w:r>
          </w:p>
        </w:tc>
      </w:tr>
      <w:tr w:rsidR="00263463" w:rsidTr="00263463">
        <w:tc>
          <w:tcPr>
            <w:tcW w:w="817" w:type="dxa"/>
          </w:tcPr>
          <w:p w:rsidR="00263463" w:rsidRDefault="00263463" w:rsidP="006A57D5">
            <w:pPr>
              <w:jc w:val="center"/>
            </w:pPr>
            <w:r>
              <w:rPr>
                <w:rFonts w:eastAsiaTheme="minorEastAsia"/>
                <w:color w:val="000000" w:themeColor="text1"/>
                <w:sz w:val="24"/>
              </w:rPr>
              <w:t>10</w:t>
            </w:r>
          </w:p>
        </w:tc>
        <w:tc>
          <w:tcPr>
            <w:tcW w:w="1276" w:type="dxa"/>
          </w:tcPr>
          <w:p w:rsidR="00263463" w:rsidRDefault="00263463" w:rsidP="006A57D5">
            <w:pPr>
              <w:jc w:val="center"/>
            </w:pPr>
            <w:r>
              <w:rPr>
                <w:rFonts w:eastAsiaTheme="minorEastAsia"/>
                <w:color w:val="000000" w:themeColor="text1"/>
                <w:sz w:val="24"/>
              </w:rPr>
              <w:t>03618</w:t>
            </w:r>
          </w:p>
        </w:tc>
        <w:tc>
          <w:tcPr>
            <w:tcW w:w="1701" w:type="dxa"/>
          </w:tcPr>
          <w:p w:rsidR="00263463" w:rsidRDefault="00263463" w:rsidP="006A57D5">
            <w:pPr>
              <w:jc w:val="center"/>
            </w:pPr>
            <w:r>
              <w:rPr>
                <w:rFonts w:eastAsiaTheme="minorEastAsia"/>
                <w:color w:val="000000" w:themeColor="text1"/>
                <w:sz w:val="24"/>
              </w:rPr>
              <w:t>重庆农村商业银行</w:t>
            </w:r>
          </w:p>
        </w:tc>
        <w:tc>
          <w:tcPr>
            <w:tcW w:w="1276" w:type="dxa"/>
          </w:tcPr>
          <w:p w:rsidR="00263463" w:rsidRDefault="00263463" w:rsidP="006A57D5">
            <w:pPr>
              <w:jc w:val="right"/>
            </w:pPr>
            <w:r>
              <w:rPr>
                <w:rFonts w:eastAsiaTheme="minorEastAsia"/>
                <w:color w:val="000000" w:themeColor="text1"/>
                <w:sz w:val="24"/>
              </w:rPr>
              <w:t>2,418,000.00</w:t>
            </w:r>
          </w:p>
        </w:tc>
        <w:tc>
          <w:tcPr>
            <w:tcW w:w="1842" w:type="dxa"/>
          </w:tcPr>
          <w:p w:rsidR="00263463" w:rsidRDefault="00263463" w:rsidP="006A57D5">
            <w:pPr>
              <w:jc w:val="right"/>
            </w:pPr>
            <w:r>
              <w:rPr>
                <w:rFonts w:eastAsiaTheme="minorEastAsia"/>
                <w:color w:val="000000" w:themeColor="text1"/>
                <w:sz w:val="24"/>
              </w:rPr>
              <w:t>5,720,722.99</w:t>
            </w:r>
          </w:p>
        </w:tc>
        <w:tc>
          <w:tcPr>
            <w:tcW w:w="1616" w:type="dxa"/>
          </w:tcPr>
          <w:p w:rsidR="00263463" w:rsidRDefault="00263463" w:rsidP="006A57D5">
            <w:pPr>
              <w:jc w:val="right"/>
            </w:pPr>
            <w:r>
              <w:rPr>
                <w:rFonts w:eastAsiaTheme="minorEastAsia"/>
                <w:color w:val="000000" w:themeColor="text1"/>
                <w:sz w:val="24"/>
              </w:rPr>
              <w:t>2.45</w:t>
            </w:r>
          </w:p>
        </w:tc>
      </w:tr>
    </w:tbl>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5.3.2</w:t>
      </w:r>
      <w:r w:rsidRPr="00EE3DBC">
        <w:rPr>
          <w:rFonts w:eastAsiaTheme="minorEastAsia"/>
          <w:b/>
          <w:color w:val="000000" w:themeColor="text1"/>
          <w:kern w:val="0"/>
          <w:sz w:val="24"/>
        </w:rPr>
        <w:t>期末</w:t>
      </w:r>
      <w:r w:rsidRPr="00EE3DBC">
        <w:rPr>
          <w:rFonts w:eastAsiaTheme="minorEastAsia"/>
          <w:b/>
          <w:color w:val="000000" w:themeColor="text1"/>
          <w:sz w:val="24"/>
        </w:rPr>
        <w:t>积极投资按公允价值占基金资产净值比例大小排序的前五名股票投资明细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本基金本报告期末未持有积极投资股票。</w:t>
      </w:r>
    </w:p>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5.4 </w:t>
      </w:r>
      <w:r w:rsidRPr="00EE3DBC">
        <w:rPr>
          <w:rFonts w:eastAsiaTheme="minorEastAsia"/>
          <w:b/>
          <w:color w:val="000000" w:themeColor="text1"/>
          <w:kern w:val="0"/>
          <w:sz w:val="24"/>
        </w:rPr>
        <w:t>报告期末按债券品种分类的债券投资组合</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本基金本报告期末未持有债券。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5.5 </w:t>
      </w:r>
      <w:r w:rsidRPr="00EE3DBC">
        <w:rPr>
          <w:rFonts w:eastAsiaTheme="minorEastAsia"/>
          <w:b/>
          <w:color w:val="000000" w:themeColor="text1"/>
          <w:kern w:val="0"/>
          <w:sz w:val="24"/>
        </w:rPr>
        <w:t>报告期末按公允价值占基金资产净值比例大小排序的前五名债券投资明细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本基金本报告期末未持有债券。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5.6</w:t>
      </w:r>
      <w:r w:rsidRPr="00EE3DBC">
        <w:rPr>
          <w:rFonts w:eastAsiaTheme="minorEastAsia"/>
          <w:b/>
          <w:color w:val="000000" w:themeColor="text1"/>
          <w:kern w:val="0"/>
          <w:sz w:val="24"/>
        </w:rPr>
        <w:t>报告期末按公允价值占基金资产净值比例大小排序的前十名资产支持证券投资明细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本基金本报告期末未持有资产支持证券。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bCs/>
          <w:color w:val="000000" w:themeColor="text1"/>
          <w:kern w:val="0"/>
          <w:sz w:val="24"/>
        </w:rPr>
      </w:pPr>
      <w:r w:rsidRPr="00EE3DBC">
        <w:rPr>
          <w:rFonts w:eastAsiaTheme="minorEastAsia"/>
          <w:b/>
          <w:bCs/>
          <w:color w:val="000000" w:themeColor="text1"/>
          <w:kern w:val="0"/>
          <w:sz w:val="24"/>
        </w:rPr>
        <w:t xml:space="preserve">5.7 </w:t>
      </w:r>
      <w:r w:rsidRPr="00EE3DBC">
        <w:rPr>
          <w:rFonts w:eastAsiaTheme="minorEastAsia"/>
          <w:b/>
          <w:bCs/>
          <w:color w:val="000000" w:themeColor="text1"/>
          <w:kern w:val="0"/>
          <w:sz w:val="24"/>
        </w:rPr>
        <w:t>报告期末按公允价值占基金资产净值比例大小排序的前五名贵金属投资明细</w:t>
      </w:r>
    </w:p>
    <w:p w:rsidR="00A960A3" w:rsidRPr="00EE3DBC" w:rsidRDefault="005B4E34">
      <w:pPr>
        <w:widowControl/>
        <w:spacing w:line="360" w:lineRule="auto"/>
        <w:jc w:val="left"/>
        <w:rPr>
          <w:color w:val="000000" w:themeColor="text1"/>
          <w:szCs w:val="21"/>
        </w:rPr>
      </w:pPr>
      <w:r w:rsidRPr="00EE3DBC">
        <w:rPr>
          <w:color w:val="000000" w:themeColor="text1"/>
          <w:szCs w:val="21"/>
        </w:rPr>
        <w:t>本基金本报告期末未持有贵金属。</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5.8</w:t>
      </w:r>
      <w:r w:rsidRPr="00EE3DBC">
        <w:rPr>
          <w:rFonts w:eastAsiaTheme="minorEastAsia"/>
          <w:b/>
          <w:bCs/>
          <w:color w:val="000000" w:themeColor="text1"/>
          <w:sz w:val="24"/>
        </w:rPr>
        <w:t>报告期末按公允价值占基金资产净值比例大小排名的前五名权证投资明细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本基金本报告期末未持有权证。</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t>5.9</w:t>
      </w:r>
      <w:r w:rsidRPr="00EE3DBC">
        <w:rPr>
          <w:rFonts w:eastAsiaTheme="minorEastAsia"/>
          <w:b/>
          <w:color w:val="000000" w:themeColor="text1"/>
          <w:sz w:val="24"/>
        </w:rPr>
        <w:t xml:space="preserve"> </w:t>
      </w:r>
      <w:r w:rsidRPr="00EE3DBC">
        <w:rPr>
          <w:rFonts w:eastAsiaTheme="minorEastAsia"/>
          <w:b/>
          <w:color w:val="000000" w:themeColor="text1"/>
          <w:sz w:val="24"/>
        </w:rPr>
        <w:t>报告期末本基金投资的股指期货交易情况说明</w:t>
      </w: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t>5.9.1</w:t>
      </w:r>
      <w:r w:rsidRPr="00EE3DBC">
        <w:rPr>
          <w:rFonts w:eastAsiaTheme="minorEastAsia"/>
          <w:b/>
          <w:color w:val="000000" w:themeColor="text1"/>
          <w:sz w:val="24"/>
        </w:rPr>
        <w:t xml:space="preserve"> </w:t>
      </w:r>
      <w:r w:rsidRPr="00EE3DBC">
        <w:rPr>
          <w:rFonts w:eastAsiaTheme="minorEastAsia"/>
          <w:b/>
          <w:color w:val="000000" w:themeColor="text1"/>
          <w:sz w:val="24"/>
        </w:rPr>
        <w:t>报告期末本基金投资的股指期货持仓和损益明细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本基金本报告期末未持有股指期货。</w:t>
      </w:r>
    </w:p>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t>5.9.2</w:t>
      </w:r>
      <w:r w:rsidRPr="00EE3DBC">
        <w:rPr>
          <w:rFonts w:eastAsiaTheme="minorEastAsia"/>
          <w:b/>
          <w:color w:val="000000" w:themeColor="text1"/>
          <w:sz w:val="24"/>
        </w:rPr>
        <w:t xml:space="preserve"> </w:t>
      </w:r>
      <w:r w:rsidRPr="00EE3DBC">
        <w:rPr>
          <w:rFonts w:eastAsiaTheme="minorEastAsia"/>
          <w:b/>
          <w:color w:val="000000" w:themeColor="text1"/>
          <w:sz w:val="24"/>
        </w:rPr>
        <w:t>本基金投资股指期货的投资政策</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本基金本报告期末未持有股指期货。</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color w:val="000000" w:themeColor="text1"/>
          <w:sz w:val="24"/>
        </w:rPr>
        <w:t>5.10</w:t>
      </w:r>
      <w:r w:rsidRPr="00EE3DBC">
        <w:rPr>
          <w:rFonts w:eastAsiaTheme="minorEastAsia"/>
          <w:b/>
          <w:color w:val="000000" w:themeColor="text1"/>
          <w:sz w:val="24"/>
        </w:rPr>
        <w:t>报告期末本基金投资的国债期货交易情况说明</w:t>
      </w: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t>5.10.1</w:t>
      </w:r>
      <w:r w:rsidRPr="00EE3DBC">
        <w:rPr>
          <w:rFonts w:eastAsiaTheme="minorEastAsia"/>
          <w:b/>
          <w:color w:val="000000" w:themeColor="text1"/>
          <w:sz w:val="24"/>
        </w:rPr>
        <w:t xml:space="preserve"> </w:t>
      </w:r>
      <w:r w:rsidRPr="00EE3DBC">
        <w:rPr>
          <w:rFonts w:eastAsiaTheme="minorEastAsia"/>
          <w:b/>
          <w:color w:val="000000" w:themeColor="text1"/>
          <w:sz w:val="24"/>
        </w:rPr>
        <w:t>本期国债期货投资政策</w:t>
      </w:r>
    </w:p>
    <w:p w:rsidR="00A960A3" w:rsidRPr="00EE3DBC" w:rsidRDefault="005B4E34">
      <w:pPr>
        <w:autoSpaceDE w:val="0"/>
        <w:autoSpaceDN w:val="0"/>
        <w:adjustRightInd w:val="0"/>
        <w:spacing w:line="360" w:lineRule="auto"/>
        <w:ind w:firstLine="420"/>
        <w:rPr>
          <w:rFonts w:eastAsiaTheme="minorEastAsia"/>
          <w:color w:val="000000" w:themeColor="text1"/>
          <w:sz w:val="24"/>
        </w:rPr>
      </w:pPr>
      <w:r w:rsidRPr="00EE3DBC">
        <w:rPr>
          <w:rFonts w:eastAsiaTheme="minorEastAsia"/>
          <w:color w:val="000000" w:themeColor="text1"/>
          <w:sz w:val="24"/>
        </w:rPr>
        <w:t>本基金本报告期末未持有国债期货。</w:t>
      </w:r>
    </w:p>
    <w:p w:rsidR="00A960A3" w:rsidRPr="00EE3DBC" w:rsidRDefault="005B4E34">
      <w:pPr>
        <w:autoSpaceDE w:val="0"/>
        <w:autoSpaceDN w:val="0"/>
        <w:adjustRightInd w:val="0"/>
        <w:spacing w:line="360" w:lineRule="auto"/>
        <w:jc w:val="left"/>
        <w:rPr>
          <w:rFonts w:eastAsiaTheme="minorEastAsia"/>
          <w:b/>
          <w:color w:val="000000" w:themeColor="text1"/>
          <w:sz w:val="24"/>
        </w:rPr>
      </w:pPr>
      <w:r w:rsidRPr="00EE3DBC">
        <w:rPr>
          <w:rFonts w:eastAsiaTheme="minorEastAsia"/>
          <w:b/>
          <w:bCs/>
          <w:color w:val="000000" w:themeColor="text1"/>
          <w:kern w:val="0"/>
          <w:sz w:val="24"/>
        </w:rPr>
        <w:t>5.10.2</w:t>
      </w:r>
      <w:r w:rsidRPr="00EE3DBC">
        <w:rPr>
          <w:rFonts w:eastAsiaTheme="minorEastAsia"/>
          <w:b/>
          <w:color w:val="000000" w:themeColor="text1"/>
          <w:sz w:val="24"/>
        </w:rPr>
        <w:t xml:space="preserve"> </w:t>
      </w:r>
      <w:r w:rsidRPr="00EE3DBC">
        <w:rPr>
          <w:rFonts w:eastAsiaTheme="minorEastAsia"/>
          <w:b/>
          <w:color w:val="000000" w:themeColor="text1"/>
          <w:sz w:val="24"/>
        </w:rPr>
        <w:t>报告期末本基金投资的国债期货持仓和损益明细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无</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5.11 </w:t>
      </w:r>
      <w:r w:rsidRPr="00EE3DBC">
        <w:rPr>
          <w:rFonts w:eastAsiaTheme="minorEastAsia"/>
          <w:b/>
          <w:color w:val="000000" w:themeColor="text1"/>
          <w:kern w:val="0"/>
          <w:sz w:val="24"/>
        </w:rPr>
        <w:t>投资组合报告附注</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5.11.1</w:t>
      </w:r>
      <w:r w:rsidRPr="00EE3DBC">
        <w:rPr>
          <w:rFonts w:eastAsiaTheme="minorEastAsia"/>
          <w:color w:val="000000" w:themeColor="text1"/>
          <w:kern w:val="0"/>
          <w:sz w:val="24"/>
        </w:rPr>
        <w:t>报告期内本基金投资的前十名证券的发行主体本期没有出现被监管部门立案调查，或在报告编制日前一年内受到公开谴责、处罚的情形。</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5.11.2</w:t>
      </w:r>
      <w:r w:rsidRPr="00EE3DBC">
        <w:rPr>
          <w:rFonts w:eastAsiaTheme="minorEastAsia"/>
          <w:color w:val="000000" w:themeColor="text1"/>
          <w:kern w:val="0"/>
          <w:sz w:val="24"/>
        </w:rPr>
        <w:t>报告期内本基金投资的前十名股票中没有在基金合同规定备选股票库之外的股票。</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5.11.3</w:t>
      </w:r>
      <w:r w:rsidRPr="00EE3DBC">
        <w:rPr>
          <w:rFonts w:eastAsiaTheme="minorEastAsia"/>
          <w:b/>
          <w:color w:val="000000" w:themeColor="text1"/>
          <w:kern w:val="0"/>
          <w:sz w:val="24"/>
        </w:rPr>
        <w:t>其他资产构成</w:t>
      </w:r>
    </w:p>
    <w:tbl>
      <w:tblPr>
        <w:tblStyle w:val="afa"/>
        <w:tblW w:w="8528" w:type="dxa"/>
        <w:tblLayout w:type="fixed"/>
        <w:tblLook w:val="04A0" w:firstRow="1" w:lastRow="0" w:firstColumn="1" w:lastColumn="0" w:noHBand="0" w:noVBand="1"/>
      </w:tblPr>
      <w:tblGrid>
        <w:gridCol w:w="959"/>
        <w:gridCol w:w="2761"/>
        <w:gridCol w:w="4808"/>
      </w:tblGrid>
      <w:tr w:rsidR="00A960A3" w:rsidRPr="00EE3DBC">
        <w:tc>
          <w:tcPr>
            <w:tcW w:w="959"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序号</w:t>
            </w:r>
          </w:p>
        </w:tc>
        <w:tc>
          <w:tcPr>
            <w:tcW w:w="2761"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名称</w:t>
            </w:r>
          </w:p>
        </w:tc>
        <w:tc>
          <w:tcPr>
            <w:tcW w:w="4808"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金额（元）</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kern w:val="0"/>
                <w:sz w:val="24"/>
              </w:rPr>
            </w:pPr>
            <w:r w:rsidRPr="00EE3DBC">
              <w:rPr>
                <w:rFonts w:eastAsiaTheme="minorEastAsia"/>
                <w:color w:val="000000" w:themeColor="text1"/>
                <w:sz w:val="24"/>
              </w:rPr>
              <w:t>1</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存出保证金</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1,969,925.70</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2</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应收证券清算款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3</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应收股利</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1,392,873.63</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4</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应收利息</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5,907.77</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5</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应收申购款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100.00</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6</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其他应收款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7</w:t>
            </w:r>
          </w:p>
        </w:tc>
        <w:tc>
          <w:tcPr>
            <w:tcW w:w="2761" w:type="dxa"/>
          </w:tcPr>
          <w:p w:rsidR="00A960A3" w:rsidRPr="00EE3DBC" w:rsidRDefault="005B4E34">
            <w:pPr>
              <w:autoSpaceDE w:val="0"/>
              <w:autoSpaceDN w:val="0"/>
              <w:adjustRightInd w:val="0"/>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待摊费用</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8</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59,387.06</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9</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合计</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3,428,194.16</w:t>
            </w:r>
          </w:p>
        </w:tc>
      </w:tr>
    </w:tbl>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5.11.4</w:t>
      </w:r>
      <w:r w:rsidRPr="00EE3DBC">
        <w:rPr>
          <w:rFonts w:eastAsiaTheme="minorEastAsia"/>
          <w:b/>
          <w:color w:val="000000" w:themeColor="text1"/>
          <w:kern w:val="0"/>
          <w:sz w:val="24"/>
        </w:rPr>
        <w:t>报告期末持有的处于转股期的可转换债券明细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本基金本报告期末未持有处于转股期的可转换债券。</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w:t>
      </w:r>
      <w:r w:rsidRPr="00EE3DBC">
        <w:rPr>
          <w:rFonts w:eastAsiaTheme="minorEastAsia"/>
          <w:b/>
          <w:color w:val="000000" w:themeColor="text1"/>
          <w:sz w:val="24"/>
        </w:rPr>
        <w:t>期末前十名股票中存在流通受限情况的说明</w:t>
      </w:r>
    </w:p>
    <w:p w:rsidR="00A960A3" w:rsidRPr="00EE3DBC" w:rsidRDefault="005B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color w:val="000000" w:themeColor="text1"/>
          <w:kern w:val="0"/>
          <w:sz w:val="24"/>
        </w:rPr>
      </w:pPr>
      <w:r w:rsidRPr="00EE3DBC">
        <w:rPr>
          <w:rFonts w:eastAsiaTheme="minorEastAsia"/>
          <w:b/>
          <w:bCs/>
          <w:color w:val="000000" w:themeColor="text1"/>
          <w:kern w:val="0"/>
          <w:sz w:val="24"/>
        </w:rPr>
        <w:t>5.11.5.1</w:t>
      </w:r>
      <w:r w:rsidRPr="00EE3DBC">
        <w:rPr>
          <w:b/>
          <w:color w:val="000000" w:themeColor="text1"/>
          <w:kern w:val="0"/>
          <w:sz w:val="24"/>
        </w:rPr>
        <w:t>期末指数投资前十名股票中存在流通受限情况的说明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lastRenderedPageBreak/>
        <w:t>本基金本报告期末前十名股票中不存在流通受限情况。</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5.11.5.2</w:t>
      </w:r>
      <w:r w:rsidRPr="00EE3DBC">
        <w:rPr>
          <w:rFonts w:eastAsiaTheme="minorEastAsia"/>
          <w:b/>
          <w:color w:val="000000" w:themeColor="text1"/>
          <w:sz w:val="24"/>
        </w:rPr>
        <w:t>期末积极投资前五名股票中存在流通受限情况的说明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本基金本报告期末前五名积极投资中不存在流通受限情况。</w:t>
      </w:r>
    </w:p>
    <w:p w:rsidR="00A960A3" w:rsidRPr="00EE3DBC" w:rsidRDefault="00A960A3">
      <w:pPr>
        <w:spacing w:line="360" w:lineRule="auto"/>
        <w:rPr>
          <w:rFonts w:eastAsiaTheme="minorEastAsia"/>
          <w:bCs/>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5.11.6</w:t>
      </w:r>
      <w:r w:rsidRPr="00EE3DBC">
        <w:rPr>
          <w:rFonts w:eastAsiaTheme="minorEastAsia"/>
          <w:b/>
          <w:bCs/>
          <w:color w:val="000000" w:themeColor="text1"/>
          <w:kern w:val="0"/>
          <w:sz w:val="24"/>
        </w:rPr>
        <w:t>投资组合报告附注的其他文字描述部分</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kern w:val="0"/>
          <w:sz w:val="24"/>
        </w:rPr>
        <w:t>因四舍五入原因</w:t>
      </w:r>
      <w:r w:rsidRPr="00EE3DBC">
        <w:rPr>
          <w:rFonts w:eastAsiaTheme="minorEastAsia"/>
          <w:color w:val="000000" w:themeColor="text1"/>
          <w:kern w:val="0"/>
          <w:sz w:val="24"/>
        </w:rPr>
        <w:t>,</w:t>
      </w:r>
      <w:r w:rsidRPr="00EE3DBC">
        <w:rPr>
          <w:rFonts w:eastAsiaTheme="minorEastAsia"/>
          <w:color w:val="000000" w:themeColor="text1"/>
          <w:kern w:val="0"/>
          <w:sz w:val="24"/>
        </w:rPr>
        <w:t>投资组合报告中分项之和与合计可能存在尾差。</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§6  </w:t>
      </w:r>
      <w:r w:rsidRPr="00EE3DBC">
        <w:rPr>
          <w:rFonts w:eastAsiaTheme="minorEastAsia"/>
          <w:color w:val="000000" w:themeColor="text1"/>
          <w:kern w:val="0"/>
          <w:sz w:val="24"/>
          <w:szCs w:val="24"/>
        </w:rPr>
        <w:t>开放式基金份额变动</w:t>
      </w:r>
    </w:p>
    <w:p w:rsidR="0098228A" w:rsidRPr="00EE3DBC" w:rsidRDefault="0098228A" w:rsidP="0098228A">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sidRPr="00EE3DBC">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C</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214,469,161.51</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62,228,636.53</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20,036,969.35</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27,893,499.20</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56,741,984.96</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3,856,874.32</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177,764,145.90</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86,265,261.41</w:t>
            </w:r>
          </w:p>
        </w:tc>
      </w:tr>
    </w:tbl>
    <w:p w:rsidR="00A960A3" w:rsidRPr="00EE3DBC" w:rsidRDefault="005B4E34" w:rsidP="009A3BD8">
      <w:pPr>
        <w:pStyle w:val="1"/>
        <w:tabs>
          <w:tab w:val="center" w:pos="4156"/>
          <w:tab w:val="right" w:pos="8312"/>
        </w:tabs>
        <w:spacing w:beforeLines="100" w:before="312" w:afterLines="100" w:after="312" w:line="360" w:lineRule="auto"/>
        <w:jc w:val="center"/>
        <w:rPr>
          <w:color w:val="000000" w:themeColor="text1"/>
          <w:sz w:val="24"/>
          <w:szCs w:val="24"/>
        </w:rPr>
      </w:pPr>
      <w:r w:rsidRPr="00EE3DBC">
        <w:rPr>
          <w:rFonts w:eastAsiaTheme="minorEastAsia"/>
          <w:color w:val="000000" w:themeColor="text1"/>
          <w:kern w:val="0"/>
          <w:sz w:val="24"/>
          <w:szCs w:val="24"/>
        </w:rPr>
        <w:t xml:space="preserve">§7  </w:t>
      </w:r>
      <w:r w:rsidRPr="00EE3DBC">
        <w:rPr>
          <w:color w:val="000000" w:themeColor="text1"/>
          <w:sz w:val="24"/>
          <w:szCs w:val="24"/>
        </w:rPr>
        <w:t>基金管理人运用固有资金投资本基金情况</w:t>
      </w:r>
    </w:p>
    <w:p w:rsidR="0098228A" w:rsidRPr="00EE3DBC" w:rsidRDefault="0098228A" w:rsidP="0098228A">
      <w:pPr>
        <w:spacing w:line="360" w:lineRule="auto"/>
        <w:jc w:val="left"/>
        <w:rPr>
          <w:color w:val="000000" w:themeColor="text1"/>
          <w:szCs w:val="21"/>
        </w:rPr>
      </w:pPr>
      <w:r w:rsidRPr="00EE3DBC">
        <w:rPr>
          <w:b/>
          <w:color w:val="000000" w:themeColor="text1"/>
          <w:szCs w:val="21"/>
        </w:rPr>
        <w:t>7.1</w:t>
      </w:r>
      <w:r w:rsidRPr="00EE3DBC">
        <w:rPr>
          <w:rFonts w:eastAsiaTheme="minorEastAsia"/>
          <w:b/>
          <w:bCs/>
          <w:color w:val="000000" w:themeColor="text1"/>
          <w:kern w:val="44"/>
          <w:szCs w:val="21"/>
        </w:rPr>
        <w:t>基金管理人持有本基金份额变动情况</w:t>
      </w:r>
    </w:p>
    <w:p w:rsidR="0098228A" w:rsidRPr="00EE3DBC" w:rsidRDefault="0098228A" w:rsidP="0098228A">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无。</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§8  </w:t>
      </w:r>
      <w:r w:rsidRPr="00EE3DBC">
        <w:rPr>
          <w:rFonts w:eastAsiaTheme="minorEastAsia"/>
          <w:color w:val="000000" w:themeColor="text1"/>
          <w:kern w:val="0"/>
          <w:sz w:val="24"/>
          <w:szCs w:val="24"/>
        </w:rPr>
        <w:t>影响投资者决策的其他重要信息</w:t>
      </w:r>
    </w:p>
    <w:p w:rsidR="00A960A3" w:rsidRPr="00EE3DBC" w:rsidRDefault="005B4E34">
      <w:pPr>
        <w:autoSpaceDE w:val="0"/>
        <w:autoSpaceDN w:val="0"/>
        <w:adjustRightInd w:val="0"/>
        <w:spacing w:line="360" w:lineRule="auto"/>
        <w:jc w:val="left"/>
        <w:rPr>
          <w:b/>
          <w:bCs/>
          <w:color w:val="000000"/>
          <w:kern w:val="0"/>
          <w:sz w:val="24"/>
        </w:rPr>
      </w:pPr>
      <w:r w:rsidRPr="00EE3DBC">
        <w:rPr>
          <w:b/>
          <w:bCs/>
          <w:color w:val="000000"/>
          <w:kern w:val="0"/>
          <w:sz w:val="24"/>
        </w:rPr>
        <w:t xml:space="preserve">8.1 </w:t>
      </w:r>
      <w:r w:rsidRPr="00EE3DBC">
        <w:rPr>
          <w:b/>
          <w:bCs/>
          <w:color w:val="000000"/>
          <w:kern w:val="0"/>
          <w:sz w:val="24"/>
        </w:rPr>
        <w:t>报告期内单一投资者持有基金份额比例达到或超过</w:t>
      </w:r>
      <w:r w:rsidRPr="00EE3DBC">
        <w:rPr>
          <w:b/>
          <w:bCs/>
          <w:color w:val="000000"/>
          <w:kern w:val="0"/>
          <w:sz w:val="24"/>
        </w:rPr>
        <w:t>20%</w:t>
      </w:r>
      <w:r w:rsidRPr="00EE3DBC">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960A3" w:rsidRPr="00EE3DBC">
        <w:tc>
          <w:tcPr>
            <w:tcW w:w="993" w:type="dxa"/>
            <w:vMerge w:val="restart"/>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投资者类别</w:t>
            </w:r>
            <w:r w:rsidRPr="00EE3DBC">
              <w:rPr>
                <w:color w:val="000000"/>
                <w:kern w:val="0"/>
                <w:sz w:val="24"/>
              </w:rPr>
              <w:t xml:space="preserve">  </w:t>
            </w:r>
          </w:p>
        </w:tc>
        <w:tc>
          <w:tcPr>
            <w:tcW w:w="5670" w:type="dxa"/>
            <w:gridSpan w:val="5"/>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报告期内持有基金份额变化情况</w:t>
            </w:r>
          </w:p>
        </w:tc>
        <w:tc>
          <w:tcPr>
            <w:tcW w:w="2549" w:type="dxa"/>
            <w:gridSpan w:val="2"/>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报告期末持有基金情况</w:t>
            </w:r>
          </w:p>
        </w:tc>
      </w:tr>
      <w:tr w:rsidR="00A960A3" w:rsidRPr="00EE3DBC">
        <w:tc>
          <w:tcPr>
            <w:tcW w:w="993" w:type="dxa"/>
            <w:vMerge/>
            <w:vAlign w:val="center"/>
          </w:tcPr>
          <w:p w:rsidR="00A960A3" w:rsidRPr="00EE3DBC" w:rsidRDefault="00A960A3">
            <w:pPr>
              <w:autoSpaceDE w:val="0"/>
              <w:autoSpaceDN w:val="0"/>
              <w:adjustRightInd w:val="0"/>
              <w:jc w:val="center"/>
              <w:rPr>
                <w:b/>
                <w:bCs/>
                <w:color w:val="000000"/>
                <w:kern w:val="0"/>
                <w:sz w:val="24"/>
              </w:rPr>
            </w:pPr>
          </w:p>
        </w:tc>
        <w:tc>
          <w:tcPr>
            <w:tcW w:w="992"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序号</w:t>
            </w:r>
          </w:p>
        </w:tc>
        <w:tc>
          <w:tcPr>
            <w:tcW w:w="1843"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持有基金份额比例达到或者超过</w:t>
            </w:r>
            <w:r w:rsidRPr="00EE3DBC">
              <w:rPr>
                <w:color w:val="000000"/>
                <w:kern w:val="0"/>
                <w:sz w:val="24"/>
              </w:rPr>
              <w:t>20%</w:t>
            </w:r>
            <w:r w:rsidRPr="00EE3DBC">
              <w:rPr>
                <w:color w:val="000000"/>
                <w:kern w:val="0"/>
                <w:sz w:val="24"/>
              </w:rPr>
              <w:t>的时间区间</w:t>
            </w:r>
          </w:p>
        </w:tc>
        <w:tc>
          <w:tcPr>
            <w:tcW w:w="851" w:type="dxa"/>
            <w:vAlign w:val="center"/>
          </w:tcPr>
          <w:p w:rsidR="00A960A3" w:rsidRPr="00EE3DBC" w:rsidRDefault="005B4E34">
            <w:pPr>
              <w:widowControl/>
              <w:jc w:val="center"/>
              <w:rPr>
                <w:b/>
                <w:bCs/>
                <w:color w:val="000000"/>
                <w:kern w:val="0"/>
                <w:sz w:val="24"/>
              </w:rPr>
            </w:pPr>
            <w:r w:rsidRPr="00EE3DBC">
              <w:rPr>
                <w:color w:val="000000"/>
                <w:kern w:val="0"/>
                <w:sz w:val="24"/>
              </w:rPr>
              <w:t>期初份额</w:t>
            </w:r>
          </w:p>
        </w:tc>
        <w:tc>
          <w:tcPr>
            <w:tcW w:w="850" w:type="dxa"/>
            <w:vAlign w:val="center"/>
          </w:tcPr>
          <w:p w:rsidR="00A960A3" w:rsidRPr="00EE3DBC" w:rsidRDefault="005B4E34">
            <w:pPr>
              <w:widowControl/>
              <w:jc w:val="center"/>
              <w:rPr>
                <w:b/>
                <w:bCs/>
                <w:color w:val="000000"/>
                <w:kern w:val="0"/>
                <w:sz w:val="24"/>
              </w:rPr>
            </w:pPr>
            <w:r w:rsidRPr="00EE3DBC">
              <w:rPr>
                <w:color w:val="000000"/>
                <w:kern w:val="0"/>
                <w:sz w:val="24"/>
              </w:rPr>
              <w:t>申购份额</w:t>
            </w:r>
          </w:p>
        </w:tc>
        <w:tc>
          <w:tcPr>
            <w:tcW w:w="1134" w:type="dxa"/>
            <w:vAlign w:val="center"/>
          </w:tcPr>
          <w:p w:rsidR="00A960A3" w:rsidRPr="00EE3DBC" w:rsidRDefault="005B4E34">
            <w:pPr>
              <w:widowControl/>
              <w:jc w:val="center"/>
              <w:rPr>
                <w:b/>
                <w:bCs/>
                <w:color w:val="000000"/>
                <w:kern w:val="0"/>
                <w:sz w:val="24"/>
              </w:rPr>
            </w:pPr>
            <w:r w:rsidRPr="00EE3DBC">
              <w:rPr>
                <w:color w:val="000000"/>
                <w:kern w:val="0"/>
                <w:sz w:val="24"/>
              </w:rPr>
              <w:t>赎回份额</w:t>
            </w:r>
          </w:p>
        </w:tc>
        <w:tc>
          <w:tcPr>
            <w:tcW w:w="1419"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持有份额</w:t>
            </w:r>
          </w:p>
        </w:tc>
        <w:tc>
          <w:tcPr>
            <w:tcW w:w="1130"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份额占比</w:t>
            </w:r>
          </w:p>
        </w:tc>
      </w:tr>
      <w:tr w:rsidR="006D3840">
        <w:tc>
          <w:tcPr>
            <w:tcW w:w="993" w:type="dxa"/>
            <w:vAlign w:val="center"/>
          </w:tcPr>
          <w:p w:rsidR="006D3840" w:rsidRDefault="00263463">
            <w:r>
              <w:rPr>
                <w:bCs/>
                <w:color w:val="000000"/>
                <w:kern w:val="0"/>
                <w:sz w:val="24"/>
              </w:rPr>
              <w:lastRenderedPageBreak/>
              <w:t>机构</w:t>
            </w:r>
          </w:p>
        </w:tc>
        <w:tc>
          <w:tcPr>
            <w:tcW w:w="992" w:type="dxa"/>
            <w:vAlign w:val="center"/>
          </w:tcPr>
          <w:p w:rsidR="006D3840" w:rsidRDefault="00263463">
            <w:pPr>
              <w:jc w:val="center"/>
            </w:pPr>
            <w:r>
              <w:rPr>
                <w:color w:val="000000"/>
                <w:kern w:val="0"/>
                <w:sz w:val="24"/>
              </w:rPr>
              <w:t>1</w:t>
            </w:r>
          </w:p>
        </w:tc>
        <w:tc>
          <w:tcPr>
            <w:tcW w:w="1843" w:type="dxa"/>
            <w:vAlign w:val="center"/>
          </w:tcPr>
          <w:p w:rsidR="006D3840" w:rsidRDefault="00263463">
            <w:pPr>
              <w:jc w:val="center"/>
            </w:pPr>
            <w:r>
              <w:rPr>
                <w:color w:val="000000"/>
                <w:kern w:val="0"/>
                <w:sz w:val="24"/>
              </w:rPr>
              <w:t>20210813-20210815</w:t>
            </w:r>
          </w:p>
        </w:tc>
        <w:tc>
          <w:tcPr>
            <w:tcW w:w="851" w:type="dxa"/>
            <w:vAlign w:val="center"/>
          </w:tcPr>
          <w:p w:rsidR="006D3840" w:rsidRDefault="00263463">
            <w:pPr>
              <w:jc w:val="center"/>
            </w:pPr>
            <w:r>
              <w:rPr>
                <w:color w:val="000000"/>
                <w:kern w:val="0"/>
                <w:sz w:val="24"/>
              </w:rPr>
              <w:t>50,690,660.25</w:t>
            </w:r>
          </w:p>
        </w:tc>
        <w:tc>
          <w:tcPr>
            <w:tcW w:w="850" w:type="dxa"/>
            <w:vAlign w:val="center"/>
          </w:tcPr>
          <w:p w:rsidR="006D3840" w:rsidRDefault="00263463">
            <w:pPr>
              <w:jc w:val="center"/>
            </w:pPr>
            <w:r>
              <w:rPr>
                <w:color w:val="000000"/>
                <w:kern w:val="0"/>
                <w:sz w:val="24"/>
              </w:rPr>
              <w:t>0.00</w:t>
            </w:r>
          </w:p>
        </w:tc>
        <w:tc>
          <w:tcPr>
            <w:tcW w:w="1134" w:type="dxa"/>
            <w:vAlign w:val="center"/>
          </w:tcPr>
          <w:p w:rsidR="006D3840" w:rsidRDefault="00263463">
            <w:pPr>
              <w:jc w:val="center"/>
            </w:pPr>
            <w:r>
              <w:rPr>
                <w:color w:val="000000"/>
                <w:kern w:val="0"/>
                <w:sz w:val="24"/>
              </w:rPr>
              <w:t>0.00</w:t>
            </w:r>
          </w:p>
        </w:tc>
        <w:tc>
          <w:tcPr>
            <w:tcW w:w="1419" w:type="dxa"/>
            <w:vAlign w:val="center"/>
          </w:tcPr>
          <w:p w:rsidR="006D3840" w:rsidRDefault="00263463">
            <w:pPr>
              <w:jc w:val="center"/>
            </w:pPr>
            <w:r>
              <w:rPr>
                <w:color w:val="000000"/>
                <w:kern w:val="0"/>
                <w:sz w:val="24"/>
              </w:rPr>
              <w:t>50,690,660.25</w:t>
            </w:r>
          </w:p>
        </w:tc>
        <w:tc>
          <w:tcPr>
            <w:tcW w:w="1130" w:type="dxa"/>
            <w:vAlign w:val="center"/>
          </w:tcPr>
          <w:p w:rsidR="006D3840" w:rsidRDefault="00263463">
            <w:pPr>
              <w:jc w:val="center"/>
            </w:pPr>
            <w:r>
              <w:rPr>
                <w:color w:val="000000"/>
                <w:kern w:val="0"/>
                <w:sz w:val="24"/>
              </w:rPr>
              <w:t>19.20%</w:t>
            </w:r>
          </w:p>
        </w:tc>
      </w:tr>
      <w:tr w:rsidR="00A960A3" w:rsidRPr="00EE3DBC">
        <w:tc>
          <w:tcPr>
            <w:tcW w:w="9212" w:type="dxa"/>
            <w:gridSpan w:val="8"/>
            <w:vAlign w:val="center"/>
          </w:tcPr>
          <w:p w:rsidR="00A960A3" w:rsidRPr="00EE3DBC" w:rsidRDefault="005B4E34">
            <w:pPr>
              <w:autoSpaceDE w:val="0"/>
              <w:autoSpaceDN w:val="0"/>
              <w:adjustRightInd w:val="0"/>
              <w:jc w:val="center"/>
              <w:rPr>
                <w:kern w:val="0"/>
                <w:sz w:val="24"/>
              </w:rPr>
            </w:pPr>
            <w:r w:rsidRPr="00EE3DBC">
              <w:rPr>
                <w:color w:val="000000"/>
                <w:kern w:val="0"/>
                <w:sz w:val="24"/>
              </w:rPr>
              <w:t>产品特有风险</w:t>
            </w:r>
          </w:p>
        </w:tc>
      </w:tr>
      <w:tr w:rsidR="00A960A3" w:rsidRPr="00EE3DBC">
        <w:tc>
          <w:tcPr>
            <w:tcW w:w="9212" w:type="dxa"/>
            <w:gridSpan w:val="8"/>
            <w:vAlign w:val="center"/>
          </w:tcPr>
          <w:p w:rsidR="00A960A3" w:rsidRPr="00EE3DBC" w:rsidRDefault="005B4E34">
            <w:pPr>
              <w:autoSpaceDE w:val="0"/>
              <w:autoSpaceDN w:val="0"/>
              <w:adjustRightInd w:val="0"/>
              <w:jc w:val="left"/>
              <w:rPr>
                <w:kern w:val="0"/>
                <w:sz w:val="24"/>
              </w:rPr>
            </w:pPr>
            <w:r w:rsidRPr="00EE3DBC">
              <w:rPr>
                <w:kern w:val="0"/>
                <w:sz w:val="24"/>
              </w:rPr>
              <w:t>本基金的集中度风险主要体现在有单一投资者持有基金份额比例达到或者超过</w:t>
            </w:r>
            <w:r w:rsidRPr="00EE3DBC">
              <w:rPr>
                <w:kern w:val="0"/>
                <w:sz w:val="24"/>
              </w:rPr>
              <w:t>20%</w:t>
            </w:r>
            <w:r w:rsidRPr="00EE3DBC">
              <w:rPr>
                <w:kern w:val="0"/>
                <w:sz w:val="24"/>
              </w:rPr>
              <w:t>，如果投资者发生大额赎回，可能出现基金可变现资产无法满足投资者赎回需要以及因为资产变现成本过高导致投资者的利益受到损害的风险。</w:t>
            </w:r>
          </w:p>
        </w:tc>
      </w:tr>
    </w:tbl>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§9  </w:t>
      </w:r>
      <w:r w:rsidRPr="00EE3DBC">
        <w:rPr>
          <w:rFonts w:eastAsiaTheme="minorEastAsia"/>
          <w:color w:val="000000" w:themeColor="text1"/>
          <w:kern w:val="0"/>
          <w:sz w:val="24"/>
          <w:szCs w:val="24"/>
        </w:rPr>
        <w:t>备查文件目录</w:t>
      </w:r>
    </w:p>
    <w:p w:rsidR="00A960A3" w:rsidRPr="00EE3DBC" w:rsidRDefault="005B4E34">
      <w:pPr>
        <w:spacing w:line="360" w:lineRule="auto"/>
        <w:rPr>
          <w:rFonts w:eastAsiaTheme="minorEastAsia"/>
          <w:b/>
          <w:color w:val="000000" w:themeColor="text1"/>
          <w:kern w:val="0"/>
          <w:sz w:val="24"/>
        </w:rPr>
      </w:pPr>
      <w:r w:rsidRPr="00EE3DBC">
        <w:rPr>
          <w:rFonts w:eastAsiaTheme="minorEastAsia"/>
          <w:b/>
          <w:color w:val="000000" w:themeColor="text1"/>
          <w:sz w:val="24"/>
        </w:rPr>
        <w:t xml:space="preserve">9.1 </w:t>
      </w:r>
      <w:r w:rsidRPr="00EE3DBC">
        <w:rPr>
          <w:rFonts w:eastAsiaTheme="minorEastAsia"/>
          <w:b/>
          <w:color w:val="000000" w:themeColor="text1"/>
          <w:sz w:val="24"/>
        </w:rPr>
        <w:t>备查文件目录</w:t>
      </w:r>
    </w:p>
    <w:p w:rsidR="006D3840" w:rsidRDefault="00263463">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1. </w:t>
      </w:r>
      <w:r>
        <w:rPr>
          <w:rFonts w:eastAsiaTheme="minorEastAsia"/>
          <w:color w:val="000000" w:themeColor="text1"/>
          <w:sz w:val="24"/>
        </w:rPr>
        <w:t>中国证监会准予上投摩根标普港股通低波红利指数型证券投资基金募集注册的文件；</w:t>
      </w:r>
      <w:r>
        <w:rPr>
          <w:rFonts w:eastAsiaTheme="minorEastAsia"/>
          <w:color w:val="000000" w:themeColor="text1"/>
          <w:sz w:val="24"/>
        </w:rPr>
        <w:t xml:space="preserve"> </w:t>
      </w:r>
    </w:p>
    <w:p w:rsidR="006D3840" w:rsidRDefault="00263463">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2. </w:t>
      </w:r>
      <w:r>
        <w:rPr>
          <w:rFonts w:eastAsiaTheme="minorEastAsia"/>
          <w:color w:val="000000" w:themeColor="text1"/>
          <w:sz w:val="24"/>
        </w:rPr>
        <w:t>《上投摩根标普港股通低波红利指数型证券投资基金基金合同》；</w:t>
      </w:r>
      <w:r>
        <w:rPr>
          <w:rFonts w:eastAsiaTheme="minorEastAsia"/>
          <w:color w:val="000000" w:themeColor="text1"/>
          <w:sz w:val="24"/>
        </w:rPr>
        <w:t xml:space="preserve"> </w:t>
      </w:r>
    </w:p>
    <w:p w:rsidR="006D3840" w:rsidRDefault="00263463">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3. </w:t>
      </w:r>
      <w:r>
        <w:rPr>
          <w:rFonts w:eastAsiaTheme="minorEastAsia"/>
          <w:color w:val="000000" w:themeColor="text1"/>
          <w:sz w:val="24"/>
        </w:rPr>
        <w:t>《上投摩根标普港股通低波红利指数型证券投资基金托管协议》；</w:t>
      </w:r>
    </w:p>
    <w:p w:rsidR="006D3840" w:rsidRDefault="00263463">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4. </w:t>
      </w:r>
      <w:r>
        <w:rPr>
          <w:rFonts w:eastAsiaTheme="minorEastAsia"/>
          <w:color w:val="000000" w:themeColor="text1"/>
          <w:sz w:val="24"/>
        </w:rPr>
        <w:t>《上投摩根开放式基金业务规则》；</w:t>
      </w:r>
      <w:r>
        <w:rPr>
          <w:rFonts w:eastAsiaTheme="minorEastAsia"/>
          <w:color w:val="000000" w:themeColor="text1"/>
          <w:sz w:val="24"/>
        </w:rPr>
        <w:t xml:space="preserve"> </w:t>
      </w:r>
    </w:p>
    <w:p w:rsidR="006D3840" w:rsidRDefault="00263463">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5. </w:t>
      </w:r>
      <w:r>
        <w:rPr>
          <w:rFonts w:eastAsiaTheme="minorEastAsia"/>
          <w:color w:val="000000" w:themeColor="text1"/>
          <w:sz w:val="24"/>
        </w:rPr>
        <w:t>基金管理人业务资格批件、营业执照；</w:t>
      </w:r>
      <w:r>
        <w:rPr>
          <w:rFonts w:eastAsiaTheme="minorEastAsia"/>
          <w:color w:val="000000" w:themeColor="text1"/>
          <w:sz w:val="24"/>
        </w:rPr>
        <w:t xml:space="preserve"> </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 xml:space="preserve">6. </w:t>
      </w:r>
      <w:r w:rsidRPr="00EE3DBC">
        <w:rPr>
          <w:rFonts w:eastAsiaTheme="minorEastAsia"/>
          <w:color w:val="000000" w:themeColor="text1"/>
          <w:sz w:val="24"/>
        </w:rPr>
        <w:t>基金托管人业务资格批件和营业执照。</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9.2 </w:t>
      </w:r>
      <w:r w:rsidRPr="00EE3DBC">
        <w:rPr>
          <w:rFonts w:eastAsiaTheme="minorEastAsia"/>
          <w:b/>
          <w:color w:val="000000" w:themeColor="text1"/>
          <w:sz w:val="24"/>
        </w:rPr>
        <w:t>存放地点</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基金管理人或基金托管人住所。</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9.3 </w:t>
      </w:r>
      <w:r w:rsidRPr="00EE3DBC">
        <w:rPr>
          <w:rFonts w:eastAsiaTheme="minorEastAsia"/>
          <w:b/>
          <w:color w:val="000000" w:themeColor="text1"/>
          <w:sz w:val="24"/>
        </w:rPr>
        <w:t>查阅方式</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投资者可在营业时间免费查阅，也可按工本费购买复印件。</w:t>
      </w:r>
    </w:p>
    <w:p w:rsidR="00A960A3" w:rsidRPr="00EE3DBC" w:rsidRDefault="005B4E34">
      <w:pPr>
        <w:spacing w:line="360" w:lineRule="auto"/>
        <w:ind w:left="840"/>
        <w:jc w:val="right"/>
        <w:rPr>
          <w:rFonts w:eastAsiaTheme="minorEastAsia"/>
          <w:color w:val="000000" w:themeColor="text1"/>
          <w:sz w:val="24"/>
        </w:rPr>
      </w:pPr>
      <w:r w:rsidRPr="00EE3DBC">
        <w:rPr>
          <w:rFonts w:eastAsiaTheme="minorEastAsia"/>
          <w:color w:val="000000" w:themeColor="text1"/>
          <w:sz w:val="24"/>
        </w:rPr>
        <w:tab/>
      </w: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上投摩根基金管理有限公司</w:t>
      </w: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二〇二一年十月二十七日</w:t>
      </w:r>
    </w:p>
    <w:p w:rsidR="00A960A3" w:rsidRPr="00EE3DBC" w:rsidRDefault="00A960A3">
      <w:pPr>
        <w:spacing w:line="360" w:lineRule="auto"/>
        <w:ind w:firstLineChars="900" w:firstLine="2168"/>
        <w:rPr>
          <w:rFonts w:eastAsiaTheme="minorEastAsia"/>
          <w:b/>
          <w:color w:val="000000" w:themeColor="text1"/>
          <w:sz w:val="24"/>
        </w:rPr>
      </w:pPr>
    </w:p>
    <w:sectPr w:rsidR="00A960A3" w:rsidRPr="00EE3DBC">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38" w:rsidRDefault="004F4F38">
      <w:r>
        <w:separator/>
      </w:r>
    </w:p>
  </w:endnote>
  <w:endnote w:type="continuationSeparator" w:id="0">
    <w:p w:rsidR="004F4F38" w:rsidRDefault="004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81B4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81B4F">
      <w:rPr>
        <w:noProof/>
        <w:kern w:val="0"/>
        <w:szCs w:val="21"/>
      </w:rPr>
      <w:t>19</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0A3" w:rsidRDefault="00A960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81B4F">
      <w:rPr>
        <w:rStyle w:val="af5"/>
        <w:noProof/>
      </w:rPr>
      <w:t>2</w:t>
    </w:r>
    <w:r>
      <w:rPr>
        <w:rStyle w:val="af5"/>
      </w:rPr>
      <w:fldChar w:fldCharType="end"/>
    </w:r>
  </w:p>
  <w:p w:rsidR="00A960A3" w:rsidRDefault="00A960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38" w:rsidRDefault="004F4F38">
      <w:r>
        <w:separator/>
      </w:r>
    </w:p>
  </w:footnote>
  <w:footnote w:type="continuationSeparator" w:id="0">
    <w:p w:rsidR="004F4F38" w:rsidRDefault="004F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f"/>
      <w:pBdr>
        <w:bottom w:val="single" w:sz="6" w:space="0" w:color="auto"/>
      </w:pBdr>
      <w:jc w:val="right"/>
    </w:pPr>
    <w:r>
      <w:rPr>
        <w:sz w:val="21"/>
        <w:szCs w:val="21"/>
      </w:rPr>
      <w:t>上投摩根标普港股通低波红利指数型证券投资基金</w:t>
    </w:r>
    <w:r>
      <w:rPr>
        <w:sz w:val="21"/>
        <w:szCs w:val="21"/>
      </w:rPr>
      <w:t>2021</w:t>
    </w:r>
    <w:r>
      <w:rPr>
        <w:sz w:val="21"/>
        <w:szCs w:val="21"/>
      </w:rPr>
      <w:t>年第</w:t>
    </w:r>
    <w:r>
      <w:rPr>
        <w:sz w:val="21"/>
        <w:szCs w:val="21"/>
      </w:rPr>
      <w:t>3</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392F"/>
    <w:rsid w:val="000140FF"/>
    <w:rsid w:val="000148F1"/>
    <w:rsid w:val="0001536C"/>
    <w:rsid w:val="00017581"/>
    <w:rsid w:val="00020149"/>
    <w:rsid w:val="00020583"/>
    <w:rsid w:val="00021DD4"/>
    <w:rsid w:val="00023BE7"/>
    <w:rsid w:val="00026AAE"/>
    <w:rsid w:val="00031E23"/>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70CD1"/>
    <w:rsid w:val="0007171B"/>
    <w:rsid w:val="00074E9F"/>
    <w:rsid w:val="00081D05"/>
    <w:rsid w:val="00085449"/>
    <w:rsid w:val="00087CF7"/>
    <w:rsid w:val="00090B0F"/>
    <w:rsid w:val="00091214"/>
    <w:rsid w:val="00094876"/>
    <w:rsid w:val="00095912"/>
    <w:rsid w:val="00095CE0"/>
    <w:rsid w:val="00096933"/>
    <w:rsid w:val="00097230"/>
    <w:rsid w:val="0009778D"/>
    <w:rsid w:val="000A457E"/>
    <w:rsid w:val="000A53FD"/>
    <w:rsid w:val="000A549A"/>
    <w:rsid w:val="000A72F2"/>
    <w:rsid w:val="000B0C56"/>
    <w:rsid w:val="000B3E43"/>
    <w:rsid w:val="000B51C1"/>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60FF"/>
    <w:rsid w:val="000F635F"/>
    <w:rsid w:val="000F6C61"/>
    <w:rsid w:val="001008A1"/>
    <w:rsid w:val="00100C12"/>
    <w:rsid w:val="00102E56"/>
    <w:rsid w:val="001049B6"/>
    <w:rsid w:val="001051C6"/>
    <w:rsid w:val="0010726B"/>
    <w:rsid w:val="001078B6"/>
    <w:rsid w:val="0011177A"/>
    <w:rsid w:val="00116E31"/>
    <w:rsid w:val="00120BED"/>
    <w:rsid w:val="0012304E"/>
    <w:rsid w:val="001248EF"/>
    <w:rsid w:val="001257C7"/>
    <w:rsid w:val="00126DDF"/>
    <w:rsid w:val="001270BF"/>
    <w:rsid w:val="00127BAC"/>
    <w:rsid w:val="00134868"/>
    <w:rsid w:val="001366D4"/>
    <w:rsid w:val="00142A56"/>
    <w:rsid w:val="00144DF5"/>
    <w:rsid w:val="00145A97"/>
    <w:rsid w:val="00146485"/>
    <w:rsid w:val="00147338"/>
    <w:rsid w:val="001506B4"/>
    <w:rsid w:val="00150A6E"/>
    <w:rsid w:val="00150AD6"/>
    <w:rsid w:val="00153B40"/>
    <w:rsid w:val="00154ADA"/>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F00"/>
    <w:rsid w:val="0018325A"/>
    <w:rsid w:val="00183C9E"/>
    <w:rsid w:val="00184556"/>
    <w:rsid w:val="00186199"/>
    <w:rsid w:val="001928F7"/>
    <w:rsid w:val="00194537"/>
    <w:rsid w:val="0019563C"/>
    <w:rsid w:val="001A21A9"/>
    <w:rsid w:val="001A363B"/>
    <w:rsid w:val="001A3F20"/>
    <w:rsid w:val="001A59D8"/>
    <w:rsid w:val="001A5FA6"/>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2A6A"/>
    <w:rsid w:val="001E3DC2"/>
    <w:rsid w:val="001E56FF"/>
    <w:rsid w:val="001E5C6B"/>
    <w:rsid w:val="001E6E4D"/>
    <w:rsid w:val="001F03E1"/>
    <w:rsid w:val="001F218E"/>
    <w:rsid w:val="001F3CC6"/>
    <w:rsid w:val="001F40BA"/>
    <w:rsid w:val="001F4530"/>
    <w:rsid w:val="001F54A2"/>
    <w:rsid w:val="002010DE"/>
    <w:rsid w:val="00202968"/>
    <w:rsid w:val="00202C32"/>
    <w:rsid w:val="00203AEF"/>
    <w:rsid w:val="00210344"/>
    <w:rsid w:val="00211A26"/>
    <w:rsid w:val="002125F7"/>
    <w:rsid w:val="00213171"/>
    <w:rsid w:val="00214463"/>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651F"/>
    <w:rsid w:val="00250BE3"/>
    <w:rsid w:val="00251290"/>
    <w:rsid w:val="0025158D"/>
    <w:rsid w:val="00251D17"/>
    <w:rsid w:val="0025281A"/>
    <w:rsid w:val="00253D3C"/>
    <w:rsid w:val="0025435F"/>
    <w:rsid w:val="00255292"/>
    <w:rsid w:val="00260200"/>
    <w:rsid w:val="00263463"/>
    <w:rsid w:val="00263563"/>
    <w:rsid w:val="002648D8"/>
    <w:rsid w:val="00270548"/>
    <w:rsid w:val="00272485"/>
    <w:rsid w:val="00272E0C"/>
    <w:rsid w:val="00273F86"/>
    <w:rsid w:val="002752B0"/>
    <w:rsid w:val="002774F0"/>
    <w:rsid w:val="0028459B"/>
    <w:rsid w:val="00284C5F"/>
    <w:rsid w:val="002873F0"/>
    <w:rsid w:val="00292198"/>
    <w:rsid w:val="002964F9"/>
    <w:rsid w:val="002A1F14"/>
    <w:rsid w:val="002A2678"/>
    <w:rsid w:val="002A2E01"/>
    <w:rsid w:val="002A398F"/>
    <w:rsid w:val="002A44F9"/>
    <w:rsid w:val="002A5C6B"/>
    <w:rsid w:val="002A5D31"/>
    <w:rsid w:val="002A714F"/>
    <w:rsid w:val="002A721F"/>
    <w:rsid w:val="002B1851"/>
    <w:rsid w:val="002B27FF"/>
    <w:rsid w:val="002B4429"/>
    <w:rsid w:val="002B6793"/>
    <w:rsid w:val="002C0B68"/>
    <w:rsid w:val="002C1726"/>
    <w:rsid w:val="002C1DF3"/>
    <w:rsid w:val="002C21A6"/>
    <w:rsid w:val="002C26D5"/>
    <w:rsid w:val="002C5777"/>
    <w:rsid w:val="002D1791"/>
    <w:rsid w:val="002D32E3"/>
    <w:rsid w:val="002E0FEB"/>
    <w:rsid w:val="002E1EBA"/>
    <w:rsid w:val="002F0F79"/>
    <w:rsid w:val="002F280E"/>
    <w:rsid w:val="002F3709"/>
    <w:rsid w:val="002F3A6C"/>
    <w:rsid w:val="002F4296"/>
    <w:rsid w:val="00300951"/>
    <w:rsid w:val="003023C9"/>
    <w:rsid w:val="00302CA8"/>
    <w:rsid w:val="00302DE9"/>
    <w:rsid w:val="003041B1"/>
    <w:rsid w:val="00305084"/>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432B"/>
    <w:rsid w:val="00357EB5"/>
    <w:rsid w:val="00361E7E"/>
    <w:rsid w:val="00370AA4"/>
    <w:rsid w:val="00371FF4"/>
    <w:rsid w:val="00373015"/>
    <w:rsid w:val="00377520"/>
    <w:rsid w:val="00380D36"/>
    <w:rsid w:val="003822D3"/>
    <w:rsid w:val="0038409E"/>
    <w:rsid w:val="00386630"/>
    <w:rsid w:val="00390522"/>
    <w:rsid w:val="00390B25"/>
    <w:rsid w:val="00390C86"/>
    <w:rsid w:val="00391076"/>
    <w:rsid w:val="00397156"/>
    <w:rsid w:val="00397960"/>
    <w:rsid w:val="003A0A5A"/>
    <w:rsid w:val="003A3BC4"/>
    <w:rsid w:val="003A458A"/>
    <w:rsid w:val="003A4DA3"/>
    <w:rsid w:val="003B07C8"/>
    <w:rsid w:val="003B2082"/>
    <w:rsid w:val="003B2F13"/>
    <w:rsid w:val="003B405E"/>
    <w:rsid w:val="003B57D3"/>
    <w:rsid w:val="003C1F58"/>
    <w:rsid w:val="003C39FF"/>
    <w:rsid w:val="003C792F"/>
    <w:rsid w:val="003D124B"/>
    <w:rsid w:val="003D18F3"/>
    <w:rsid w:val="003D4E5A"/>
    <w:rsid w:val="003D5951"/>
    <w:rsid w:val="003D78B5"/>
    <w:rsid w:val="003E1062"/>
    <w:rsid w:val="003E244F"/>
    <w:rsid w:val="003E3AE8"/>
    <w:rsid w:val="003E62A6"/>
    <w:rsid w:val="003E695F"/>
    <w:rsid w:val="003E6C9B"/>
    <w:rsid w:val="003E709C"/>
    <w:rsid w:val="003E7B89"/>
    <w:rsid w:val="003F20D3"/>
    <w:rsid w:val="003F4241"/>
    <w:rsid w:val="003F7525"/>
    <w:rsid w:val="003F7C45"/>
    <w:rsid w:val="0040132C"/>
    <w:rsid w:val="00405085"/>
    <w:rsid w:val="004066FC"/>
    <w:rsid w:val="00407C10"/>
    <w:rsid w:val="004113B4"/>
    <w:rsid w:val="00414827"/>
    <w:rsid w:val="00416C10"/>
    <w:rsid w:val="00417735"/>
    <w:rsid w:val="004217C8"/>
    <w:rsid w:val="0042218B"/>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1BBA"/>
    <w:rsid w:val="004A3E3C"/>
    <w:rsid w:val="004A3F71"/>
    <w:rsid w:val="004B0E6D"/>
    <w:rsid w:val="004B16E8"/>
    <w:rsid w:val="004B2326"/>
    <w:rsid w:val="004B6250"/>
    <w:rsid w:val="004B76B1"/>
    <w:rsid w:val="004C0057"/>
    <w:rsid w:val="004C0541"/>
    <w:rsid w:val="004C2C46"/>
    <w:rsid w:val="004C7235"/>
    <w:rsid w:val="004C7955"/>
    <w:rsid w:val="004D047F"/>
    <w:rsid w:val="004D0AAD"/>
    <w:rsid w:val="004D3D96"/>
    <w:rsid w:val="004D650F"/>
    <w:rsid w:val="004E0347"/>
    <w:rsid w:val="004E2133"/>
    <w:rsid w:val="004E32E2"/>
    <w:rsid w:val="004E5AB9"/>
    <w:rsid w:val="004E60FB"/>
    <w:rsid w:val="004F4F38"/>
    <w:rsid w:val="004F779C"/>
    <w:rsid w:val="004F7846"/>
    <w:rsid w:val="005000D4"/>
    <w:rsid w:val="005015FA"/>
    <w:rsid w:val="00505411"/>
    <w:rsid w:val="00510CAF"/>
    <w:rsid w:val="005128C5"/>
    <w:rsid w:val="00514754"/>
    <w:rsid w:val="0051478B"/>
    <w:rsid w:val="0051566A"/>
    <w:rsid w:val="00515D7B"/>
    <w:rsid w:val="005166E9"/>
    <w:rsid w:val="0052009E"/>
    <w:rsid w:val="00525E59"/>
    <w:rsid w:val="00530D61"/>
    <w:rsid w:val="005318CC"/>
    <w:rsid w:val="00531D1B"/>
    <w:rsid w:val="00533544"/>
    <w:rsid w:val="005349B1"/>
    <w:rsid w:val="005374BC"/>
    <w:rsid w:val="00537A4E"/>
    <w:rsid w:val="00543188"/>
    <w:rsid w:val="00543367"/>
    <w:rsid w:val="00543BFA"/>
    <w:rsid w:val="00547D9C"/>
    <w:rsid w:val="00547DA1"/>
    <w:rsid w:val="005505E1"/>
    <w:rsid w:val="0055513C"/>
    <w:rsid w:val="00557A54"/>
    <w:rsid w:val="00560C94"/>
    <w:rsid w:val="0056150F"/>
    <w:rsid w:val="0056291C"/>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3295"/>
    <w:rsid w:val="005A46FF"/>
    <w:rsid w:val="005A5AE2"/>
    <w:rsid w:val="005A66EB"/>
    <w:rsid w:val="005B011E"/>
    <w:rsid w:val="005B14F0"/>
    <w:rsid w:val="005B2E84"/>
    <w:rsid w:val="005B4E34"/>
    <w:rsid w:val="005B7B0E"/>
    <w:rsid w:val="005C526E"/>
    <w:rsid w:val="005C5409"/>
    <w:rsid w:val="005C69AC"/>
    <w:rsid w:val="005C6DCF"/>
    <w:rsid w:val="005C722E"/>
    <w:rsid w:val="005D01A4"/>
    <w:rsid w:val="005D14DE"/>
    <w:rsid w:val="005D44E4"/>
    <w:rsid w:val="005D45B3"/>
    <w:rsid w:val="005D4CEB"/>
    <w:rsid w:val="005E0C14"/>
    <w:rsid w:val="005E1D51"/>
    <w:rsid w:val="005F04E6"/>
    <w:rsid w:val="005F26F7"/>
    <w:rsid w:val="005F43B9"/>
    <w:rsid w:val="005F68CB"/>
    <w:rsid w:val="005F6A4A"/>
    <w:rsid w:val="005F6F31"/>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7CAF"/>
    <w:rsid w:val="00661974"/>
    <w:rsid w:val="00662F58"/>
    <w:rsid w:val="00664551"/>
    <w:rsid w:val="0066704D"/>
    <w:rsid w:val="006676A0"/>
    <w:rsid w:val="006706B6"/>
    <w:rsid w:val="00670857"/>
    <w:rsid w:val="00671124"/>
    <w:rsid w:val="006727B0"/>
    <w:rsid w:val="0067307E"/>
    <w:rsid w:val="00677E68"/>
    <w:rsid w:val="006848C1"/>
    <w:rsid w:val="006868CD"/>
    <w:rsid w:val="00687AD5"/>
    <w:rsid w:val="00691D14"/>
    <w:rsid w:val="00694EE4"/>
    <w:rsid w:val="00695251"/>
    <w:rsid w:val="00695296"/>
    <w:rsid w:val="00695ADE"/>
    <w:rsid w:val="00695C0D"/>
    <w:rsid w:val="00696356"/>
    <w:rsid w:val="00696B8B"/>
    <w:rsid w:val="006A591E"/>
    <w:rsid w:val="006A72C6"/>
    <w:rsid w:val="006B02DA"/>
    <w:rsid w:val="006B10DA"/>
    <w:rsid w:val="006B2065"/>
    <w:rsid w:val="006B3940"/>
    <w:rsid w:val="006B5B3E"/>
    <w:rsid w:val="006C168D"/>
    <w:rsid w:val="006C642C"/>
    <w:rsid w:val="006C6FC6"/>
    <w:rsid w:val="006D0E4F"/>
    <w:rsid w:val="006D3840"/>
    <w:rsid w:val="006D676F"/>
    <w:rsid w:val="006D7693"/>
    <w:rsid w:val="006E231B"/>
    <w:rsid w:val="006E3118"/>
    <w:rsid w:val="006E346E"/>
    <w:rsid w:val="006E34B7"/>
    <w:rsid w:val="006F103E"/>
    <w:rsid w:val="006F364A"/>
    <w:rsid w:val="006F4CD8"/>
    <w:rsid w:val="006F53D9"/>
    <w:rsid w:val="007004DC"/>
    <w:rsid w:val="007027B6"/>
    <w:rsid w:val="00703E8A"/>
    <w:rsid w:val="00707FB8"/>
    <w:rsid w:val="0071006D"/>
    <w:rsid w:val="00711522"/>
    <w:rsid w:val="007124FE"/>
    <w:rsid w:val="00713186"/>
    <w:rsid w:val="00713757"/>
    <w:rsid w:val="0071425C"/>
    <w:rsid w:val="00716F79"/>
    <w:rsid w:val="00717772"/>
    <w:rsid w:val="00721AF1"/>
    <w:rsid w:val="0072280F"/>
    <w:rsid w:val="00722B5E"/>
    <w:rsid w:val="0072708F"/>
    <w:rsid w:val="00727C6C"/>
    <w:rsid w:val="00730C66"/>
    <w:rsid w:val="0073150B"/>
    <w:rsid w:val="00732D1D"/>
    <w:rsid w:val="00736034"/>
    <w:rsid w:val="0073681C"/>
    <w:rsid w:val="00740619"/>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7111A"/>
    <w:rsid w:val="00772272"/>
    <w:rsid w:val="007756ED"/>
    <w:rsid w:val="007870FC"/>
    <w:rsid w:val="0078729B"/>
    <w:rsid w:val="00787CD0"/>
    <w:rsid w:val="00787D03"/>
    <w:rsid w:val="00791053"/>
    <w:rsid w:val="00791A3A"/>
    <w:rsid w:val="00794196"/>
    <w:rsid w:val="007951F3"/>
    <w:rsid w:val="0079671E"/>
    <w:rsid w:val="00797637"/>
    <w:rsid w:val="007A3680"/>
    <w:rsid w:val="007A59B8"/>
    <w:rsid w:val="007A6BEA"/>
    <w:rsid w:val="007B2862"/>
    <w:rsid w:val="007B662A"/>
    <w:rsid w:val="007C7E22"/>
    <w:rsid w:val="007D0592"/>
    <w:rsid w:val="007D1C16"/>
    <w:rsid w:val="007D28C9"/>
    <w:rsid w:val="007D2D2E"/>
    <w:rsid w:val="007D3CC8"/>
    <w:rsid w:val="007D62F9"/>
    <w:rsid w:val="007D63A4"/>
    <w:rsid w:val="007E008D"/>
    <w:rsid w:val="007E1AA2"/>
    <w:rsid w:val="007E1AD0"/>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07DE7"/>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F2477"/>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5CF5"/>
    <w:rsid w:val="009500A1"/>
    <w:rsid w:val="0095037E"/>
    <w:rsid w:val="00951746"/>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228A"/>
    <w:rsid w:val="00983C82"/>
    <w:rsid w:val="00983D29"/>
    <w:rsid w:val="00983E6E"/>
    <w:rsid w:val="00984520"/>
    <w:rsid w:val="0098545C"/>
    <w:rsid w:val="00990AAA"/>
    <w:rsid w:val="00992BA2"/>
    <w:rsid w:val="00992F83"/>
    <w:rsid w:val="00994AB9"/>
    <w:rsid w:val="0099508A"/>
    <w:rsid w:val="00997231"/>
    <w:rsid w:val="009974EB"/>
    <w:rsid w:val="009A1126"/>
    <w:rsid w:val="009A3BD8"/>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401"/>
    <w:rsid w:val="009E6C54"/>
    <w:rsid w:val="009F2261"/>
    <w:rsid w:val="009F2A25"/>
    <w:rsid w:val="009F3EB4"/>
    <w:rsid w:val="009F5235"/>
    <w:rsid w:val="009F531A"/>
    <w:rsid w:val="009F6550"/>
    <w:rsid w:val="009F786E"/>
    <w:rsid w:val="00A008DA"/>
    <w:rsid w:val="00A00902"/>
    <w:rsid w:val="00A039FF"/>
    <w:rsid w:val="00A05ACE"/>
    <w:rsid w:val="00A078CB"/>
    <w:rsid w:val="00A14AE3"/>
    <w:rsid w:val="00A16675"/>
    <w:rsid w:val="00A22CD6"/>
    <w:rsid w:val="00A234EC"/>
    <w:rsid w:val="00A2417A"/>
    <w:rsid w:val="00A26668"/>
    <w:rsid w:val="00A27804"/>
    <w:rsid w:val="00A30F47"/>
    <w:rsid w:val="00A36822"/>
    <w:rsid w:val="00A36AB5"/>
    <w:rsid w:val="00A37A23"/>
    <w:rsid w:val="00A411D1"/>
    <w:rsid w:val="00A43389"/>
    <w:rsid w:val="00A43E71"/>
    <w:rsid w:val="00A45753"/>
    <w:rsid w:val="00A47B15"/>
    <w:rsid w:val="00A52F84"/>
    <w:rsid w:val="00A5533F"/>
    <w:rsid w:val="00A56B05"/>
    <w:rsid w:val="00A57678"/>
    <w:rsid w:val="00A60E2F"/>
    <w:rsid w:val="00A63284"/>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960A3"/>
    <w:rsid w:val="00AA1B53"/>
    <w:rsid w:val="00AA3556"/>
    <w:rsid w:val="00AA35FD"/>
    <w:rsid w:val="00AA3DB7"/>
    <w:rsid w:val="00AB0340"/>
    <w:rsid w:val="00AB3012"/>
    <w:rsid w:val="00AB321C"/>
    <w:rsid w:val="00AB5B99"/>
    <w:rsid w:val="00AB688F"/>
    <w:rsid w:val="00AB75EA"/>
    <w:rsid w:val="00AB7AA2"/>
    <w:rsid w:val="00AC4BC1"/>
    <w:rsid w:val="00AD04BD"/>
    <w:rsid w:val="00AD1C72"/>
    <w:rsid w:val="00AD25F6"/>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306AA"/>
    <w:rsid w:val="00B32AB3"/>
    <w:rsid w:val="00B34E7C"/>
    <w:rsid w:val="00B368EA"/>
    <w:rsid w:val="00B37EEF"/>
    <w:rsid w:val="00B424F8"/>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A6F84"/>
    <w:rsid w:val="00BB0187"/>
    <w:rsid w:val="00BB1EB3"/>
    <w:rsid w:val="00BB2678"/>
    <w:rsid w:val="00BC013A"/>
    <w:rsid w:val="00BC1F94"/>
    <w:rsid w:val="00BC2343"/>
    <w:rsid w:val="00BC41FB"/>
    <w:rsid w:val="00BD30C8"/>
    <w:rsid w:val="00BD3EB4"/>
    <w:rsid w:val="00BD5C65"/>
    <w:rsid w:val="00BD71EE"/>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52FE"/>
    <w:rsid w:val="00C16739"/>
    <w:rsid w:val="00C22C7D"/>
    <w:rsid w:val="00C22CCE"/>
    <w:rsid w:val="00C231D6"/>
    <w:rsid w:val="00C23BA2"/>
    <w:rsid w:val="00C272C4"/>
    <w:rsid w:val="00C31C12"/>
    <w:rsid w:val="00C32AF2"/>
    <w:rsid w:val="00C331A9"/>
    <w:rsid w:val="00C33204"/>
    <w:rsid w:val="00C338EB"/>
    <w:rsid w:val="00C3465D"/>
    <w:rsid w:val="00C35643"/>
    <w:rsid w:val="00C379E9"/>
    <w:rsid w:val="00C4274D"/>
    <w:rsid w:val="00C439FB"/>
    <w:rsid w:val="00C43F23"/>
    <w:rsid w:val="00C50011"/>
    <w:rsid w:val="00C52CA1"/>
    <w:rsid w:val="00C645E6"/>
    <w:rsid w:val="00C64D82"/>
    <w:rsid w:val="00C64FBC"/>
    <w:rsid w:val="00C65A83"/>
    <w:rsid w:val="00C724F2"/>
    <w:rsid w:val="00C72C6F"/>
    <w:rsid w:val="00C75057"/>
    <w:rsid w:val="00C80F23"/>
    <w:rsid w:val="00C81151"/>
    <w:rsid w:val="00C81B4F"/>
    <w:rsid w:val="00C81EFA"/>
    <w:rsid w:val="00C82CC6"/>
    <w:rsid w:val="00C850A3"/>
    <w:rsid w:val="00C85C32"/>
    <w:rsid w:val="00C87568"/>
    <w:rsid w:val="00C90DB6"/>
    <w:rsid w:val="00C9394F"/>
    <w:rsid w:val="00C93B1A"/>
    <w:rsid w:val="00C96F5F"/>
    <w:rsid w:val="00CA35A8"/>
    <w:rsid w:val="00CA5927"/>
    <w:rsid w:val="00CA79EC"/>
    <w:rsid w:val="00CB39C2"/>
    <w:rsid w:val="00CB4664"/>
    <w:rsid w:val="00CB4C8C"/>
    <w:rsid w:val="00CB6782"/>
    <w:rsid w:val="00CC080A"/>
    <w:rsid w:val="00CC0994"/>
    <w:rsid w:val="00CD0AAD"/>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5DB6"/>
    <w:rsid w:val="00D5574C"/>
    <w:rsid w:val="00D604CE"/>
    <w:rsid w:val="00D61315"/>
    <w:rsid w:val="00D61982"/>
    <w:rsid w:val="00D6267A"/>
    <w:rsid w:val="00D67D12"/>
    <w:rsid w:val="00D7585A"/>
    <w:rsid w:val="00D77B06"/>
    <w:rsid w:val="00D80618"/>
    <w:rsid w:val="00D82494"/>
    <w:rsid w:val="00D84A4B"/>
    <w:rsid w:val="00D92168"/>
    <w:rsid w:val="00D940B5"/>
    <w:rsid w:val="00D95CB0"/>
    <w:rsid w:val="00D977C0"/>
    <w:rsid w:val="00DA00A3"/>
    <w:rsid w:val="00DA13F3"/>
    <w:rsid w:val="00DA23C3"/>
    <w:rsid w:val="00DA2DE3"/>
    <w:rsid w:val="00DA7146"/>
    <w:rsid w:val="00DA716A"/>
    <w:rsid w:val="00DB1F4F"/>
    <w:rsid w:val="00DB37EE"/>
    <w:rsid w:val="00DB4450"/>
    <w:rsid w:val="00DB7B69"/>
    <w:rsid w:val="00DC234A"/>
    <w:rsid w:val="00DC27AD"/>
    <w:rsid w:val="00DC41E4"/>
    <w:rsid w:val="00DC5116"/>
    <w:rsid w:val="00DC5271"/>
    <w:rsid w:val="00DC7879"/>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67FB"/>
    <w:rsid w:val="00E104FA"/>
    <w:rsid w:val="00E1082A"/>
    <w:rsid w:val="00E11166"/>
    <w:rsid w:val="00E13182"/>
    <w:rsid w:val="00E15383"/>
    <w:rsid w:val="00E1738C"/>
    <w:rsid w:val="00E22D28"/>
    <w:rsid w:val="00E230E3"/>
    <w:rsid w:val="00E23731"/>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72B1C"/>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48AC"/>
    <w:rsid w:val="00EE01D9"/>
    <w:rsid w:val="00EE224C"/>
    <w:rsid w:val="00EE26F3"/>
    <w:rsid w:val="00EE3DBC"/>
    <w:rsid w:val="00EE4874"/>
    <w:rsid w:val="00EE79A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91F6D"/>
    <w:rsid w:val="00F966DC"/>
    <w:rsid w:val="00F96AA6"/>
    <w:rsid w:val="00F97B71"/>
    <w:rsid w:val="00FA0A2A"/>
    <w:rsid w:val="00FA2DDA"/>
    <w:rsid w:val="00FA34CA"/>
    <w:rsid w:val="00FA4A55"/>
    <w:rsid w:val="00FA4D4F"/>
    <w:rsid w:val="00FA54E8"/>
    <w:rsid w:val="00FA7193"/>
    <w:rsid w:val="00FA7910"/>
    <w:rsid w:val="00FB2D17"/>
    <w:rsid w:val="00FB2F69"/>
    <w:rsid w:val="00FB368B"/>
    <w:rsid w:val="00FB45FF"/>
    <w:rsid w:val="00FB572A"/>
    <w:rsid w:val="00FB5D97"/>
    <w:rsid w:val="00FC054F"/>
    <w:rsid w:val="00FC1CA5"/>
    <w:rsid w:val="00FC219C"/>
    <w:rsid w:val="00FC2979"/>
    <w:rsid w:val="00FD1C3C"/>
    <w:rsid w:val="00FD1E02"/>
    <w:rsid w:val="00FD38A8"/>
    <w:rsid w:val="00FD6AC8"/>
    <w:rsid w:val="00FE3EA1"/>
    <w:rsid w:val="00FE4818"/>
    <w:rsid w:val="00FE5D80"/>
    <w:rsid w:val="00FE67F1"/>
    <w:rsid w:val="00FF1577"/>
    <w:rsid w:val="00FF3515"/>
    <w:rsid w:val="00FF6ADB"/>
    <w:rsid w:val="103A7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658592D-73B5-4DF2-9BE5-DA8575E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semiHidden/>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qFormat/>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HTML0">
    <w:name w:val="HTML 预设格式 字符"/>
    <w:basedOn w:val="a1"/>
    <w:link w:val="HTML"/>
    <w:uiPriority w:val="99"/>
    <w:rPr>
      <w:rFonts w:ascii="宋体" w:hAnsi="宋体" w:cs="宋体"/>
      <w:sz w:val="24"/>
      <w:szCs w:val="24"/>
    </w:rPr>
  </w:style>
  <w:style w:type="character" w:customStyle="1" w:styleId="ac">
    <w:name w:val="日期 字符"/>
    <w:basedOn w:val="a1"/>
    <w:link w:val="ab"/>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590">
      <w:bodyDiv w:val="1"/>
      <w:marLeft w:val="0"/>
      <w:marRight w:val="0"/>
      <w:marTop w:val="0"/>
      <w:marBottom w:val="0"/>
      <w:divBdr>
        <w:top w:val="none" w:sz="0" w:space="0" w:color="auto"/>
        <w:left w:val="none" w:sz="0" w:space="0" w:color="auto"/>
        <w:bottom w:val="none" w:sz="0" w:space="0" w:color="auto"/>
        <w:right w:val="none" w:sz="0" w:space="0" w:color="auto"/>
      </w:divBdr>
    </w:div>
    <w:div w:id="94391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1537</Words>
  <Characters>8762</Characters>
  <Application>Microsoft Office Word</Application>
  <DocSecurity>0</DocSecurity>
  <Lines>73</Lines>
  <Paragraphs>20</Paragraphs>
  <ScaleCrop>false</ScaleCrop>
  <Company>TRT. Ltd. Co.</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Olivia.Gu@FA</cp:lastModifiedBy>
  <cp:revision>163</cp:revision>
  <cp:lastPrinted>2007-07-19T00:46:00Z</cp:lastPrinted>
  <dcterms:created xsi:type="dcterms:W3CDTF">2012-11-28T02:28:00Z</dcterms:created>
  <dcterms:modified xsi:type="dcterms:W3CDTF">2021-10-26T03:03:00Z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