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Pr="00EE3DBC" w:rsidRDefault="00A960A3">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上投摩根标普港股通低波红利指数型证券投资基金</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2021</w:t>
      </w:r>
      <w:r w:rsidRPr="00EE3DBC">
        <w:rPr>
          <w:rFonts w:eastAsiaTheme="minorEastAsia"/>
          <w:b/>
          <w:color w:val="000000" w:themeColor="text1"/>
          <w:sz w:val="36"/>
          <w:szCs w:val="36"/>
        </w:rPr>
        <w:t>年第</w:t>
      </w:r>
      <w:r w:rsidRPr="00EE3DBC">
        <w:rPr>
          <w:rFonts w:eastAsiaTheme="minorEastAsia"/>
          <w:b/>
          <w:color w:val="000000" w:themeColor="text1"/>
          <w:sz w:val="36"/>
          <w:szCs w:val="36"/>
        </w:rPr>
        <w:t>2</w:t>
      </w:r>
      <w:r w:rsidRPr="00EE3DBC">
        <w:rPr>
          <w:rFonts w:eastAsiaTheme="minorEastAsia"/>
          <w:b/>
          <w:color w:val="000000" w:themeColor="text1"/>
          <w:sz w:val="36"/>
          <w:szCs w:val="36"/>
        </w:rPr>
        <w:t>季度报告</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2021</w:t>
      </w:r>
      <w:r w:rsidRPr="00EE3DBC">
        <w:rPr>
          <w:rFonts w:eastAsiaTheme="minorEastAsia"/>
          <w:b/>
          <w:color w:val="000000" w:themeColor="text1"/>
          <w:sz w:val="36"/>
          <w:szCs w:val="36"/>
        </w:rPr>
        <w:t>年</w:t>
      </w:r>
      <w:r w:rsidRPr="00EE3DBC">
        <w:rPr>
          <w:rFonts w:eastAsiaTheme="minorEastAsia"/>
          <w:b/>
          <w:color w:val="000000" w:themeColor="text1"/>
          <w:sz w:val="36"/>
          <w:szCs w:val="36"/>
        </w:rPr>
        <w:t>6</w:t>
      </w:r>
      <w:r w:rsidRPr="00EE3DBC">
        <w:rPr>
          <w:rFonts w:eastAsiaTheme="minorEastAsia"/>
          <w:b/>
          <w:color w:val="000000" w:themeColor="text1"/>
          <w:sz w:val="36"/>
          <w:szCs w:val="36"/>
        </w:rPr>
        <w:t>月</w:t>
      </w:r>
      <w:r w:rsidRPr="00EE3DBC">
        <w:rPr>
          <w:rFonts w:eastAsiaTheme="minorEastAsia"/>
          <w:b/>
          <w:color w:val="000000" w:themeColor="text1"/>
          <w:sz w:val="36"/>
          <w:szCs w:val="36"/>
        </w:rPr>
        <w:t>30</w:t>
      </w:r>
      <w:r w:rsidRPr="00EE3DBC">
        <w:rPr>
          <w:rFonts w:eastAsiaTheme="minorEastAsia"/>
          <w:b/>
          <w:color w:val="000000" w:themeColor="text1"/>
          <w:sz w:val="36"/>
          <w:szCs w:val="36"/>
        </w:rPr>
        <w:t>日</w:t>
      </w: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rPr>
          <w:rFonts w:eastAsiaTheme="minorEastAsia"/>
          <w:b/>
          <w:color w:val="000000" w:themeColor="text1"/>
          <w:sz w:val="24"/>
        </w:rPr>
      </w:pP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基金管理人：上投摩根基金管理有限公司</w:t>
      </w: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基金托管人：中国银行股份有限公司</w:t>
      </w:r>
    </w:p>
    <w:p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报告送出日期：二〇二一年七月二十一日</w:t>
      </w:r>
    </w:p>
    <w:p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rsidR="006C3D8E" w:rsidRDefault="007201F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6C3D8E" w:rsidRDefault="007201FE">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基金托管人中国银行股份有限公司根据本基金合同规定，于</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20</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6C3D8E" w:rsidRDefault="007201F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6C3D8E" w:rsidRDefault="007201FE">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6C3D8E" w:rsidRDefault="007201FE">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2021</w:t>
      </w:r>
      <w:r w:rsidRPr="00EE3DBC">
        <w:rPr>
          <w:rFonts w:eastAsiaTheme="minorEastAsia"/>
          <w:color w:val="000000" w:themeColor="text1"/>
          <w:sz w:val="24"/>
        </w:rPr>
        <w:t>年</w:t>
      </w:r>
      <w:r w:rsidRPr="00EE3DBC">
        <w:rPr>
          <w:rFonts w:eastAsiaTheme="minorEastAsia"/>
          <w:color w:val="000000" w:themeColor="text1"/>
          <w:sz w:val="24"/>
        </w:rPr>
        <w:t>4</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6</w:t>
      </w:r>
      <w:r w:rsidRPr="00EE3DBC">
        <w:rPr>
          <w:rFonts w:eastAsiaTheme="minorEastAsia"/>
          <w:color w:val="000000" w:themeColor="text1"/>
          <w:sz w:val="24"/>
        </w:rPr>
        <w:t>月</w:t>
      </w:r>
      <w:r w:rsidRPr="00EE3DBC">
        <w:rPr>
          <w:rFonts w:eastAsiaTheme="minorEastAsia"/>
          <w:color w:val="000000" w:themeColor="text1"/>
          <w:sz w:val="24"/>
        </w:rPr>
        <w:t>30</w:t>
      </w:r>
      <w:r w:rsidRPr="00EE3DBC">
        <w:rPr>
          <w:rFonts w:eastAsiaTheme="minorEastAsia"/>
          <w:color w:val="000000" w:themeColor="text1"/>
          <w:sz w:val="24"/>
        </w:rPr>
        <w:t>日止。</w:t>
      </w:r>
    </w:p>
    <w:p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上投摩根标普港股通低波红利指数</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005051</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005051</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r w:rsidRPr="00EE3DBC">
              <w:rPr>
                <w:rFonts w:eastAsiaTheme="minorEastAsia"/>
                <w:color w:val="000000" w:themeColor="text1"/>
                <w:kern w:val="0"/>
                <w:sz w:val="24"/>
              </w:rPr>
              <w:t xml:space="preserve"> </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2017</w:t>
            </w:r>
            <w:r w:rsidRPr="00EE3DBC">
              <w:rPr>
                <w:rFonts w:eastAsiaTheme="minorEastAsia"/>
                <w:color w:val="000000" w:themeColor="text1"/>
                <w:kern w:val="0"/>
                <w:sz w:val="24"/>
              </w:rPr>
              <w:t>年</w:t>
            </w:r>
            <w:r w:rsidRPr="00EE3DBC">
              <w:rPr>
                <w:rFonts w:eastAsiaTheme="minorEastAsia"/>
                <w:color w:val="000000" w:themeColor="text1"/>
                <w:kern w:val="0"/>
                <w:sz w:val="24"/>
              </w:rPr>
              <w:t>12</w:t>
            </w:r>
            <w:r w:rsidRPr="00EE3DBC">
              <w:rPr>
                <w:rFonts w:eastAsiaTheme="minorEastAsia"/>
                <w:color w:val="000000" w:themeColor="text1"/>
                <w:kern w:val="0"/>
                <w:sz w:val="24"/>
              </w:rPr>
              <w:t>月</w:t>
            </w:r>
            <w:r w:rsidRPr="00EE3DBC">
              <w:rPr>
                <w:rFonts w:eastAsiaTheme="minorEastAsia"/>
                <w:color w:val="000000" w:themeColor="text1"/>
                <w:kern w:val="0"/>
                <w:sz w:val="24"/>
              </w:rPr>
              <w:t>4</w:t>
            </w:r>
            <w:r w:rsidRPr="00EE3DBC">
              <w:rPr>
                <w:rFonts w:eastAsiaTheme="minorEastAsia"/>
                <w:color w:val="000000" w:themeColor="text1"/>
                <w:kern w:val="0"/>
                <w:sz w:val="24"/>
              </w:rPr>
              <w:t>日</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276,697,798.04</w:t>
            </w:r>
            <w:r w:rsidRPr="00EE3DBC">
              <w:rPr>
                <w:rFonts w:eastAsiaTheme="minorEastAsia"/>
                <w:color w:val="000000" w:themeColor="text1"/>
                <w:kern w:val="0"/>
                <w:sz w:val="24"/>
              </w:rPr>
              <w:t>份</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本基金进行被动式指数化投资，通过严格的投资纪律约束和数量化风险管理手段，力争控制本基金的净值增长率与业绩比较基准之间的日均跟踪偏离度不超过</w:t>
            </w:r>
            <w:r w:rsidRPr="00EE3DBC">
              <w:rPr>
                <w:rFonts w:eastAsiaTheme="minorEastAsia"/>
                <w:color w:val="000000" w:themeColor="text1"/>
                <w:kern w:val="0"/>
                <w:sz w:val="24"/>
              </w:rPr>
              <w:t>0.35%</w:t>
            </w:r>
            <w:r w:rsidRPr="00EE3DBC">
              <w:rPr>
                <w:rFonts w:eastAsiaTheme="minorEastAsia"/>
                <w:color w:val="000000" w:themeColor="text1"/>
                <w:kern w:val="0"/>
                <w:sz w:val="24"/>
              </w:rPr>
              <w:t>，年跟踪误差控制在</w:t>
            </w:r>
            <w:r w:rsidRPr="00EE3DBC">
              <w:rPr>
                <w:rFonts w:eastAsiaTheme="minorEastAsia"/>
                <w:color w:val="000000" w:themeColor="text1"/>
                <w:kern w:val="0"/>
                <w:sz w:val="24"/>
              </w:rPr>
              <w:t>4%</w:t>
            </w:r>
            <w:r w:rsidRPr="00EE3DBC">
              <w:rPr>
                <w:rFonts w:eastAsiaTheme="minorEastAsia"/>
                <w:color w:val="000000" w:themeColor="text1"/>
                <w:kern w:val="0"/>
                <w:sz w:val="24"/>
              </w:rPr>
              <w:t>以内，以实现对标的指数有效跟踪。</w:t>
            </w:r>
            <w:r w:rsidRPr="00EE3DBC">
              <w:rPr>
                <w:rFonts w:eastAsiaTheme="minorEastAsia"/>
                <w:color w:val="000000" w:themeColor="text1"/>
                <w:kern w:val="0"/>
                <w:sz w:val="24"/>
              </w:rPr>
              <w:t xml:space="preserve"> </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本基金通过完全复制策略进行被动式指数化投资，根据标普港股通低波红利指数成份股的基准权重</w:t>
            </w:r>
            <w:r w:rsidRPr="00EE3DBC">
              <w:rPr>
                <w:rFonts w:eastAsiaTheme="minorEastAsia"/>
                <w:color w:val="000000" w:themeColor="text1"/>
                <w:kern w:val="0"/>
                <w:sz w:val="24"/>
              </w:rPr>
              <w:lastRenderedPageBreak/>
              <w:t>构建股票资产组合，对于因法规限制、流动性限制而无法交易的成份股，将采用与被限制股预期收益率相近的股票或股票组合进行相应的替代。在买入过程中，本基金采取相应的交易策略降低建仓成本，力求跟踪误差最小化。在投资运作过程中，本基金以标的指数权重为标准配置个股，并根据成份股构成及其权重的变动进行动态调整。</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95%×</w:t>
            </w:r>
            <w:r w:rsidRPr="00EE3DBC">
              <w:rPr>
                <w:rFonts w:eastAsiaTheme="minorEastAsia"/>
                <w:color w:val="000000" w:themeColor="text1"/>
                <w:kern w:val="0"/>
                <w:sz w:val="24"/>
              </w:rPr>
              <w:t>标普港股通低波红利指数收益率</w:t>
            </w:r>
            <w:r w:rsidRPr="00EE3DBC">
              <w:rPr>
                <w:rFonts w:eastAsiaTheme="minorEastAsia"/>
                <w:color w:val="000000" w:themeColor="text1"/>
                <w:kern w:val="0"/>
                <w:sz w:val="24"/>
              </w:rPr>
              <w:t>+ 5%×</w:t>
            </w:r>
            <w:r w:rsidRPr="00EE3DBC">
              <w:rPr>
                <w:rFonts w:eastAsiaTheme="minorEastAsia"/>
                <w:color w:val="000000" w:themeColor="text1"/>
                <w:kern w:val="0"/>
                <w:sz w:val="24"/>
              </w:rPr>
              <w:t>税后银行活期存款收益率</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rsidR="006C3D8E" w:rsidRDefault="007201FE">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本基金属于股票型基金产品，预期风险和收益水平高于混合型基金、债券型基金和货币市场基金，属于较高风险收益水平的基金产品。本基金将投资港股通标的股票，需承担汇率风险以及境外市场的风险。</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根据</w:t>
            </w:r>
            <w:r w:rsidRPr="00EE3DBC">
              <w:rPr>
                <w:rFonts w:eastAsiaTheme="minorEastAsia"/>
                <w:color w:val="000000" w:themeColor="text1"/>
                <w:kern w:val="0"/>
                <w:sz w:val="24"/>
              </w:rPr>
              <w:t>2017</w:t>
            </w:r>
            <w:r w:rsidRPr="00EE3DBC">
              <w:rPr>
                <w:rFonts w:eastAsiaTheme="minorEastAsia"/>
                <w:color w:val="000000" w:themeColor="text1"/>
                <w:kern w:val="0"/>
                <w:sz w:val="24"/>
              </w:rPr>
              <w:t>年</w:t>
            </w:r>
            <w:r w:rsidRPr="00EE3DBC">
              <w:rPr>
                <w:rFonts w:eastAsiaTheme="minorEastAsia"/>
                <w:color w:val="000000" w:themeColor="text1"/>
                <w:kern w:val="0"/>
                <w:sz w:val="24"/>
              </w:rPr>
              <w:t>7</w:t>
            </w:r>
            <w:r w:rsidRPr="00EE3DBC">
              <w:rPr>
                <w:rFonts w:eastAsiaTheme="minorEastAsia"/>
                <w:color w:val="000000" w:themeColor="text1"/>
                <w:kern w:val="0"/>
                <w:sz w:val="24"/>
              </w:rPr>
              <w:t>月</w:t>
            </w:r>
            <w:r w:rsidRPr="00EE3DBC">
              <w:rPr>
                <w:rFonts w:eastAsiaTheme="minorEastAsia"/>
                <w:color w:val="000000" w:themeColor="text1"/>
                <w:kern w:val="0"/>
                <w:sz w:val="24"/>
              </w:rPr>
              <w:t>1</w:t>
            </w:r>
            <w:r w:rsidRPr="00EE3DBC">
              <w:rPr>
                <w:rFonts w:eastAsiaTheme="minorEastAsia"/>
                <w:color w:val="000000" w:themeColor="text1"/>
                <w:kern w:val="0"/>
                <w:sz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上投摩根基金管理有限公司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中国银行股份有限公司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级基金的基金简称</w:t>
            </w:r>
          </w:p>
        </w:tc>
        <w:tc>
          <w:tcPr>
            <w:tcW w:w="2694"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上投摩根标普港股通低波红利指数</w:t>
            </w:r>
            <w:r w:rsidRPr="00EE3DBC">
              <w:rPr>
                <w:rFonts w:eastAsiaTheme="minorEastAsia"/>
                <w:color w:val="000000" w:themeColor="text1"/>
                <w:sz w:val="24"/>
              </w:rPr>
              <w:t>A</w:t>
            </w:r>
          </w:p>
        </w:tc>
        <w:tc>
          <w:tcPr>
            <w:tcW w:w="2785"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上投摩根标普港股通低波红利指数</w:t>
            </w:r>
            <w:r w:rsidRPr="00EE3DBC">
              <w:rPr>
                <w:rFonts w:eastAsiaTheme="minorEastAsia"/>
                <w:color w:val="000000" w:themeColor="text1"/>
                <w:sz w:val="24"/>
              </w:rPr>
              <w:t>C</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005051</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005052</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214,469,161.51</w:t>
            </w:r>
            <w:r w:rsidRPr="00EE3DBC">
              <w:rPr>
                <w:rFonts w:eastAsiaTheme="minorEastAsia"/>
                <w:color w:val="000000" w:themeColor="text1"/>
                <w:kern w:val="0"/>
                <w:sz w:val="24"/>
              </w:rPr>
              <w:t>份</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62,228,636.53</w:t>
            </w:r>
            <w:r w:rsidRPr="00EE3DBC">
              <w:rPr>
                <w:rFonts w:eastAsiaTheme="minorEastAsia"/>
                <w:color w:val="000000" w:themeColor="text1"/>
                <w:kern w:val="0"/>
                <w:sz w:val="24"/>
              </w:rPr>
              <w:t>份</w:t>
            </w:r>
          </w:p>
        </w:tc>
      </w:tr>
    </w:tbl>
    <w:p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lastRenderedPageBreak/>
        <w:t xml:space="preserve">§3  </w:t>
      </w:r>
      <w:r w:rsidRPr="00EE3DBC">
        <w:rPr>
          <w:rFonts w:eastAsiaTheme="minorEastAsia"/>
          <w:color w:val="000000" w:themeColor="text1"/>
          <w:kern w:val="0"/>
          <w:sz w:val="21"/>
          <w:szCs w:val="21"/>
        </w:rPr>
        <w:t>主要财务指标和基金净值表现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rsidTr="00DA6FA7">
        <w:tc>
          <w:tcPr>
            <w:tcW w:w="3402" w:type="dxa"/>
            <w:vMerge w:val="restart"/>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(2021</w:t>
            </w:r>
            <w:r w:rsidRPr="00EE3DBC">
              <w:rPr>
                <w:rFonts w:eastAsiaTheme="minorEastAsia"/>
                <w:color w:val="000000" w:themeColor="text1"/>
                <w:szCs w:val="21"/>
              </w:rPr>
              <w:t>年</w:t>
            </w:r>
            <w:r w:rsidRPr="00EE3DBC">
              <w:rPr>
                <w:rFonts w:eastAsiaTheme="minorEastAsia"/>
                <w:color w:val="000000" w:themeColor="text1"/>
                <w:szCs w:val="21"/>
              </w:rPr>
              <w:t>4</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-2021</w:t>
            </w:r>
            <w:r w:rsidRPr="00EE3DBC">
              <w:rPr>
                <w:rFonts w:eastAsiaTheme="minorEastAsia"/>
                <w:color w:val="000000" w:themeColor="text1"/>
                <w:szCs w:val="21"/>
              </w:rPr>
              <w:t>年</w:t>
            </w:r>
            <w:r w:rsidRPr="00EE3DBC">
              <w:rPr>
                <w:rFonts w:eastAsiaTheme="minorEastAsia"/>
                <w:color w:val="000000" w:themeColor="text1"/>
                <w:szCs w:val="21"/>
              </w:rPr>
              <w:t>6</w:t>
            </w:r>
            <w:r w:rsidRPr="00EE3DBC">
              <w:rPr>
                <w:rFonts w:eastAsiaTheme="minorEastAsia"/>
                <w:color w:val="000000" w:themeColor="text1"/>
                <w:szCs w:val="21"/>
              </w:rPr>
              <w:t>月</w:t>
            </w:r>
            <w:r w:rsidRPr="00EE3DBC">
              <w:rPr>
                <w:rFonts w:eastAsiaTheme="minorEastAsia"/>
                <w:color w:val="000000" w:themeColor="text1"/>
                <w:szCs w:val="21"/>
              </w:rPr>
              <w:t>30</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rsidTr="00DA6FA7">
        <w:tc>
          <w:tcPr>
            <w:tcW w:w="3402" w:type="dxa"/>
            <w:vMerge/>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上投摩根标普港股通低波红利指数</w:t>
            </w:r>
            <w:r w:rsidRPr="00EE3DBC">
              <w:rPr>
                <w:rFonts w:eastAsiaTheme="minorEastAsia"/>
                <w:color w:val="000000" w:themeColor="text1"/>
                <w:szCs w:val="21"/>
              </w:rPr>
              <w:t>A</w:t>
            </w: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上投摩根标普港股通低波红利指数</w:t>
            </w:r>
            <w:r w:rsidRPr="00EE3DBC">
              <w:rPr>
                <w:rFonts w:eastAsiaTheme="minorEastAsia"/>
                <w:color w:val="000000" w:themeColor="text1"/>
                <w:szCs w:val="21"/>
              </w:rPr>
              <w:t>C</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5,530,939.26</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1,454,795.53</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475,094.92</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145,639.60</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0.0022</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0.0023</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188,309,032.06</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53,798,546.85</w:t>
            </w:r>
          </w:p>
        </w:tc>
      </w:tr>
      <w:tr w:rsidR="009A3BD8" w:rsidRPr="00EE3DBC" w:rsidTr="00DA6FA7">
        <w:trPr>
          <w:trHeight w:val="158"/>
        </w:trPr>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0.8780</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0.8645</w:t>
            </w:r>
          </w:p>
        </w:tc>
      </w:tr>
    </w:tbl>
    <w:p w:rsidR="006C3D8E" w:rsidRDefault="007201F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本报告期基金份额净值增长率及其与同期业绩比较基准收益率的比较</w:t>
      </w:r>
    </w:p>
    <w:p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上投摩根标普港股通低波红利指数</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6C3D8E">
        <w:tc>
          <w:tcPr>
            <w:tcW w:w="1290" w:type="dxa"/>
            <w:vAlign w:val="center"/>
          </w:tcPr>
          <w:p w:rsidR="006C3D8E" w:rsidRDefault="007201FE">
            <w:pPr>
              <w:jc w:val="left"/>
            </w:pPr>
            <w:r>
              <w:rPr>
                <w:rFonts w:eastAsiaTheme="minorEastAsia"/>
                <w:color w:val="000000" w:themeColor="text1"/>
                <w:szCs w:val="21"/>
              </w:rPr>
              <w:t>过去三个月</w:t>
            </w:r>
          </w:p>
        </w:tc>
        <w:tc>
          <w:tcPr>
            <w:tcW w:w="1291" w:type="dxa"/>
            <w:vAlign w:val="center"/>
          </w:tcPr>
          <w:p w:rsidR="006C3D8E" w:rsidRDefault="007201FE">
            <w:pPr>
              <w:jc w:val="right"/>
            </w:pPr>
            <w:r>
              <w:rPr>
                <w:rFonts w:eastAsiaTheme="minorEastAsia"/>
                <w:color w:val="000000" w:themeColor="text1"/>
                <w:szCs w:val="21"/>
              </w:rPr>
              <w:t>0.33%</w:t>
            </w:r>
          </w:p>
        </w:tc>
        <w:tc>
          <w:tcPr>
            <w:tcW w:w="1291" w:type="dxa"/>
            <w:vAlign w:val="center"/>
          </w:tcPr>
          <w:p w:rsidR="006C3D8E" w:rsidRDefault="007201FE">
            <w:pPr>
              <w:jc w:val="right"/>
            </w:pPr>
            <w:r>
              <w:rPr>
                <w:rFonts w:eastAsiaTheme="minorEastAsia"/>
                <w:color w:val="000000" w:themeColor="text1"/>
                <w:szCs w:val="21"/>
              </w:rPr>
              <w:t>0.60%</w:t>
            </w:r>
          </w:p>
        </w:tc>
        <w:tc>
          <w:tcPr>
            <w:tcW w:w="1291" w:type="dxa"/>
            <w:vAlign w:val="center"/>
          </w:tcPr>
          <w:p w:rsidR="006C3D8E" w:rsidRDefault="007201FE">
            <w:pPr>
              <w:jc w:val="right"/>
            </w:pPr>
            <w:r>
              <w:rPr>
                <w:rFonts w:eastAsiaTheme="minorEastAsia"/>
                <w:color w:val="000000" w:themeColor="text1"/>
                <w:szCs w:val="21"/>
              </w:rPr>
              <w:t>-2.29%</w:t>
            </w:r>
          </w:p>
        </w:tc>
        <w:tc>
          <w:tcPr>
            <w:tcW w:w="1291" w:type="dxa"/>
            <w:vAlign w:val="center"/>
          </w:tcPr>
          <w:p w:rsidR="006C3D8E" w:rsidRDefault="007201FE">
            <w:pPr>
              <w:jc w:val="right"/>
            </w:pPr>
            <w:r>
              <w:rPr>
                <w:rFonts w:eastAsiaTheme="minorEastAsia"/>
                <w:color w:val="000000" w:themeColor="text1"/>
                <w:szCs w:val="21"/>
              </w:rPr>
              <w:t>0.57%</w:t>
            </w:r>
          </w:p>
        </w:tc>
        <w:tc>
          <w:tcPr>
            <w:tcW w:w="1291" w:type="dxa"/>
            <w:vAlign w:val="center"/>
          </w:tcPr>
          <w:p w:rsidR="006C3D8E" w:rsidRDefault="007201FE">
            <w:pPr>
              <w:jc w:val="right"/>
            </w:pPr>
            <w:r>
              <w:rPr>
                <w:rFonts w:eastAsiaTheme="minorEastAsia"/>
                <w:color w:val="000000" w:themeColor="text1"/>
                <w:szCs w:val="21"/>
              </w:rPr>
              <w:t>2.62%</w:t>
            </w:r>
          </w:p>
        </w:tc>
        <w:tc>
          <w:tcPr>
            <w:tcW w:w="1291" w:type="dxa"/>
            <w:vAlign w:val="center"/>
          </w:tcPr>
          <w:p w:rsidR="006C3D8E" w:rsidRDefault="007201FE">
            <w:pPr>
              <w:jc w:val="right"/>
            </w:pPr>
            <w:r>
              <w:rPr>
                <w:rFonts w:eastAsiaTheme="minorEastAsia"/>
                <w:color w:val="000000" w:themeColor="text1"/>
                <w:szCs w:val="21"/>
              </w:rPr>
              <w:t>0.03%</w:t>
            </w:r>
          </w:p>
        </w:tc>
      </w:tr>
      <w:tr w:rsidR="006C3D8E">
        <w:tc>
          <w:tcPr>
            <w:tcW w:w="1290" w:type="dxa"/>
            <w:vAlign w:val="center"/>
          </w:tcPr>
          <w:p w:rsidR="006C3D8E" w:rsidRDefault="007201FE">
            <w:pPr>
              <w:jc w:val="left"/>
            </w:pPr>
            <w:r>
              <w:rPr>
                <w:rFonts w:eastAsiaTheme="minorEastAsia"/>
                <w:color w:val="000000" w:themeColor="text1"/>
                <w:szCs w:val="21"/>
              </w:rPr>
              <w:t>过去六个月</w:t>
            </w:r>
          </w:p>
        </w:tc>
        <w:tc>
          <w:tcPr>
            <w:tcW w:w="1291" w:type="dxa"/>
            <w:vAlign w:val="center"/>
          </w:tcPr>
          <w:p w:rsidR="006C3D8E" w:rsidRDefault="007201FE">
            <w:pPr>
              <w:jc w:val="right"/>
            </w:pPr>
            <w:r>
              <w:rPr>
                <w:rFonts w:eastAsiaTheme="minorEastAsia"/>
                <w:color w:val="000000" w:themeColor="text1"/>
                <w:szCs w:val="21"/>
              </w:rPr>
              <w:t>13.10%</w:t>
            </w:r>
          </w:p>
        </w:tc>
        <w:tc>
          <w:tcPr>
            <w:tcW w:w="1291" w:type="dxa"/>
            <w:vAlign w:val="center"/>
          </w:tcPr>
          <w:p w:rsidR="006C3D8E" w:rsidRDefault="007201FE">
            <w:pPr>
              <w:jc w:val="right"/>
            </w:pPr>
            <w:r>
              <w:rPr>
                <w:rFonts w:eastAsiaTheme="minorEastAsia"/>
                <w:color w:val="000000" w:themeColor="text1"/>
                <w:szCs w:val="21"/>
              </w:rPr>
              <w:t>0.81%</w:t>
            </w:r>
          </w:p>
        </w:tc>
        <w:tc>
          <w:tcPr>
            <w:tcW w:w="1291" w:type="dxa"/>
            <w:vAlign w:val="center"/>
          </w:tcPr>
          <w:p w:rsidR="006C3D8E" w:rsidRDefault="007201FE">
            <w:pPr>
              <w:jc w:val="right"/>
            </w:pPr>
            <w:r>
              <w:rPr>
                <w:rFonts w:eastAsiaTheme="minorEastAsia"/>
                <w:color w:val="000000" w:themeColor="text1"/>
                <w:szCs w:val="21"/>
              </w:rPr>
              <w:t>10.10%</w:t>
            </w:r>
          </w:p>
        </w:tc>
        <w:tc>
          <w:tcPr>
            <w:tcW w:w="1291" w:type="dxa"/>
            <w:vAlign w:val="center"/>
          </w:tcPr>
          <w:p w:rsidR="006C3D8E" w:rsidRDefault="007201FE">
            <w:pPr>
              <w:jc w:val="right"/>
            </w:pPr>
            <w:r>
              <w:rPr>
                <w:rFonts w:eastAsiaTheme="minorEastAsia"/>
                <w:color w:val="000000" w:themeColor="text1"/>
                <w:szCs w:val="21"/>
              </w:rPr>
              <w:t>0.86%</w:t>
            </w:r>
          </w:p>
        </w:tc>
        <w:tc>
          <w:tcPr>
            <w:tcW w:w="1291" w:type="dxa"/>
            <w:vAlign w:val="center"/>
          </w:tcPr>
          <w:p w:rsidR="006C3D8E" w:rsidRDefault="007201FE">
            <w:pPr>
              <w:jc w:val="right"/>
            </w:pPr>
            <w:r>
              <w:rPr>
                <w:rFonts w:eastAsiaTheme="minorEastAsia"/>
                <w:color w:val="000000" w:themeColor="text1"/>
                <w:szCs w:val="21"/>
              </w:rPr>
              <w:t>3.00%</w:t>
            </w:r>
          </w:p>
        </w:tc>
        <w:tc>
          <w:tcPr>
            <w:tcW w:w="1291" w:type="dxa"/>
            <w:vAlign w:val="center"/>
          </w:tcPr>
          <w:p w:rsidR="006C3D8E" w:rsidRDefault="007201FE">
            <w:pPr>
              <w:jc w:val="right"/>
            </w:pPr>
            <w:r>
              <w:rPr>
                <w:rFonts w:eastAsiaTheme="minorEastAsia"/>
                <w:color w:val="000000" w:themeColor="text1"/>
                <w:szCs w:val="21"/>
              </w:rPr>
              <w:t>-0.05%</w:t>
            </w:r>
          </w:p>
        </w:tc>
      </w:tr>
      <w:tr w:rsidR="006C3D8E">
        <w:tc>
          <w:tcPr>
            <w:tcW w:w="1290" w:type="dxa"/>
            <w:vAlign w:val="center"/>
          </w:tcPr>
          <w:p w:rsidR="006C3D8E" w:rsidRDefault="007201FE">
            <w:pPr>
              <w:jc w:val="left"/>
            </w:pPr>
            <w:r>
              <w:rPr>
                <w:rFonts w:eastAsiaTheme="minorEastAsia"/>
                <w:color w:val="000000" w:themeColor="text1"/>
                <w:szCs w:val="21"/>
              </w:rPr>
              <w:t>过去一年</w:t>
            </w:r>
          </w:p>
        </w:tc>
        <w:tc>
          <w:tcPr>
            <w:tcW w:w="1291" w:type="dxa"/>
            <w:vAlign w:val="center"/>
          </w:tcPr>
          <w:p w:rsidR="006C3D8E" w:rsidRDefault="007201FE">
            <w:pPr>
              <w:jc w:val="right"/>
            </w:pPr>
            <w:r>
              <w:rPr>
                <w:rFonts w:eastAsiaTheme="minorEastAsia"/>
                <w:color w:val="000000" w:themeColor="text1"/>
                <w:szCs w:val="21"/>
              </w:rPr>
              <w:t>9.23%</w:t>
            </w:r>
          </w:p>
        </w:tc>
        <w:tc>
          <w:tcPr>
            <w:tcW w:w="1291" w:type="dxa"/>
            <w:vAlign w:val="center"/>
          </w:tcPr>
          <w:p w:rsidR="006C3D8E" w:rsidRDefault="007201FE">
            <w:pPr>
              <w:jc w:val="right"/>
            </w:pPr>
            <w:r>
              <w:rPr>
                <w:rFonts w:eastAsiaTheme="minorEastAsia"/>
                <w:color w:val="000000" w:themeColor="text1"/>
                <w:szCs w:val="21"/>
              </w:rPr>
              <w:t>0.86%</w:t>
            </w:r>
          </w:p>
        </w:tc>
        <w:tc>
          <w:tcPr>
            <w:tcW w:w="1291" w:type="dxa"/>
            <w:vAlign w:val="center"/>
          </w:tcPr>
          <w:p w:rsidR="006C3D8E" w:rsidRDefault="007201FE">
            <w:pPr>
              <w:jc w:val="right"/>
            </w:pPr>
            <w:r>
              <w:rPr>
                <w:rFonts w:eastAsiaTheme="minorEastAsia"/>
                <w:color w:val="000000" w:themeColor="text1"/>
                <w:szCs w:val="21"/>
              </w:rPr>
              <w:t>5.99%</w:t>
            </w:r>
          </w:p>
        </w:tc>
        <w:tc>
          <w:tcPr>
            <w:tcW w:w="1291" w:type="dxa"/>
            <w:vAlign w:val="center"/>
          </w:tcPr>
          <w:p w:rsidR="006C3D8E" w:rsidRDefault="007201FE">
            <w:pPr>
              <w:jc w:val="right"/>
            </w:pPr>
            <w:r>
              <w:rPr>
                <w:rFonts w:eastAsiaTheme="minorEastAsia"/>
                <w:color w:val="000000" w:themeColor="text1"/>
                <w:szCs w:val="21"/>
              </w:rPr>
              <w:t>0.87%</w:t>
            </w:r>
          </w:p>
        </w:tc>
        <w:tc>
          <w:tcPr>
            <w:tcW w:w="1291" w:type="dxa"/>
            <w:vAlign w:val="center"/>
          </w:tcPr>
          <w:p w:rsidR="006C3D8E" w:rsidRDefault="007201FE">
            <w:pPr>
              <w:jc w:val="right"/>
            </w:pPr>
            <w:r>
              <w:rPr>
                <w:rFonts w:eastAsiaTheme="minorEastAsia"/>
                <w:color w:val="000000" w:themeColor="text1"/>
                <w:szCs w:val="21"/>
              </w:rPr>
              <w:t>3.24%</w:t>
            </w:r>
          </w:p>
        </w:tc>
        <w:tc>
          <w:tcPr>
            <w:tcW w:w="1291" w:type="dxa"/>
            <w:vAlign w:val="center"/>
          </w:tcPr>
          <w:p w:rsidR="006C3D8E" w:rsidRDefault="007201FE">
            <w:pPr>
              <w:jc w:val="right"/>
            </w:pPr>
            <w:r>
              <w:rPr>
                <w:rFonts w:eastAsiaTheme="minorEastAsia"/>
                <w:color w:val="000000" w:themeColor="text1"/>
                <w:szCs w:val="21"/>
              </w:rPr>
              <w:t>-0.01%</w:t>
            </w:r>
          </w:p>
        </w:tc>
      </w:tr>
      <w:tr w:rsidR="006C3D8E">
        <w:tc>
          <w:tcPr>
            <w:tcW w:w="1290" w:type="dxa"/>
            <w:vAlign w:val="center"/>
          </w:tcPr>
          <w:p w:rsidR="006C3D8E" w:rsidRDefault="007201FE">
            <w:pPr>
              <w:jc w:val="left"/>
            </w:pPr>
            <w:r>
              <w:rPr>
                <w:rFonts w:eastAsiaTheme="minorEastAsia"/>
                <w:color w:val="000000" w:themeColor="text1"/>
                <w:szCs w:val="21"/>
              </w:rPr>
              <w:t>过去三年</w:t>
            </w:r>
          </w:p>
        </w:tc>
        <w:tc>
          <w:tcPr>
            <w:tcW w:w="1291" w:type="dxa"/>
            <w:vAlign w:val="center"/>
          </w:tcPr>
          <w:p w:rsidR="006C3D8E" w:rsidRDefault="007201FE">
            <w:pPr>
              <w:jc w:val="right"/>
            </w:pPr>
            <w:r>
              <w:rPr>
                <w:rFonts w:eastAsiaTheme="minorEastAsia"/>
                <w:color w:val="000000" w:themeColor="text1"/>
                <w:szCs w:val="21"/>
              </w:rPr>
              <w:t>-10.40%</w:t>
            </w:r>
          </w:p>
        </w:tc>
        <w:tc>
          <w:tcPr>
            <w:tcW w:w="1291" w:type="dxa"/>
            <w:vAlign w:val="center"/>
          </w:tcPr>
          <w:p w:rsidR="006C3D8E" w:rsidRDefault="007201FE">
            <w:pPr>
              <w:jc w:val="right"/>
            </w:pPr>
            <w:r>
              <w:rPr>
                <w:rFonts w:eastAsiaTheme="minorEastAsia"/>
                <w:color w:val="000000" w:themeColor="text1"/>
                <w:szCs w:val="21"/>
              </w:rPr>
              <w:t>1.05%</w:t>
            </w:r>
          </w:p>
        </w:tc>
        <w:tc>
          <w:tcPr>
            <w:tcW w:w="1291" w:type="dxa"/>
            <w:vAlign w:val="center"/>
          </w:tcPr>
          <w:p w:rsidR="006C3D8E" w:rsidRDefault="007201FE">
            <w:pPr>
              <w:jc w:val="right"/>
            </w:pPr>
            <w:r>
              <w:rPr>
                <w:rFonts w:eastAsiaTheme="minorEastAsia"/>
                <w:color w:val="000000" w:themeColor="text1"/>
                <w:szCs w:val="21"/>
              </w:rPr>
              <w:t>-16.74%</w:t>
            </w:r>
          </w:p>
        </w:tc>
        <w:tc>
          <w:tcPr>
            <w:tcW w:w="1291" w:type="dxa"/>
            <w:vAlign w:val="center"/>
          </w:tcPr>
          <w:p w:rsidR="006C3D8E" w:rsidRDefault="007201FE">
            <w:pPr>
              <w:jc w:val="right"/>
            </w:pPr>
            <w:r>
              <w:rPr>
                <w:rFonts w:eastAsiaTheme="minorEastAsia"/>
                <w:color w:val="000000" w:themeColor="text1"/>
                <w:szCs w:val="21"/>
              </w:rPr>
              <w:t>1.01%</w:t>
            </w:r>
          </w:p>
        </w:tc>
        <w:tc>
          <w:tcPr>
            <w:tcW w:w="1291" w:type="dxa"/>
            <w:vAlign w:val="center"/>
          </w:tcPr>
          <w:p w:rsidR="006C3D8E" w:rsidRDefault="007201FE">
            <w:pPr>
              <w:jc w:val="right"/>
            </w:pPr>
            <w:r>
              <w:rPr>
                <w:rFonts w:eastAsiaTheme="minorEastAsia"/>
                <w:color w:val="000000" w:themeColor="text1"/>
                <w:szCs w:val="21"/>
              </w:rPr>
              <w:t>6.34%</w:t>
            </w:r>
          </w:p>
        </w:tc>
        <w:tc>
          <w:tcPr>
            <w:tcW w:w="1291" w:type="dxa"/>
            <w:vAlign w:val="center"/>
          </w:tcPr>
          <w:p w:rsidR="006C3D8E" w:rsidRDefault="007201FE">
            <w:pPr>
              <w:jc w:val="right"/>
            </w:pPr>
            <w:r>
              <w:rPr>
                <w:rFonts w:eastAsiaTheme="minorEastAsia"/>
                <w:color w:val="000000" w:themeColor="text1"/>
                <w:szCs w:val="21"/>
              </w:rPr>
              <w:t>0.04%</w:t>
            </w:r>
          </w:p>
        </w:tc>
      </w:tr>
      <w:tr w:rsidR="006C3D8E">
        <w:tc>
          <w:tcPr>
            <w:tcW w:w="1290" w:type="dxa"/>
            <w:vAlign w:val="center"/>
          </w:tcPr>
          <w:p w:rsidR="006C3D8E" w:rsidRDefault="007201FE">
            <w:pPr>
              <w:jc w:val="left"/>
            </w:pPr>
            <w:r>
              <w:rPr>
                <w:rFonts w:eastAsiaTheme="minorEastAsia"/>
                <w:color w:val="000000" w:themeColor="text1"/>
                <w:szCs w:val="21"/>
              </w:rPr>
              <w:t>过去五年</w:t>
            </w:r>
          </w:p>
        </w:tc>
        <w:tc>
          <w:tcPr>
            <w:tcW w:w="1291" w:type="dxa"/>
            <w:vAlign w:val="center"/>
          </w:tcPr>
          <w:p w:rsidR="006C3D8E" w:rsidRDefault="007201FE">
            <w:pPr>
              <w:jc w:val="right"/>
            </w:pPr>
            <w:r>
              <w:rPr>
                <w:rFonts w:eastAsiaTheme="minorEastAsia"/>
                <w:color w:val="000000" w:themeColor="text1"/>
                <w:szCs w:val="21"/>
              </w:rPr>
              <w:t>-</w:t>
            </w:r>
          </w:p>
        </w:tc>
        <w:tc>
          <w:tcPr>
            <w:tcW w:w="1291" w:type="dxa"/>
            <w:vAlign w:val="center"/>
          </w:tcPr>
          <w:p w:rsidR="006C3D8E" w:rsidRDefault="007201FE">
            <w:pPr>
              <w:jc w:val="right"/>
            </w:pPr>
            <w:r>
              <w:rPr>
                <w:rFonts w:eastAsiaTheme="minorEastAsia"/>
                <w:color w:val="000000" w:themeColor="text1"/>
                <w:szCs w:val="21"/>
              </w:rPr>
              <w:t>-</w:t>
            </w:r>
          </w:p>
        </w:tc>
        <w:tc>
          <w:tcPr>
            <w:tcW w:w="1291" w:type="dxa"/>
            <w:vAlign w:val="center"/>
          </w:tcPr>
          <w:p w:rsidR="006C3D8E" w:rsidRDefault="007201FE">
            <w:pPr>
              <w:jc w:val="right"/>
            </w:pPr>
            <w:r>
              <w:rPr>
                <w:rFonts w:eastAsiaTheme="minorEastAsia"/>
                <w:color w:val="000000" w:themeColor="text1"/>
                <w:szCs w:val="21"/>
              </w:rPr>
              <w:t>-</w:t>
            </w:r>
          </w:p>
        </w:tc>
        <w:tc>
          <w:tcPr>
            <w:tcW w:w="1291" w:type="dxa"/>
            <w:vAlign w:val="center"/>
          </w:tcPr>
          <w:p w:rsidR="006C3D8E" w:rsidRDefault="007201FE">
            <w:pPr>
              <w:jc w:val="right"/>
            </w:pPr>
            <w:r>
              <w:rPr>
                <w:rFonts w:eastAsiaTheme="minorEastAsia"/>
                <w:color w:val="000000" w:themeColor="text1"/>
                <w:szCs w:val="21"/>
              </w:rPr>
              <w:t>-</w:t>
            </w:r>
          </w:p>
        </w:tc>
        <w:tc>
          <w:tcPr>
            <w:tcW w:w="1291" w:type="dxa"/>
            <w:vAlign w:val="center"/>
          </w:tcPr>
          <w:p w:rsidR="006C3D8E" w:rsidRDefault="007201FE">
            <w:pPr>
              <w:jc w:val="right"/>
            </w:pPr>
            <w:r>
              <w:rPr>
                <w:rFonts w:eastAsiaTheme="minorEastAsia"/>
                <w:color w:val="000000" w:themeColor="text1"/>
                <w:szCs w:val="21"/>
              </w:rPr>
              <w:t>-</w:t>
            </w:r>
          </w:p>
        </w:tc>
        <w:tc>
          <w:tcPr>
            <w:tcW w:w="1291" w:type="dxa"/>
            <w:vAlign w:val="center"/>
          </w:tcPr>
          <w:p w:rsidR="006C3D8E" w:rsidRDefault="007201FE">
            <w:pPr>
              <w:jc w:val="right"/>
            </w:pPr>
            <w:r>
              <w:rPr>
                <w:rFonts w:eastAsiaTheme="minorEastAsia"/>
                <w:color w:val="000000" w:themeColor="text1"/>
                <w:szCs w:val="21"/>
              </w:rPr>
              <w:t>-</w:t>
            </w:r>
          </w:p>
        </w:tc>
      </w:tr>
      <w:tr w:rsidR="006C3D8E">
        <w:tc>
          <w:tcPr>
            <w:tcW w:w="1290" w:type="dxa"/>
            <w:vAlign w:val="center"/>
          </w:tcPr>
          <w:p w:rsidR="006C3D8E" w:rsidRDefault="007201FE">
            <w:pPr>
              <w:jc w:val="left"/>
            </w:pPr>
            <w:r>
              <w:rPr>
                <w:rFonts w:eastAsiaTheme="minorEastAsia"/>
                <w:color w:val="000000" w:themeColor="text1"/>
                <w:szCs w:val="21"/>
              </w:rPr>
              <w:t>自基金合同生效起至今</w:t>
            </w:r>
          </w:p>
        </w:tc>
        <w:tc>
          <w:tcPr>
            <w:tcW w:w="1291" w:type="dxa"/>
            <w:vAlign w:val="center"/>
          </w:tcPr>
          <w:p w:rsidR="006C3D8E" w:rsidRDefault="007201FE">
            <w:pPr>
              <w:jc w:val="right"/>
            </w:pPr>
            <w:r>
              <w:rPr>
                <w:rFonts w:eastAsiaTheme="minorEastAsia"/>
                <w:color w:val="000000" w:themeColor="text1"/>
                <w:szCs w:val="21"/>
              </w:rPr>
              <w:t>-12.20%</w:t>
            </w:r>
          </w:p>
        </w:tc>
        <w:tc>
          <w:tcPr>
            <w:tcW w:w="1291" w:type="dxa"/>
            <w:vAlign w:val="center"/>
          </w:tcPr>
          <w:p w:rsidR="006C3D8E" w:rsidRDefault="007201FE">
            <w:pPr>
              <w:jc w:val="right"/>
            </w:pPr>
            <w:r>
              <w:rPr>
                <w:rFonts w:eastAsiaTheme="minorEastAsia"/>
                <w:color w:val="000000" w:themeColor="text1"/>
                <w:szCs w:val="21"/>
              </w:rPr>
              <w:t>1.01%</w:t>
            </w:r>
          </w:p>
        </w:tc>
        <w:tc>
          <w:tcPr>
            <w:tcW w:w="1291" w:type="dxa"/>
            <w:vAlign w:val="center"/>
          </w:tcPr>
          <w:p w:rsidR="006C3D8E" w:rsidRDefault="007201FE">
            <w:pPr>
              <w:jc w:val="right"/>
            </w:pPr>
            <w:r>
              <w:rPr>
                <w:rFonts w:eastAsiaTheme="minorEastAsia"/>
                <w:color w:val="000000" w:themeColor="text1"/>
                <w:szCs w:val="21"/>
              </w:rPr>
              <w:t>-18.41%</w:t>
            </w:r>
          </w:p>
        </w:tc>
        <w:tc>
          <w:tcPr>
            <w:tcW w:w="1291" w:type="dxa"/>
            <w:vAlign w:val="center"/>
          </w:tcPr>
          <w:p w:rsidR="006C3D8E" w:rsidRDefault="007201FE">
            <w:pPr>
              <w:jc w:val="right"/>
            </w:pPr>
            <w:r>
              <w:rPr>
                <w:rFonts w:eastAsiaTheme="minorEastAsia"/>
                <w:color w:val="000000" w:themeColor="text1"/>
                <w:szCs w:val="21"/>
              </w:rPr>
              <w:t>0.98%</w:t>
            </w:r>
          </w:p>
        </w:tc>
        <w:tc>
          <w:tcPr>
            <w:tcW w:w="1291" w:type="dxa"/>
            <w:vAlign w:val="center"/>
          </w:tcPr>
          <w:p w:rsidR="006C3D8E" w:rsidRDefault="007201FE">
            <w:pPr>
              <w:jc w:val="right"/>
            </w:pPr>
            <w:r>
              <w:rPr>
                <w:rFonts w:eastAsiaTheme="minorEastAsia"/>
                <w:color w:val="000000" w:themeColor="text1"/>
                <w:szCs w:val="21"/>
              </w:rPr>
              <w:t>6.21%</w:t>
            </w:r>
          </w:p>
        </w:tc>
        <w:tc>
          <w:tcPr>
            <w:tcW w:w="1291" w:type="dxa"/>
            <w:vAlign w:val="center"/>
          </w:tcPr>
          <w:p w:rsidR="006C3D8E" w:rsidRDefault="007201FE">
            <w:pPr>
              <w:jc w:val="right"/>
            </w:pPr>
            <w:r>
              <w:rPr>
                <w:rFonts w:eastAsiaTheme="minorEastAsia"/>
                <w:color w:val="000000" w:themeColor="text1"/>
                <w:szCs w:val="21"/>
              </w:rPr>
              <w:t>0.03%</w:t>
            </w:r>
          </w:p>
        </w:tc>
      </w:tr>
    </w:tbl>
    <w:p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上投摩根标普港股通低波红利指数</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lastRenderedPageBreak/>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6C3D8E">
        <w:tc>
          <w:tcPr>
            <w:tcW w:w="1290" w:type="dxa"/>
            <w:vAlign w:val="center"/>
          </w:tcPr>
          <w:p w:rsidR="006C3D8E" w:rsidRDefault="007201FE">
            <w:pPr>
              <w:jc w:val="left"/>
            </w:pPr>
            <w:r>
              <w:rPr>
                <w:rFonts w:eastAsiaTheme="minorEastAsia"/>
                <w:color w:val="000000" w:themeColor="text1"/>
                <w:szCs w:val="21"/>
              </w:rPr>
              <w:t>过去三个月</w:t>
            </w:r>
          </w:p>
        </w:tc>
        <w:tc>
          <w:tcPr>
            <w:tcW w:w="1291" w:type="dxa"/>
            <w:vAlign w:val="center"/>
          </w:tcPr>
          <w:p w:rsidR="006C3D8E" w:rsidRDefault="007201FE">
            <w:pPr>
              <w:jc w:val="right"/>
            </w:pPr>
            <w:r>
              <w:rPr>
                <w:rFonts w:eastAsiaTheme="minorEastAsia"/>
                <w:color w:val="000000" w:themeColor="text1"/>
                <w:szCs w:val="21"/>
              </w:rPr>
              <w:t>0.21%</w:t>
            </w:r>
          </w:p>
        </w:tc>
        <w:tc>
          <w:tcPr>
            <w:tcW w:w="1291" w:type="dxa"/>
            <w:vAlign w:val="center"/>
          </w:tcPr>
          <w:p w:rsidR="006C3D8E" w:rsidRDefault="007201FE">
            <w:pPr>
              <w:jc w:val="right"/>
            </w:pPr>
            <w:r>
              <w:rPr>
                <w:rFonts w:eastAsiaTheme="minorEastAsia"/>
                <w:color w:val="000000" w:themeColor="text1"/>
                <w:szCs w:val="21"/>
              </w:rPr>
              <w:t>0.59%</w:t>
            </w:r>
          </w:p>
        </w:tc>
        <w:tc>
          <w:tcPr>
            <w:tcW w:w="1291" w:type="dxa"/>
            <w:vAlign w:val="center"/>
          </w:tcPr>
          <w:p w:rsidR="006C3D8E" w:rsidRDefault="007201FE">
            <w:pPr>
              <w:jc w:val="right"/>
            </w:pPr>
            <w:r>
              <w:rPr>
                <w:rFonts w:eastAsiaTheme="minorEastAsia"/>
                <w:color w:val="000000" w:themeColor="text1"/>
                <w:szCs w:val="21"/>
              </w:rPr>
              <w:t>-2.29%</w:t>
            </w:r>
          </w:p>
        </w:tc>
        <w:tc>
          <w:tcPr>
            <w:tcW w:w="1291" w:type="dxa"/>
            <w:vAlign w:val="center"/>
          </w:tcPr>
          <w:p w:rsidR="006C3D8E" w:rsidRDefault="007201FE">
            <w:pPr>
              <w:jc w:val="right"/>
            </w:pPr>
            <w:r>
              <w:rPr>
                <w:rFonts w:eastAsiaTheme="minorEastAsia"/>
                <w:color w:val="000000" w:themeColor="text1"/>
                <w:szCs w:val="21"/>
              </w:rPr>
              <w:t>0.57%</w:t>
            </w:r>
          </w:p>
        </w:tc>
        <w:tc>
          <w:tcPr>
            <w:tcW w:w="1291" w:type="dxa"/>
            <w:vAlign w:val="center"/>
          </w:tcPr>
          <w:p w:rsidR="006C3D8E" w:rsidRDefault="007201FE">
            <w:pPr>
              <w:jc w:val="right"/>
            </w:pPr>
            <w:r>
              <w:rPr>
                <w:rFonts w:eastAsiaTheme="minorEastAsia"/>
                <w:color w:val="000000" w:themeColor="text1"/>
                <w:szCs w:val="21"/>
              </w:rPr>
              <w:t>2.50%</w:t>
            </w:r>
          </w:p>
        </w:tc>
        <w:tc>
          <w:tcPr>
            <w:tcW w:w="1291" w:type="dxa"/>
            <w:vAlign w:val="center"/>
          </w:tcPr>
          <w:p w:rsidR="006C3D8E" w:rsidRDefault="007201FE">
            <w:pPr>
              <w:jc w:val="right"/>
            </w:pPr>
            <w:r>
              <w:rPr>
                <w:rFonts w:eastAsiaTheme="minorEastAsia"/>
                <w:color w:val="000000" w:themeColor="text1"/>
                <w:szCs w:val="21"/>
              </w:rPr>
              <w:t>0.02%</w:t>
            </w:r>
          </w:p>
        </w:tc>
      </w:tr>
      <w:tr w:rsidR="006C3D8E">
        <w:tc>
          <w:tcPr>
            <w:tcW w:w="1290" w:type="dxa"/>
            <w:vAlign w:val="center"/>
          </w:tcPr>
          <w:p w:rsidR="006C3D8E" w:rsidRDefault="007201FE">
            <w:pPr>
              <w:jc w:val="left"/>
            </w:pPr>
            <w:r>
              <w:rPr>
                <w:rFonts w:eastAsiaTheme="minorEastAsia"/>
                <w:color w:val="000000" w:themeColor="text1"/>
                <w:szCs w:val="21"/>
              </w:rPr>
              <w:t>过去六个月</w:t>
            </w:r>
          </w:p>
        </w:tc>
        <w:tc>
          <w:tcPr>
            <w:tcW w:w="1291" w:type="dxa"/>
            <w:vAlign w:val="center"/>
          </w:tcPr>
          <w:p w:rsidR="006C3D8E" w:rsidRDefault="007201FE">
            <w:pPr>
              <w:jc w:val="right"/>
            </w:pPr>
            <w:r>
              <w:rPr>
                <w:rFonts w:eastAsiaTheme="minorEastAsia"/>
                <w:color w:val="000000" w:themeColor="text1"/>
                <w:szCs w:val="21"/>
              </w:rPr>
              <w:t>12.83%</w:t>
            </w:r>
          </w:p>
        </w:tc>
        <w:tc>
          <w:tcPr>
            <w:tcW w:w="1291" w:type="dxa"/>
            <w:vAlign w:val="center"/>
          </w:tcPr>
          <w:p w:rsidR="006C3D8E" w:rsidRDefault="007201FE">
            <w:pPr>
              <w:jc w:val="right"/>
            </w:pPr>
            <w:r>
              <w:rPr>
                <w:rFonts w:eastAsiaTheme="minorEastAsia"/>
                <w:color w:val="000000" w:themeColor="text1"/>
                <w:szCs w:val="21"/>
              </w:rPr>
              <w:t>0.81%</w:t>
            </w:r>
          </w:p>
        </w:tc>
        <w:tc>
          <w:tcPr>
            <w:tcW w:w="1291" w:type="dxa"/>
            <w:vAlign w:val="center"/>
          </w:tcPr>
          <w:p w:rsidR="006C3D8E" w:rsidRDefault="007201FE">
            <w:pPr>
              <w:jc w:val="right"/>
            </w:pPr>
            <w:r>
              <w:rPr>
                <w:rFonts w:eastAsiaTheme="minorEastAsia"/>
                <w:color w:val="000000" w:themeColor="text1"/>
                <w:szCs w:val="21"/>
              </w:rPr>
              <w:t>10.10%</w:t>
            </w:r>
          </w:p>
        </w:tc>
        <w:tc>
          <w:tcPr>
            <w:tcW w:w="1291" w:type="dxa"/>
            <w:vAlign w:val="center"/>
          </w:tcPr>
          <w:p w:rsidR="006C3D8E" w:rsidRDefault="007201FE">
            <w:pPr>
              <w:jc w:val="right"/>
            </w:pPr>
            <w:r>
              <w:rPr>
                <w:rFonts w:eastAsiaTheme="minorEastAsia"/>
                <w:color w:val="000000" w:themeColor="text1"/>
                <w:szCs w:val="21"/>
              </w:rPr>
              <w:t>0.86%</w:t>
            </w:r>
          </w:p>
        </w:tc>
        <w:tc>
          <w:tcPr>
            <w:tcW w:w="1291" w:type="dxa"/>
            <w:vAlign w:val="center"/>
          </w:tcPr>
          <w:p w:rsidR="006C3D8E" w:rsidRDefault="007201FE">
            <w:pPr>
              <w:jc w:val="right"/>
            </w:pPr>
            <w:r>
              <w:rPr>
                <w:rFonts w:eastAsiaTheme="minorEastAsia"/>
                <w:color w:val="000000" w:themeColor="text1"/>
                <w:szCs w:val="21"/>
              </w:rPr>
              <w:t>2.73%</w:t>
            </w:r>
          </w:p>
        </w:tc>
        <w:tc>
          <w:tcPr>
            <w:tcW w:w="1291" w:type="dxa"/>
            <w:vAlign w:val="center"/>
          </w:tcPr>
          <w:p w:rsidR="006C3D8E" w:rsidRDefault="007201FE">
            <w:pPr>
              <w:jc w:val="right"/>
            </w:pPr>
            <w:r>
              <w:rPr>
                <w:rFonts w:eastAsiaTheme="minorEastAsia"/>
                <w:color w:val="000000" w:themeColor="text1"/>
                <w:szCs w:val="21"/>
              </w:rPr>
              <w:t>-0.05%</w:t>
            </w:r>
          </w:p>
        </w:tc>
      </w:tr>
      <w:tr w:rsidR="006C3D8E">
        <w:tc>
          <w:tcPr>
            <w:tcW w:w="1290" w:type="dxa"/>
            <w:vAlign w:val="center"/>
          </w:tcPr>
          <w:p w:rsidR="006C3D8E" w:rsidRDefault="007201FE">
            <w:pPr>
              <w:jc w:val="left"/>
            </w:pPr>
            <w:r>
              <w:rPr>
                <w:rFonts w:eastAsiaTheme="minorEastAsia"/>
                <w:color w:val="000000" w:themeColor="text1"/>
                <w:szCs w:val="21"/>
              </w:rPr>
              <w:t>过去一年</w:t>
            </w:r>
          </w:p>
        </w:tc>
        <w:tc>
          <w:tcPr>
            <w:tcW w:w="1291" w:type="dxa"/>
            <w:vAlign w:val="center"/>
          </w:tcPr>
          <w:p w:rsidR="006C3D8E" w:rsidRDefault="007201FE">
            <w:pPr>
              <w:jc w:val="right"/>
            </w:pPr>
            <w:r>
              <w:rPr>
                <w:rFonts w:eastAsiaTheme="minorEastAsia"/>
                <w:color w:val="000000" w:themeColor="text1"/>
                <w:szCs w:val="21"/>
              </w:rPr>
              <w:t>8.69%</w:t>
            </w:r>
          </w:p>
        </w:tc>
        <w:tc>
          <w:tcPr>
            <w:tcW w:w="1291" w:type="dxa"/>
            <w:vAlign w:val="center"/>
          </w:tcPr>
          <w:p w:rsidR="006C3D8E" w:rsidRDefault="007201FE">
            <w:pPr>
              <w:jc w:val="right"/>
            </w:pPr>
            <w:r>
              <w:rPr>
                <w:rFonts w:eastAsiaTheme="minorEastAsia"/>
                <w:color w:val="000000" w:themeColor="text1"/>
                <w:szCs w:val="21"/>
              </w:rPr>
              <w:t>0.85%</w:t>
            </w:r>
          </w:p>
        </w:tc>
        <w:tc>
          <w:tcPr>
            <w:tcW w:w="1291" w:type="dxa"/>
            <w:vAlign w:val="center"/>
          </w:tcPr>
          <w:p w:rsidR="006C3D8E" w:rsidRDefault="007201FE">
            <w:pPr>
              <w:jc w:val="right"/>
            </w:pPr>
            <w:r>
              <w:rPr>
                <w:rFonts w:eastAsiaTheme="minorEastAsia"/>
                <w:color w:val="000000" w:themeColor="text1"/>
                <w:szCs w:val="21"/>
              </w:rPr>
              <w:t>5.99%</w:t>
            </w:r>
          </w:p>
        </w:tc>
        <w:tc>
          <w:tcPr>
            <w:tcW w:w="1291" w:type="dxa"/>
            <w:vAlign w:val="center"/>
          </w:tcPr>
          <w:p w:rsidR="006C3D8E" w:rsidRDefault="007201FE">
            <w:pPr>
              <w:jc w:val="right"/>
            </w:pPr>
            <w:r>
              <w:rPr>
                <w:rFonts w:eastAsiaTheme="minorEastAsia"/>
                <w:color w:val="000000" w:themeColor="text1"/>
                <w:szCs w:val="21"/>
              </w:rPr>
              <w:t>0.87%</w:t>
            </w:r>
          </w:p>
        </w:tc>
        <w:tc>
          <w:tcPr>
            <w:tcW w:w="1291" w:type="dxa"/>
            <w:vAlign w:val="center"/>
          </w:tcPr>
          <w:p w:rsidR="006C3D8E" w:rsidRDefault="007201FE">
            <w:pPr>
              <w:jc w:val="right"/>
            </w:pPr>
            <w:r>
              <w:rPr>
                <w:rFonts w:eastAsiaTheme="minorEastAsia"/>
                <w:color w:val="000000" w:themeColor="text1"/>
                <w:szCs w:val="21"/>
              </w:rPr>
              <w:t>2.70%</w:t>
            </w:r>
          </w:p>
        </w:tc>
        <w:tc>
          <w:tcPr>
            <w:tcW w:w="1291" w:type="dxa"/>
            <w:vAlign w:val="center"/>
          </w:tcPr>
          <w:p w:rsidR="006C3D8E" w:rsidRDefault="007201FE">
            <w:pPr>
              <w:jc w:val="right"/>
            </w:pPr>
            <w:r>
              <w:rPr>
                <w:rFonts w:eastAsiaTheme="minorEastAsia"/>
                <w:color w:val="000000" w:themeColor="text1"/>
                <w:szCs w:val="21"/>
              </w:rPr>
              <w:t>-0.02%</w:t>
            </w:r>
          </w:p>
        </w:tc>
      </w:tr>
      <w:tr w:rsidR="006C3D8E">
        <w:tc>
          <w:tcPr>
            <w:tcW w:w="1290" w:type="dxa"/>
            <w:vAlign w:val="center"/>
          </w:tcPr>
          <w:p w:rsidR="006C3D8E" w:rsidRDefault="007201FE">
            <w:pPr>
              <w:jc w:val="left"/>
            </w:pPr>
            <w:r>
              <w:rPr>
                <w:rFonts w:eastAsiaTheme="minorEastAsia"/>
                <w:color w:val="000000" w:themeColor="text1"/>
                <w:szCs w:val="21"/>
              </w:rPr>
              <w:t>过去三年</w:t>
            </w:r>
          </w:p>
        </w:tc>
        <w:tc>
          <w:tcPr>
            <w:tcW w:w="1291" w:type="dxa"/>
            <w:vAlign w:val="center"/>
          </w:tcPr>
          <w:p w:rsidR="006C3D8E" w:rsidRDefault="007201FE">
            <w:pPr>
              <w:jc w:val="right"/>
            </w:pPr>
            <w:r>
              <w:rPr>
                <w:rFonts w:eastAsiaTheme="minorEastAsia"/>
                <w:color w:val="000000" w:themeColor="text1"/>
                <w:szCs w:val="21"/>
              </w:rPr>
              <w:t>-11.58%</w:t>
            </w:r>
          </w:p>
        </w:tc>
        <w:tc>
          <w:tcPr>
            <w:tcW w:w="1291" w:type="dxa"/>
            <w:vAlign w:val="center"/>
          </w:tcPr>
          <w:p w:rsidR="006C3D8E" w:rsidRDefault="007201FE">
            <w:pPr>
              <w:jc w:val="right"/>
            </w:pPr>
            <w:r>
              <w:rPr>
                <w:rFonts w:eastAsiaTheme="minorEastAsia"/>
                <w:color w:val="000000" w:themeColor="text1"/>
                <w:szCs w:val="21"/>
              </w:rPr>
              <w:t>1.05%</w:t>
            </w:r>
          </w:p>
        </w:tc>
        <w:tc>
          <w:tcPr>
            <w:tcW w:w="1291" w:type="dxa"/>
            <w:vAlign w:val="center"/>
          </w:tcPr>
          <w:p w:rsidR="006C3D8E" w:rsidRDefault="007201FE">
            <w:pPr>
              <w:jc w:val="right"/>
            </w:pPr>
            <w:r>
              <w:rPr>
                <w:rFonts w:eastAsiaTheme="minorEastAsia"/>
                <w:color w:val="000000" w:themeColor="text1"/>
                <w:szCs w:val="21"/>
              </w:rPr>
              <w:t>-16.74%</w:t>
            </w:r>
          </w:p>
        </w:tc>
        <w:tc>
          <w:tcPr>
            <w:tcW w:w="1291" w:type="dxa"/>
            <w:vAlign w:val="center"/>
          </w:tcPr>
          <w:p w:rsidR="006C3D8E" w:rsidRDefault="007201FE">
            <w:pPr>
              <w:jc w:val="right"/>
            </w:pPr>
            <w:r>
              <w:rPr>
                <w:rFonts w:eastAsiaTheme="minorEastAsia"/>
                <w:color w:val="000000" w:themeColor="text1"/>
                <w:szCs w:val="21"/>
              </w:rPr>
              <w:t>1.01%</w:t>
            </w:r>
          </w:p>
        </w:tc>
        <w:tc>
          <w:tcPr>
            <w:tcW w:w="1291" w:type="dxa"/>
            <w:vAlign w:val="center"/>
          </w:tcPr>
          <w:p w:rsidR="006C3D8E" w:rsidRDefault="007201FE">
            <w:pPr>
              <w:jc w:val="right"/>
            </w:pPr>
            <w:r>
              <w:rPr>
                <w:rFonts w:eastAsiaTheme="minorEastAsia"/>
                <w:color w:val="000000" w:themeColor="text1"/>
                <w:szCs w:val="21"/>
              </w:rPr>
              <w:t>5.16%</w:t>
            </w:r>
          </w:p>
        </w:tc>
        <w:tc>
          <w:tcPr>
            <w:tcW w:w="1291" w:type="dxa"/>
            <w:vAlign w:val="center"/>
          </w:tcPr>
          <w:p w:rsidR="006C3D8E" w:rsidRDefault="007201FE">
            <w:pPr>
              <w:jc w:val="right"/>
            </w:pPr>
            <w:r>
              <w:rPr>
                <w:rFonts w:eastAsiaTheme="minorEastAsia"/>
                <w:color w:val="000000" w:themeColor="text1"/>
                <w:szCs w:val="21"/>
              </w:rPr>
              <w:t>0.04%</w:t>
            </w:r>
          </w:p>
        </w:tc>
      </w:tr>
      <w:tr w:rsidR="006C3D8E">
        <w:tc>
          <w:tcPr>
            <w:tcW w:w="1290" w:type="dxa"/>
            <w:vAlign w:val="center"/>
          </w:tcPr>
          <w:p w:rsidR="006C3D8E" w:rsidRDefault="007201FE">
            <w:pPr>
              <w:jc w:val="left"/>
            </w:pPr>
            <w:r>
              <w:rPr>
                <w:rFonts w:eastAsiaTheme="minorEastAsia"/>
                <w:color w:val="000000" w:themeColor="text1"/>
                <w:szCs w:val="21"/>
              </w:rPr>
              <w:t>过去五年</w:t>
            </w:r>
          </w:p>
        </w:tc>
        <w:tc>
          <w:tcPr>
            <w:tcW w:w="1291" w:type="dxa"/>
            <w:vAlign w:val="center"/>
          </w:tcPr>
          <w:p w:rsidR="006C3D8E" w:rsidRDefault="007201FE">
            <w:pPr>
              <w:jc w:val="right"/>
            </w:pPr>
            <w:r>
              <w:rPr>
                <w:rFonts w:eastAsiaTheme="minorEastAsia"/>
                <w:color w:val="000000" w:themeColor="text1"/>
                <w:szCs w:val="21"/>
              </w:rPr>
              <w:t>-</w:t>
            </w:r>
          </w:p>
        </w:tc>
        <w:tc>
          <w:tcPr>
            <w:tcW w:w="1291" w:type="dxa"/>
            <w:vAlign w:val="center"/>
          </w:tcPr>
          <w:p w:rsidR="006C3D8E" w:rsidRDefault="007201FE">
            <w:pPr>
              <w:jc w:val="right"/>
            </w:pPr>
            <w:r>
              <w:rPr>
                <w:rFonts w:eastAsiaTheme="minorEastAsia"/>
                <w:color w:val="000000" w:themeColor="text1"/>
                <w:szCs w:val="21"/>
              </w:rPr>
              <w:t>-</w:t>
            </w:r>
          </w:p>
        </w:tc>
        <w:tc>
          <w:tcPr>
            <w:tcW w:w="1291" w:type="dxa"/>
            <w:vAlign w:val="center"/>
          </w:tcPr>
          <w:p w:rsidR="006C3D8E" w:rsidRDefault="007201FE">
            <w:pPr>
              <w:jc w:val="right"/>
            </w:pPr>
            <w:r>
              <w:rPr>
                <w:rFonts w:eastAsiaTheme="minorEastAsia"/>
                <w:color w:val="000000" w:themeColor="text1"/>
                <w:szCs w:val="21"/>
              </w:rPr>
              <w:t>-</w:t>
            </w:r>
          </w:p>
        </w:tc>
        <w:tc>
          <w:tcPr>
            <w:tcW w:w="1291" w:type="dxa"/>
            <w:vAlign w:val="center"/>
          </w:tcPr>
          <w:p w:rsidR="006C3D8E" w:rsidRDefault="007201FE">
            <w:pPr>
              <w:jc w:val="right"/>
            </w:pPr>
            <w:r>
              <w:rPr>
                <w:rFonts w:eastAsiaTheme="minorEastAsia"/>
                <w:color w:val="000000" w:themeColor="text1"/>
                <w:szCs w:val="21"/>
              </w:rPr>
              <w:t>-</w:t>
            </w:r>
          </w:p>
        </w:tc>
        <w:tc>
          <w:tcPr>
            <w:tcW w:w="1291" w:type="dxa"/>
            <w:vAlign w:val="center"/>
          </w:tcPr>
          <w:p w:rsidR="006C3D8E" w:rsidRDefault="007201FE">
            <w:pPr>
              <w:jc w:val="right"/>
            </w:pPr>
            <w:r>
              <w:rPr>
                <w:rFonts w:eastAsiaTheme="minorEastAsia"/>
                <w:color w:val="000000" w:themeColor="text1"/>
                <w:szCs w:val="21"/>
              </w:rPr>
              <w:t>-</w:t>
            </w:r>
          </w:p>
        </w:tc>
        <w:tc>
          <w:tcPr>
            <w:tcW w:w="1291" w:type="dxa"/>
            <w:vAlign w:val="center"/>
          </w:tcPr>
          <w:p w:rsidR="006C3D8E" w:rsidRDefault="007201FE">
            <w:pPr>
              <w:jc w:val="right"/>
            </w:pPr>
            <w:r>
              <w:rPr>
                <w:rFonts w:eastAsiaTheme="minorEastAsia"/>
                <w:color w:val="000000" w:themeColor="text1"/>
                <w:szCs w:val="21"/>
              </w:rPr>
              <w:t>-</w:t>
            </w:r>
          </w:p>
        </w:tc>
      </w:tr>
      <w:tr w:rsidR="006C3D8E">
        <w:tc>
          <w:tcPr>
            <w:tcW w:w="1290" w:type="dxa"/>
            <w:vAlign w:val="center"/>
          </w:tcPr>
          <w:p w:rsidR="006C3D8E" w:rsidRDefault="007201FE">
            <w:pPr>
              <w:jc w:val="left"/>
            </w:pPr>
            <w:r>
              <w:rPr>
                <w:rFonts w:eastAsiaTheme="minorEastAsia"/>
                <w:color w:val="000000" w:themeColor="text1"/>
                <w:szCs w:val="21"/>
              </w:rPr>
              <w:t>自基金合同生效起至今</w:t>
            </w:r>
          </w:p>
        </w:tc>
        <w:tc>
          <w:tcPr>
            <w:tcW w:w="1291" w:type="dxa"/>
            <w:vAlign w:val="center"/>
          </w:tcPr>
          <w:p w:rsidR="006C3D8E" w:rsidRDefault="007201FE">
            <w:pPr>
              <w:jc w:val="right"/>
            </w:pPr>
            <w:r>
              <w:rPr>
                <w:rFonts w:eastAsiaTheme="minorEastAsia"/>
                <w:color w:val="000000" w:themeColor="text1"/>
                <w:szCs w:val="21"/>
              </w:rPr>
              <w:t>-13.55%</w:t>
            </w:r>
          </w:p>
        </w:tc>
        <w:tc>
          <w:tcPr>
            <w:tcW w:w="1291" w:type="dxa"/>
            <w:vAlign w:val="center"/>
          </w:tcPr>
          <w:p w:rsidR="006C3D8E" w:rsidRDefault="007201FE">
            <w:pPr>
              <w:jc w:val="right"/>
            </w:pPr>
            <w:r>
              <w:rPr>
                <w:rFonts w:eastAsiaTheme="minorEastAsia"/>
                <w:color w:val="000000" w:themeColor="text1"/>
                <w:szCs w:val="21"/>
              </w:rPr>
              <w:t>1.01%</w:t>
            </w:r>
          </w:p>
        </w:tc>
        <w:tc>
          <w:tcPr>
            <w:tcW w:w="1291" w:type="dxa"/>
            <w:vAlign w:val="center"/>
          </w:tcPr>
          <w:p w:rsidR="006C3D8E" w:rsidRDefault="007201FE">
            <w:pPr>
              <w:jc w:val="right"/>
            </w:pPr>
            <w:r>
              <w:rPr>
                <w:rFonts w:eastAsiaTheme="minorEastAsia"/>
                <w:color w:val="000000" w:themeColor="text1"/>
                <w:szCs w:val="21"/>
              </w:rPr>
              <w:t>-18.41%</w:t>
            </w:r>
          </w:p>
        </w:tc>
        <w:tc>
          <w:tcPr>
            <w:tcW w:w="1291" w:type="dxa"/>
            <w:vAlign w:val="center"/>
          </w:tcPr>
          <w:p w:rsidR="006C3D8E" w:rsidRDefault="007201FE">
            <w:pPr>
              <w:jc w:val="right"/>
            </w:pPr>
            <w:r>
              <w:rPr>
                <w:rFonts w:eastAsiaTheme="minorEastAsia"/>
                <w:color w:val="000000" w:themeColor="text1"/>
                <w:szCs w:val="21"/>
              </w:rPr>
              <w:t>0.98%</w:t>
            </w:r>
          </w:p>
        </w:tc>
        <w:tc>
          <w:tcPr>
            <w:tcW w:w="1291" w:type="dxa"/>
            <w:vAlign w:val="center"/>
          </w:tcPr>
          <w:p w:rsidR="006C3D8E" w:rsidRDefault="007201FE">
            <w:pPr>
              <w:jc w:val="right"/>
            </w:pPr>
            <w:r>
              <w:rPr>
                <w:rFonts w:eastAsiaTheme="minorEastAsia"/>
                <w:color w:val="000000" w:themeColor="text1"/>
                <w:szCs w:val="21"/>
              </w:rPr>
              <w:t>4.86%</w:t>
            </w:r>
          </w:p>
        </w:tc>
        <w:tc>
          <w:tcPr>
            <w:tcW w:w="1291" w:type="dxa"/>
            <w:vAlign w:val="center"/>
          </w:tcPr>
          <w:p w:rsidR="006C3D8E" w:rsidRDefault="007201FE">
            <w:pPr>
              <w:jc w:val="right"/>
            </w:pPr>
            <w:r>
              <w:rPr>
                <w:rFonts w:eastAsiaTheme="minorEastAsia"/>
                <w:color w:val="000000" w:themeColor="text1"/>
                <w:szCs w:val="21"/>
              </w:rPr>
              <w:t>0.03%</w:t>
            </w:r>
          </w:p>
        </w:tc>
      </w:tr>
    </w:tbl>
    <w:p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上投摩根标普港股通低波红利指数型证券投资基金</w:t>
      </w:r>
    </w:p>
    <w:p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(2017</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4</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2021</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6</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30</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．上投摩根标普港股通低波红利指数</w:t>
      </w:r>
      <w:r w:rsidRPr="00EE3DBC">
        <w:rPr>
          <w:rFonts w:eastAsiaTheme="minorEastAsia"/>
          <w:color w:val="000000" w:themeColor="text1"/>
          <w:szCs w:val="21"/>
        </w:rPr>
        <w:t>A</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7CC319B6" wp14:editId="63BE4B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C3D8E" w:rsidRDefault="007201F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．上投摩根标普港股通低波红利指数</w:t>
      </w:r>
      <w:r w:rsidRPr="00EE3DBC">
        <w:rPr>
          <w:rFonts w:eastAsiaTheme="minorEastAsia"/>
          <w:color w:val="000000" w:themeColor="text1"/>
          <w:szCs w:val="21"/>
        </w:rPr>
        <w:t>C</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lastRenderedPageBreak/>
        <w:drawing>
          <wp:inline distT="0" distB="0" distL="0" distR="0" wp14:anchorId="1663A5C0" wp14:editId="07DA835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C3D8E" w:rsidRDefault="007201F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tabs>
          <w:tab w:val="left" w:pos="1800"/>
        </w:tabs>
        <w:spacing w:line="288" w:lineRule="auto"/>
        <w:rPr>
          <w:rFonts w:eastAsiaTheme="minorEastAsia"/>
          <w:color w:val="000000" w:themeColor="text1"/>
          <w:szCs w:val="21"/>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trPr>
          <w:cantSplit/>
        </w:trPr>
        <w:tc>
          <w:tcPr>
            <w:tcW w:w="952"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任本基金的基金经理期限</w:t>
            </w:r>
          </w:p>
        </w:tc>
        <w:tc>
          <w:tcPr>
            <w:tcW w:w="1254"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trPr>
          <w:cantSplit/>
        </w:trPr>
        <w:tc>
          <w:tcPr>
            <w:tcW w:w="952"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6C3D8E">
        <w:tc>
          <w:tcPr>
            <w:tcW w:w="952" w:type="dxa"/>
            <w:vAlign w:val="center"/>
          </w:tcPr>
          <w:p w:rsidR="006C3D8E" w:rsidRDefault="007201FE">
            <w:pPr>
              <w:jc w:val="center"/>
            </w:pPr>
            <w:r>
              <w:rPr>
                <w:rFonts w:eastAsiaTheme="minorEastAsia"/>
                <w:color w:val="000000" w:themeColor="text1"/>
                <w:sz w:val="24"/>
              </w:rPr>
              <w:t>张军</w:t>
            </w:r>
          </w:p>
        </w:tc>
        <w:tc>
          <w:tcPr>
            <w:tcW w:w="930" w:type="dxa"/>
            <w:vAlign w:val="center"/>
          </w:tcPr>
          <w:p w:rsidR="006C3D8E" w:rsidRDefault="007201FE">
            <w:pPr>
              <w:jc w:val="center"/>
            </w:pPr>
            <w:r>
              <w:rPr>
                <w:rFonts w:eastAsiaTheme="minorEastAsia"/>
                <w:color w:val="000000" w:themeColor="text1"/>
                <w:sz w:val="24"/>
              </w:rPr>
              <w:t>本基金基金经理、投资董事</w:t>
            </w:r>
          </w:p>
        </w:tc>
        <w:tc>
          <w:tcPr>
            <w:tcW w:w="1210" w:type="dxa"/>
            <w:vAlign w:val="center"/>
          </w:tcPr>
          <w:p w:rsidR="006C3D8E" w:rsidRDefault="007201FE">
            <w:pPr>
              <w:jc w:val="center"/>
            </w:pPr>
            <w:r>
              <w:rPr>
                <w:rFonts w:eastAsiaTheme="minorEastAsia"/>
                <w:color w:val="000000" w:themeColor="text1"/>
                <w:sz w:val="24"/>
              </w:rPr>
              <w:t>2021-06-08</w:t>
            </w:r>
          </w:p>
        </w:tc>
        <w:tc>
          <w:tcPr>
            <w:tcW w:w="1309" w:type="dxa"/>
            <w:vAlign w:val="center"/>
          </w:tcPr>
          <w:p w:rsidR="006C3D8E" w:rsidRDefault="007201FE">
            <w:pPr>
              <w:jc w:val="center"/>
            </w:pPr>
            <w:r>
              <w:rPr>
                <w:rFonts w:eastAsiaTheme="minorEastAsia"/>
                <w:color w:val="000000" w:themeColor="text1"/>
                <w:sz w:val="24"/>
              </w:rPr>
              <w:t>-</w:t>
            </w:r>
          </w:p>
        </w:tc>
        <w:tc>
          <w:tcPr>
            <w:tcW w:w="1254" w:type="dxa"/>
            <w:vAlign w:val="center"/>
          </w:tcPr>
          <w:p w:rsidR="006C3D8E" w:rsidRDefault="007201FE">
            <w:pPr>
              <w:jc w:val="center"/>
            </w:pPr>
            <w:r>
              <w:rPr>
                <w:rFonts w:eastAsiaTheme="minorEastAsia"/>
                <w:color w:val="000000" w:themeColor="text1"/>
                <w:sz w:val="24"/>
              </w:rPr>
              <w:t>17</w:t>
            </w:r>
            <w:r>
              <w:rPr>
                <w:rFonts w:eastAsiaTheme="minorEastAsia"/>
                <w:color w:val="000000" w:themeColor="text1"/>
                <w:sz w:val="24"/>
              </w:rPr>
              <w:t>年（金融领域从业经验</w:t>
            </w:r>
            <w:r>
              <w:rPr>
                <w:rFonts w:eastAsiaTheme="minorEastAsia"/>
                <w:color w:val="000000" w:themeColor="text1"/>
                <w:sz w:val="24"/>
              </w:rPr>
              <w:t>28</w:t>
            </w:r>
            <w:r>
              <w:rPr>
                <w:rFonts w:eastAsiaTheme="minorEastAsia"/>
                <w:color w:val="000000" w:themeColor="text1"/>
                <w:sz w:val="24"/>
              </w:rPr>
              <w:t>年）</w:t>
            </w:r>
          </w:p>
        </w:tc>
        <w:tc>
          <w:tcPr>
            <w:tcW w:w="3276" w:type="dxa"/>
            <w:vAlign w:val="center"/>
          </w:tcPr>
          <w:p w:rsidR="006C3D8E" w:rsidRDefault="007201FE">
            <w:r>
              <w:rPr>
                <w:rFonts w:eastAsiaTheme="minorEastAsia"/>
                <w:color w:val="000000" w:themeColor="text1"/>
                <w:sz w:val="24"/>
              </w:rPr>
              <w:t>基金经理张军先生，毕业于上海复旦大学。曾担任上海国际信托有限公司国际业务部经理，交易部经理。</w:t>
            </w:r>
            <w:r>
              <w:rPr>
                <w:rFonts w:eastAsiaTheme="minorEastAsia"/>
                <w:color w:val="000000" w:themeColor="text1"/>
                <w:sz w:val="24"/>
              </w:rPr>
              <w:t>2004</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月加入上投摩根基金管理有限公司，先后担任交易部总监、投资经理、基金经理、投资组合管理部总监、投资绩效评估总监、国际投资部总监、组合基金投资部总监，现担任投资董事兼高级基金经理。自</w:t>
            </w:r>
            <w:r>
              <w:rPr>
                <w:rFonts w:eastAsiaTheme="minorEastAsia"/>
                <w:color w:val="000000" w:themeColor="text1"/>
                <w:sz w:val="24"/>
              </w:rPr>
              <w:t>2008</w:t>
            </w:r>
            <w:r>
              <w:rPr>
                <w:rFonts w:eastAsiaTheme="minorEastAsia"/>
                <w:color w:val="000000" w:themeColor="text1"/>
                <w:sz w:val="24"/>
              </w:rPr>
              <w:t>年</w:t>
            </w:r>
            <w:r>
              <w:rPr>
                <w:rFonts w:eastAsiaTheme="minorEastAsia"/>
                <w:color w:val="000000" w:themeColor="text1"/>
                <w:sz w:val="24"/>
              </w:rPr>
              <w:t>3</w:t>
            </w:r>
            <w:r>
              <w:rPr>
                <w:rFonts w:eastAsiaTheme="minorEastAsia"/>
                <w:color w:val="000000" w:themeColor="text1"/>
                <w:sz w:val="24"/>
              </w:rPr>
              <w:t>月起担任上投摩根亚太优势混合型证券投资基</w:t>
            </w:r>
            <w:r>
              <w:rPr>
                <w:rFonts w:eastAsiaTheme="minorEastAsia"/>
                <w:color w:val="000000" w:themeColor="text1"/>
                <w:sz w:val="24"/>
              </w:rPr>
              <w:lastRenderedPageBreak/>
              <w:t>金基金经理，自</w:t>
            </w:r>
            <w:r>
              <w:rPr>
                <w:rFonts w:eastAsiaTheme="minorEastAsia"/>
                <w:color w:val="000000" w:themeColor="text1"/>
                <w:sz w:val="24"/>
              </w:rPr>
              <w:t>2012</w:t>
            </w:r>
            <w:r>
              <w:rPr>
                <w:rFonts w:eastAsiaTheme="minorEastAsia"/>
                <w:color w:val="000000" w:themeColor="text1"/>
                <w:sz w:val="24"/>
              </w:rPr>
              <w:t>年</w:t>
            </w:r>
            <w:r>
              <w:rPr>
                <w:rFonts w:eastAsiaTheme="minorEastAsia"/>
                <w:color w:val="000000" w:themeColor="text1"/>
                <w:sz w:val="24"/>
              </w:rPr>
              <w:t>3</w:t>
            </w:r>
            <w:r>
              <w:rPr>
                <w:rFonts w:eastAsiaTheme="minorEastAsia"/>
                <w:color w:val="000000" w:themeColor="text1"/>
                <w:sz w:val="24"/>
              </w:rPr>
              <w:t>月起同时担任上投摩根全球天然资源混合型证券投资基金基金经理，自</w:t>
            </w:r>
            <w:r>
              <w:rPr>
                <w:rFonts w:eastAsiaTheme="minorEastAsia"/>
                <w:color w:val="000000" w:themeColor="text1"/>
                <w:sz w:val="24"/>
              </w:rPr>
              <w:t>2016</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月起同时担任上投摩根全球多元配置证券投资基金基金经理，自</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月起同时担任上投摩根欧洲动力策略股票型证券投资基金（</w:t>
            </w:r>
            <w:r>
              <w:rPr>
                <w:rFonts w:eastAsiaTheme="minorEastAsia"/>
                <w:color w:val="000000" w:themeColor="text1"/>
                <w:sz w:val="24"/>
              </w:rPr>
              <w:t>QDII</w:t>
            </w:r>
            <w:r>
              <w:rPr>
                <w:rFonts w:eastAsiaTheme="minorEastAsia"/>
                <w:color w:val="000000" w:themeColor="text1"/>
                <w:sz w:val="24"/>
              </w:rPr>
              <w:t>）基金经理，自</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月起同时担任上投摩根日本精选股票型证券投资基金（</w:t>
            </w:r>
            <w:r>
              <w:rPr>
                <w:rFonts w:eastAsiaTheme="minorEastAsia"/>
                <w:color w:val="000000" w:themeColor="text1"/>
                <w:sz w:val="24"/>
              </w:rPr>
              <w:t>QDII</w:t>
            </w:r>
            <w:r>
              <w:rPr>
                <w:rFonts w:eastAsiaTheme="minorEastAsia"/>
                <w:color w:val="000000" w:themeColor="text1"/>
                <w:sz w:val="24"/>
              </w:rPr>
              <w:t>）基金经理，自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月起同时担任上投摩根富时发达市场</w:t>
            </w:r>
            <w:r>
              <w:rPr>
                <w:rFonts w:eastAsiaTheme="minorEastAsia"/>
                <w:color w:val="000000" w:themeColor="text1"/>
                <w:sz w:val="24"/>
              </w:rPr>
              <w:t>REITs</w:t>
            </w:r>
            <w:r>
              <w:rPr>
                <w:rFonts w:eastAsiaTheme="minorEastAsia"/>
                <w:color w:val="000000" w:themeColor="text1"/>
                <w:sz w:val="24"/>
              </w:rPr>
              <w:t>指数型证券投资基金（</w:t>
            </w:r>
            <w:r>
              <w:rPr>
                <w:rFonts w:eastAsiaTheme="minorEastAsia"/>
                <w:color w:val="000000" w:themeColor="text1"/>
                <w:sz w:val="24"/>
              </w:rPr>
              <w:t>QDII</w:t>
            </w:r>
            <w:r>
              <w:rPr>
                <w:rFonts w:eastAsiaTheme="minorEastAsia"/>
                <w:color w:val="000000" w:themeColor="text1"/>
                <w:sz w:val="24"/>
              </w:rPr>
              <w:t>）基金经理，自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月起同时担任上投摩根全球新兴市场混合型证券投资基金及上投摩根标普港股通低波红利指数型证券投资基金基金经理。</w:t>
            </w:r>
          </w:p>
        </w:tc>
      </w:tr>
      <w:tr w:rsidR="006C3D8E">
        <w:tc>
          <w:tcPr>
            <w:tcW w:w="952" w:type="dxa"/>
            <w:vAlign w:val="center"/>
          </w:tcPr>
          <w:p w:rsidR="006C3D8E" w:rsidRDefault="007201FE">
            <w:pPr>
              <w:jc w:val="center"/>
            </w:pPr>
            <w:r>
              <w:rPr>
                <w:rFonts w:eastAsiaTheme="minorEastAsia"/>
                <w:color w:val="000000" w:themeColor="text1"/>
                <w:sz w:val="24"/>
              </w:rPr>
              <w:lastRenderedPageBreak/>
              <w:t>张淑婉</w:t>
            </w:r>
          </w:p>
        </w:tc>
        <w:tc>
          <w:tcPr>
            <w:tcW w:w="930" w:type="dxa"/>
            <w:vAlign w:val="center"/>
          </w:tcPr>
          <w:p w:rsidR="006C3D8E" w:rsidRDefault="007201FE">
            <w:pPr>
              <w:jc w:val="center"/>
            </w:pPr>
            <w:r>
              <w:rPr>
                <w:rFonts w:eastAsiaTheme="minorEastAsia"/>
                <w:color w:val="000000" w:themeColor="text1"/>
                <w:sz w:val="24"/>
              </w:rPr>
              <w:t>本基金基金经理</w:t>
            </w:r>
          </w:p>
        </w:tc>
        <w:tc>
          <w:tcPr>
            <w:tcW w:w="1210" w:type="dxa"/>
            <w:vAlign w:val="center"/>
          </w:tcPr>
          <w:p w:rsidR="006C3D8E" w:rsidRDefault="007201FE">
            <w:pPr>
              <w:jc w:val="center"/>
            </w:pPr>
            <w:r>
              <w:rPr>
                <w:rFonts w:eastAsiaTheme="minorEastAsia"/>
                <w:color w:val="000000" w:themeColor="text1"/>
                <w:sz w:val="24"/>
              </w:rPr>
              <w:t>2017-12-04</w:t>
            </w:r>
          </w:p>
        </w:tc>
        <w:tc>
          <w:tcPr>
            <w:tcW w:w="1309" w:type="dxa"/>
            <w:vAlign w:val="center"/>
          </w:tcPr>
          <w:p w:rsidR="006C3D8E" w:rsidRDefault="007201FE">
            <w:pPr>
              <w:jc w:val="center"/>
            </w:pPr>
            <w:r>
              <w:rPr>
                <w:rFonts w:eastAsiaTheme="minorEastAsia"/>
                <w:color w:val="000000" w:themeColor="text1"/>
                <w:sz w:val="24"/>
              </w:rPr>
              <w:t>2021-06-08</w:t>
            </w:r>
          </w:p>
        </w:tc>
        <w:tc>
          <w:tcPr>
            <w:tcW w:w="1254" w:type="dxa"/>
            <w:vAlign w:val="center"/>
          </w:tcPr>
          <w:p w:rsidR="006C3D8E" w:rsidRDefault="007201FE">
            <w:pPr>
              <w:jc w:val="center"/>
            </w:pPr>
            <w:r>
              <w:rPr>
                <w:rFonts w:eastAsiaTheme="minorEastAsia"/>
                <w:color w:val="000000" w:themeColor="text1"/>
                <w:sz w:val="24"/>
              </w:rPr>
              <w:t>30</w:t>
            </w:r>
            <w:r>
              <w:rPr>
                <w:rFonts w:eastAsiaTheme="minorEastAsia"/>
                <w:color w:val="000000" w:themeColor="text1"/>
                <w:sz w:val="24"/>
              </w:rPr>
              <w:t>年</w:t>
            </w:r>
          </w:p>
        </w:tc>
        <w:tc>
          <w:tcPr>
            <w:tcW w:w="3276" w:type="dxa"/>
            <w:vAlign w:val="center"/>
          </w:tcPr>
          <w:p w:rsidR="006C3D8E" w:rsidRDefault="007201FE">
            <w:r>
              <w:rPr>
                <w:rFonts w:eastAsiaTheme="minorEastAsia"/>
                <w:color w:val="000000" w:themeColor="text1"/>
                <w:sz w:val="24"/>
              </w:rPr>
              <w:t>张淑婉女士，台湾大学财务金融研究所</w:t>
            </w:r>
            <w:r>
              <w:rPr>
                <w:rFonts w:eastAsiaTheme="minorEastAsia"/>
                <w:color w:val="000000" w:themeColor="text1"/>
                <w:sz w:val="24"/>
              </w:rPr>
              <w:t>MBA</w:t>
            </w:r>
            <w:r>
              <w:rPr>
                <w:rFonts w:eastAsiaTheme="minorEastAsia"/>
                <w:color w:val="000000" w:themeColor="text1"/>
                <w:sz w:val="24"/>
              </w:rPr>
              <w:t>，自</w:t>
            </w:r>
            <w:r>
              <w:rPr>
                <w:rFonts w:eastAsiaTheme="minorEastAsia"/>
                <w:color w:val="000000" w:themeColor="text1"/>
                <w:sz w:val="24"/>
              </w:rPr>
              <w:t>1987</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月至</w:t>
            </w:r>
            <w:r>
              <w:rPr>
                <w:rFonts w:eastAsiaTheme="minorEastAsia"/>
                <w:color w:val="000000" w:themeColor="text1"/>
                <w:sz w:val="24"/>
              </w:rPr>
              <w:t>1989</w:t>
            </w:r>
            <w:r>
              <w:rPr>
                <w:rFonts w:eastAsiaTheme="minorEastAsia"/>
                <w:color w:val="000000" w:themeColor="text1"/>
                <w:sz w:val="24"/>
              </w:rPr>
              <w:t>年</w:t>
            </w:r>
            <w:r>
              <w:rPr>
                <w:rFonts w:eastAsiaTheme="minorEastAsia"/>
                <w:color w:val="000000" w:themeColor="text1"/>
                <w:sz w:val="24"/>
              </w:rPr>
              <w:t>2</w:t>
            </w:r>
            <w:r>
              <w:rPr>
                <w:rFonts w:eastAsiaTheme="minorEastAsia"/>
                <w:color w:val="000000" w:themeColor="text1"/>
                <w:sz w:val="24"/>
              </w:rPr>
              <w:t>月，在东盟成衣股份有限公司担任研究部专员；自</w:t>
            </w:r>
            <w:r>
              <w:rPr>
                <w:rFonts w:eastAsiaTheme="minorEastAsia"/>
                <w:color w:val="000000" w:themeColor="text1"/>
                <w:sz w:val="24"/>
              </w:rPr>
              <w:t>1989</w:t>
            </w:r>
            <w:r>
              <w:rPr>
                <w:rFonts w:eastAsiaTheme="minorEastAsia"/>
                <w:color w:val="000000" w:themeColor="text1"/>
                <w:sz w:val="24"/>
              </w:rPr>
              <w:t>年</w:t>
            </w:r>
            <w:r>
              <w:rPr>
                <w:rFonts w:eastAsiaTheme="minorEastAsia"/>
                <w:color w:val="000000" w:themeColor="text1"/>
                <w:sz w:val="24"/>
              </w:rPr>
              <w:t>3</w:t>
            </w:r>
            <w:r>
              <w:rPr>
                <w:rFonts w:eastAsiaTheme="minorEastAsia"/>
                <w:color w:val="000000" w:themeColor="text1"/>
                <w:sz w:val="24"/>
              </w:rPr>
              <w:t>月至</w:t>
            </w:r>
            <w:r>
              <w:rPr>
                <w:rFonts w:eastAsiaTheme="minorEastAsia"/>
                <w:color w:val="000000" w:themeColor="text1"/>
                <w:sz w:val="24"/>
              </w:rPr>
              <w:t>1991</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月，在富隆证券股份有限公司担任投行部专员；自</w:t>
            </w:r>
            <w:r>
              <w:rPr>
                <w:rFonts w:eastAsiaTheme="minorEastAsia"/>
                <w:color w:val="000000" w:themeColor="text1"/>
                <w:sz w:val="24"/>
              </w:rPr>
              <w:t>1993</w:t>
            </w:r>
            <w:r>
              <w:rPr>
                <w:rFonts w:eastAsiaTheme="minorEastAsia"/>
                <w:color w:val="000000" w:themeColor="text1"/>
                <w:sz w:val="24"/>
              </w:rPr>
              <w:t>年</w:t>
            </w:r>
            <w:r>
              <w:rPr>
                <w:rFonts w:eastAsiaTheme="minorEastAsia"/>
                <w:color w:val="000000" w:themeColor="text1"/>
                <w:sz w:val="24"/>
              </w:rPr>
              <w:t>3</w:t>
            </w:r>
            <w:r>
              <w:rPr>
                <w:rFonts w:eastAsiaTheme="minorEastAsia"/>
                <w:color w:val="000000" w:themeColor="text1"/>
                <w:sz w:val="24"/>
              </w:rPr>
              <w:t>月至</w:t>
            </w:r>
            <w:r>
              <w:rPr>
                <w:rFonts w:eastAsiaTheme="minorEastAsia"/>
                <w:color w:val="000000" w:themeColor="text1"/>
                <w:sz w:val="24"/>
              </w:rPr>
              <w:t>1998</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月，在光华证券投资信托股份有限公司担任研究部副理；自</w:t>
            </w:r>
            <w:r>
              <w:rPr>
                <w:rFonts w:eastAsiaTheme="minorEastAsia"/>
                <w:color w:val="000000" w:themeColor="text1"/>
                <w:sz w:val="24"/>
              </w:rPr>
              <w:t>1998</w:t>
            </w:r>
            <w:r>
              <w:rPr>
                <w:rFonts w:eastAsiaTheme="minorEastAsia"/>
                <w:color w:val="000000" w:themeColor="text1"/>
                <w:sz w:val="24"/>
              </w:rPr>
              <w:t>年</w:t>
            </w:r>
            <w:r>
              <w:rPr>
                <w:rFonts w:eastAsiaTheme="minorEastAsia"/>
                <w:color w:val="000000" w:themeColor="text1"/>
                <w:sz w:val="24"/>
              </w:rPr>
              <w:t>2</w:t>
            </w:r>
            <w:r>
              <w:rPr>
                <w:rFonts w:eastAsiaTheme="minorEastAsia"/>
                <w:color w:val="000000" w:themeColor="text1"/>
                <w:sz w:val="24"/>
              </w:rPr>
              <w:t>月至</w:t>
            </w:r>
            <w:r>
              <w:rPr>
                <w:rFonts w:eastAsiaTheme="minorEastAsia"/>
                <w:color w:val="000000" w:themeColor="text1"/>
                <w:sz w:val="24"/>
              </w:rPr>
              <w:t>2006</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月，在摩根富林明证券信托股份有限公司担任副总经理；自</w:t>
            </w:r>
            <w:r>
              <w:rPr>
                <w:rFonts w:eastAsiaTheme="minorEastAsia"/>
                <w:color w:val="000000" w:themeColor="text1"/>
                <w:sz w:val="24"/>
              </w:rPr>
              <w:t>2007</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月至</w:t>
            </w:r>
            <w:r>
              <w:rPr>
                <w:rFonts w:eastAsiaTheme="minorEastAsia"/>
                <w:color w:val="000000" w:themeColor="text1"/>
                <w:sz w:val="24"/>
              </w:rPr>
              <w:t>2009</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月，在德意志亚洲资产管理公司担任副总经理；自</w:t>
            </w:r>
            <w:r>
              <w:rPr>
                <w:rFonts w:eastAsiaTheme="minorEastAsia"/>
                <w:color w:val="000000" w:themeColor="text1"/>
                <w:sz w:val="24"/>
              </w:rPr>
              <w:t>2009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月至</w:t>
            </w:r>
            <w:r>
              <w:rPr>
                <w:rFonts w:eastAsiaTheme="minorEastAsia"/>
                <w:color w:val="000000" w:themeColor="text1"/>
                <w:sz w:val="24"/>
              </w:rPr>
              <w:t>2014</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月，在嘉实国际资产管理公司担任副总经理；自</w:t>
            </w:r>
            <w:r>
              <w:rPr>
                <w:rFonts w:eastAsiaTheme="minorEastAsia"/>
                <w:color w:val="000000" w:themeColor="text1"/>
                <w:sz w:val="24"/>
              </w:rPr>
              <w:t>2014</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月至</w:t>
            </w:r>
            <w:r>
              <w:rPr>
                <w:rFonts w:eastAsiaTheme="minorEastAsia"/>
                <w:color w:val="000000" w:themeColor="text1"/>
                <w:sz w:val="24"/>
              </w:rPr>
              <w:t>2016</w:t>
            </w:r>
            <w:r>
              <w:rPr>
                <w:rFonts w:eastAsiaTheme="minorEastAsia"/>
                <w:color w:val="000000" w:themeColor="text1"/>
                <w:sz w:val="24"/>
              </w:rPr>
              <w:t>年</w:t>
            </w:r>
            <w:r>
              <w:rPr>
                <w:rFonts w:eastAsiaTheme="minorEastAsia"/>
                <w:color w:val="000000" w:themeColor="text1"/>
                <w:sz w:val="24"/>
              </w:rPr>
              <w:t>8</w:t>
            </w:r>
            <w:r>
              <w:rPr>
                <w:rFonts w:eastAsiaTheme="minorEastAsia"/>
                <w:color w:val="000000" w:themeColor="text1"/>
                <w:sz w:val="24"/>
              </w:rPr>
              <w:t>月，在上投摩根资产管理（香港）有限公司担任投资总监。自</w:t>
            </w:r>
            <w:r>
              <w:rPr>
                <w:rFonts w:eastAsiaTheme="minorEastAsia"/>
                <w:color w:val="000000" w:themeColor="text1"/>
                <w:sz w:val="24"/>
              </w:rPr>
              <w:t>2016</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月起加入上投摩根基金管理有限公司，自</w:t>
            </w:r>
            <w:r>
              <w:rPr>
                <w:rFonts w:eastAsiaTheme="minorEastAsia"/>
                <w:color w:val="000000" w:themeColor="text1"/>
                <w:sz w:val="24"/>
              </w:rPr>
              <w:t>2016</w:t>
            </w:r>
            <w:r>
              <w:rPr>
                <w:rFonts w:eastAsiaTheme="minorEastAsia"/>
                <w:color w:val="000000" w:themeColor="text1"/>
                <w:sz w:val="24"/>
              </w:rPr>
              <w:lastRenderedPageBreak/>
              <w:t>年</w:t>
            </w:r>
            <w:r>
              <w:rPr>
                <w:rFonts w:eastAsiaTheme="minorEastAsia"/>
                <w:color w:val="000000" w:themeColor="text1"/>
                <w:sz w:val="24"/>
              </w:rPr>
              <w:t>12</w:t>
            </w:r>
            <w:r>
              <w:rPr>
                <w:rFonts w:eastAsiaTheme="minorEastAsia"/>
                <w:color w:val="000000" w:themeColor="text1"/>
                <w:sz w:val="24"/>
              </w:rPr>
              <w:t>月至</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月同时担任上投摩根亚太优势混合型证券投资基金基金经理及上投摩根全球新兴市场混合型证券投资基金基金经理，自</w:t>
            </w:r>
            <w:r>
              <w:rPr>
                <w:rFonts w:eastAsiaTheme="minorEastAsia"/>
                <w:color w:val="000000" w:themeColor="text1"/>
                <w:sz w:val="24"/>
              </w:rPr>
              <w:t>2017</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月至</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月同时担任上投摩根标普港股通低波红利指数型证券投资基金基金经理，自</w:t>
            </w:r>
            <w:r>
              <w:rPr>
                <w:rFonts w:eastAsiaTheme="minorEastAsia"/>
                <w:color w:val="000000" w:themeColor="text1"/>
                <w:sz w:val="24"/>
              </w:rPr>
              <w:t>2018</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月至</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6</w:t>
            </w:r>
            <w:r>
              <w:rPr>
                <w:rFonts w:eastAsiaTheme="minorEastAsia"/>
                <w:color w:val="000000" w:themeColor="text1"/>
                <w:sz w:val="24"/>
              </w:rPr>
              <w:t>月同时担任上投摩根香港精选港股通混合型证券投资基金基金经理。</w:t>
            </w:r>
          </w:p>
        </w:tc>
      </w:tr>
      <w:tr w:rsidR="006C3D8E">
        <w:tc>
          <w:tcPr>
            <w:tcW w:w="952" w:type="dxa"/>
            <w:vAlign w:val="center"/>
          </w:tcPr>
          <w:p w:rsidR="006C3D8E" w:rsidRDefault="007201FE">
            <w:pPr>
              <w:jc w:val="center"/>
            </w:pPr>
            <w:r>
              <w:rPr>
                <w:rFonts w:eastAsiaTheme="minorEastAsia"/>
                <w:color w:val="000000" w:themeColor="text1"/>
                <w:sz w:val="24"/>
              </w:rPr>
              <w:lastRenderedPageBreak/>
              <w:t>胡迪</w:t>
            </w:r>
          </w:p>
        </w:tc>
        <w:tc>
          <w:tcPr>
            <w:tcW w:w="930" w:type="dxa"/>
            <w:vAlign w:val="center"/>
          </w:tcPr>
          <w:p w:rsidR="006C3D8E" w:rsidRDefault="007201FE">
            <w:pPr>
              <w:jc w:val="center"/>
            </w:pPr>
            <w:r>
              <w:rPr>
                <w:rFonts w:eastAsiaTheme="minorEastAsia"/>
                <w:color w:val="000000" w:themeColor="text1"/>
                <w:sz w:val="24"/>
              </w:rPr>
              <w:t>本基金基金经理、指数及量化投资部总监</w:t>
            </w:r>
          </w:p>
        </w:tc>
        <w:tc>
          <w:tcPr>
            <w:tcW w:w="1210" w:type="dxa"/>
            <w:vAlign w:val="center"/>
          </w:tcPr>
          <w:p w:rsidR="006C3D8E" w:rsidRDefault="007201FE">
            <w:pPr>
              <w:jc w:val="center"/>
            </w:pPr>
            <w:r>
              <w:rPr>
                <w:rFonts w:eastAsiaTheme="minorEastAsia"/>
                <w:color w:val="000000" w:themeColor="text1"/>
                <w:sz w:val="24"/>
              </w:rPr>
              <w:t>2021-01-07</w:t>
            </w:r>
          </w:p>
        </w:tc>
        <w:tc>
          <w:tcPr>
            <w:tcW w:w="1309" w:type="dxa"/>
            <w:vAlign w:val="center"/>
          </w:tcPr>
          <w:p w:rsidR="006C3D8E" w:rsidRDefault="007201FE">
            <w:pPr>
              <w:jc w:val="center"/>
            </w:pPr>
            <w:r>
              <w:rPr>
                <w:rFonts w:eastAsiaTheme="minorEastAsia"/>
                <w:color w:val="000000" w:themeColor="text1"/>
                <w:sz w:val="24"/>
              </w:rPr>
              <w:t>-</w:t>
            </w:r>
          </w:p>
        </w:tc>
        <w:tc>
          <w:tcPr>
            <w:tcW w:w="1254" w:type="dxa"/>
            <w:vAlign w:val="center"/>
          </w:tcPr>
          <w:p w:rsidR="006C3D8E" w:rsidRDefault="007201FE">
            <w:pPr>
              <w:jc w:val="center"/>
            </w:pPr>
            <w:r>
              <w:rPr>
                <w:rFonts w:eastAsiaTheme="minorEastAsia"/>
                <w:color w:val="000000" w:themeColor="text1"/>
                <w:sz w:val="24"/>
              </w:rPr>
              <w:t>13</w:t>
            </w:r>
            <w:r>
              <w:rPr>
                <w:rFonts w:eastAsiaTheme="minorEastAsia"/>
                <w:color w:val="000000" w:themeColor="text1"/>
                <w:sz w:val="24"/>
              </w:rPr>
              <w:t>年</w:t>
            </w:r>
          </w:p>
        </w:tc>
        <w:tc>
          <w:tcPr>
            <w:tcW w:w="3276" w:type="dxa"/>
            <w:vAlign w:val="center"/>
          </w:tcPr>
          <w:p w:rsidR="006C3D8E" w:rsidRDefault="007201FE">
            <w:r>
              <w:rPr>
                <w:rFonts w:eastAsiaTheme="minorEastAsia"/>
                <w:color w:val="000000" w:themeColor="text1"/>
                <w:sz w:val="24"/>
              </w:rPr>
              <w:t>胡迪女士，</w:t>
            </w:r>
            <w:r>
              <w:rPr>
                <w:rFonts w:eastAsiaTheme="minorEastAsia"/>
                <w:color w:val="000000" w:themeColor="text1"/>
                <w:sz w:val="24"/>
              </w:rPr>
              <w:t>CFA</w:t>
            </w:r>
            <w:r>
              <w:rPr>
                <w:rFonts w:eastAsiaTheme="minorEastAsia"/>
                <w:color w:val="000000" w:themeColor="text1"/>
                <w:sz w:val="24"/>
              </w:rPr>
              <w:t>，</w:t>
            </w:r>
            <w:r>
              <w:rPr>
                <w:rFonts w:eastAsiaTheme="minorEastAsia"/>
                <w:color w:val="000000" w:themeColor="text1"/>
                <w:sz w:val="24"/>
              </w:rPr>
              <w:t>FRM</w:t>
            </w:r>
            <w:r>
              <w:rPr>
                <w:rFonts w:eastAsiaTheme="minorEastAsia"/>
                <w:color w:val="000000" w:themeColor="text1"/>
                <w:sz w:val="24"/>
              </w:rPr>
              <w:t>，美国哥伦比亚大学金融工程硕士，现任指数及量化投资部总监。胡迪女士自</w:t>
            </w:r>
            <w:r>
              <w:rPr>
                <w:rFonts w:eastAsiaTheme="minorEastAsia"/>
                <w:color w:val="000000" w:themeColor="text1"/>
                <w:sz w:val="24"/>
              </w:rPr>
              <w:t>2008</w:t>
            </w:r>
            <w:r>
              <w:rPr>
                <w:rFonts w:eastAsiaTheme="minorEastAsia"/>
                <w:color w:val="000000" w:themeColor="text1"/>
                <w:sz w:val="24"/>
              </w:rPr>
              <w:t>年</w:t>
            </w:r>
            <w:r>
              <w:rPr>
                <w:rFonts w:eastAsiaTheme="minorEastAsia"/>
                <w:color w:val="000000" w:themeColor="text1"/>
                <w:sz w:val="24"/>
              </w:rPr>
              <w:t>2</w:t>
            </w:r>
            <w:r>
              <w:rPr>
                <w:rFonts w:eastAsiaTheme="minorEastAsia"/>
                <w:color w:val="000000" w:themeColor="text1"/>
                <w:sz w:val="24"/>
              </w:rPr>
              <w:t>月至</w:t>
            </w:r>
            <w:r>
              <w:rPr>
                <w:rFonts w:eastAsiaTheme="minorEastAsia"/>
                <w:color w:val="000000" w:themeColor="text1"/>
                <w:sz w:val="24"/>
              </w:rPr>
              <w:t>2009</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月在纽约美林证券担任全球资产管理部高级经理；自</w:t>
            </w:r>
            <w:r>
              <w:rPr>
                <w:rFonts w:eastAsiaTheme="minorEastAsia"/>
                <w:color w:val="000000" w:themeColor="text1"/>
                <w:sz w:val="24"/>
              </w:rPr>
              <w:t>2010</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月至</w:t>
            </w:r>
            <w:r>
              <w:rPr>
                <w:rFonts w:eastAsiaTheme="minorEastAsia"/>
                <w:color w:val="000000" w:themeColor="text1"/>
                <w:sz w:val="24"/>
              </w:rPr>
              <w:t>2012</w:t>
            </w:r>
            <w:r>
              <w:rPr>
                <w:rFonts w:eastAsiaTheme="minorEastAsia"/>
                <w:color w:val="000000" w:themeColor="text1"/>
                <w:sz w:val="24"/>
              </w:rPr>
              <w:t>年</w:t>
            </w:r>
            <w:r>
              <w:rPr>
                <w:rFonts w:eastAsiaTheme="minorEastAsia"/>
                <w:color w:val="000000" w:themeColor="text1"/>
                <w:sz w:val="24"/>
              </w:rPr>
              <w:t>10</w:t>
            </w:r>
            <w:r>
              <w:rPr>
                <w:rFonts w:eastAsiaTheme="minorEastAsia"/>
                <w:color w:val="000000" w:themeColor="text1"/>
                <w:sz w:val="24"/>
              </w:rPr>
              <w:t>月在纽约标准普尔担任量化投资主管；自</w:t>
            </w:r>
            <w:r>
              <w:rPr>
                <w:rFonts w:eastAsiaTheme="minorEastAsia"/>
                <w:color w:val="000000" w:themeColor="text1"/>
                <w:sz w:val="24"/>
              </w:rPr>
              <w:t>2012</w:t>
            </w:r>
            <w:r>
              <w:rPr>
                <w:rFonts w:eastAsiaTheme="minorEastAsia"/>
                <w:color w:val="000000" w:themeColor="text1"/>
                <w:sz w:val="24"/>
              </w:rPr>
              <w:t>年</w:t>
            </w:r>
            <w:r>
              <w:rPr>
                <w:rFonts w:eastAsiaTheme="minorEastAsia"/>
                <w:color w:val="000000" w:themeColor="text1"/>
                <w:sz w:val="24"/>
              </w:rPr>
              <w:t>11</w:t>
            </w:r>
            <w:r>
              <w:rPr>
                <w:rFonts w:eastAsiaTheme="minorEastAsia"/>
                <w:color w:val="000000" w:themeColor="text1"/>
                <w:sz w:val="24"/>
              </w:rPr>
              <w:t>月至</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4</w:t>
            </w:r>
            <w:r>
              <w:rPr>
                <w:rFonts w:eastAsiaTheme="minorEastAsia"/>
                <w:color w:val="000000" w:themeColor="text1"/>
                <w:sz w:val="24"/>
              </w:rPr>
              <w:t>月在中国国际金融股份有限公司担任资产管理部执行总经理；自</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月加入上投摩根基金管理有限公司，现任指数及量化投资部总监，自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起同时担任上投摩根量化多因子灵活配置混合型证券投资基金、上投摩根优选多因子股票型证券投资基金、上投摩根动态多因子策略灵活配置混合型证券投资基金、上投摩根中证消费服务领先指数证券投资基金、上投摩根</w:t>
            </w:r>
            <w:r>
              <w:rPr>
                <w:rFonts w:eastAsiaTheme="minorEastAsia"/>
                <w:color w:val="000000" w:themeColor="text1"/>
                <w:sz w:val="24"/>
              </w:rPr>
              <w:t>MSCI</w:t>
            </w:r>
            <w:r>
              <w:rPr>
                <w:rFonts w:eastAsiaTheme="minorEastAsia"/>
                <w:color w:val="000000" w:themeColor="text1"/>
                <w:sz w:val="24"/>
              </w:rPr>
              <w:t>中国</w:t>
            </w:r>
            <w:r>
              <w:rPr>
                <w:rFonts w:eastAsiaTheme="minorEastAsia"/>
                <w:color w:val="000000" w:themeColor="text1"/>
                <w:sz w:val="24"/>
              </w:rPr>
              <w:t>A</w:t>
            </w:r>
            <w:r>
              <w:rPr>
                <w:rFonts w:eastAsiaTheme="minorEastAsia"/>
                <w:color w:val="000000" w:themeColor="text1"/>
                <w:sz w:val="24"/>
              </w:rPr>
              <w:t>股交易型开放式指数证券投资基金、上投摩根</w:t>
            </w:r>
            <w:r>
              <w:rPr>
                <w:rFonts w:eastAsiaTheme="minorEastAsia"/>
                <w:color w:val="000000" w:themeColor="text1"/>
                <w:sz w:val="24"/>
              </w:rPr>
              <w:t>MSCI</w:t>
            </w:r>
            <w:r>
              <w:rPr>
                <w:rFonts w:eastAsiaTheme="minorEastAsia"/>
                <w:color w:val="000000" w:themeColor="text1"/>
                <w:sz w:val="24"/>
              </w:rPr>
              <w:t>中国</w:t>
            </w:r>
            <w:r>
              <w:rPr>
                <w:rFonts w:eastAsiaTheme="minorEastAsia"/>
                <w:color w:val="000000" w:themeColor="text1"/>
                <w:sz w:val="24"/>
              </w:rPr>
              <w:t>A</w:t>
            </w:r>
            <w:r>
              <w:rPr>
                <w:rFonts w:eastAsiaTheme="minorEastAsia"/>
                <w:color w:val="000000" w:themeColor="text1"/>
                <w:sz w:val="24"/>
              </w:rPr>
              <w:t>股交易型开放式指数证券投资基金联接基金、上投摩根标普港股通低波红利指数型证券投资基金基金经理。</w:t>
            </w:r>
          </w:p>
        </w:tc>
      </w:tr>
      <w:tr w:rsidR="006C3D8E">
        <w:tc>
          <w:tcPr>
            <w:tcW w:w="952" w:type="dxa"/>
            <w:vAlign w:val="center"/>
          </w:tcPr>
          <w:p w:rsidR="006C3D8E" w:rsidRDefault="007201FE">
            <w:pPr>
              <w:jc w:val="center"/>
            </w:pPr>
            <w:r>
              <w:rPr>
                <w:rFonts w:eastAsiaTheme="minorEastAsia"/>
                <w:color w:val="000000" w:themeColor="text1"/>
                <w:sz w:val="24"/>
              </w:rPr>
              <w:t>何智豪</w:t>
            </w:r>
          </w:p>
        </w:tc>
        <w:tc>
          <w:tcPr>
            <w:tcW w:w="930" w:type="dxa"/>
            <w:vAlign w:val="center"/>
          </w:tcPr>
          <w:p w:rsidR="006C3D8E" w:rsidRDefault="007201FE">
            <w:pPr>
              <w:jc w:val="center"/>
            </w:pPr>
            <w:r>
              <w:rPr>
                <w:rFonts w:eastAsiaTheme="minorEastAsia"/>
                <w:color w:val="000000" w:themeColor="text1"/>
                <w:sz w:val="24"/>
              </w:rPr>
              <w:t>本基金基金经</w:t>
            </w:r>
            <w:r>
              <w:rPr>
                <w:rFonts w:eastAsiaTheme="minorEastAsia"/>
                <w:color w:val="000000" w:themeColor="text1"/>
                <w:sz w:val="24"/>
              </w:rPr>
              <w:lastRenderedPageBreak/>
              <w:t>理</w:t>
            </w:r>
          </w:p>
        </w:tc>
        <w:tc>
          <w:tcPr>
            <w:tcW w:w="1210" w:type="dxa"/>
            <w:vAlign w:val="center"/>
          </w:tcPr>
          <w:p w:rsidR="006C3D8E" w:rsidRDefault="007201FE">
            <w:pPr>
              <w:jc w:val="center"/>
            </w:pPr>
            <w:r>
              <w:rPr>
                <w:rFonts w:eastAsiaTheme="minorEastAsia"/>
                <w:color w:val="000000" w:themeColor="text1"/>
                <w:sz w:val="24"/>
              </w:rPr>
              <w:lastRenderedPageBreak/>
              <w:t>2021-02-19</w:t>
            </w:r>
          </w:p>
        </w:tc>
        <w:tc>
          <w:tcPr>
            <w:tcW w:w="1309" w:type="dxa"/>
            <w:vAlign w:val="center"/>
          </w:tcPr>
          <w:p w:rsidR="006C3D8E" w:rsidRDefault="007201FE">
            <w:pPr>
              <w:jc w:val="center"/>
            </w:pPr>
            <w:r>
              <w:rPr>
                <w:rFonts w:eastAsiaTheme="minorEastAsia"/>
                <w:color w:val="000000" w:themeColor="text1"/>
                <w:sz w:val="24"/>
              </w:rPr>
              <w:t>-</w:t>
            </w:r>
          </w:p>
        </w:tc>
        <w:tc>
          <w:tcPr>
            <w:tcW w:w="1254" w:type="dxa"/>
            <w:vAlign w:val="center"/>
          </w:tcPr>
          <w:p w:rsidR="006C3D8E" w:rsidRDefault="007201FE">
            <w:pPr>
              <w:jc w:val="center"/>
            </w:pPr>
            <w:r>
              <w:rPr>
                <w:rFonts w:eastAsiaTheme="minorEastAsia"/>
                <w:color w:val="000000" w:themeColor="text1"/>
                <w:sz w:val="24"/>
              </w:rPr>
              <w:t>7</w:t>
            </w:r>
            <w:r>
              <w:rPr>
                <w:rFonts w:eastAsiaTheme="minorEastAsia"/>
                <w:color w:val="000000" w:themeColor="text1"/>
                <w:sz w:val="24"/>
              </w:rPr>
              <w:t>年</w:t>
            </w:r>
          </w:p>
        </w:tc>
        <w:tc>
          <w:tcPr>
            <w:tcW w:w="3276" w:type="dxa"/>
            <w:vAlign w:val="center"/>
          </w:tcPr>
          <w:p w:rsidR="006C3D8E" w:rsidRDefault="007201FE">
            <w:r>
              <w:rPr>
                <w:rFonts w:eastAsiaTheme="minorEastAsia"/>
                <w:color w:val="000000" w:themeColor="text1"/>
                <w:sz w:val="24"/>
              </w:rPr>
              <w:t>何智豪先生，复旦大学应用数学硕士，现任指数及量化投资部基金经理。何智豪先生自</w:t>
            </w:r>
            <w:r>
              <w:rPr>
                <w:rFonts w:eastAsiaTheme="minorEastAsia"/>
                <w:color w:val="000000" w:themeColor="text1"/>
                <w:sz w:val="24"/>
              </w:rPr>
              <w:lastRenderedPageBreak/>
              <w:t>2014</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月至</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月，在中国国际金融股份有限公司担任组合与量化策略研究员、资产管理部高级经理；自</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月起加入上投摩根基金管理有限公司。自</w:t>
            </w:r>
            <w:r>
              <w:rPr>
                <w:rFonts w:eastAsiaTheme="minorEastAsia"/>
                <w:color w:val="000000" w:themeColor="text1"/>
                <w:sz w:val="24"/>
              </w:rPr>
              <w:t>2021</w:t>
            </w:r>
            <w:r>
              <w:rPr>
                <w:rFonts w:eastAsiaTheme="minorEastAsia"/>
                <w:color w:val="000000" w:themeColor="text1"/>
                <w:sz w:val="24"/>
              </w:rPr>
              <w:t>年</w:t>
            </w:r>
            <w:r>
              <w:rPr>
                <w:rFonts w:eastAsiaTheme="minorEastAsia"/>
                <w:color w:val="000000" w:themeColor="text1"/>
                <w:sz w:val="24"/>
              </w:rPr>
              <w:t>2</w:t>
            </w:r>
            <w:r>
              <w:rPr>
                <w:rFonts w:eastAsiaTheme="minorEastAsia"/>
                <w:color w:val="000000" w:themeColor="text1"/>
                <w:sz w:val="24"/>
              </w:rPr>
              <w:t>月起同时担任上投摩根量化多因子灵活配置混合型证券投资基金、上投摩根优选多因子股票型证券投资基金、上投摩根中证消费服务领先指数证券投资基金、上投摩根</w:t>
            </w:r>
            <w:r>
              <w:rPr>
                <w:rFonts w:eastAsiaTheme="minorEastAsia"/>
                <w:color w:val="000000" w:themeColor="text1"/>
                <w:sz w:val="24"/>
              </w:rPr>
              <w:t>MSCI</w:t>
            </w:r>
            <w:r>
              <w:rPr>
                <w:rFonts w:eastAsiaTheme="minorEastAsia"/>
                <w:color w:val="000000" w:themeColor="text1"/>
                <w:sz w:val="24"/>
              </w:rPr>
              <w:t>中国</w:t>
            </w:r>
            <w:r>
              <w:rPr>
                <w:rFonts w:eastAsiaTheme="minorEastAsia"/>
                <w:color w:val="000000" w:themeColor="text1"/>
                <w:sz w:val="24"/>
              </w:rPr>
              <w:t>A</w:t>
            </w:r>
            <w:r>
              <w:rPr>
                <w:rFonts w:eastAsiaTheme="minorEastAsia"/>
                <w:color w:val="000000" w:themeColor="text1"/>
                <w:sz w:val="24"/>
              </w:rPr>
              <w:t>股交易型开放式指数证券投资基金、上投摩根</w:t>
            </w:r>
            <w:r>
              <w:rPr>
                <w:rFonts w:eastAsiaTheme="minorEastAsia"/>
                <w:color w:val="000000" w:themeColor="text1"/>
                <w:sz w:val="24"/>
              </w:rPr>
              <w:t>MSCI</w:t>
            </w:r>
            <w:r>
              <w:rPr>
                <w:rFonts w:eastAsiaTheme="minorEastAsia"/>
                <w:color w:val="000000" w:themeColor="text1"/>
                <w:sz w:val="24"/>
              </w:rPr>
              <w:t>中国</w:t>
            </w:r>
            <w:r>
              <w:rPr>
                <w:rFonts w:eastAsiaTheme="minorEastAsia"/>
                <w:color w:val="000000" w:themeColor="text1"/>
                <w:sz w:val="24"/>
              </w:rPr>
              <w:t>A</w:t>
            </w:r>
            <w:r>
              <w:rPr>
                <w:rFonts w:eastAsiaTheme="minorEastAsia"/>
                <w:color w:val="000000" w:themeColor="text1"/>
                <w:sz w:val="24"/>
              </w:rPr>
              <w:t>股交易型开放式指数证券投资基金联接基金、上投摩根标普港股通低波红利指数型证券投资基金基金经理。</w:t>
            </w:r>
          </w:p>
        </w:tc>
      </w:tr>
    </w:tbl>
    <w:p w:rsidR="006C3D8E" w:rsidRDefault="007201FE">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lastRenderedPageBreak/>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rsidR="006C3D8E" w:rsidRDefault="007201FE">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张淑婉女士为本基金首任基金经理，其任职日期指本基金基金合同生效之日。</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3.</w:t>
      </w:r>
      <w:r w:rsidRPr="00EE3DBC">
        <w:rPr>
          <w:rFonts w:eastAsiaTheme="minorEastAsia"/>
          <w:color w:val="000000" w:themeColor="text1"/>
          <w:sz w:val="24"/>
        </w:rPr>
        <w:t>证券从业的含义遵从行业协会《证券业从业人员资格管理办法》的相关规定。</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勤勉尽责地为基金份额持有人谋求利益。基金管理人遵守了《证券投资基金法》及其他有关法律法规、《上投摩根标普港股通低波红利指数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rsidR="006C3D8E" w:rsidRDefault="007201F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w:t>
      </w:r>
      <w:r>
        <w:rPr>
          <w:rFonts w:eastAsiaTheme="minorEastAsia"/>
          <w:color w:val="000000" w:themeColor="text1"/>
          <w:kern w:val="0"/>
          <w:sz w:val="24"/>
        </w:rPr>
        <w:lastRenderedPageBreak/>
        <w:t>式进行交易执行和监控分析，以确保本公司管理的不同投资组合在授权、研究分析、投资决策、交易执行、业绩评估等投资管理活动相关的环节均得到公平对待。</w:t>
      </w:r>
    </w:p>
    <w:p w:rsidR="006C3D8E" w:rsidRDefault="007201F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rsidR="006C3D8E" w:rsidRDefault="007201F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rsidR="006C3D8E" w:rsidRDefault="007201F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二季度，整体港股市场进入震荡阶段。印度等地疫情的反复、全球高通胀环境下市场对流动性收紧的担忧以及国内反垄断措施的升温都对港股市场造成了负面冲击。分风格板块来看，高估值成长板块受到的冲击更大，而价值板块则展现出更强的韧性。从资金面看，</w:t>
      </w:r>
      <w:r>
        <w:rPr>
          <w:rFonts w:eastAsiaTheme="minorEastAsia"/>
          <w:color w:val="000000" w:themeColor="text1"/>
          <w:kern w:val="0"/>
          <w:sz w:val="24"/>
        </w:rPr>
        <w:t>2</w:t>
      </w:r>
      <w:r>
        <w:rPr>
          <w:rFonts w:eastAsiaTheme="minorEastAsia"/>
          <w:color w:val="000000" w:themeColor="text1"/>
          <w:kern w:val="0"/>
          <w:sz w:val="24"/>
        </w:rPr>
        <w:t>、</w:t>
      </w:r>
      <w:r>
        <w:rPr>
          <w:rFonts w:eastAsiaTheme="minorEastAsia"/>
          <w:color w:val="000000" w:themeColor="text1"/>
          <w:kern w:val="0"/>
          <w:sz w:val="24"/>
        </w:rPr>
        <w:t>3</w:t>
      </w:r>
      <w:r>
        <w:rPr>
          <w:rFonts w:eastAsiaTheme="minorEastAsia"/>
          <w:color w:val="000000" w:themeColor="text1"/>
          <w:kern w:val="0"/>
          <w:sz w:val="24"/>
        </w:rPr>
        <w:t>月份，受港股上调印花税的影响，南下资金转为净流出，但</w:t>
      </w:r>
      <w:r>
        <w:rPr>
          <w:rFonts w:eastAsiaTheme="minorEastAsia"/>
          <w:color w:val="000000" w:themeColor="text1"/>
          <w:kern w:val="0"/>
          <w:sz w:val="24"/>
        </w:rPr>
        <w:t>4</w:t>
      </w:r>
      <w:r>
        <w:rPr>
          <w:rFonts w:eastAsiaTheme="minorEastAsia"/>
          <w:color w:val="000000" w:themeColor="text1"/>
          <w:kern w:val="0"/>
          <w:sz w:val="24"/>
        </w:rPr>
        <w:t>月起恢复净流入；国际资金方面，</w:t>
      </w:r>
      <w:r>
        <w:rPr>
          <w:rFonts w:eastAsiaTheme="minorEastAsia"/>
          <w:color w:val="000000" w:themeColor="text1"/>
          <w:kern w:val="0"/>
          <w:sz w:val="24"/>
        </w:rPr>
        <w:t>4</w:t>
      </w:r>
      <w:r>
        <w:rPr>
          <w:rFonts w:eastAsiaTheme="minorEastAsia"/>
          <w:color w:val="000000" w:themeColor="text1"/>
          <w:kern w:val="0"/>
          <w:sz w:val="24"/>
        </w:rPr>
        <w:t>、</w:t>
      </w:r>
      <w:r>
        <w:rPr>
          <w:rFonts w:eastAsiaTheme="minorEastAsia"/>
          <w:color w:val="000000" w:themeColor="text1"/>
          <w:kern w:val="0"/>
          <w:sz w:val="24"/>
        </w:rPr>
        <w:t>5</w:t>
      </w:r>
      <w:r>
        <w:rPr>
          <w:rFonts w:eastAsiaTheme="minorEastAsia"/>
          <w:color w:val="000000" w:themeColor="text1"/>
          <w:kern w:val="0"/>
          <w:sz w:val="24"/>
        </w:rPr>
        <w:t>月份受中美关系边际变化以及国内反垄断措施升温影响转为净流出，但</w:t>
      </w:r>
      <w:r>
        <w:rPr>
          <w:rFonts w:eastAsiaTheme="minorEastAsia"/>
          <w:color w:val="000000" w:themeColor="text1"/>
          <w:kern w:val="0"/>
          <w:sz w:val="24"/>
        </w:rPr>
        <w:t>6</w:t>
      </w:r>
      <w:r>
        <w:rPr>
          <w:rFonts w:eastAsiaTheme="minorEastAsia"/>
          <w:color w:val="000000" w:themeColor="text1"/>
          <w:kern w:val="0"/>
          <w:sz w:val="24"/>
        </w:rPr>
        <w:t>月以来再次转为净流入。本基金在二季度的表现呈窄幅震荡，波动明显小于恒生指数和恒生科技指数。运作上，本基金在报告期内采用被动复制的投资策略，仓位维持在正常水平，跟踪误差保持在合理范围内。</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未来，首先全球经济持续复苏以及企业盈利修复将支撑港股继续向好，同时南下资金也有望继续流入港股市场。第二，继续看好能源、金融等受益于宏观经济向好和高通胀环境的周期板块。第三，随着美联储临近缩减购债规模以及</w:t>
      </w:r>
      <w:r w:rsidRPr="00EE3DBC">
        <w:rPr>
          <w:rFonts w:eastAsiaTheme="minorEastAsia"/>
          <w:color w:val="000000" w:themeColor="text1"/>
          <w:kern w:val="0"/>
          <w:sz w:val="24"/>
        </w:rPr>
        <w:lastRenderedPageBreak/>
        <w:t>进入加息周期，美债实际收益率将上升，这对高估值成长板块将造成较大冲击，而低估值高股息股票将具有更好的防御性。本基金作为配置于港股市场且具有鲜明风格特征的</w:t>
      </w:r>
      <w:r w:rsidRPr="00EE3DBC">
        <w:rPr>
          <w:rFonts w:eastAsiaTheme="minorEastAsia"/>
          <w:color w:val="000000" w:themeColor="text1"/>
          <w:kern w:val="0"/>
          <w:sz w:val="24"/>
        </w:rPr>
        <w:t>Smart Beta</w:t>
      </w:r>
      <w:r w:rsidRPr="00EE3DBC">
        <w:rPr>
          <w:rFonts w:eastAsiaTheme="minorEastAsia"/>
          <w:color w:val="000000" w:themeColor="text1"/>
          <w:kern w:val="0"/>
          <w:sz w:val="24"/>
        </w:rPr>
        <w:t>指数基金，既可以作为阶段性风格配置的工具，也可以作为中长期调节整体投资组合风险收益特征的有效工具。</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rsidR="006C3D8E" w:rsidRDefault="007201FE">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本报告期上投摩根标普港股通低波红利指数</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:0.33%</w:t>
      </w:r>
      <w:r>
        <w:rPr>
          <w:rFonts w:eastAsiaTheme="minorEastAsia"/>
          <w:color w:val="000000" w:themeColor="text1"/>
          <w:kern w:val="0"/>
          <w:sz w:val="24"/>
        </w:rPr>
        <w:t>，同期业绩比较基准收益率为</w:t>
      </w:r>
      <w:r>
        <w:rPr>
          <w:rFonts w:eastAsiaTheme="minorEastAsia"/>
          <w:color w:val="000000" w:themeColor="text1"/>
          <w:kern w:val="0"/>
          <w:sz w:val="24"/>
        </w:rPr>
        <w:t>:-2.29%,</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上投摩根标普港股通低波红利指数</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:0.21%</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:-2.29%</w:t>
      </w:r>
      <w:r w:rsidRPr="00EE3DBC">
        <w:rPr>
          <w:rFonts w:eastAsiaTheme="minorEastAsia"/>
          <w:color w:val="000000" w:themeColor="text1"/>
          <w:kern w:val="0"/>
          <w:sz w:val="24"/>
        </w:rPr>
        <w:t>。</w:t>
      </w:r>
    </w:p>
    <w:p w:rsidR="00A960A3" w:rsidRPr="00EE3DBC" w:rsidRDefault="00A960A3">
      <w:pPr>
        <w:spacing w:line="360" w:lineRule="auto"/>
        <w:ind w:firstLineChars="200" w:firstLine="480"/>
        <w:rPr>
          <w:rFonts w:eastAsiaTheme="minorEastAsia"/>
          <w:color w:val="000000" w:themeColor="text1"/>
          <w:kern w:val="0"/>
          <w:sz w:val="24"/>
        </w:rPr>
      </w:pPr>
    </w:p>
    <w:p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225,808,560.71</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92.16</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225,808,560.71</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92.16</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金融衍生品投资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13,722,328.92</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5.60</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lastRenderedPageBreak/>
              <w:t>7</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5,491,339.12</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2.24</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245,022,228.75</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p w:rsidR="00A960A3" w:rsidRPr="00EE3DBC" w:rsidRDefault="005B4E34">
      <w:pPr>
        <w:jc w:val="left"/>
        <w:rPr>
          <w:rFonts w:eastAsiaTheme="minorEastAsia"/>
          <w:color w:val="000000" w:themeColor="text1"/>
          <w:sz w:val="24"/>
        </w:rPr>
      </w:pPr>
      <w:r w:rsidRPr="00EE3DBC">
        <w:rPr>
          <w:rFonts w:eastAsiaTheme="minorEastAsia"/>
          <w:b/>
          <w:color w:val="000000" w:themeColor="text1"/>
          <w:kern w:val="0"/>
          <w:sz w:val="24"/>
        </w:rPr>
        <w:t>5.2.3</w:t>
      </w:r>
      <w:r w:rsidRPr="00EE3DBC">
        <w:rPr>
          <w:rFonts w:eastAsiaTheme="minorEastAsia"/>
          <w:b/>
          <w:color w:val="000000" w:themeColor="text1"/>
          <w:kern w:val="0"/>
          <w:sz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A960A3" w:rsidRPr="00EE3DBC">
        <w:trPr>
          <w:jc w:val="center"/>
        </w:trPr>
        <w:tc>
          <w:tcPr>
            <w:tcW w:w="239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行业类别</w:t>
            </w:r>
          </w:p>
        </w:tc>
        <w:tc>
          <w:tcPr>
            <w:tcW w:w="3119"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公允价值（人民币）</w:t>
            </w:r>
          </w:p>
        </w:tc>
        <w:tc>
          <w:tcPr>
            <w:tcW w:w="3118"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p>
        </w:tc>
      </w:tr>
      <w:tr w:rsidR="006C3D8E">
        <w:trPr>
          <w:jc w:val="center"/>
        </w:trPr>
        <w:tc>
          <w:tcPr>
            <w:tcW w:w="2397" w:type="dxa"/>
            <w:vAlign w:val="center"/>
          </w:tcPr>
          <w:p w:rsidR="006C3D8E" w:rsidRDefault="007201FE">
            <w:pPr>
              <w:jc w:val="center"/>
            </w:pPr>
            <w:r>
              <w:rPr>
                <w:rFonts w:eastAsiaTheme="minorEastAsia"/>
                <w:color w:val="000000" w:themeColor="text1"/>
                <w:sz w:val="24"/>
              </w:rPr>
              <w:t xml:space="preserve">A </w:t>
            </w:r>
            <w:r>
              <w:rPr>
                <w:rFonts w:eastAsiaTheme="minorEastAsia"/>
                <w:color w:val="000000" w:themeColor="text1"/>
                <w:sz w:val="24"/>
              </w:rPr>
              <w:t>基础材料</w:t>
            </w:r>
          </w:p>
        </w:tc>
        <w:tc>
          <w:tcPr>
            <w:tcW w:w="3119" w:type="dxa"/>
            <w:vAlign w:val="center"/>
          </w:tcPr>
          <w:p w:rsidR="006C3D8E" w:rsidRDefault="007201FE">
            <w:pPr>
              <w:jc w:val="center"/>
            </w:pPr>
            <w:r>
              <w:rPr>
                <w:rFonts w:eastAsiaTheme="minorEastAsia"/>
                <w:color w:val="000000" w:themeColor="text1"/>
                <w:sz w:val="24"/>
              </w:rPr>
              <w:t>12,447,384.27</w:t>
            </w:r>
          </w:p>
        </w:tc>
        <w:tc>
          <w:tcPr>
            <w:tcW w:w="3118" w:type="dxa"/>
            <w:vAlign w:val="center"/>
          </w:tcPr>
          <w:p w:rsidR="006C3D8E" w:rsidRDefault="007201FE">
            <w:pPr>
              <w:jc w:val="center"/>
            </w:pPr>
            <w:r>
              <w:rPr>
                <w:rFonts w:eastAsiaTheme="minorEastAsia"/>
                <w:color w:val="000000" w:themeColor="text1"/>
                <w:sz w:val="24"/>
              </w:rPr>
              <w:t>5.14</w:t>
            </w:r>
          </w:p>
        </w:tc>
      </w:tr>
      <w:tr w:rsidR="006C3D8E">
        <w:trPr>
          <w:jc w:val="center"/>
        </w:trPr>
        <w:tc>
          <w:tcPr>
            <w:tcW w:w="2397" w:type="dxa"/>
            <w:vAlign w:val="center"/>
          </w:tcPr>
          <w:p w:rsidR="006C3D8E" w:rsidRDefault="007201FE">
            <w:pPr>
              <w:jc w:val="center"/>
            </w:pPr>
            <w:r>
              <w:rPr>
                <w:rFonts w:eastAsiaTheme="minorEastAsia"/>
                <w:color w:val="000000" w:themeColor="text1"/>
                <w:sz w:val="24"/>
              </w:rPr>
              <w:t xml:space="preserve">B </w:t>
            </w:r>
            <w:r>
              <w:rPr>
                <w:rFonts w:eastAsiaTheme="minorEastAsia"/>
                <w:color w:val="000000" w:themeColor="text1"/>
                <w:sz w:val="24"/>
              </w:rPr>
              <w:t>消费者非必需品</w:t>
            </w:r>
          </w:p>
        </w:tc>
        <w:tc>
          <w:tcPr>
            <w:tcW w:w="3119" w:type="dxa"/>
            <w:vAlign w:val="center"/>
          </w:tcPr>
          <w:p w:rsidR="006C3D8E" w:rsidRDefault="007201FE">
            <w:pPr>
              <w:jc w:val="center"/>
            </w:pPr>
            <w:r>
              <w:rPr>
                <w:rFonts w:eastAsiaTheme="minorEastAsia"/>
                <w:color w:val="000000" w:themeColor="text1"/>
                <w:sz w:val="24"/>
              </w:rPr>
              <w:t>2,580,862.54</w:t>
            </w:r>
          </w:p>
        </w:tc>
        <w:tc>
          <w:tcPr>
            <w:tcW w:w="3118" w:type="dxa"/>
            <w:vAlign w:val="center"/>
          </w:tcPr>
          <w:p w:rsidR="006C3D8E" w:rsidRDefault="007201FE">
            <w:pPr>
              <w:jc w:val="center"/>
            </w:pPr>
            <w:r>
              <w:rPr>
                <w:rFonts w:eastAsiaTheme="minorEastAsia"/>
                <w:color w:val="000000" w:themeColor="text1"/>
                <w:sz w:val="24"/>
              </w:rPr>
              <w:t>1.07</w:t>
            </w:r>
          </w:p>
        </w:tc>
      </w:tr>
      <w:tr w:rsidR="006C3D8E">
        <w:trPr>
          <w:jc w:val="center"/>
        </w:trPr>
        <w:tc>
          <w:tcPr>
            <w:tcW w:w="2397" w:type="dxa"/>
            <w:vAlign w:val="center"/>
          </w:tcPr>
          <w:p w:rsidR="006C3D8E" w:rsidRDefault="007201FE">
            <w:pPr>
              <w:jc w:val="center"/>
            </w:pPr>
            <w:r>
              <w:rPr>
                <w:rFonts w:eastAsiaTheme="minorEastAsia"/>
                <w:color w:val="000000" w:themeColor="text1"/>
                <w:sz w:val="24"/>
              </w:rPr>
              <w:t xml:space="preserve">C </w:t>
            </w:r>
            <w:r>
              <w:rPr>
                <w:rFonts w:eastAsiaTheme="minorEastAsia"/>
                <w:color w:val="000000" w:themeColor="text1"/>
                <w:sz w:val="24"/>
              </w:rPr>
              <w:t>消费者常用品</w:t>
            </w:r>
          </w:p>
        </w:tc>
        <w:tc>
          <w:tcPr>
            <w:tcW w:w="3119" w:type="dxa"/>
            <w:vAlign w:val="center"/>
          </w:tcPr>
          <w:p w:rsidR="006C3D8E" w:rsidRDefault="007201FE">
            <w:pPr>
              <w:jc w:val="center"/>
            </w:pPr>
            <w:r>
              <w:rPr>
                <w:rFonts w:eastAsiaTheme="minorEastAsia"/>
                <w:color w:val="000000" w:themeColor="text1"/>
                <w:sz w:val="24"/>
              </w:rPr>
              <w:t>8,833,086.69</w:t>
            </w:r>
          </w:p>
        </w:tc>
        <w:tc>
          <w:tcPr>
            <w:tcW w:w="3118" w:type="dxa"/>
            <w:vAlign w:val="center"/>
          </w:tcPr>
          <w:p w:rsidR="006C3D8E" w:rsidRDefault="007201FE">
            <w:pPr>
              <w:jc w:val="center"/>
            </w:pPr>
            <w:r>
              <w:rPr>
                <w:rFonts w:eastAsiaTheme="minorEastAsia"/>
                <w:color w:val="000000" w:themeColor="text1"/>
                <w:sz w:val="24"/>
              </w:rPr>
              <w:t>3.65</w:t>
            </w:r>
          </w:p>
        </w:tc>
      </w:tr>
      <w:tr w:rsidR="006C3D8E">
        <w:trPr>
          <w:jc w:val="center"/>
        </w:trPr>
        <w:tc>
          <w:tcPr>
            <w:tcW w:w="2397" w:type="dxa"/>
            <w:vAlign w:val="center"/>
          </w:tcPr>
          <w:p w:rsidR="006C3D8E" w:rsidRDefault="007201FE">
            <w:pPr>
              <w:jc w:val="center"/>
            </w:pPr>
            <w:r>
              <w:rPr>
                <w:rFonts w:eastAsiaTheme="minorEastAsia"/>
                <w:color w:val="000000" w:themeColor="text1"/>
                <w:sz w:val="24"/>
              </w:rPr>
              <w:t xml:space="preserve">D </w:t>
            </w:r>
            <w:r>
              <w:rPr>
                <w:rFonts w:eastAsiaTheme="minorEastAsia"/>
                <w:color w:val="000000" w:themeColor="text1"/>
                <w:sz w:val="24"/>
              </w:rPr>
              <w:t>能源</w:t>
            </w:r>
          </w:p>
        </w:tc>
        <w:tc>
          <w:tcPr>
            <w:tcW w:w="3119" w:type="dxa"/>
            <w:vAlign w:val="center"/>
          </w:tcPr>
          <w:p w:rsidR="006C3D8E" w:rsidRDefault="007201FE">
            <w:pPr>
              <w:jc w:val="center"/>
            </w:pPr>
            <w:r>
              <w:rPr>
                <w:rFonts w:eastAsiaTheme="minorEastAsia"/>
                <w:color w:val="000000" w:themeColor="text1"/>
                <w:sz w:val="24"/>
              </w:rPr>
              <w:t>25,350,573.64</w:t>
            </w:r>
          </w:p>
        </w:tc>
        <w:tc>
          <w:tcPr>
            <w:tcW w:w="3118" w:type="dxa"/>
            <w:vAlign w:val="center"/>
          </w:tcPr>
          <w:p w:rsidR="006C3D8E" w:rsidRDefault="007201FE">
            <w:pPr>
              <w:jc w:val="center"/>
            </w:pPr>
            <w:r>
              <w:rPr>
                <w:rFonts w:eastAsiaTheme="minorEastAsia"/>
                <w:color w:val="000000" w:themeColor="text1"/>
                <w:sz w:val="24"/>
              </w:rPr>
              <w:t>10.47</w:t>
            </w:r>
          </w:p>
        </w:tc>
      </w:tr>
      <w:tr w:rsidR="006C3D8E">
        <w:trPr>
          <w:jc w:val="center"/>
        </w:trPr>
        <w:tc>
          <w:tcPr>
            <w:tcW w:w="2397" w:type="dxa"/>
            <w:vAlign w:val="center"/>
          </w:tcPr>
          <w:p w:rsidR="006C3D8E" w:rsidRDefault="007201FE">
            <w:pPr>
              <w:jc w:val="center"/>
            </w:pPr>
            <w:r>
              <w:rPr>
                <w:rFonts w:eastAsiaTheme="minorEastAsia"/>
                <w:color w:val="000000" w:themeColor="text1"/>
                <w:sz w:val="24"/>
              </w:rPr>
              <w:t xml:space="preserve">E </w:t>
            </w:r>
            <w:r>
              <w:rPr>
                <w:rFonts w:eastAsiaTheme="minorEastAsia"/>
                <w:color w:val="000000" w:themeColor="text1"/>
                <w:sz w:val="24"/>
              </w:rPr>
              <w:t>金融</w:t>
            </w:r>
          </w:p>
        </w:tc>
        <w:tc>
          <w:tcPr>
            <w:tcW w:w="3119" w:type="dxa"/>
            <w:vAlign w:val="center"/>
          </w:tcPr>
          <w:p w:rsidR="006C3D8E" w:rsidRDefault="007201FE">
            <w:pPr>
              <w:jc w:val="center"/>
            </w:pPr>
            <w:r>
              <w:rPr>
                <w:rFonts w:eastAsiaTheme="minorEastAsia"/>
                <w:color w:val="000000" w:themeColor="text1"/>
                <w:sz w:val="24"/>
              </w:rPr>
              <w:t>57,432,646.19</w:t>
            </w:r>
          </w:p>
        </w:tc>
        <w:tc>
          <w:tcPr>
            <w:tcW w:w="3118" w:type="dxa"/>
            <w:vAlign w:val="center"/>
          </w:tcPr>
          <w:p w:rsidR="006C3D8E" w:rsidRDefault="007201FE">
            <w:pPr>
              <w:jc w:val="center"/>
            </w:pPr>
            <w:r>
              <w:rPr>
                <w:rFonts w:eastAsiaTheme="minorEastAsia"/>
                <w:color w:val="000000" w:themeColor="text1"/>
                <w:sz w:val="24"/>
              </w:rPr>
              <w:t>23.72</w:t>
            </w:r>
          </w:p>
        </w:tc>
      </w:tr>
      <w:tr w:rsidR="006C3D8E">
        <w:trPr>
          <w:jc w:val="center"/>
        </w:trPr>
        <w:tc>
          <w:tcPr>
            <w:tcW w:w="2397" w:type="dxa"/>
            <w:vAlign w:val="center"/>
          </w:tcPr>
          <w:p w:rsidR="006C3D8E" w:rsidRDefault="007201FE">
            <w:pPr>
              <w:jc w:val="center"/>
            </w:pPr>
            <w:r>
              <w:rPr>
                <w:rFonts w:eastAsiaTheme="minorEastAsia"/>
                <w:color w:val="000000" w:themeColor="text1"/>
                <w:sz w:val="24"/>
              </w:rPr>
              <w:t xml:space="preserve">F </w:t>
            </w:r>
            <w:r>
              <w:rPr>
                <w:rFonts w:eastAsiaTheme="minorEastAsia"/>
                <w:color w:val="000000" w:themeColor="text1"/>
                <w:sz w:val="24"/>
              </w:rPr>
              <w:t>医疗保健</w:t>
            </w:r>
          </w:p>
        </w:tc>
        <w:tc>
          <w:tcPr>
            <w:tcW w:w="3119" w:type="dxa"/>
            <w:vAlign w:val="center"/>
          </w:tcPr>
          <w:p w:rsidR="006C3D8E" w:rsidRDefault="007201FE">
            <w:pPr>
              <w:jc w:val="center"/>
            </w:pPr>
            <w:r>
              <w:rPr>
                <w:rFonts w:eastAsiaTheme="minorEastAsia"/>
                <w:color w:val="000000" w:themeColor="text1"/>
                <w:sz w:val="24"/>
              </w:rPr>
              <w:t>-</w:t>
            </w:r>
          </w:p>
        </w:tc>
        <w:tc>
          <w:tcPr>
            <w:tcW w:w="3118" w:type="dxa"/>
            <w:vAlign w:val="center"/>
          </w:tcPr>
          <w:p w:rsidR="006C3D8E" w:rsidRDefault="007201FE">
            <w:pPr>
              <w:jc w:val="center"/>
            </w:pPr>
            <w:r>
              <w:rPr>
                <w:rFonts w:eastAsiaTheme="minorEastAsia"/>
                <w:color w:val="000000" w:themeColor="text1"/>
                <w:sz w:val="24"/>
              </w:rPr>
              <w:t>-</w:t>
            </w:r>
          </w:p>
        </w:tc>
      </w:tr>
      <w:tr w:rsidR="006C3D8E">
        <w:trPr>
          <w:jc w:val="center"/>
        </w:trPr>
        <w:tc>
          <w:tcPr>
            <w:tcW w:w="2397" w:type="dxa"/>
            <w:vAlign w:val="center"/>
          </w:tcPr>
          <w:p w:rsidR="006C3D8E" w:rsidRDefault="007201FE">
            <w:pPr>
              <w:jc w:val="center"/>
            </w:pPr>
            <w:r>
              <w:rPr>
                <w:rFonts w:eastAsiaTheme="minorEastAsia"/>
                <w:color w:val="000000" w:themeColor="text1"/>
                <w:sz w:val="24"/>
              </w:rPr>
              <w:t xml:space="preserve">G </w:t>
            </w:r>
            <w:r>
              <w:rPr>
                <w:rFonts w:eastAsiaTheme="minorEastAsia"/>
                <w:color w:val="000000" w:themeColor="text1"/>
                <w:sz w:val="24"/>
              </w:rPr>
              <w:t>工业</w:t>
            </w:r>
          </w:p>
        </w:tc>
        <w:tc>
          <w:tcPr>
            <w:tcW w:w="3119" w:type="dxa"/>
            <w:vAlign w:val="center"/>
          </w:tcPr>
          <w:p w:rsidR="006C3D8E" w:rsidRDefault="007201FE">
            <w:pPr>
              <w:jc w:val="center"/>
            </w:pPr>
            <w:r>
              <w:rPr>
                <w:rFonts w:eastAsiaTheme="minorEastAsia"/>
                <w:color w:val="000000" w:themeColor="text1"/>
                <w:sz w:val="24"/>
              </w:rPr>
              <w:t>33,192,020.68</w:t>
            </w:r>
          </w:p>
        </w:tc>
        <w:tc>
          <w:tcPr>
            <w:tcW w:w="3118" w:type="dxa"/>
            <w:vAlign w:val="center"/>
          </w:tcPr>
          <w:p w:rsidR="006C3D8E" w:rsidRDefault="007201FE">
            <w:pPr>
              <w:jc w:val="center"/>
            </w:pPr>
            <w:r>
              <w:rPr>
                <w:rFonts w:eastAsiaTheme="minorEastAsia"/>
                <w:color w:val="000000" w:themeColor="text1"/>
                <w:sz w:val="24"/>
              </w:rPr>
              <w:t>13.71</w:t>
            </w:r>
          </w:p>
        </w:tc>
      </w:tr>
      <w:tr w:rsidR="006C3D8E">
        <w:trPr>
          <w:jc w:val="center"/>
        </w:trPr>
        <w:tc>
          <w:tcPr>
            <w:tcW w:w="2397" w:type="dxa"/>
            <w:vAlign w:val="center"/>
          </w:tcPr>
          <w:p w:rsidR="006C3D8E" w:rsidRDefault="007201FE">
            <w:pPr>
              <w:jc w:val="center"/>
            </w:pPr>
            <w:r>
              <w:rPr>
                <w:rFonts w:eastAsiaTheme="minorEastAsia"/>
                <w:color w:val="000000" w:themeColor="text1"/>
                <w:sz w:val="24"/>
              </w:rPr>
              <w:t xml:space="preserve">H </w:t>
            </w:r>
            <w:r>
              <w:rPr>
                <w:rFonts w:eastAsiaTheme="minorEastAsia"/>
                <w:color w:val="000000" w:themeColor="text1"/>
                <w:sz w:val="24"/>
              </w:rPr>
              <w:t>信息技术</w:t>
            </w:r>
          </w:p>
        </w:tc>
        <w:tc>
          <w:tcPr>
            <w:tcW w:w="3119" w:type="dxa"/>
            <w:vAlign w:val="center"/>
          </w:tcPr>
          <w:p w:rsidR="006C3D8E" w:rsidRDefault="007201FE">
            <w:pPr>
              <w:jc w:val="center"/>
            </w:pPr>
            <w:r>
              <w:rPr>
                <w:rFonts w:eastAsiaTheme="minorEastAsia"/>
                <w:color w:val="000000" w:themeColor="text1"/>
                <w:sz w:val="24"/>
              </w:rPr>
              <w:t>6,659,406.67</w:t>
            </w:r>
          </w:p>
        </w:tc>
        <w:tc>
          <w:tcPr>
            <w:tcW w:w="3118" w:type="dxa"/>
            <w:vAlign w:val="center"/>
          </w:tcPr>
          <w:p w:rsidR="006C3D8E" w:rsidRDefault="007201FE">
            <w:pPr>
              <w:jc w:val="center"/>
            </w:pPr>
            <w:r>
              <w:rPr>
                <w:rFonts w:eastAsiaTheme="minorEastAsia"/>
                <w:color w:val="000000" w:themeColor="text1"/>
                <w:sz w:val="24"/>
              </w:rPr>
              <w:t>2.75</w:t>
            </w:r>
          </w:p>
        </w:tc>
      </w:tr>
      <w:tr w:rsidR="006C3D8E">
        <w:trPr>
          <w:jc w:val="center"/>
        </w:trPr>
        <w:tc>
          <w:tcPr>
            <w:tcW w:w="2397" w:type="dxa"/>
            <w:vAlign w:val="center"/>
          </w:tcPr>
          <w:p w:rsidR="006C3D8E" w:rsidRDefault="007201FE">
            <w:pPr>
              <w:jc w:val="center"/>
            </w:pPr>
            <w:r>
              <w:rPr>
                <w:rFonts w:eastAsiaTheme="minorEastAsia"/>
                <w:color w:val="000000" w:themeColor="text1"/>
                <w:sz w:val="24"/>
              </w:rPr>
              <w:t xml:space="preserve">I </w:t>
            </w:r>
            <w:r>
              <w:rPr>
                <w:rFonts w:eastAsiaTheme="minorEastAsia"/>
                <w:color w:val="000000" w:themeColor="text1"/>
                <w:sz w:val="24"/>
              </w:rPr>
              <w:t>电信服务</w:t>
            </w:r>
          </w:p>
        </w:tc>
        <w:tc>
          <w:tcPr>
            <w:tcW w:w="3119" w:type="dxa"/>
            <w:vAlign w:val="center"/>
          </w:tcPr>
          <w:p w:rsidR="006C3D8E" w:rsidRDefault="007201FE">
            <w:pPr>
              <w:jc w:val="center"/>
            </w:pPr>
            <w:r>
              <w:rPr>
                <w:rFonts w:eastAsiaTheme="minorEastAsia"/>
                <w:color w:val="000000" w:themeColor="text1"/>
                <w:sz w:val="24"/>
              </w:rPr>
              <w:t>8,286,210.44</w:t>
            </w:r>
          </w:p>
        </w:tc>
        <w:tc>
          <w:tcPr>
            <w:tcW w:w="3118" w:type="dxa"/>
            <w:vAlign w:val="center"/>
          </w:tcPr>
          <w:p w:rsidR="006C3D8E" w:rsidRDefault="007201FE">
            <w:pPr>
              <w:jc w:val="center"/>
            </w:pPr>
            <w:r>
              <w:rPr>
                <w:rFonts w:eastAsiaTheme="minorEastAsia"/>
                <w:color w:val="000000" w:themeColor="text1"/>
                <w:sz w:val="24"/>
              </w:rPr>
              <w:t>3.42</w:t>
            </w:r>
          </w:p>
        </w:tc>
      </w:tr>
      <w:tr w:rsidR="006C3D8E">
        <w:trPr>
          <w:jc w:val="center"/>
        </w:trPr>
        <w:tc>
          <w:tcPr>
            <w:tcW w:w="2397" w:type="dxa"/>
            <w:vAlign w:val="center"/>
          </w:tcPr>
          <w:p w:rsidR="006C3D8E" w:rsidRDefault="007201FE">
            <w:pPr>
              <w:jc w:val="center"/>
            </w:pPr>
            <w:r>
              <w:rPr>
                <w:rFonts w:eastAsiaTheme="minorEastAsia"/>
                <w:color w:val="000000" w:themeColor="text1"/>
                <w:sz w:val="24"/>
              </w:rPr>
              <w:t xml:space="preserve">J </w:t>
            </w:r>
            <w:r>
              <w:rPr>
                <w:rFonts w:eastAsiaTheme="minorEastAsia"/>
                <w:color w:val="000000" w:themeColor="text1"/>
                <w:sz w:val="24"/>
              </w:rPr>
              <w:t>公用事业</w:t>
            </w:r>
          </w:p>
        </w:tc>
        <w:tc>
          <w:tcPr>
            <w:tcW w:w="3119" w:type="dxa"/>
            <w:vAlign w:val="center"/>
          </w:tcPr>
          <w:p w:rsidR="006C3D8E" w:rsidRDefault="007201FE">
            <w:pPr>
              <w:jc w:val="center"/>
            </w:pPr>
            <w:r>
              <w:rPr>
                <w:rFonts w:eastAsiaTheme="minorEastAsia"/>
                <w:color w:val="000000" w:themeColor="text1"/>
                <w:sz w:val="24"/>
              </w:rPr>
              <w:t>35,720,195.91</w:t>
            </w:r>
          </w:p>
        </w:tc>
        <w:tc>
          <w:tcPr>
            <w:tcW w:w="3118" w:type="dxa"/>
            <w:vAlign w:val="center"/>
          </w:tcPr>
          <w:p w:rsidR="006C3D8E" w:rsidRDefault="007201FE">
            <w:pPr>
              <w:jc w:val="center"/>
            </w:pPr>
            <w:r>
              <w:rPr>
                <w:rFonts w:eastAsiaTheme="minorEastAsia"/>
                <w:color w:val="000000" w:themeColor="text1"/>
                <w:sz w:val="24"/>
              </w:rPr>
              <w:t>14.75</w:t>
            </w:r>
          </w:p>
        </w:tc>
      </w:tr>
      <w:tr w:rsidR="006C3D8E">
        <w:trPr>
          <w:jc w:val="center"/>
        </w:trPr>
        <w:tc>
          <w:tcPr>
            <w:tcW w:w="2397" w:type="dxa"/>
            <w:vAlign w:val="center"/>
          </w:tcPr>
          <w:p w:rsidR="006C3D8E" w:rsidRDefault="007201FE">
            <w:pPr>
              <w:jc w:val="center"/>
            </w:pPr>
            <w:r>
              <w:rPr>
                <w:rFonts w:eastAsiaTheme="minorEastAsia"/>
                <w:color w:val="000000" w:themeColor="text1"/>
                <w:sz w:val="24"/>
              </w:rPr>
              <w:t xml:space="preserve">K </w:t>
            </w:r>
            <w:r>
              <w:rPr>
                <w:rFonts w:eastAsiaTheme="minorEastAsia"/>
                <w:color w:val="000000" w:themeColor="text1"/>
                <w:sz w:val="24"/>
              </w:rPr>
              <w:t>房地产</w:t>
            </w:r>
          </w:p>
        </w:tc>
        <w:tc>
          <w:tcPr>
            <w:tcW w:w="3119" w:type="dxa"/>
            <w:vAlign w:val="center"/>
          </w:tcPr>
          <w:p w:rsidR="006C3D8E" w:rsidRDefault="007201FE">
            <w:pPr>
              <w:jc w:val="center"/>
            </w:pPr>
            <w:r>
              <w:rPr>
                <w:rFonts w:eastAsiaTheme="minorEastAsia"/>
                <w:color w:val="000000" w:themeColor="text1"/>
                <w:sz w:val="24"/>
              </w:rPr>
              <w:t>35,306,173.68</w:t>
            </w:r>
          </w:p>
        </w:tc>
        <w:tc>
          <w:tcPr>
            <w:tcW w:w="3118" w:type="dxa"/>
            <w:vAlign w:val="center"/>
          </w:tcPr>
          <w:p w:rsidR="006C3D8E" w:rsidRDefault="007201FE">
            <w:pPr>
              <w:jc w:val="center"/>
            </w:pPr>
            <w:r>
              <w:rPr>
                <w:rFonts w:eastAsiaTheme="minorEastAsia"/>
                <w:color w:val="000000" w:themeColor="text1"/>
                <w:sz w:val="24"/>
              </w:rPr>
              <w:t>14.58</w:t>
            </w:r>
          </w:p>
        </w:tc>
      </w:tr>
      <w:tr w:rsidR="00A960A3" w:rsidRPr="00EE3DBC">
        <w:trPr>
          <w:jc w:val="center"/>
        </w:trPr>
        <w:tc>
          <w:tcPr>
            <w:tcW w:w="239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合计</w:t>
            </w:r>
          </w:p>
        </w:tc>
        <w:tc>
          <w:tcPr>
            <w:tcW w:w="3119" w:type="dxa"/>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225,808,560.71</w:t>
            </w:r>
          </w:p>
        </w:tc>
        <w:tc>
          <w:tcPr>
            <w:tcW w:w="3118" w:type="dxa"/>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93.27</w:t>
            </w:r>
          </w:p>
        </w:tc>
      </w:tr>
    </w:tbl>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tc>
          <w:tcPr>
            <w:tcW w:w="81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6C3D8E">
        <w:tc>
          <w:tcPr>
            <w:tcW w:w="817" w:type="dxa"/>
            <w:vAlign w:val="center"/>
          </w:tcPr>
          <w:p w:rsidR="006C3D8E" w:rsidRDefault="007201FE">
            <w:pPr>
              <w:jc w:val="center"/>
            </w:pPr>
            <w:r>
              <w:rPr>
                <w:rFonts w:eastAsiaTheme="minorEastAsia"/>
                <w:color w:val="000000" w:themeColor="text1"/>
                <w:sz w:val="24"/>
              </w:rPr>
              <w:t>1</w:t>
            </w:r>
          </w:p>
        </w:tc>
        <w:tc>
          <w:tcPr>
            <w:tcW w:w="1276" w:type="dxa"/>
            <w:vAlign w:val="center"/>
          </w:tcPr>
          <w:p w:rsidR="006C3D8E" w:rsidRDefault="007201FE">
            <w:pPr>
              <w:jc w:val="center"/>
            </w:pPr>
            <w:r>
              <w:rPr>
                <w:rFonts w:eastAsiaTheme="minorEastAsia"/>
                <w:color w:val="000000" w:themeColor="text1"/>
                <w:sz w:val="24"/>
              </w:rPr>
              <w:t>01898</w:t>
            </w:r>
          </w:p>
        </w:tc>
        <w:tc>
          <w:tcPr>
            <w:tcW w:w="1701" w:type="dxa"/>
            <w:vAlign w:val="center"/>
          </w:tcPr>
          <w:p w:rsidR="006C3D8E" w:rsidRDefault="007201FE">
            <w:pPr>
              <w:jc w:val="center"/>
            </w:pPr>
            <w:r>
              <w:rPr>
                <w:rFonts w:eastAsiaTheme="minorEastAsia"/>
                <w:color w:val="000000" w:themeColor="text1"/>
                <w:sz w:val="24"/>
              </w:rPr>
              <w:t>中煤能源</w:t>
            </w:r>
          </w:p>
        </w:tc>
        <w:tc>
          <w:tcPr>
            <w:tcW w:w="1276" w:type="dxa"/>
            <w:vAlign w:val="center"/>
          </w:tcPr>
          <w:p w:rsidR="006C3D8E" w:rsidRDefault="007201FE">
            <w:pPr>
              <w:jc w:val="right"/>
            </w:pPr>
            <w:r>
              <w:rPr>
                <w:rFonts w:eastAsiaTheme="minorEastAsia"/>
                <w:color w:val="000000" w:themeColor="text1"/>
                <w:sz w:val="24"/>
              </w:rPr>
              <w:t>2,058,000.00</w:t>
            </w:r>
          </w:p>
        </w:tc>
        <w:tc>
          <w:tcPr>
            <w:tcW w:w="1842" w:type="dxa"/>
            <w:vAlign w:val="center"/>
          </w:tcPr>
          <w:p w:rsidR="006C3D8E" w:rsidRDefault="007201FE">
            <w:pPr>
              <w:jc w:val="right"/>
            </w:pPr>
            <w:r>
              <w:rPr>
                <w:rFonts w:eastAsiaTheme="minorEastAsia"/>
                <w:color w:val="000000" w:themeColor="text1"/>
                <w:sz w:val="24"/>
              </w:rPr>
              <w:t>7,928,507.56</w:t>
            </w:r>
          </w:p>
        </w:tc>
        <w:tc>
          <w:tcPr>
            <w:tcW w:w="1616" w:type="dxa"/>
            <w:vAlign w:val="center"/>
          </w:tcPr>
          <w:p w:rsidR="006C3D8E" w:rsidRDefault="007201FE">
            <w:pPr>
              <w:jc w:val="right"/>
            </w:pPr>
            <w:r>
              <w:rPr>
                <w:rFonts w:eastAsiaTheme="minorEastAsia"/>
                <w:color w:val="000000" w:themeColor="text1"/>
                <w:sz w:val="24"/>
              </w:rPr>
              <w:t>3.27</w:t>
            </w:r>
          </w:p>
        </w:tc>
      </w:tr>
      <w:tr w:rsidR="006C3D8E">
        <w:tc>
          <w:tcPr>
            <w:tcW w:w="817" w:type="dxa"/>
            <w:vAlign w:val="center"/>
          </w:tcPr>
          <w:p w:rsidR="006C3D8E" w:rsidRDefault="007201FE">
            <w:pPr>
              <w:jc w:val="center"/>
            </w:pPr>
            <w:r>
              <w:rPr>
                <w:rFonts w:eastAsiaTheme="minorEastAsia"/>
                <w:color w:val="000000" w:themeColor="text1"/>
                <w:sz w:val="24"/>
              </w:rPr>
              <w:t>2</w:t>
            </w:r>
          </w:p>
        </w:tc>
        <w:tc>
          <w:tcPr>
            <w:tcW w:w="1276" w:type="dxa"/>
            <w:vAlign w:val="center"/>
          </w:tcPr>
          <w:p w:rsidR="006C3D8E" w:rsidRDefault="007201FE">
            <w:pPr>
              <w:jc w:val="center"/>
            </w:pPr>
            <w:r>
              <w:rPr>
                <w:rFonts w:eastAsiaTheme="minorEastAsia"/>
                <w:color w:val="000000" w:themeColor="text1"/>
                <w:sz w:val="24"/>
              </w:rPr>
              <w:t>03328</w:t>
            </w:r>
          </w:p>
        </w:tc>
        <w:tc>
          <w:tcPr>
            <w:tcW w:w="1701" w:type="dxa"/>
            <w:vAlign w:val="center"/>
          </w:tcPr>
          <w:p w:rsidR="006C3D8E" w:rsidRDefault="007201FE">
            <w:pPr>
              <w:jc w:val="center"/>
            </w:pPr>
            <w:r>
              <w:rPr>
                <w:rFonts w:eastAsiaTheme="minorEastAsia"/>
                <w:color w:val="000000" w:themeColor="text1"/>
                <w:sz w:val="24"/>
              </w:rPr>
              <w:t>交通银行</w:t>
            </w:r>
          </w:p>
        </w:tc>
        <w:tc>
          <w:tcPr>
            <w:tcW w:w="1276" w:type="dxa"/>
            <w:vAlign w:val="center"/>
          </w:tcPr>
          <w:p w:rsidR="006C3D8E" w:rsidRDefault="007201FE">
            <w:pPr>
              <w:jc w:val="right"/>
            </w:pPr>
            <w:r>
              <w:rPr>
                <w:rFonts w:eastAsiaTheme="minorEastAsia"/>
                <w:color w:val="000000" w:themeColor="text1"/>
                <w:sz w:val="24"/>
              </w:rPr>
              <w:t>1,665,000.00</w:t>
            </w:r>
          </w:p>
        </w:tc>
        <w:tc>
          <w:tcPr>
            <w:tcW w:w="1842" w:type="dxa"/>
            <w:vAlign w:val="center"/>
          </w:tcPr>
          <w:p w:rsidR="006C3D8E" w:rsidRDefault="007201FE">
            <w:pPr>
              <w:jc w:val="right"/>
            </w:pPr>
            <w:r>
              <w:rPr>
                <w:rFonts w:eastAsiaTheme="minorEastAsia"/>
                <w:color w:val="000000" w:themeColor="text1"/>
                <w:sz w:val="24"/>
              </w:rPr>
              <w:t>7,231,856.90</w:t>
            </w:r>
          </w:p>
        </w:tc>
        <w:tc>
          <w:tcPr>
            <w:tcW w:w="1616" w:type="dxa"/>
            <w:vAlign w:val="center"/>
          </w:tcPr>
          <w:p w:rsidR="006C3D8E" w:rsidRDefault="007201FE">
            <w:pPr>
              <w:jc w:val="right"/>
            </w:pPr>
            <w:r>
              <w:rPr>
                <w:rFonts w:eastAsiaTheme="minorEastAsia"/>
                <w:color w:val="000000" w:themeColor="text1"/>
                <w:sz w:val="24"/>
              </w:rPr>
              <w:t>2.99</w:t>
            </w:r>
          </w:p>
        </w:tc>
      </w:tr>
      <w:tr w:rsidR="006C3D8E">
        <w:tc>
          <w:tcPr>
            <w:tcW w:w="817" w:type="dxa"/>
            <w:vAlign w:val="center"/>
          </w:tcPr>
          <w:p w:rsidR="006C3D8E" w:rsidRDefault="007201FE">
            <w:pPr>
              <w:jc w:val="center"/>
            </w:pPr>
            <w:r>
              <w:rPr>
                <w:rFonts w:eastAsiaTheme="minorEastAsia"/>
                <w:color w:val="000000" w:themeColor="text1"/>
                <w:sz w:val="24"/>
              </w:rPr>
              <w:t>3</w:t>
            </w:r>
          </w:p>
        </w:tc>
        <w:tc>
          <w:tcPr>
            <w:tcW w:w="1276" w:type="dxa"/>
            <w:vAlign w:val="center"/>
          </w:tcPr>
          <w:p w:rsidR="006C3D8E" w:rsidRDefault="007201FE">
            <w:pPr>
              <w:jc w:val="center"/>
            </w:pPr>
            <w:r>
              <w:rPr>
                <w:rFonts w:eastAsiaTheme="minorEastAsia"/>
                <w:color w:val="000000" w:themeColor="text1"/>
                <w:sz w:val="24"/>
              </w:rPr>
              <w:t>01071</w:t>
            </w:r>
          </w:p>
        </w:tc>
        <w:tc>
          <w:tcPr>
            <w:tcW w:w="1701" w:type="dxa"/>
            <w:vAlign w:val="center"/>
          </w:tcPr>
          <w:p w:rsidR="006C3D8E" w:rsidRDefault="007201FE">
            <w:pPr>
              <w:jc w:val="center"/>
            </w:pPr>
            <w:r>
              <w:rPr>
                <w:rFonts w:eastAsiaTheme="minorEastAsia"/>
                <w:color w:val="000000" w:themeColor="text1"/>
                <w:sz w:val="24"/>
              </w:rPr>
              <w:t>华电国际电力股份</w:t>
            </w:r>
          </w:p>
        </w:tc>
        <w:tc>
          <w:tcPr>
            <w:tcW w:w="1276" w:type="dxa"/>
            <w:vAlign w:val="center"/>
          </w:tcPr>
          <w:p w:rsidR="006C3D8E" w:rsidRDefault="007201FE">
            <w:pPr>
              <w:jc w:val="right"/>
            </w:pPr>
            <w:r>
              <w:rPr>
                <w:rFonts w:eastAsiaTheme="minorEastAsia"/>
                <w:color w:val="000000" w:themeColor="text1"/>
                <w:sz w:val="24"/>
              </w:rPr>
              <w:t>3,348,000.00</w:t>
            </w:r>
          </w:p>
        </w:tc>
        <w:tc>
          <w:tcPr>
            <w:tcW w:w="1842" w:type="dxa"/>
            <w:vAlign w:val="center"/>
          </w:tcPr>
          <w:p w:rsidR="006C3D8E" w:rsidRDefault="007201FE">
            <w:pPr>
              <w:jc w:val="right"/>
            </w:pPr>
            <w:r>
              <w:rPr>
                <w:rFonts w:eastAsiaTheme="minorEastAsia"/>
                <w:color w:val="000000" w:themeColor="text1"/>
                <w:sz w:val="24"/>
              </w:rPr>
              <w:t>7,048,083.72</w:t>
            </w:r>
          </w:p>
        </w:tc>
        <w:tc>
          <w:tcPr>
            <w:tcW w:w="1616" w:type="dxa"/>
            <w:vAlign w:val="center"/>
          </w:tcPr>
          <w:p w:rsidR="006C3D8E" w:rsidRDefault="007201FE">
            <w:pPr>
              <w:jc w:val="right"/>
            </w:pPr>
            <w:r>
              <w:rPr>
                <w:rFonts w:eastAsiaTheme="minorEastAsia"/>
                <w:color w:val="000000" w:themeColor="text1"/>
                <w:sz w:val="24"/>
              </w:rPr>
              <w:t>2.91</w:t>
            </w:r>
          </w:p>
        </w:tc>
      </w:tr>
      <w:tr w:rsidR="006C3D8E">
        <w:tc>
          <w:tcPr>
            <w:tcW w:w="817" w:type="dxa"/>
            <w:vAlign w:val="center"/>
          </w:tcPr>
          <w:p w:rsidR="006C3D8E" w:rsidRDefault="007201FE">
            <w:pPr>
              <w:jc w:val="center"/>
            </w:pPr>
            <w:r>
              <w:rPr>
                <w:rFonts w:eastAsiaTheme="minorEastAsia"/>
                <w:color w:val="000000" w:themeColor="text1"/>
                <w:sz w:val="24"/>
              </w:rPr>
              <w:t>4</w:t>
            </w:r>
          </w:p>
        </w:tc>
        <w:tc>
          <w:tcPr>
            <w:tcW w:w="1276" w:type="dxa"/>
            <w:vAlign w:val="center"/>
          </w:tcPr>
          <w:p w:rsidR="006C3D8E" w:rsidRDefault="007201FE">
            <w:pPr>
              <w:jc w:val="center"/>
            </w:pPr>
            <w:r>
              <w:rPr>
                <w:rFonts w:eastAsiaTheme="minorEastAsia"/>
                <w:color w:val="000000" w:themeColor="text1"/>
                <w:sz w:val="24"/>
              </w:rPr>
              <w:t>00267</w:t>
            </w:r>
          </w:p>
        </w:tc>
        <w:tc>
          <w:tcPr>
            <w:tcW w:w="1701" w:type="dxa"/>
            <w:vAlign w:val="center"/>
          </w:tcPr>
          <w:p w:rsidR="006C3D8E" w:rsidRDefault="007201FE">
            <w:pPr>
              <w:jc w:val="center"/>
            </w:pPr>
            <w:r>
              <w:rPr>
                <w:rFonts w:eastAsiaTheme="minorEastAsia"/>
                <w:color w:val="000000" w:themeColor="text1"/>
                <w:sz w:val="24"/>
              </w:rPr>
              <w:t>中信股份</w:t>
            </w:r>
          </w:p>
        </w:tc>
        <w:tc>
          <w:tcPr>
            <w:tcW w:w="1276" w:type="dxa"/>
            <w:vAlign w:val="center"/>
          </w:tcPr>
          <w:p w:rsidR="006C3D8E" w:rsidRDefault="007201FE">
            <w:pPr>
              <w:jc w:val="right"/>
            </w:pPr>
            <w:r>
              <w:rPr>
                <w:rFonts w:eastAsiaTheme="minorEastAsia"/>
                <w:color w:val="000000" w:themeColor="text1"/>
                <w:sz w:val="24"/>
              </w:rPr>
              <w:t>983,000.00</w:t>
            </w:r>
          </w:p>
        </w:tc>
        <w:tc>
          <w:tcPr>
            <w:tcW w:w="1842" w:type="dxa"/>
            <w:vAlign w:val="center"/>
          </w:tcPr>
          <w:p w:rsidR="006C3D8E" w:rsidRDefault="007201FE">
            <w:pPr>
              <w:jc w:val="right"/>
            </w:pPr>
            <w:r>
              <w:rPr>
                <w:rFonts w:eastAsiaTheme="minorEastAsia"/>
                <w:color w:val="000000" w:themeColor="text1"/>
                <w:sz w:val="24"/>
              </w:rPr>
              <w:t>6,846,112.94</w:t>
            </w:r>
          </w:p>
        </w:tc>
        <w:tc>
          <w:tcPr>
            <w:tcW w:w="1616" w:type="dxa"/>
            <w:vAlign w:val="center"/>
          </w:tcPr>
          <w:p w:rsidR="006C3D8E" w:rsidRDefault="007201FE">
            <w:pPr>
              <w:jc w:val="right"/>
            </w:pPr>
            <w:r>
              <w:rPr>
                <w:rFonts w:eastAsiaTheme="minorEastAsia"/>
                <w:color w:val="000000" w:themeColor="text1"/>
                <w:sz w:val="24"/>
              </w:rPr>
              <w:t>2.83</w:t>
            </w:r>
          </w:p>
        </w:tc>
      </w:tr>
      <w:tr w:rsidR="006C3D8E">
        <w:tc>
          <w:tcPr>
            <w:tcW w:w="817" w:type="dxa"/>
            <w:vAlign w:val="center"/>
          </w:tcPr>
          <w:p w:rsidR="006C3D8E" w:rsidRDefault="007201FE">
            <w:pPr>
              <w:jc w:val="center"/>
            </w:pPr>
            <w:r>
              <w:rPr>
                <w:rFonts w:eastAsiaTheme="minorEastAsia"/>
                <w:color w:val="000000" w:themeColor="text1"/>
                <w:sz w:val="24"/>
              </w:rPr>
              <w:t>5</w:t>
            </w:r>
          </w:p>
        </w:tc>
        <w:tc>
          <w:tcPr>
            <w:tcW w:w="1276" w:type="dxa"/>
            <w:vAlign w:val="center"/>
          </w:tcPr>
          <w:p w:rsidR="006C3D8E" w:rsidRDefault="007201FE">
            <w:pPr>
              <w:jc w:val="center"/>
            </w:pPr>
            <w:r>
              <w:rPr>
                <w:rFonts w:eastAsiaTheme="minorEastAsia"/>
                <w:color w:val="000000" w:themeColor="text1"/>
                <w:sz w:val="24"/>
              </w:rPr>
              <w:t>01088</w:t>
            </w:r>
          </w:p>
        </w:tc>
        <w:tc>
          <w:tcPr>
            <w:tcW w:w="1701" w:type="dxa"/>
            <w:vAlign w:val="center"/>
          </w:tcPr>
          <w:p w:rsidR="006C3D8E" w:rsidRDefault="007201FE">
            <w:pPr>
              <w:jc w:val="center"/>
            </w:pPr>
            <w:r>
              <w:rPr>
                <w:rFonts w:eastAsiaTheme="minorEastAsia"/>
                <w:color w:val="000000" w:themeColor="text1"/>
                <w:sz w:val="24"/>
              </w:rPr>
              <w:t>中国神华</w:t>
            </w:r>
          </w:p>
        </w:tc>
        <w:tc>
          <w:tcPr>
            <w:tcW w:w="1276" w:type="dxa"/>
            <w:vAlign w:val="center"/>
          </w:tcPr>
          <w:p w:rsidR="006C3D8E" w:rsidRDefault="007201FE">
            <w:pPr>
              <w:jc w:val="right"/>
            </w:pPr>
            <w:r>
              <w:rPr>
                <w:rFonts w:eastAsiaTheme="minorEastAsia"/>
                <w:color w:val="000000" w:themeColor="text1"/>
                <w:sz w:val="24"/>
              </w:rPr>
              <w:t>530,500.0</w:t>
            </w:r>
            <w:r>
              <w:rPr>
                <w:rFonts w:eastAsiaTheme="minorEastAsia"/>
                <w:color w:val="000000" w:themeColor="text1"/>
                <w:sz w:val="24"/>
              </w:rPr>
              <w:lastRenderedPageBreak/>
              <w:t>0</w:t>
            </w:r>
          </w:p>
        </w:tc>
        <w:tc>
          <w:tcPr>
            <w:tcW w:w="1842" w:type="dxa"/>
            <w:vAlign w:val="center"/>
          </w:tcPr>
          <w:p w:rsidR="006C3D8E" w:rsidRDefault="007201FE">
            <w:pPr>
              <w:jc w:val="right"/>
            </w:pPr>
            <w:r>
              <w:rPr>
                <w:rFonts w:eastAsiaTheme="minorEastAsia"/>
                <w:color w:val="000000" w:themeColor="text1"/>
                <w:sz w:val="24"/>
              </w:rPr>
              <w:lastRenderedPageBreak/>
              <w:t>6,718,388.66</w:t>
            </w:r>
          </w:p>
        </w:tc>
        <w:tc>
          <w:tcPr>
            <w:tcW w:w="1616" w:type="dxa"/>
            <w:vAlign w:val="center"/>
          </w:tcPr>
          <w:p w:rsidR="006C3D8E" w:rsidRDefault="007201FE">
            <w:pPr>
              <w:jc w:val="right"/>
            </w:pPr>
            <w:r>
              <w:rPr>
                <w:rFonts w:eastAsiaTheme="minorEastAsia"/>
                <w:color w:val="000000" w:themeColor="text1"/>
                <w:sz w:val="24"/>
              </w:rPr>
              <w:t>2.77</w:t>
            </w:r>
          </w:p>
        </w:tc>
      </w:tr>
      <w:tr w:rsidR="006C3D8E">
        <w:tc>
          <w:tcPr>
            <w:tcW w:w="817" w:type="dxa"/>
            <w:vAlign w:val="center"/>
          </w:tcPr>
          <w:p w:rsidR="006C3D8E" w:rsidRDefault="007201FE">
            <w:pPr>
              <w:jc w:val="center"/>
            </w:pPr>
            <w:r>
              <w:rPr>
                <w:rFonts w:eastAsiaTheme="minorEastAsia"/>
                <w:color w:val="000000" w:themeColor="text1"/>
                <w:sz w:val="24"/>
              </w:rPr>
              <w:t>6</w:t>
            </w:r>
          </w:p>
        </w:tc>
        <w:tc>
          <w:tcPr>
            <w:tcW w:w="1276" w:type="dxa"/>
            <w:vAlign w:val="center"/>
          </w:tcPr>
          <w:p w:rsidR="006C3D8E" w:rsidRDefault="007201FE">
            <w:pPr>
              <w:jc w:val="center"/>
            </w:pPr>
            <w:r>
              <w:rPr>
                <w:rFonts w:eastAsiaTheme="minorEastAsia"/>
                <w:color w:val="000000" w:themeColor="text1"/>
                <w:sz w:val="24"/>
              </w:rPr>
              <w:t>00303</w:t>
            </w:r>
          </w:p>
        </w:tc>
        <w:tc>
          <w:tcPr>
            <w:tcW w:w="1701" w:type="dxa"/>
            <w:vAlign w:val="center"/>
          </w:tcPr>
          <w:p w:rsidR="006C3D8E" w:rsidRDefault="007201FE">
            <w:pPr>
              <w:jc w:val="center"/>
            </w:pPr>
            <w:r>
              <w:rPr>
                <w:rFonts w:eastAsiaTheme="minorEastAsia"/>
                <w:color w:val="000000" w:themeColor="text1"/>
                <w:sz w:val="24"/>
              </w:rPr>
              <w:t>VTECH HOLDINGS</w:t>
            </w:r>
          </w:p>
        </w:tc>
        <w:tc>
          <w:tcPr>
            <w:tcW w:w="1276" w:type="dxa"/>
            <w:vAlign w:val="center"/>
          </w:tcPr>
          <w:p w:rsidR="006C3D8E" w:rsidRDefault="007201FE">
            <w:pPr>
              <w:jc w:val="right"/>
            </w:pPr>
            <w:r>
              <w:rPr>
                <w:rFonts w:eastAsiaTheme="minorEastAsia"/>
                <w:color w:val="000000" w:themeColor="text1"/>
                <w:sz w:val="24"/>
              </w:rPr>
              <w:t>97,900.00</w:t>
            </w:r>
          </w:p>
        </w:tc>
        <w:tc>
          <w:tcPr>
            <w:tcW w:w="1842" w:type="dxa"/>
            <w:vAlign w:val="center"/>
          </w:tcPr>
          <w:p w:rsidR="006C3D8E" w:rsidRDefault="007201FE">
            <w:pPr>
              <w:jc w:val="right"/>
            </w:pPr>
            <w:r>
              <w:rPr>
                <w:rFonts w:eastAsiaTheme="minorEastAsia"/>
                <w:color w:val="000000" w:themeColor="text1"/>
                <w:sz w:val="24"/>
              </w:rPr>
              <w:t>6,659,406.67</w:t>
            </w:r>
          </w:p>
        </w:tc>
        <w:tc>
          <w:tcPr>
            <w:tcW w:w="1616" w:type="dxa"/>
            <w:vAlign w:val="center"/>
          </w:tcPr>
          <w:p w:rsidR="006C3D8E" w:rsidRDefault="007201FE">
            <w:pPr>
              <w:jc w:val="right"/>
            </w:pPr>
            <w:r>
              <w:rPr>
                <w:rFonts w:eastAsiaTheme="minorEastAsia"/>
                <w:color w:val="000000" w:themeColor="text1"/>
                <w:sz w:val="24"/>
              </w:rPr>
              <w:t>2.75</w:t>
            </w:r>
          </w:p>
        </w:tc>
      </w:tr>
      <w:tr w:rsidR="006C3D8E">
        <w:tc>
          <w:tcPr>
            <w:tcW w:w="817" w:type="dxa"/>
            <w:vAlign w:val="center"/>
          </w:tcPr>
          <w:p w:rsidR="006C3D8E" w:rsidRDefault="007201FE">
            <w:pPr>
              <w:jc w:val="center"/>
            </w:pPr>
            <w:r>
              <w:rPr>
                <w:rFonts w:eastAsiaTheme="minorEastAsia"/>
                <w:color w:val="000000" w:themeColor="text1"/>
                <w:sz w:val="24"/>
              </w:rPr>
              <w:t>7</w:t>
            </w:r>
          </w:p>
        </w:tc>
        <w:tc>
          <w:tcPr>
            <w:tcW w:w="1276" w:type="dxa"/>
            <w:vAlign w:val="center"/>
          </w:tcPr>
          <w:p w:rsidR="006C3D8E" w:rsidRDefault="007201FE">
            <w:pPr>
              <w:jc w:val="center"/>
            </w:pPr>
            <w:r>
              <w:rPr>
                <w:rFonts w:eastAsiaTheme="minorEastAsia"/>
                <w:color w:val="000000" w:themeColor="text1"/>
                <w:sz w:val="24"/>
              </w:rPr>
              <w:t>00857</w:t>
            </w:r>
          </w:p>
        </w:tc>
        <w:tc>
          <w:tcPr>
            <w:tcW w:w="1701" w:type="dxa"/>
            <w:vAlign w:val="center"/>
          </w:tcPr>
          <w:p w:rsidR="006C3D8E" w:rsidRDefault="007201FE">
            <w:pPr>
              <w:jc w:val="center"/>
            </w:pPr>
            <w:r>
              <w:rPr>
                <w:rFonts w:eastAsiaTheme="minorEastAsia"/>
                <w:color w:val="000000" w:themeColor="text1"/>
                <w:sz w:val="24"/>
              </w:rPr>
              <w:t>中国石油股份</w:t>
            </w:r>
          </w:p>
        </w:tc>
        <w:tc>
          <w:tcPr>
            <w:tcW w:w="1276" w:type="dxa"/>
            <w:vAlign w:val="center"/>
          </w:tcPr>
          <w:p w:rsidR="006C3D8E" w:rsidRDefault="007201FE">
            <w:pPr>
              <w:jc w:val="right"/>
            </w:pPr>
            <w:r>
              <w:rPr>
                <w:rFonts w:eastAsiaTheme="minorEastAsia"/>
                <w:color w:val="000000" w:themeColor="text1"/>
                <w:sz w:val="24"/>
              </w:rPr>
              <w:t>2,064,000.00</w:t>
            </w:r>
          </w:p>
        </w:tc>
        <w:tc>
          <w:tcPr>
            <w:tcW w:w="1842" w:type="dxa"/>
            <w:vAlign w:val="center"/>
          </w:tcPr>
          <w:p w:rsidR="006C3D8E" w:rsidRDefault="007201FE">
            <w:pPr>
              <w:jc w:val="right"/>
            </w:pPr>
            <w:r>
              <w:rPr>
                <w:rFonts w:eastAsiaTheme="minorEastAsia"/>
                <w:color w:val="000000" w:themeColor="text1"/>
                <w:sz w:val="24"/>
              </w:rPr>
              <w:t>6,491,821.59</w:t>
            </w:r>
          </w:p>
        </w:tc>
        <w:tc>
          <w:tcPr>
            <w:tcW w:w="1616" w:type="dxa"/>
            <w:vAlign w:val="center"/>
          </w:tcPr>
          <w:p w:rsidR="006C3D8E" w:rsidRDefault="007201FE">
            <w:pPr>
              <w:jc w:val="right"/>
            </w:pPr>
            <w:r>
              <w:rPr>
                <w:rFonts w:eastAsiaTheme="minorEastAsia"/>
                <w:color w:val="000000" w:themeColor="text1"/>
                <w:sz w:val="24"/>
              </w:rPr>
              <w:t>2.68</w:t>
            </w:r>
          </w:p>
        </w:tc>
      </w:tr>
      <w:tr w:rsidR="006C3D8E">
        <w:tc>
          <w:tcPr>
            <w:tcW w:w="817" w:type="dxa"/>
            <w:vAlign w:val="center"/>
          </w:tcPr>
          <w:p w:rsidR="006C3D8E" w:rsidRDefault="007201FE">
            <w:pPr>
              <w:jc w:val="center"/>
            </w:pPr>
            <w:r>
              <w:rPr>
                <w:rFonts w:eastAsiaTheme="minorEastAsia"/>
                <w:color w:val="000000" w:themeColor="text1"/>
                <w:sz w:val="24"/>
              </w:rPr>
              <w:t>8</w:t>
            </w:r>
          </w:p>
        </w:tc>
        <w:tc>
          <w:tcPr>
            <w:tcW w:w="1276" w:type="dxa"/>
            <w:vAlign w:val="center"/>
          </w:tcPr>
          <w:p w:rsidR="006C3D8E" w:rsidRDefault="007201FE">
            <w:pPr>
              <w:jc w:val="center"/>
            </w:pPr>
            <w:r>
              <w:rPr>
                <w:rFonts w:eastAsiaTheme="minorEastAsia"/>
                <w:color w:val="000000" w:themeColor="text1"/>
                <w:sz w:val="24"/>
              </w:rPr>
              <w:t>03988</w:t>
            </w:r>
          </w:p>
        </w:tc>
        <w:tc>
          <w:tcPr>
            <w:tcW w:w="1701" w:type="dxa"/>
            <w:vAlign w:val="center"/>
          </w:tcPr>
          <w:p w:rsidR="006C3D8E" w:rsidRDefault="007201FE">
            <w:pPr>
              <w:jc w:val="center"/>
            </w:pPr>
            <w:r>
              <w:rPr>
                <w:rFonts w:eastAsiaTheme="minorEastAsia"/>
                <w:color w:val="000000" w:themeColor="text1"/>
                <w:sz w:val="24"/>
              </w:rPr>
              <w:t>中国银行</w:t>
            </w:r>
          </w:p>
        </w:tc>
        <w:tc>
          <w:tcPr>
            <w:tcW w:w="1276" w:type="dxa"/>
            <w:vAlign w:val="center"/>
          </w:tcPr>
          <w:p w:rsidR="006C3D8E" w:rsidRDefault="007201FE">
            <w:pPr>
              <w:jc w:val="right"/>
            </w:pPr>
            <w:r>
              <w:rPr>
                <w:rFonts w:eastAsiaTheme="minorEastAsia"/>
                <w:color w:val="000000" w:themeColor="text1"/>
                <w:sz w:val="24"/>
              </w:rPr>
              <w:t>2,698,000.00</w:t>
            </w:r>
          </w:p>
        </w:tc>
        <w:tc>
          <w:tcPr>
            <w:tcW w:w="1842" w:type="dxa"/>
            <w:vAlign w:val="center"/>
          </w:tcPr>
          <w:p w:rsidR="006C3D8E" w:rsidRDefault="007201FE">
            <w:pPr>
              <w:jc w:val="right"/>
            </w:pPr>
            <w:r>
              <w:rPr>
                <w:rFonts w:eastAsiaTheme="minorEastAsia"/>
                <w:color w:val="000000" w:themeColor="text1"/>
                <w:sz w:val="24"/>
              </w:rPr>
              <w:t>6,263,415.63</w:t>
            </w:r>
          </w:p>
        </w:tc>
        <w:tc>
          <w:tcPr>
            <w:tcW w:w="1616" w:type="dxa"/>
            <w:vAlign w:val="center"/>
          </w:tcPr>
          <w:p w:rsidR="006C3D8E" w:rsidRDefault="007201FE">
            <w:pPr>
              <w:jc w:val="right"/>
            </w:pPr>
            <w:r>
              <w:rPr>
                <w:rFonts w:eastAsiaTheme="minorEastAsia"/>
                <w:color w:val="000000" w:themeColor="text1"/>
                <w:sz w:val="24"/>
              </w:rPr>
              <w:t>2.59</w:t>
            </w:r>
          </w:p>
        </w:tc>
      </w:tr>
      <w:tr w:rsidR="006C3D8E">
        <w:tc>
          <w:tcPr>
            <w:tcW w:w="817" w:type="dxa"/>
            <w:vAlign w:val="center"/>
          </w:tcPr>
          <w:p w:rsidR="006C3D8E" w:rsidRDefault="007201FE">
            <w:pPr>
              <w:jc w:val="center"/>
            </w:pPr>
            <w:r>
              <w:rPr>
                <w:rFonts w:eastAsiaTheme="minorEastAsia"/>
                <w:color w:val="000000" w:themeColor="text1"/>
                <w:sz w:val="24"/>
              </w:rPr>
              <w:t>9</w:t>
            </w:r>
          </w:p>
        </w:tc>
        <w:tc>
          <w:tcPr>
            <w:tcW w:w="1276" w:type="dxa"/>
            <w:vAlign w:val="center"/>
          </w:tcPr>
          <w:p w:rsidR="006C3D8E" w:rsidRDefault="007201FE">
            <w:pPr>
              <w:jc w:val="center"/>
            </w:pPr>
            <w:r>
              <w:rPr>
                <w:rFonts w:eastAsiaTheme="minorEastAsia"/>
                <w:color w:val="000000" w:themeColor="text1"/>
                <w:sz w:val="24"/>
              </w:rPr>
              <w:t>00683</w:t>
            </w:r>
          </w:p>
        </w:tc>
        <w:tc>
          <w:tcPr>
            <w:tcW w:w="1701" w:type="dxa"/>
            <w:vAlign w:val="center"/>
          </w:tcPr>
          <w:p w:rsidR="006C3D8E" w:rsidRDefault="007201FE">
            <w:pPr>
              <w:jc w:val="center"/>
            </w:pPr>
            <w:r>
              <w:rPr>
                <w:rFonts w:eastAsiaTheme="minorEastAsia"/>
                <w:color w:val="000000" w:themeColor="text1"/>
                <w:sz w:val="24"/>
              </w:rPr>
              <w:t>嘉里建设</w:t>
            </w:r>
          </w:p>
        </w:tc>
        <w:tc>
          <w:tcPr>
            <w:tcW w:w="1276" w:type="dxa"/>
            <w:vAlign w:val="center"/>
          </w:tcPr>
          <w:p w:rsidR="006C3D8E" w:rsidRDefault="007201FE">
            <w:pPr>
              <w:jc w:val="right"/>
            </w:pPr>
            <w:r>
              <w:rPr>
                <w:rFonts w:eastAsiaTheme="minorEastAsia"/>
                <w:color w:val="000000" w:themeColor="text1"/>
                <w:sz w:val="24"/>
              </w:rPr>
              <w:t>283,000.00</w:t>
            </w:r>
          </w:p>
        </w:tc>
        <w:tc>
          <w:tcPr>
            <w:tcW w:w="1842" w:type="dxa"/>
            <w:vAlign w:val="center"/>
          </w:tcPr>
          <w:p w:rsidR="006C3D8E" w:rsidRDefault="007201FE">
            <w:pPr>
              <w:jc w:val="right"/>
            </w:pPr>
            <w:r>
              <w:rPr>
                <w:rFonts w:eastAsiaTheme="minorEastAsia"/>
                <w:color w:val="000000" w:themeColor="text1"/>
                <w:sz w:val="24"/>
              </w:rPr>
              <w:t>6,028,253.18</w:t>
            </w:r>
          </w:p>
        </w:tc>
        <w:tc>
          <w:tcPr>
            <w:tcW w:w="1616" w:type="dxa"/>
            <w:vAlign w:val="center"/>
          </w:tcPr>
          <w:p w:rsidR="006C3D8E" w:rsidRDefault="007201FE">
            <w:pPr>
              <w:jc w:val="right"/>
            </w:pPr>
            <w:r>
              <w:rPr>
                <w:rFonts w:eastAsiaTheme="minorEastAsia"/>
                <w:color w:val="000000" w:themeColor="text1"/>
                <w:sz w:val="24"/>
              </w:rPr>
              <w:t>2.49</w:t>
            </w:r>
          </w:p>
        </w:tc>
      </w:tr>
      <w:tr w:rsidR="006C3D8E">
        <w:tc>
          <w:tcPr>
            <w:tcW w:w="817" w:type="dxa"/>
            <w:vAlign w:val="center"/>
          </w:tcPr>
          <w:p w:rsidR="006C3D8E" w:rsidRDefault="007201FE">
            <w:pPr>
              <w:jc w:val="center"/>
            </w:pPr>
            <w:r>
              <w:rPr>
                <w:rFonts w:eastAsiaTheme="minorEastAsia"/>
                <w:color w:val="000000" w:themeColor="text1"/>
                <w:sz w:val="24"/>
              </w:rPr>
              <w:t>10</w:t>
            </w:r>
          </w:p>
        </w:tc>
        <w:tc>
          <w:tcPr>
            <w:tcW w:w="1276" w:type="dxa"/>
            <w:vAlign w:val="center"/>
          </w:tcPr>
          <w:p w:rsidR="006C3D8E" w:rsidRDefault="007201FE">
            <w:pPr>
              <w:jc w:val="center"/>
            </w:pPr>
            <w:r>
              <w:rPr>
                <w:rFonts w:eastAsiaTheme="minorEastAsia"/>
                <w:color w:val="000000" w:themeColor="text1"/>
                <w:sz w:val="24"/>
              </w:rPr>
              <w:t>00836</w:t>
            </w:r>
          </w:p>
        </w:tc>
        <w:tc>
          <w:tcPr>
            <w:tcW w:w="1701" w:type="dxa"/>
            <w:vAlign w:val="center"/>
          </w:tcPr>
          <w:p w:rsidR="006C3D8E" w:rsidRDefault="007201FE">
            <w:pPr>
              <w:jc w:val="center"/>
            </w:pPr>
            <w:r>
              <w:rPr>
                <w:rFonts w:eastAsiaTheme="minorEastAsia"/>
                <w:color w:val="000000" w:themeColor="text1"/>
                <w:sz w:val="24"/>
              </w:rPr>
              <w:t>华润电力</w:t>
            </w:r>
          </w:p>
        </w:tc>
        <w:tc>
          <w:tcPr>
            <w:tcW w:w="1276" w:type="dxa"/>
            <w:vAlign w:val="center"/>
          </w:tcPr>
          <w:p w:rsidR="006C3D8E" w:rsidRDefault="007201FE">
            <w:pPr>
              <w:jc w:val="right"/>
            </w:pPr>
            <w:r>
              <w:rPr>
                <w:rFonts w:eastAsiaTheme="minorEastAsia"/>
                <w:color w:val="000000" w:themeColor="text1"/>
                <w:sz w:val="24"/>
              </w:rPr>
              <w:t>674,000.00</w:t>
            </w:r>
          </w:p>
        </w:tc>
        <w:tc>
          <w:tcPr>
            <w:tcW w:w="1842" w:type="dxa"/>
            <w:vAlign w:val="center"/>
          </w:tcPr>
          <w:p w:rsidR="006C3D8E" w:rsidRDefault="007201FE">
            <w:pPr>
              <w:jc w:val="right"/>
            </w:pPr>
            <w:r>
              <w:rPr>
                <w:rFonts w:eastAsiaTheme="minorEastAsia"/>
                <w:color w:val="000000" w:themeColor="text1"/>
                <w:sz w:val="24"/>
              </w:rPr>
              <w:t>5,944,712.35</w:t>
            </w:r>
          </w:p>
        </w:tc>
        <w:tc>
          <w:tcPr>
            <w:tcW w:w="1616" w:type="dxa"/>
            <w:vAlign w:val="center"/>
          </w:tcPr>
          <w:p w:rsidR="006C3D8E" w:rsidRDefault="007201FE">
            <w:pPr>
              <w:jc w:val="right"/>
            </w:pPr>
            <w:r>
              <w:rPr>
                <w:rFonts w:eastAsiaTheme="minorEastAsia"/>
                <w:color w:val="000000" w:themeColor="text1"/>
                <w:sz w:val="24"/>
              </w:rPr>
              <w:t>2.46</w:t>
            </w:r>
          </w:p>
        </w:tc>
      </w:tr>
    </w:tbl>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本基金本报告期末未持有债券。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本基金本报告期末未持有债券。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lastRenderedPageBreak/>
        <w:t>5.9.1</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报告期末本基金投资的股指期货持仓和损益明细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rsidR="00A960A3" w:rsidRPr="00EE3DBC" w:rsidRDefault="005B4E34">
      <w:pPr>
        <w:autoSpaceDE w:val="0"/>
        <w:autoSpaceDN w:val="0"/>
        <w:adjustRightInd w:val="0"/>
        <w:spacing w:line="360" w:lineRule="auto"/>
        <w:ind w:firstLine="420"/>
        <w:rPr>
          <w:rFonts w:eastAsiaTheme="minorEastAsia"/>
          <w:color w:val="000000" w:themeColor="text1"/>
          <w:sz w:val="24"/>
        </w:rPr>
      </w:pPr>
      <w:r w:rsidRPr="00EE3DBC">
        <w:rPr>
          <w:rFonts w:eastAsiaTheme="minorEastAsia"/>
          <w:color w:val="000000" w:themeColor="text1"/>
          <w:sz w:val="24"/>
        </w:rPr>
        <w:t>本基金本报告期末未持有国债期货。</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报告期内本基金投资的前十名证券的发行主体本期没有出现被监管部门立案调查，或在报告编制日前一年内受到公开谴责、处罚的情形。</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tc>
          <w:tcPr>
            <w:tcW w:w="959"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5,074,484.96</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4,518.59</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293,561.59</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118,773.98</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5,491,339.12</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r w:rsidRPr="00EE3DBC">
        <w:rPr>
          <w:rFonts w:eastAsiaTheme="minorEastAsia"/>
          <w:b/>
          <w:color w:val="000000" w:themeColor="text1"/>
          <w:sz w:val="24"/>
        </w:rPr>
        <w:t>期末前十名股票中存在流通受限情况的说明</w:t>
      </w:r>
    </w:p>
    <w:p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本基金本报告期末前五名积极投资中不存在流通受限情况。</w:t>
      </w:r>
    </w:p>
    <w:p w:rsidR="00A960A3" w:rsidRPr="00EE3DBC" w:rsidRDefault="00A960A3">
      <w:pPr>
        <w:spacing w:line="360" w:lineRule="auto"/>
        <w:rPr>
          <w:rFonts w:eastAsiaTheme="minorEastAsia"/>
          <w:bCs/>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lastRenderedPageBreak/>
        <w:t>因四舍五入原因</w:t>
      </w:r>
      <w:r w:rsidRPr="00EE3DBC">
        <w:rPr>
          <w:rFonts w:eastAsiaTheme="minorEastAsia"/>
          <w:color w:val="000000" w:themeColor="text1"/>
          <w:kern w:val="0"/>
          <w:sz w:val="24"/>
        </w:rPr>
        <w:t>,</w:t>
      </w:r>
      <w:r w:rsidRPr="00EE3DBC">
        <w:rPr>
          <w:rFonts w:eastAsiaTheme="minorEastAsia"/>
          <w:color w:val="000000" w:themeColor="text1"/>
          <w:kern w:val="0"/>
          <w:sz w:val="24"/>
        </w:rPr>
        <w:t>投资组合报告中分项之和与合计可能存在尾差。</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上投摩根标普港股通低波红利指数</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上投摩根标普港股通低波红利指数</w:t>
            </w:r>
            <w:r w:rsidRPr="00EE3DBC">
              <w:rPr>
                <w:rFonts w:eastAsiaTheme="minorEastAsia"/>
                <w:color w:val="000000" w:themeColor="text1"/>
                <w:szCs w:val="21"/>
              </w:rPr>
              <w:t>C</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181,318,625.46</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67,037,921.54</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79,627,609.75</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2,865,724.74</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46,477,073.70</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7,675,009.75</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214,469,161.51</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62,228,636.53</w:t>
            </w:r>
          </w:p>
        </w:tc>
      </w:tr>
    </w:tbl>
    <w:p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基金管理人运用固有资金投资本基金情况</w:t>
      </w:r>
    </w:p>
    <w:p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rsidR="0098228A" w:rsidRPr="00EE3DBC" w:rsidRDefault="0098228A" w:rsidP="0098228A">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无。</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影响投资者决策的其他重要信息</w:t>
      </w:r>
    </w:p>
    <w:p w:rsidR="00A960A3" w:rsidRPr="00EE3DBC" w:rsidRDefault="005B4E34">
      <w:pPr>
        <w:autoSpaceDE w:val="0"/>
        <w:autoSpaceDN w:val="0"/>
        <w:adjustRightInd w:val="0"/>
        <w:spacing w:line="360" w:lineRule="auto"/>
        <w:jc w:val="left"/>
        <w:rPr>
          <w:b/>
          <w:bCs/>
          <w:color w:val="000000"/>
          <w:kern w:val="0"/>
          <w:sz w:val="24"/>
        </w:rPr>
      </w:pPr>
      <w:r w:rsidRPr="00EE3DBC">
        <w:rPr>
          <w:b/>
          <w:bCs/>
          <w:color w:val="000000"/>
          <w:kern w:val="0"/>
          <w:sz w:val="24"/>
        </w:rPr>
        <w:t xml:space="preserve">8.1 </w:t>
      </w:r>
      <w:r w:rsidRPr="00EE3DBC">
        <w:rPr>
          <w:b/>
          <w:bCs/>
          <w:color w:val="000000"/>
          <w:kern w:val="0"/>
          <w:sz w:val="24"/>
        </w:rPr>
        <w:t>报告期内单一投资者持有基金份额比例达到或超过</w:t>
      </w:r>
      <w:r w:rsidRPr="00EE3DBC">
        <w:rPr>
          <w:b/>
          <w:bCs/>
          <w:color w:val="000000"/>
          <w:kern w:val="0"/>
          <w:sz w:val="24"/>
        </w:rPr>
        <w:t>20%</w:t>
      </w:r>
      <w:r w:rsidRPr="00EE3DB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rsidRPr="00EE3DBC">
        <w:tc>
          <w:tcPr>
            <w:tcW w:w="993" w:type="dxa"/>
            <w:vMerge w:val="restart"/>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投资者类别</w:t>
            </w:r>
            <w:r w:rsidRPr="00EE3DBC">
              <w:rPr>
                <w:color w:val="000000"/>
                <w:kern w:val="0"/>
                <w:sz w:val="24"/>
              </w:rPr>
              <w:t xml:space="preserve">  </w:t>
            </w:r>
          </w:p>
        </w:tc>
        <w:tc>
          <w:tcPr>
            <w:tcW w:w="5670" w:type="dxa"/>
            <w:gridSpan w:val="5"/>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报告期内持有基金份额变化情况</w:t>
            </w:r>
          </w:p>
        </w:tc>
        <w:tc>
          <w:tcPr>
            <w:tcW w:w="2549" w:type="dxa"/>
            <w:gridSpan w:val="2"/>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报告期末持有基金情况</w:t>
            </w:r>
          </w:p>
        </w:tc>
      </w:tr>
      <w:tr w:rsidR="00A960A3" w:rsidRPr="00EE3DBC">
        <w:tc>
          <w:tcPr>
            <w:tcW w:w="993" w:type="dxa"/>
            <w:vMerge/>
            <w:vAlign w:val="center"/>
          </w:tcPr>
          <w:p w:rsidR="00A960A3" w:rsidRPr="00EE3DBC" w:rsidRDefault="00A960A3">
            <w:pPr>
              <w:autoSpaceDE w:val="0"/>
              <w:autoSpaceDN w:val="0"/>
              <w:adjustRightInd w:val="0"/>
              <w:jc w:val="center"/>
              <w:rPr>
                <w:b/>
                <w:bCs/>
                <w:color w:val="000000"/>
                <w:kern w:val="0"/>
                <w:sz w:val="24"/>
              </w:rPr>
            </w:pPr>
          </w:p>
        </w:tc>
        <w:tc>
          <w:tcPr>
            <w:tcW w:w="992"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序号</w:t>
            </w:r>
          </w:p>
        </w:tc>
        <w:tc>
          <w:tcPr>
            <w:tcW w:w="1843"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持有基金份额比例达到或者超过</w:t>
            </w:r>
            <w:r w:rsidRPr="00EE3DBC">
              <w:rPr>
                <w:color w:val="000000"/>
                <w:kern w:val="0"/>
                <w:sz w:val="24"/>
              </w:rPr>
              <w:t>20%</w:t>
            </w:r>
            <w:r w:rsidRPr="00EE3DBC">
              <w:rPr>
                <w:color w:val="000000"/>
                <w:kern w:val="0"/>
                <w:sz w:val="24"/>
              </w:rPr>
              <w:t>的时间区间</w:t>
            </w:r>
          </w:p>
        </w:tc>
        <w:tc>
          <w:tcPr>
            <w:tcW w:w="851" w:type="dxa"/>
            <w:vAlign w:val="center"/>
          </w:tcPr>
          <w:p w:rsidR="00A960A3" w:rsidRPr="00EE3DBC" w:rsidRDefault="005B4E34">
            <w:pPr>
              <w:widowControl/>
              <w:jc w:val="center"/>
              <w:rPr>
                <w:b/>
                <w:bCs/>
                <w:color w:val="000000"/>
                <w:kern w:val="0"/>
                <w:sz w:val="24"/>
              </w:rPr>
            </w:pPr>
            <w:r w:rsidRPr="00EE3DBC">
              <w:rPr>
                <w:color w:val="000000"/>
                <w:kern w:val="0"/>
                <w:sz w:val="24"/>
              </w:rPr>
              <w:t>期初份额</w:t>
            </w:r>
          </w:p>
        </w:tc>
        <w:tc>
          <w:tcPr>
            <w:tcW w:w="850" w:type="dxa"/>
            <w:vAlign w:val="center"/>
          </w:tcPr>
          <w:p w:rsidR="00A960A3" w:rsidRPr="00EE3DBC" w:rsidRDefault="005B4E34">
            <w:pPr>
              <w:widowControl/>
              <w:jc w:val="center"/>
              <w:rPr>
                <w:b/>
                <w:bCs/>
                <w:color w:val="000000"/>
                <w:kern w:val="0"/>
                <w:sz w:val="24"/>
              </w:rPr>
            </w:pPr>
            <w:r w:rsidRPr="00EE3DBC">
              <w:rPr>
                <w:color w:val="000000"/>
                <w:kern w:val="0"/>
                <w:sz w:val="24"/>
              </w:rPr>
              <w:t>申购份额</w:t>
            </w:r>
          </w:p>
        </w:tc>
        <w:tc>
          <w:tcPr>
            <w:tcW w:w="1134" w:type="dxa"/>
            <w:vAlign w:val="center"/>
          </w:tcPr>
          <w:p w:rsidR="00A960A3" w:rsidRPr="00EE3DBC" w:rsidRDefault="005B4E34">
            <w:pPr>
              <w:widowControl/>
              <w:jc w:val="center"/>
              <w:rPr>
                <w:b/>
                <w:bCs/>
                <w:color w:val="000000"/>
                <w:kern w:val="0"/>
                <w:sz w:val="24"/>
              </w:rPr>
            </w:pPr>
            <w:r w:rsidRPr="00EE3DBC">
              <w:rPr>
                <w:color w:val="000000"/>
                <w:kern w:val="0"/>
                <w:sz w:val="24"/>
              </w:rPr>
              <w:t>赎回份额</w:t>
            </w:r>
          </w:p>
        </w:tc>
        <w:tc>
          <w:tcPr>
            <w:tcW w:w="1419"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持有份额</w:t>
            </w:r>
          </w:p>
        </w:tc>
        <w:tc>
          <w:tcPr>
            <w:tcW w:w="1130"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份额占比</w:t>
            </w:r>
          </w:p>
        </w:tc>
      </w:tr>
      <w:tr w:rsidR="006C3D8E">
        <w:tc>
          <w:tcPr>
            <w:tcW w:w="993" w:type="dxa"/>
            <w:vMerge w:val="restart"/>
            <w:vAlign w:val="center"/>
          </w:tcPr>
          <w:p w:rsidR="006C3D8E" w:rsidRDefault="007201FE">
            <w:r>
              <w:rPr>
                <w:bCs/>
                <w:color w:val="000000"/>
                <w:kern w:val="0"/>
                <w:sz w:val="24"/>
              </w:rPr>
              <w:t>机构</w:t>
            </w:r>
          </w:p>
        </w:tc>
        <w:tc>
          <w:tcPr>
            <w:tcW w:w="992" w:type="dxa"/>
            <w:vAlign w:val="center"/>
          </w:tcPr>
          <w:p w:rsidR="006C3D8E" w:rsidRDefault="007201FE">
            <w:pPr>
              <w:jc w:val="center"/>
            </w:pPr>
            <w:r>
              <w:rPr>
                <w:color w:val="000000"/>
                <w:kern w:val="0"/>
                <w:sz w:val="24"/>
              </w:rPr>
              <w:t>1</w:t>
            </w:r>
          </w:p>
        </w:tc>
        <w:tc>
          <w:tcPr>
            <w:tcW w:w="1843" w:type="dxa"/>
            <w:vAlign w:val="center"/>
          </w:tcPr>
          <w:p w:rsidR="006C3D8E" w:rsidRDefault="007201FE">
            <w:pPr>
              <w:jc w:val="center"/>
            </w:pPr>
            <w:r>
              <w:rPr>
                <w:color w:val="000000"/>
                <w:kern w:val="0"/>
                <w:sz w:val="24"/>
              </w:rPr>
              <w:t>20210401-20210413</w:t>
            </w:r>
          </w:p>
        </w:tc>
        <w:tc>
          <w:tcPr>
            <w:tcW w:w="851" w:type="dxa"/>
            <w:vAlign w:val="center"/>
          </w:tcPr>
          <w:p w:rsidR="006C3D8E" w:rsidRDefault="007201FE">
            <w:pPr>
              <w:jc w:val="center"/>
            </w:pPr>
            <w:r>
              <w:rPr>
                <w:color w:val="000000"/>
                <w:kern w:val="0"/>
                <w:sz w:val="24"/>
              </w:rPr>
              <w:t>50,690,660.25</w:t>
            </w:r>
          </w:p>
        </w:tc>
        <w:tc>
          <w:tcPr>
            <w:tcW w:w="850" w:type="dxa"/>
            <w:vAlign w:val="center"/>
          </w:tcPr>
          <w:p w:rsidR="006C3D8E" w:rsidRDefault="007201FE">
            <w:pPr>
              <w:jc w:val="center"/>
            </w:pPr>
            <w:r>
              <w:rPr>
                <w:color w:val="000000"/>
                <w:kern w:val="0"/>
                <w:sz w:val="24"/>
              </w:rPr>
              <w:t>0.00</w:t>
            </w:r>
          </w:p>
        </w:tc>
        <w:tc>
          <w:tcPr>
            <w:tcW w:w="1134" w:type="dxa"/>
            <w:vAlign w:val="center"/>
          </w:tcPr>
          <w:p w:rsidR="006C3D8E" w:rsidRDefault="007201FE">
            <w:pPr>
              <w:jc w:val="center"/>
            </w:pPr>
            <w:r>
              <w:rPr>
                <w:color w:val="000000"/>
                <w:kern w:val="0"/>
                <w:sz w:val="24"/>
              </w:rPr>
              <w:t>0.00</w:t>
            </w:r>
          </w:p>
        </w:tc>
        <w:tc>
          <w:tcPr>
            <w:tcW w:w="1419" w:type="dxa"/>
            <w:vAlign w:val="center"/>
          </w:tcPr>
          <w:p w:rsidR="006C3D8E" w:rsidRDefault="007201FE">
            <w:pPr>
              <w:jc w:val="center"/>
            </w:pPr>
            <w:r>
              <w:rPr>
                <w:color w:val="000000"/>
                <w:kern w:val="0"/>
                <w:sz w:val="24"/>
              </w:rPr>
              <w:t>50,690,660.25</w:t>
            </w:r>
          </w:p>
        </w:tc>
        <w:tc>
          <w:tcPr>
            <w:tcW w:w="1130" w:type="dxa"/>
            <w:vAlign w:val="center"/>
          </w:tcPr>
          <w:p w:rsidR="006C3D8E" w:rsidRDefault="007201FE">
            <w:pPr>
              <w:jc w:val="center"/>
            </w:pPr>
            <w:r>
              <w:rPr>
                <w:color w:val="000000"/>
                <w:kern w:val="0"/>
                <w:sz w:val="24"/>
              </w:rPr>
              <w:t>18.32%</w:t>
            </w:r>
          </w:p>
        </w:tc>
      </w:tr>
      <w:tr w:rsidR="00A960A3" w:rsidRPr="00EE3DBC">
        <w:tc>
          <w:tcPr>
            <w:tcW w:w="9212" w:type="dxa"/>
            <w:gridSpan w:val="8"/>
            <w:vAlign w:val="center"/>
          </w:tcPr>
          <w:p w:rsidR="00A960A3" w:rsidRPr="00EE3DBC" w:rsidRDefault="005B4E34">
            <w:pPr>
              <w:autoSpaceDE w:val="0"/>
              <w:autoSpaceDN w:val="0"/>
              <w:adjustRightInd w:val="0"/>
              <w:jc w:val="center"/>
              <w:rPr>
                <w:kern w:val="0"/>
                <w:sz w:val="24"/>
              </w:rPr>
            </w:pPr>
            <w:r w:rsidRPr="00EE3DBC">
              <w:rPr>
                <w:color w:val="000000"/>
                <w:kern w:val="0"/>
                <w:sz w:val="24"/>
              </w:rPr>
              <w:t>产品特有风险</w:t>
            </w:r>
          </w:p>
        </w:tc>
      </w:tr>
      <w:tr w:rsidR="00A960A3" w:rsidRPr="00EE3DBC">
        <w:tc>
          <w:tcPr>
            <w:tcW w:w="9212" w:type="dxa"/>
            <w:gridSpan w:val="8"/>
            <w:vAlign w:val="center"/>
          </w:tcPr>
          <w:p w:rsidR="00A960A3" w:rsidRPr="00EE3DBC" w:rsidRDefault="005B4E34">
            <w:pPr>
              <w:autoSpaceDE w:val="0"/>
              <w:autoSpaceDN w:val="0"/>
              <w:adjustRightInd w:val="0"/>
              <w:jc w:val="left"/>
              <w:rPr>
                <w:kern w:val="0"/>
                <w:sz w:val="24"/>
              </w:rPr>
            </w:pPr>
            <w:r w:rsidRPr="00EE3DBC">
              <w:rPr>
                <w:kern w:val="0"/>
                <w:sz w:val="24"/>
              </w:rPr>
              <w:t>本基金的集中度风险主要体现在有单一投资者持有基金份额比例达到或者超过</w:t>
            </w:r>
            <w:r w:rsidRPr="00EE3DBC">
              <w:rPr>
                <w:kern w:val="0"/>
                <w:sz w:val="24"/>
              </w:rPr>
              <w:t>20%</w:t>
            </w:r>
            <w:r w:rsidRPr="00EE3DBC">
              <w:rPr>
                <w:kern w:val="0"/>
                <w:sz w:val="24"/>
              </w:rPr>
              <w:t>，如果投资者发生大额赎回，可能出现基金可变现资产无法满足投资者赎回需要以及因为资产变现成本过高导致投资者的利益受到损害的风险。</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lastRenderedPageBreak/>
        <w:t xml:space="preserve">§9  </w:t>
      </w:r>
      <w:r w:rsidRPr="00EE3DBC">
        <w:rPr>
          <w:rFonts w:eastAsiaTheme="minorEastAsia"/>
          <w:color w:val="000000" w:themeColor="text1"/>
          <w:kern w:val="0"/>
          <w:sz w:val="24"/>
          <w:szCs w:val="24"/>
        </w:rPr>
        <w:t>备查文件目录</w:t>
      </w:r>
    </w:p>
    <w:p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9.1 </w:t>
      </w:r>
      <w:r w:rsidRPr="00EE3DBC">
        <w:rPr>
          <w:rFonts w:eastAsiaTheme="minorEastAsia"/>
          <w:b/>
          <w:color w:val="000000" w:themeColor="text1"/>
          <w:sz w:val="24"/>
        </w:rPr>
        <w:t>备查文件目录</w:t>
      </w:r>
    </w:p>
    <w:p w:rsidR="006C3D8E" w:rsidRDefault="007201FE">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1. </w:t>
      </w:r>
      <w:r>
        <w:rPr>
          <w:rFonts w:eastAsiaTheme="minorEastAsia"/>
          <w:color w:val="000000" w:themeColor="text1"/>
          <w:sz w:val="24"/>
        </w:rPr>
        <w:t>中国证监会准予上投摩根标普港股通低波红利指数型证券投资基金募集注册的文件；</w:t>
      </w:r>
      <w:r>
        <w:rPr>
          <w:rFonts w:eastAsiaTheme="minorEastAsia"/>
          <w:color w:val="000000" w:themeColor="text1"/>
          <w:sz w:val="24"/>
        </w:rPr>
        <w:t xml:space="preserve"> </w:t>
      </w:r>
    </w:p>
    <w:p w:rsidR="006C3D8E" w:rsidRDefault="007201FE">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2. </w:t>
      </w:r>
      <w:r>
        <w:rPr>
          <w:rFonts w:eastAsiaTheme="minorEastAsia"/>
          <w:color w:val="000000" w:themeColor="text1"/>
          <w:sz w:val="24"/>
        </w:rPr>
        <w:t>《上投摩根标普港股通低波红利指数型证券投资基金基金合同》；</w:t>
      </w:r>
      <w:r>
        <w:rPr>
          <w:rFonts w:eastAsiaTheme="minorEastAsia"/>
          <w:color w:val="000000" w:themeColor="text1"/>
          <w:sz w:val="24"/>
        </w:rPr>
        <w:t xml:space="preserve"> </w:t>
      </w:r>
    </w:p>
    <w:p w:rsidR="006C3D8E" w:rsidRDefault="007201FE">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3. </w:t>
      </w:r>
      <w:r>
        <w:rPr>
          <w:rFonts w:eastAsiaTheme="minorEastAsia"/>
          <w:color w:val="000000" w:themeColor="text1"/>
          <w:sz w:val="24"/>
        </w:rPr>
        <w:t>《上投摩根标普港股通低波红利指数型证券投资基金托管协议》；</w:t>
      </w:r>
    </w:p>
    <w:p w:rsidR="006C3D8E" w:rsidRDefault="007201FE">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4. </w:t>
      </w:r>
      <w:r>
        <w:rPr>
          <w:rFonts w:eastAsiaTheme="minorEastAsia"/>
          <w:color w:val="000000" w:themeColor="text1"/>
          <w:sz w:val="24"/>
        </w:rPr>
        <w:t>《上投摩根开放式基金业务规则》；</w:t>
      </w:r>
      <w:r>
        <w:rPr>
          <w:rFonts w:eastAsiaTheme="minorEastAsia"/>
          <w:color w:val="000000" w:themeColor="text1"/>
          <w:sz w:val="24"/>
        </w:rPr>
        <w:t xml:space="preserve"> </w:t>
      </w:r>
    </w:p>
    <w:p w:rsidR="006C3D8E" w:rsidRDefault="007201FE">
      <w:pPr>
        <w:spacing w:line="360" w:lineRule="auto"/>
        <w:ind w:firstLineChars="200" w:firstLine="480"/>
        <w:rPr>
          <w:rFonts w:eastAsiaTheme="minorEastAsia"/>
          <w:color w:val="000000" w:themeColor="text1"/>
          <w:sz w:val="24"/>
        </w:rPr>
      </w:pPr>
      <w:r>
        <w:rPr>
          <w:rFonts w:eastAsiaTheme="minorEastAsia"/>
          <w:color w:val="000000" w:themeColor="text1"/>
          <w:sz w:val="24"/>
        </w:rPr>
        <w:t xml:space="preserve">5. </w:t>
      </w:r>
      <w:r>
        <w:rPr>
          <w:rFonts w:eastAsiaTheme="minorEastAsia"/>
          <w:color w:val="000000" w:themeColor="text1"/>
          <w:sz w:val="24"/>
        </w:rPr>
        <w:t>基金管理人业务资格批件、营业执照；</w:t>
      </w:r>
      <w:r>
        <w:rPr>
          <w:rFonts w:eastAsiaTheme="minorEastAsia"/>
          <w:color w:val="000000" w:themeColor="text1"/>
          <w:sz w:val="24"/>
        </w:rPr>
        <w:t xml:space="preserve"> </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 xml:space="preserve">6. </w:t>
      </w:r>
      <w:r w:rsidRPr="00EE3DBC">
        <w:rPr>
          <w:rFonts w:eastAsiaTheme="minorEastAsia"/>
          <w:color w:val="000000" w:themeColor="text1"/>
          <w:sz w:val="24"/>
        </w:rPr>
        <w:t>基金托管人业务资格批件和营业执照。</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9.2 </w:t>
      </w:r>
      <w:r w:rsidRPr="00EE3DBC">
        <w:rPr>
          <w:rFonts w:eastAsiaTheme="minorEastAsia"/>
          <w:b/>
          <w:color w:val="000000" w:themeColor="text1"/>
          <w:sz w:val="24"/>
        </w:rPr>
        <w:t>存放地点</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基金管理人或基金托管人住所。</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9.3 </w:t>
      </w:r>
      <w:r w:rsidRPr="00EE3DBC">
        <w:rPr>
          <w:rFonts w:eastAsiaTheme="minorEastAsia"/>
          <w:b/>
          <w:color w:val="000000" w:themeColor="text1"/>
          <w:sz w:val="24"/>
        </w:rPr>
        <w:t>查阅方式</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上投摩根基金管理有限公司</w:t>
      </w: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二〇二一年七月二十一日</w:t>
      </w:r>
    </w:p>
    <w:p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F38" w:rsidRDefault="004F4F38">
      <w:r>
        <w:separator/>
      </w:r>
    </w:p>
  </w:endnote>
  <w:endnote w:type="continuationSeparator" w:id="0">
    <w:p w:rsidR="004F4F38" w:rsidRDefault="004F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4526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45260">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45260">
      <w:rPr>
        <w:rStyle w:val="af5"/>
        <w:noProof/>
      </w:rPr>
      <w:t>2</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F38" w:rsidRDefault="004F4F38">
      <w:r>
        <w:separator/>
      </w:r>
    </w:p>
  </w:footnote>
  <w:footnote w:type="continuationSeparator" w:id="0">
    <w:p w:rsidR="004F4F38" w:rsidRDefault="004F4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上投摩根标普港股通低波红利指数型证券投资基金</w:t>
    </w:r>
    <w:r>
      <w:rPr>
        <w:sz w:val="21"/>
        <w:szCs w:val="21"/>
      </w:rPr>
      <w:t>2021</w:t>
    </w:r>
    <w:r>
      <w:rPr>
        <w:sz w:val="21"/>
        <w:szCs w:val="21"/>
      </w:rPr>
      <w:t>年第</w:t>
    </w:r>
    <w:r>
      <w:rPr>
        <w:sz w:val="21"/>
        <w:szCs w:val="21"/>
      </w:rPr>
      <w:t>2</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3D8E"/>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1006D"/>
    <w:rsid w:val="00711522"/>
    <w:rsid w:val="007124FE"/>
    <w:rsid w:val="00713186"/>
    <w:rsid w:val="00713757"/>
    <w:rsid w:val="0071425C"/>
    <w:rsid w:val="00716F79"/>
    <w:rsid w:val="00717772"/>
    <w:rsid w:val="007201FE"/>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260"/>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1404</Words>
  <Characters>8004</Characters>
  <Application>Microsoft Office Word</Application>
  <DocSecurity>0</DocSecurity>
  <Lines>66</Lines>
  <Paragraphs>18</Paragraphs>
  <ScaleCrop>false</ScaleCrop>
  <Company>TRT. Ltd. Co.</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Olivia.Gu@FA</cp:lastModifiedBy>
  <cp:revision>163</cp:revision>
  <cp:lastPrinted>2007-07-19T00:46:00Z</cp:lastPrinted>
  <dcterms:created xsi:type="dcterms:W3CDTF">2012-11-28T02:28:00Z</dcterms:created>
  <dcterms:modified xsi:type="dcterms:W3CDTF">2021-07-20T03:15:00Z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