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上投摩根标普港股通低波红利指数型证券投资基金</w:t>
      </w:r>
    </w:p>
    <w:p w:rsidR="00A960A3" w:rsidRDefault="005B4E3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2020年第2季度报告</w:t>
      </w:r>
    </w:p>
    <w:p w:rsidR="00A960A3" w:rsidRDefault="005B4E3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b/>
          <w:color w:val="000000" w:themeColor="text1"/>
          <w:sz w:val="36"/>
          <w:szCs w:val="36"/>
        </w:rPr>
        <w:t>2020年6月30日</w:t>
      </w: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jc w:val="center"/>
        <w:rPr>
          <w:rFonts w:asciiTheme="minorEastAsia" w:eastAsiaTheme="minorEastAsia" w:hAnsiTheme="minorEastAsia"/>
          <w:b/>
          <w:color w:val="000000" w:themeColor="text1"/>
          <w:sz w:val="24"/>
        </w:rPr>
      </w:pPr>
    </w:p>
    <w:p w:rsidR="00A960A3" w:rsidRDefault="00A960A3">
      <w:pPr>
        <w:spacing w:line="360" w:lineRule="auto"/>
        <w:rPr>
          <w:rFonts w:asciiTheme="minorEastAsia" w:eastAsiaTheme="minorEastAsia" w:hAnsiTheme="minorEastAsia"/>
          <w:b/>
          <w:color w:val="000000" w:themeColor="text1"/>
          <w:sz w:val="24"/>
        </w:rPr>
      </w:pPr>
    </w:p>
    <w:p w:rsidR="00A960A3" w:rsidRDefault="005B4E34">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基金管理人：</w:t>
      </w:r>
      <w:r>
        <w:rPr>
          <w:rFonts w:asciiTheme="minorEastAsia" w:eastAsiaTheme="minorEastAsia" w:hAnsiTheme="minorEastAsia"/>
          <w:b/>
          <w:color w:val="000000" w:themeColor="text1"/>
          <w:sz w:val="24"/>
        </w:rPr>
        <w:t>上投摩根基金管理有限公司</w:t>
      </w:r>
    </w:p>
    <w:p w:rsidR="00A960A3" w:rsidRDefault="005B4E34">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基金托管人：</w:t>
      </w:r>
      <w:r>
        <w:rPr>
          <w:rFonts w:asciiTheme="minorEastAsia" w:eastAsiaTheme="minorEastAsia" w:hAnsiTheme="minorEastAsia"/>
          <w:b/>
          <w:color w:val="000000" w:themeColor="text1"/>
          <w:sz w:val="24"/>
        </w:rPr>
        <w:t>中国银行股份有限公司</w:t>
      </w:r>
    </w:p>
    <w:p w:rsidR="00A960A3" w:rsidRDefault="005B4E34">
      <w:pPr>
        <w:spacing w:line="360" w:lineRule="auto"/>
        <w:ind w:firstLineChars="900" w:firstLine="2168"/>
        <w:rPr>
          <w:rFonts w:asciiTheme="minorEastAsia" w:eastAsiaTheme="minorEastAsia" w:hAnsiTheme="minorEastAsia"/>
          <w:b/>
          <w:color w:val="000000" w:themeColor="text1"/>
          <w:sz w:val="24"/>
        </w:rPr>
        <w:sectPr w:rsidR="00A960A3">
          <w:headerReference w:type="default" r:id="rId7"/>
          <w:footerReference w:type="default" r:id="rId8"/>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rPr>
        <w:t>报告</w:t>
      </w:r>
      <w:r>
        <w:rPr>
          <w:rFonts w:asciiTheme="minorEastAsia" w:eastAsiaTheme="minorEastAsia" w:hAnsiTheme="minorEastAsia"/>
          <w:b/>
          <w:color w:val="000000" w:themeColor="text1"/>
          <w:sz w:val="24"/>
        </w:rPr>
        <w:t>送出日期：二〇二〇年七月二十一日</w:t>
      </w:r>
    </w:p>
    <w:p w:rsidR="00A960A3" w:rsidRDefault="005B4E34" w:rsidP="009A3BD8">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w:t>
      </w:r>
      <w:r>
        <w:rPr>
          <w:rFonts w:asciiTheme="minorEastAsia" w:eastAsiaTheme="minorEastAsia" w:hAnsiTheme="minorEastAsia" w:cs="Arial"/>
          <w:color w:val="000000" w:themeColor="text1"/>
          <w:kern w:val="0"/>
          <w:sz w:val="24"/>
          <w:szCs w:val="24"/>
        </w:rPr>
        <w:t xml:space="preserve">1  </w:t>
      </w:r>
      <w:r>
        <w:rPr>
          <w:rFonts w:asciiTheme="minorEastAsia" w:eastAsiaTheme="minorEastAsia" w:hAnsiTheme="minorEastAsia" w:cs="Arial" w:hint="eastAsia"/>
          <w:color w:val="000000" w:themeColor="text1"/>
          <w:kern w:val="0"/>
          <w:sz w:val="24"/>
          <w:szCs w:val="24"/>
        </w:rPr>
        <w:t>重要提示</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基金管理人的董事会及董事保证本报告所载资料不存在虚假记载、误导性陈述或重大遗漏，并对其内容的真实性、准确性和完整性承担个别及连带责任。 </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基金托管人中国银行股份有限公司根据本基金合同规定，于2020年7月20日复核了本报告中的财务指标、净值表现和投资组合报告等内容，保证复核内容不存在虚假记载、误导性陈述或者重大遗漏。 </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基金管理人承诺以诚实信用、勤勉尽责的原则管理和运用基金资产，但不保证基金一定盈利。 </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基金的过往业绩并不代表其未来表现。投资有风险，投资者在作出投资决策前应仔细阅读本基金的招募说明书。 </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A960A3" w:rsidRDefault="005B4E3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本报告期自2020年4月1日起至6月30日止。</w:t>
      </w:r>
    </w:p>
    <w:p w:rsidR="00A30F47" w:rsidRDefault="00A30F47" w:rsidP="00A30F47">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2  </w:t>
      </w:r>
      <w:r>
        <w:rPr>
          <w:rFonts w:asciiTheme="minorEastAsia" w:eastAsiaTheme="minorEastAsia" w:hAnsiTheme="minorEastAsia" w:cs="Arial"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2785"/>
      </w:tblGrid>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基金简称</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上投摩根标普港股通低波红利指数</w:t>
            </w:r>
          </w:p>
        </w:tc>
      </w:tr>
      <w:tr w:rsidR="00A30F47" w:rsidTr="00D476D8">
        <w:tc>
          <w:tcPr>
            <w:tcW w:w="2835" w:type="dxa"/>
            <w:tcBorders>
              <w:top w:val="single" w:sz="4" w:space="0" w:color="auto"/>
              <w:left w:val="single" w:sz="4" w:space="0" w:color="auto"/>
              <w:bottom w:val="single" w:sz="4" w:space="0" w:color="auto"/>
              <w:right w:val="single" w:sz="4" w:space="0" w:color="auto"/>
            </w:tcBorders>
          </w:tcPr>
          <w:p w:rsidR="00A30F47" w:rsidRDefault="00A30F47" w:rsidP="00D476D8">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005051</w:t>
            </w:r>
          </w:p>
        </w:tc>
      </w:tr>
      <w:tr w:rsidR="00A30F47" w:rsidTr="00D476D8">
        <w:tc>
          <w:tcPr>
            <w:tcW w:w="2835" w:type="dxa"/>
            <w:tcBorders>
              <w:top w:val="single" w:sz="4" w:space="0" w:color="auto"/>
              <w:left w:val="single" w:sz="4" w:space="0" w:color="auto"/>
              <w:bottom w:val="single" w:sz="4" w:space="0" w:color="auto"/>
              <w:right w:val="single" w:sz="4" w:space="0" w:color="auto"/>
            </w:tcBorders>
          </w:tcPr>
          <w:p w:rsidR="00A30F47" w:rsidRDefault="00A30F47" w:rsidP="00D476D8">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交易代码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005051</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基金运作方式</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 xml:space="preserve">契约型开放式 </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基金合同生效日</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2017年12月4日</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报告期末基金份额总额</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494,572,249.23</w:t>
            </w:r>
            <w:r>
              <w:rPr>
                <w:rFonts w:asciiTheme="minorEastAsia" w:eastAsiaTheme="minorEastAsia" w:hAnsiTheme="minorEastAsia" w:hint="eastAsia"/>
                <w:color w:val="000000" w:themeColor="text1"/>
                <w:kern w:val="0"/>
                <w:sz w:val="24"/>
              </w:rPr>
              <w:t>份</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投资目标</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 xml:space="preserve">本基金进行被动式指数化投资，通过严格的投资纪律约束和数量化风险管理手段，力争控制本基金的净值增长率与业绩比较基准之间的日均跟踪偏离度不超过0.35%，年跟踪误差控制在4%以内，以实现对标的指数有效跟踪。 </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投资策略</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本基金通过完全复制策略进行被动式指数化投资，根据标普港股通低波红利指数成份股的基准权重</w:t>
            </w:r>
            <w:r>
              <w:rPr>
                <w:rFonts w:asciiTheme="minorEastAsia" w:eastAsiaTheme="minorEastAsia" w:hAnsiTheme="minorEastAsia"/>
                <w:color w:val="000000" w:themeColor="text1"/>
                <w:kern w:val="0"/>
                <w:sz w:val="24"/>
              </w:rPr>
              <w:lastRenderedPageBreak/>
              <w:t>构建股票资产组合，对于因法规限制、流动性限制而无法交易的成份股，将采用与被限制股预期收益率相近的股票或股票组合进行相应的替代。在买入过程中，本基金采取相应的交易策略降低建仓成本，力求跟踪误差最小化。在投资运作过程中，本基金以标的指数权重为标准配置个股，并根据成份股构成及其权重的变动进行动态调整。</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lastRenderedPageBreak/>
              <w:t>业绩比较基准</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95%×标普港股通低波红利指数收益率+ 5%×税后银行活期存款收益率</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风险收益特征</w:t>
            </w:r>
          </w:p>
        </w:tc>
        <w:tc>
          <w:tcPr>
            <w:tcW w:w="5479" w:type="dxa"/>
            <w:gridSpan w:val="2"/>
          </w:tcPr>
          <w:p w:rsidR="00984B61" w:rsidRDefault="0046553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本基金属于股票型基金产品，预期风险和收益水平高于混合型基金、债券型基金和货币市场基金，属于较高风险收益水平的基金产品。本基金将投资港股通标的股票，需承担汇率风险以及境外市场的风险。</w:t>
            </w:r>
          </w:p>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基金管理人</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上投摩根基金管理有限公司</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基金托管人</w:t>
            </w:r>
          </w:p>
        </w:tc>
        <w:tc>
          <w:tcPr>
            <w:tcW w:w="5479" w:type="dxa"/>
            <w:gridSpan w:val="2"/>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中国银行股份有限公司</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sz w:val="24"/>
              </w:rPr>
              <w:t>下属</w:t>
            </w:r>
            <w:r>
              <w:rPr>
                <w:rFonts w:eastAsiaTheme="minorEastAsia" w:hint="eastAsia"/>
                <w:color w:val="000000" w:themeColor="text1"/>
                <w:szCs w:val="21"/>
              </w:rPr>
              <w:t>分</w:t>
            </w:r>
            <w:r>
              <w:rPr>
                <w:rFonts w:asciiTheme="minorEastAsia" w:eastAsiaTheme="minorEastAsia" w:hAnsiTheme="minorEastAsia" w:hint="eastAsia"/>
                <w:color w:val="000000" w:themeColor="text1"/>
                <w:sz w:val="24"/>
              </w:rPr>
              <w:t>级基金的基金简称</w:t>
            </w:r>
          </w:p>
        </w:tc>
        <w:tc>
          <w:tcPr>
            <w:tcW w:w="2694" w:type="dxa"/>
            <w:vAlign w:val="center"/>
          </w:tcPr>
          <w:p w:rsidR="00A30F47" w:rsidRDefault="00A30F47" w:rsidP="00D476D8">
            <w:pPr>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上投摩根标普港股通低波红利指数A</w:t>
            </w:r>
          </w:p>
        </w:tc>
        <w:tc>
          <w:tcPr>
            <w:tcW w:w="2785" w:type="dxa"/>
            <w:vAlign w:val="center"/>
          </w:tcPr>
          <w:p w:rsidR="00A30F47" w:rsidRDefault="00A30F47" w:rsidP="00D476D8">
            <w:pPr>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上投摩根标普港股通低波红利指数C</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下属</w:t>
            </w:r>
            <w:r>
              <w:rPr>
                <w:rFonts w:eastAsiaTheme="minorEastAsia" w:hint="eastAsia"/>
                <w:color w:val="000000" w:themeColor="text1"/>
                <w:szCs w:val="21"/>
              </w:rPr>
              <w:t>分</w:t>
            </w:r>
            <w:r>
              <w:rPr>
                <w:rFonts w:asciiTheme="minorEastAsia" w:eastAsiaTheme="minorEastAsia" w:hAnsiTheme="minorEastAsia" w:hint="eastAsia"/>
                <w:color w:val="000000" w:themeColor="text1"/>
                <w:sz w:val="24"/>
              </w:rPr>
              <w:t>级基金的交易代码</w:t>
            </w:r>
          </w:p>
        </w:tc>
        <w:tc>
          <w:tcPr>
            <w:tcW w:w="2694" w:type="dxa"/>
            <w:vAlign w:val="center"/>
          </w:tcPr>
          <w:p w:rsidR="00A30F47" w:rsidRDefault="00A30F47" w:rsidP="00D476D8">
            <w:pPr>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005051</w:t>
            </w:r>
          </w:p>
        </w:tc>
        <w:tc>
          <w:tcPr>
            <w:tcW w:w="2785" w:type="dxa"/>
            <w:vAlign w:val="center"/>
          </w:tcPr>
          <w:p w:rsidR="00A30F47" w:rsidRDefault="00A30F47" w:rsidP="00D476D8">
            <w:pPr>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005052</w:t>
            </w:r>
          </w:p>
        </w:tc>
      </w:tr>
      <w:tr w:rsidR="00A30F47" w:rsidTr="00D476D8">
        <w:tc>
          <w:tcPr>
            <w:tcW w:w="2835" w:type="dxa"/>
          </w:tcPr>
          <w:p w:rsidR="00A30F47" w:rsidRDefault="00A30F47" w:rsidP="00D476D8">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报告期末下属</w:t>
            </w:r>
            <w:r>
              <w:rPr>
                <w:rFonts w:eastAsiaTheme="minorEastAsia" w:hint="eastAsia"/>
                <w:color w:val="000000" w:themeColor="text1"/>
                <w:szCs w:val="21"/>
              </w:rPr>
              <w:t>分</w:t>
            </w:r>
            <w:r>
              <w:rPr>
                <w:rFonts w:asciiTheme="minorEastAsia" w:eastAsiaTheme="minorEastAsia" w:hAnsiTheme="minorEastAsia" w:hint="eastAsia"/>
                <w:color w:val="000000" w:themeColor="text1"/>
                <w:sz w:val="24"/>
              </w:rPr>
              <w:t>级基金的份额总额</w:t>
            </w:r>
          </w:p>
        </w:tc>
        <w:tc>
          <w:tcPr>
            <w:tcW w:w="2694" w:type="dxa"/>
            <w:vAlign w:val="center"/>
          </w:tcPr>
          <w:p w:rsidR="00A30F47" w:rsidRDefault="00A30F47" w:rsidP="00D476D8">
            <w:pPr>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482,432,548.22</w:t>
            </w:r>
            <w:r>
              <w:rPr>
                <w:rFonts w:asciiTheme="minorEastAsia" w:eastAsiaTheme="minorEastAsia" w:hAnsiTheme="minorEastAsia" w:hint="eastAsia"/>
                <w:color w:val="000000" w:themeColor="text1"/>
                <w:kern w:val="0"/>
                <w:sz w:val="24"/>
              </w:rPr>
              <w:t>份</w:t>
            </w:r>
          </w:p>
        </w:tc>
        <w:tc>
          <w:tcPr>
            <w:tcW w:w="2785" w:type="dxa"/>
            <w:vAlign w:val="center"/>
          </w:tcPr>
          <w:p w:rsidR="00A30F47" w:rsidRDefault="00A30F47" w:rsidP="00D476D8">
            <w:pPr>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12,139,701.01</w:t>
            </w:r>
            <w:r>
              <w:rPr>
                <w:rFonts w:asciiTheme="minorEastAsia" w:eastAsiaTheme="minorEastAsia" w:hAnsiTheme="minorEastAsia" w:hint="eastAsia"/>
                <w:color w:val="000000" w:themeColor="text1"/>
                <w:kern w:val="0"/>
                <w:sz w:val="24"/>
              </w:rPr>
              <w:t>份</w:t>
            </w:r>
          </w:p>
        </w:tc>
      </w:tr>
    </w:tbl>
    <w:p w:rsidR="009A3BD8" w:rsidRDefault="009A3BD8" w:rsidP="009A3BD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lastRenderedPageBreak/>
        <w:t xml:space="preserve">§3  </w:t>
      </w:r>
      <w:r>
        <w:rPr>
          <w:rFonts w:eastAsiaTheme="minorEastAsia"/>
          <w:color w:val="000000" w:themeColor="text1"/>
          <w:kern w:val="0"/>
          <w:sz w:val="21"/>
          <w:szCs w:val="21"/>
        </w:rPr>
        <w:t>主要财务指标和基金净值表现</w:t>
      </w:r>
    </w:p>
    <w:p w:rsidR="009A3BD8" w:rsidRDefault="009A3BD8" w:rsidP="009A3BD8">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9A3BD8" w:rsidRDefault="009A3BD8" w:rsidP="009A3BD8">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A3BD8" w:rsidTr="00DA6FA7">
        <w:tc>
          <w:tcPr>
            <w:tcW w:w="3402" w:type="dxa"/>
            <w:vMerge w:val="restart"/>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9A3BD8" w:rsidRDefault="009A3BD8" w:rsidP="00DA6FA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9A3BD8" w:rsidRDefault="009A3BD8" w:rsidP="00DA6FA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9A3BD8" w:rsidTr="00DA6FA7">
        <w:tc>
          <w:tcPr>
            <w:tcW w:w="3402" w:type="dxa"/>
            <w:vMerge/>
            <w:vAlign w:val="center"/>
          </w:tcPr>
          <w:p w:rsidR="009A3BD8" w:rsidRDefault="009A3BD8" w:rsidP="00DA6FA7">
            <w:pPr>
              <w:adjustRightInd w:val="0"/>
              <w:spacing w:before="29" w:line="360" w:lineRule="auto"/>
              <w:ind w:left="17"/>
              <w:rPr>
                <w:rFonts w:eastAsiaTheme="minorEastAsia"/>
                <w:color w:val="000000" w:themeColor="text1"/>
                <w:kern w:val="0"/>
                <w:szCs w:val="21"/>
              </w:rPr>
            </w:pPr>
          </w:p>
        </w:tc>
        <w:tc>
          <w:tcPr>
            <w:tcW w:w="2481" w:type="dxa"/>
            <w:vAlign w:val="center"/>
          </w:tcPr>
          <w:p w:rsidR="009A3BD8" w:rsidRDefault="009A3BD8" w:rsidP="00DA6FA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上投摩根标普港股通低波红利指数</w:t>
            </w:r>
            <w:r>
              <w:rPr>
                <w:rFonts w:eastAsiaTheme="minorEastAsia"/>
                <w:color w:val="000000" w:themeColor="text1"/>
                <w:szCs w:val="21"/>
              </w:rPr>
              <w:t>A</w:t>
            </w:r>
          </w:p>
        </w:tc>
        <w:tc>
          <w:tcPr>
            <w:tcW w:w="2481" w:type="dxa"/>
            <w:vAlign w:val="center"/>
          </w:tcPr>
          <w:p w:rsidR="009A3BD8" w:rsidRDefault="009A3BD8" w:rsidP="00DA6FA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上投摩根标普港股通低波红利指数</w:t>
            </w:r>
            <w:r>
              <w:rPr>
                <w:rFonts w:eastAsiaTheme="minorEastAsia"/>
                <w:color w:val="000000" w:themeColor="text1"/>
                <w:szCs w:val="21"/>
              </w:rPr>
              <w:t>C</w:t>
            </w:r>
          </w:p>
        </w:tc>
      </w:tr>
      <w:tr w:rsidR="009A3BD8" w:rsidTr="00DA6FA7">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8,004,091.02</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164,618.77</w:t>
            </w:r>
          </w:p>
        </w:tc>
      </w:tr>
      <w:tr w:rsidR="009A3BD8" w:rsidTr="00DA6FA7">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-2,865,111.50</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-90,241.26</w:t>
            </w:r>
          </w:p>
        </w:tc>
      </w:tr>
      <w:tr w:rsidR="009A3BD8" w:rsidTr="00DA6FA7">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-0.0059</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-0.0095</w:t>
            </w:r>
          </w:p>
        </w:tc>
      </w:tr>
      <w:tr w:rsidR="009A3BD8" w:rsidTr="00DA6FA7">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387,787,636.91</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9,655,979.02</w:t>
            </w:r>
          </w:p>
        </w:tc>
      </w:tr>
      <w:tr w:rsidR="009A3BD8" w:rsidTr="00DA6FA7">
        <w:trPr>
          <w:trHeight w:val="158"/>
        </w:trPr>
        <w:tc>
          <w:tcPr>
            <w:tcW w:w="3402" w:type="dxa"/>
            <w:vAlign w:val="center"/>
          </w:tcPr>
          <w:p w:rsidR="009A3BD8" w:rsidRDefault="009A3BD8" w:rsidP="00DA6FA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0.8038</w:t>
            </w:r>
          </w:p>
        </w:tc>
        <w:tc>
          <w:tcPr>
            <w:tcW w:w="2481" w:type="dxa"/>
            <w:vAlign w:val="center"/>
          </w:tcPr>
          <w:p w:rsidR="009A3BD8" w:rsidRDefault="009A3BD8" w:rsidP="00DA6FA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0.7954</w:t>
            </w:r>
          </w:p>
        </w:tc>
      </w:tr>
    </w:tbl>
    <w:p w:rsidR="00984B61" w:rsidRDefault="0046553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9A3BD8" w:rsidRDefault="009A3BD8" w:rsidP="009A3BD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A3BD8" w:rsidRDefault="009A3BD8" w:rsidP="009A3BD8">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9A3BD8" w:rsidRDefault="009A3BD8" w:rsidP="009A3BD8">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9A3BD8" w:rsidRDefault="009A3BD8" w:rsidP="009A3BD8">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上投摩根标普港股通低波红利指数</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Tr="00DA6FA7">
        <w:tc>
          <w:tcPr>
            <w:tcW w:w="1290"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984B61">
        <w:tc>
          <w:tcPr>
            <w:tcW w:w="1290" w:type="dxa"/>
            <w:vAlign w:val="center"/>
          </w:tcPr>
          <w:p w:rsidR="00984B61" w:rsidRDefault="00465533">
            <w:pPr>
              <w:jc w:val="left"/>
            </w:pPr>
            <w:r>
              <w:rPr>
                <w:rFonts w:eastAsiaTheme="minorEastAsia"/>
                <w:color w:val="000000" w:themeColor="text1"/>
                <w:szCs w:val="21"/>
              </w:rPr>
              <w:t>过去三个月</w:t>
            </w:r>
          </w:p>
        </w:tc>
        <w:tc>
          <w:tcPr>
            <w:tcW w:w="1291" w:type="dxa"/>
            <w:vAlign w:val="center"/>
          </w:tcPr>
          <w:p w:rsidR="00984B61" w:rsidRDefault="00465533">
            <w:pPr>
              <w:jc w:val="right"/>
            </w:pPr>
            <w:r>
              <w:rPr>
                <w:rFonts w:eastAsiaTheme="minorEastAsia"/>
                <w:color w:val="000000" w:themeColor="text1"/>
                <w:szCs w:val="21"/>
              </w:rPr>
              <w:t>-0.79%</w:t>
            </w:r>
          </w:p>
        </w:tc>
        <w:tc>
          <w:tcPr>
            <w:tcW w:w="1291" w:type="dxa"/>
            <w:vAlign w:val="center"/>
          </w:tcPr>
          <w:p w:rsidR="00984B61" w:rsidRDefault="00465533">
            <w:pPr>
              <w:jc w:val="right"/>
            </w:pPr>
            <w:r>
              <w:rPr>
                <w:rFonts w:eastAsiaTheme="minorEastAsia"/>
                <w:color w:val="000000" w:themeColor="text1"/>
                <w:szCs w:val="21"/>
              </w:rPr>
              <w:t>1.35%</w:t>
            </w:r>
          </w:p>
        </w:tc>
        <w:tc>
          <w:tcPr>
            <w:tcW w:w="1291" w:type="dxa"/>
            <w:vAlign w:val="center"/>
          </w:tcPr>
          <w:p w:rsidR="00984B61" w:rsidRDefault="00465533">
            <w:pPr>
              <w:jc w:val="right"/>
            </w:pPr>
            <w:r>
              <w:rPr>
                <w:rFonts w:eastAsiaTheme="minorEastAsia"/>
                <w:color w:val="000000" w:themeColor="text1"/>
                <w:szCs w:val="21"/>
              </w:rPr>
              <w:t>-3.11%</w:t>
            </w:r>
          </w:p>
        </w:tc>
        <w:tc>
          <w:tcPr>
            <w:tcW w:w="1291" w:type="dxa"/>
            <w:vAlign w:val="center"/>
          </w:tcPr>
          <w:p w:rsidR="00984B61" w:rsidRDefault="00465533" w:rsidP="00D12A1F">
            <w:pPr>
              <w:jc w:val="right"/>
            </w:pPr>
            <w:r>
              <w:rPr>
                <w:rFonts w:eastAsiaTheme="minorEastAsia"/>
                <w:color w:val="000000" w:themeColor="text1"/>
                <w:szCs w:val="21"/>
              </w:rPr>
              <w:t>1.3</w:t>
            </w:r>
            <w:r w:rsidR="00D12A1F">
              <w:rPr>
                <w:rFonts w:eastAsiaTheme="minorEastAsia"/>
                <w:color w:val="000000" w:themeColor="text1"/>
                <w:szCs w:val="21"/>
              </w:rPr>
              <w:t>2</w:t>
            </w: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2.32%</w:t>
            </w:r>
          </w:p>
        </w:tc>
        <w:tc>
          <w:tcPr>
            <w:tcW w:w="1291" w:type="dxa"/>
            <w:vAlign w:val="center"/>
          </w:tcPr>
          <w:p w:rsidR="00984B61" w:rsidRDefault="00465533" w:rsidP="00D12A1F">
            <w:pPr>
              <w:jc w:val="right"/>
            </w:pPr>
            <w:r>
              <w:rPr>
                <w:rFonts w:eastAsiaTheme="minorEastAsia"/>
                <w:color w:val="000000" w:themeColor="text1"/>
                <w:szCs w:val="21"/>
              </w:rPr>
              <w:t>0.0</w:t>
            </w:r>
            <w:r w:rsidR="00D12A1F">
              <w:rPr>
                <w:rFonts w:eastAsiaTheme="minorEastAsia"/>
                <w:color w:val="000000" w:themeColor="text1"/>
                <w:szCs w:val="21"/>
              </w:rPr>
              <w:t>3</w:t>
            </w:r>
            <w:r>
              <w:rPr>
                <w:rFonts w:eastAsiaTheme="minorEastAsia"/>
                <w:color w:val="000000" w:themeColor="text1"/>
                <w:szCs w:val="21"/>
              </w:rPr>
              <w:t>%</w:t>
            </w:r>
          </w:p>
        </w:tc>
      </w:tr>
      <w:tr w:rsidR="00984B61">
        <w:tc>
          <w:tcPr>
            <w:tcW w:w="1290" w:type="dxa"/>
            <w:vAlign w:val="center"/>
          </w:tcPr>
          <w:p w:rsidR="00984B61" w:rsidRDefault="00465533">
            <w:pPr>
              <w:jc w:val="left"/>
            </w:pPr>
            <w:r>
              <w:rPr>
                <w:rFonts w:eastAsiaTheme="minorEastAsia"/>
                <w:color w:val="000000" w:themeColor="text1"/>
                <w:szCs w:val="21"/>
              </w:rPr>
              <w:t>过去六个月</w:t>
            </w:r>
          </w:p>
        </w:tc>
        <w:tc>
          <w:tcPr>
            <w:tcW w:w="1291" w:type="dxa"/>
            <w:vAlign w:val="center"/>
          </w:tcPr>
          <w:p w:rsidR="00984B61" w:rsidRDefault="00465533">
            <w:pPr>
              <w:jc w:val="right"/>
            </w:pPr>
            <w:r>
              <w:rPr>
                <w:rFonts w:eastAsiaTheme="minorEastAsia"/>
                <w:color w:val="000000" w:themeColor="text1"/>
                <w:szCs w:val="21"/>
              </w:rPr>
              <w:t>-18.56%</w:t>
            </w:r>
          </w:p>
        </w:tc>
        <w:tc>
          <w:tcPr>
            <w:tcW w:w="1291" w:type="dxa"/>
            <w:vAlign w:val="center"/>
          </w:tcPr>
          <w:p w:rsidR="00984B61" w:rsidRDefault="00465533">
            <w:pPr>
              <w:jc w:val="right"/>
            </w:pPr>
            <w:r>
              <w:rPr>
                <w:rFonts w:eastAsiaTheme="minorEastAsia"/>
                <w:color w:val="000000" w:themeColor="text1"/>
                <w:szCs w:val="21"/>
              </w:rPr>
              <w:t>1.72%</w:t>
            </w:r>
          </w:p>
        </w:tc>
        <w:tc>
          <w:tcPr>
            <w:tcW w:w="1291" w:type="dxa"/>
            <w:vAlign w:val="center"/>
          </w:tcPr>
          <w:p w:rsidR="00984B61" w:rsidRDefault="00465533">
            <w:pPr>
              <w:jc w:val="right"/>
            </w:pPr>
            <w:r>
              <w:rPr>
                <w:rFonts w:eastAsiaTheme="minorEastAsia"/>
                <w:color w:val="000000" w:themeColor="text1"/>
                <w:szCs w:val="21"/>
              </w:rPr>
              <w:t>-20.14%</w:t>
            </w:r>
          </w:p>
        </w:tc>
        <w:tc>
          <w:tcPr>
            <w:tcW w:w="1291" w:type="dxa"/>
            <w:vAlign w:val="center"/>
          </w:tcPr>
          <w:p w:rsidR="00984B61" w:rsidRDefault="00465533" w:rsidP="00D12A1F">
            <w:pPr>
              <w:jc w:val="right"/>
            </w:pPr>
            <w:r>
              <w:rPr>
                <w:rFonts w:eastAsiaTheme="minorEastAsia"/>
                <w:color w:val="000000" w:themeColor="text1"/>
                <w:szCs w:val="21"/>
              </w:rPr>
              <w:t>1.6</w:t>
            </w:r>
            <w:r w:rsidR="00D12A1F">
              <w:rPr>
                <w:rFonts w:eastAsiaTheme="minorEastAsia"/>
                <w:color w:val="000000" w:themeColor="text1"/>
                <w:szCs w:val="21"/>
              </w:rPr>
              <w:t>3</w:t>
            </w: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1.58%</w:t>
            </w:r>
          </w:p>
        </w:tc>
        <w:tc>
          <w:tcPr>
            <w:tcW w:w="1291" w:type="dxa"/>
            <w:vAlign w:val="center"/>
          </w:tcPr>
          <w:p w:rsidR="00984B61" w:rsidRDefault="00465533" w:rsidP="00D12A1F">
            <w:pPr>
              <w:jc w:val="right"/>
            </w:pPr>
            <w:r>
              <w:rPr>
                <w:rFonts w:eastAsiaTheme="minorEastAsia"/>
                <w:color w:val="000000" w:themeColor="text1"/>
                <w:szCs w:val="21"/>
              </w:rPr>
              <w:t>0.0</w:t>
            </w:r>
            <w:r w:rsidR="00D12A1F">
              <w:rPr>
                <w:rFonts w:eastAsiaTheme="minorEastAsia"/>
                <w:color w:val="000000" w:themeColor="text1"/>
                <w:szCs w:val="21"/>
              </w:rPr>
              <w:t>9</w:t>
            </w:r>
            <w:r>
              <w:rPr>
                <w:rFonts w:eastAsiaTheme="minorEastAsia"/>
                <w:color w:val="000000" w:themeColor="text1"/>
                <w:szCs w:val="21"/>
              </w:rPr>
              <w:t>%</w:t>
            </w:r>
          </w:p>
        </w:tc>
      </w:tr>
      <w:tr w:rsidR="00984B61">
        <w:tc>
          <w:tcPr>
            <w:tcW w:w="1290" w:type="dxa"/>
            <w:vAlign w:val="center"/>
          </w:tcPr>
          <w:p w:rsidR="00984B61" w:rsidRDefault="00465533">
            <w:pPr>
              <w:jc w:val="left"/>
            </w:pPr>
            <w:r>
              <w:rPr>
                <w:rFonts w:eastAsiaTheme="minorEastAsia"/>
                <w:color w:val="000000" w:themeColor="text1"/>
                <w:szCs w:val="21"/>
              </w:rPr>
              <w:t>过去一年</w:t>
            </w:r>
          </w:p>
        </w:tc>
        <w:tc>
          <w:tcPr>
            <w:tcW w:w="1291" w:type="dxa"/>
            <w:vAlign w:val="center"/>
          </w:tcPr>
          <w:p w:rsidR="00984B61" w:rsidRDefault="00465533">
            <w:pPr>
              <w:jc w:val="right"/>
            </w:pPr>
            <w:r>
              <w:rPr>
                <w:rFonts w:eastAsiaTheme="minorEastAsia"/>
                <w:color w:val="000000" w:themeColor="text1"/>
                <w:szCs w:val="21"/>
              </w:rPr>
              <w:t>-18.58%</w:t>
            </w:r>
          </w:p>
        </w:tc>
        <w:tc>
          <w:tcPr>
            <w:tcW w:w="1291" w:type="dxa"/>
            <w:vAlign w:val="center"/>
          </w:tcPr>
          <w:p w:rsidR="00984B61" w:rsidRDefault="00465533">
            <w:pPr>
              <w:jc w:val="right"/>
            </w:pPr>
            <w:r>
              <w:rPr>
                <w:rFonts w:eastAsiaTheme="minorEastAsia"/>
                <w:color w:val="000000" w:themeColor="text1"/>
                <w:szCs w:val="21"/>
              </w:rPr>
              <w:t>1.33%</w:t>
            </w:r>
          </w:p>
        </w:tc>
        <w:tc>
          <w:tcPr>
            <w:tcW w:w="1291" w:type="dxa"/>
            <w:vAlign w:val="center"/>
          </w:tcPr>
          <w:p w:rsidR="00984B61" w:rsidRDefault="00465533">
            <w:pPr>
              <w:jc w:val="right"/>
            </w:pPr>
            <w:r>
              <w:rPr>
                <w:rFonts w:eastAsiaTheme="minorEastAsia"/>
                <w:color w:val="000000" w:themeColor="text1"/>
                <w:szCs w:val="21"/>
              </w:rPr>
              <w:t>-19.93%</w:t>
            </w:r>
          </w:p>
        </w:tc>
        <w:tc>
          <w:tcPr>
            <w:tcW w:w="1291" w:type="dxa"/>
            <w:vAlign w:val="center"/>
          </w:tcPr>
          <w:p w:rsidR="00984B61" w:rsidRDefault="00465533">
            <w:pPr>
              <w:jc w:val="right"/>
            </w:pPr>
            <w:r>
              <w:rPr>
                <w:rFonts w:eastAsiaTheme="minorEastAsia"/>
                <w:color w:val="000000" w:themeColor="text1"/>
                <w:szCs w:val="21"/>
              </w:rPr>
              <w:t>1.26%</w:t>
            </w:r>
          </w:p>
        </w:tc>
        <w:tc>
          <w:tcPr>
            <w:tcW w:w="1291" w:type="dxa"/>
            <w:vAlign w:val="center"/>
          </w:tcPr>
          <w:p w:rsidR="00984B61" w:rsidRDefault="00465533">
            <w:pPr>
              <w:jc w:val="right"/>
            </w:pPr>
            <w:r>
              <w:rPr>
                <w:rFonts w:eastAsiaTheme="minorEastAsia"/>
                <w:color w:val="000000" w:themeColor="text1"/>
                <w:szCs w:val="21"/>
              </w:rPr>
              <w:t>1.35%</w:t>
            </w:r>
          </w:p>
        </w:tc>
        <w:tc>
          <w:tcPr>
            <w:tcW w:w="1291" w:type="dxa"/>
            <w:vAlign w:val="center"/>
          </w:tcPr>
          <w:p w:rsidR="00984B61" w:rsidRDefault="00465533">
            <w:pPr>
              <w:jc w:val="right"/>
            </w:pPr>
            <w:r>
              <w:rPr>
                <w:rFonts w:eastAsiaTheme="minorEastAsia"/>
                <w:color w:val="000000" w:themeColor="text1"/>
                <w:szCs w:val="21"/>
              </w:rPr>
              <w:t>0.07%</w:t>
            </w:r>
          </w:p>
        </w:tc>
      </w:tr>
      <w:tr w:rsidR="00984B61">
        <w:tc>
          <w:tcPr>
            <w:tcW w:w="1290" w:type="dxa"/>
            <w:vAlign w:val="center"/>
          </w:tcPr>
          <w:p w:rsidR="00984B61" w:rsidRDefault="00465533">
            <w:pPr>
              <w:jc w:val="left"/>
            </w:pPr>
            <w:r>
              <w:rPr>
                <w:rFonts w:eastAsiaTheme="minorEastAsia"/>
                <w:color w:val="000000" w:themeColor="text1"/>
                <w:szCs w:val="21"/>
              </w:rPr>
              <w:t>过去三年</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r>
      <w:tr w:rsidR="00984B61">
        <w:tc>
          <w:tcPr>
            <w:tcW w:w="1290" w:type="dxa"/>
            <w:vAlign w:val="center"/>
          </w:tcPr>
          <w:p w:rsidR="00984B61" w:rsidRDefault="00465533">
            <w:pPr>
              <w:jc w:val="left"/>
            </w:pPr>
            <w:r>
              <w:rPr>
                <w:rFonts w:eastAsiaTheme="minorEastAsia"/>
                <w:color w:val="000000" w:themeColor="text1"/>
                <w:szCs w:val="21"/>
              </w:rPr>
              <w:t>过去五年</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w:t>
            </w:r>
          </w:p>
        </w:tc>
      </w:tr>
      <w:tr w:rsidR="00984B61">
        <w:tc>
          <w:tcPr>
            <w:tcW w:w="1290" w:type="dxa"/>
            <w:vAlign w:val="center"/>
          </w:tcPr>
          <w:p w:rsidR="00984B61" w:rsidRDefault="00465533">
            <w:pPr>
              <w:jc w:val="left"/>
            </w:pPr>
            <w:r>
              <w:rPr>
                <w:rFonts w:eastAsiaTheme="minorEastAsia"/>
                <w:color w:val="000000" w:themeColor="text1"/>
                <w:szCs w:val="21"/>
              </w:rPr>
              <w:t>自基金合同生效起至今</w:t>
            </w:r>
          </w:p>
        </w:tc>
        <w:tc>
          <w:tcPr>
            <w:tcW w:w="1291" w:type="dxa"/>
            <w:vAlign w:val="center"/>
          </w:tcPr>
          <w:p w:rsidR="00984B61" w:rsidRDefault="00465533">
            <w:pPr>
              <w:jc w:val="right"/>
            </w:pPr>
            <w:r>
              <w:rPr>
                <w:rFonts w:eastAsiaTheme="minorEastAsia"/>
                <w:color w:val="000000" w:themeColor="text1"/>
                <w:szCs w:val="21"/>
              </w:rPr>
              <w:t>-19.62%</w:t>
            </w:r>
          </w:p>
        </w:tc>
        <w:tc>
          <w:tcPr>
            <w:tcW w:w="1291" w:type="dxa"/>
            <w:vAlign w:val="center"/>
          </w:tcPr>
          <w:p w:rsidR="00984B61" w:rsidRDefault="00465533">
            <w:pPr>
              <w:jc w:val="right"/>
            </w:pPr>
            <w:r>
              <w:rPr>
                <w:rFonts w:eastAsiaTheme="minorEastAsia"/>
                <w:color w:val="000000" w:themeColor="text1"/>
                <w:szCs w:val="21"/>
              </w:rPr>
              <w:t>1.06%</w:t>
            </w:r>
          </w:p>
        </w:tc>
        <w:tc>
          <w:tcPr>
            <w:tcW w:w="1291" w:type="dxa"/>
            <w:vAlign w:val="center"/>
          </w:tcPr>
          <w:p w:rsidR="00984B61" w:rsidRDefault="00465533">
            <w:pPr>
              <w:jc w:val="right"/>
            </w:pPr>
            <w:r>
              <w:rPr>
                <w:rFonts w:eastAsiaTheme="minorEastAsia"/>
                <w:color w:val="000000" w:themeColor="text1"/>
                <w:szCs w:val="21"/>
              </w:rPr>
              <w:t>-22.95%</w:t>
            </w:r>
          </w:p>
        </w:tc>
        <w:tc>
          <w:tcPr>
            <w:tcW w:w="1291" w:type="dxa"/>
            <w:vAlign w:val="center"/>
          </w:tcPr>
          <w:p w:rsidR="00984B61" w:rsidRDefault="00465533" w:rsidP="00E26527">
            <w:pPr>
              <w:jc w:val="right"/>
            </w:pPr>
            <w:r>
              <w:rPr>
                <w:rFonts w:eastAsiaTheme="minorEastAsia"/>
                <w:color w:val="000000" w:themeColor="text1"/>
                <w:szCs w:val="21"/>
              </w:rPr>
              <w:t>1.0</w:t>
            </w:r>
            <w:r w:rsidR="00E26527">
              <w:rPr>
                <w:rFonts w:eastAsiaTheme="minorEastAsia"/>
                <w:color w:val="000000" w:themeColor="text1"/>
                <w:szCs w:val="21"/>
              </w:rPr>
              <w:t>3</w:t>
            </w:r>
            <w:r>
              <w:rPr>
                <w:rFonts w:eastAsiaTheme="minorEastAsia"/>
                <w:color w:val="000000" w:themeColor="text1"/>
                <w:szCs w:val="21"/>
              </w:rPr>
              <w:t>%</w:t>
            </w:r>
          </w:p>
        </w:tc>
        <w:tc>
          <w:tcPr>
            <w:tcW w:w="1291" w:type="dxa"/>
            <w:vAlign w:val="center"/>
          </w:tcPr>
          <w:p w:rsidR="00984B61" w:rsidRDefault="00465533">
            <w:pPr>
              <w:jc w:val="right"/>
            </w:pPr>
            <w:r>
              <w:rPr>
                <w:rFonts w:eastAsiaTheme="minorEastAsia"/>
                <w:color w:val="000000" w:themeColor="text1"/>
                <w:szCs w:val="21"/>
              </w:rPr>
              <w:t>3.33%</w:t>
            </w:r>
          </w:p>
        </w:tc>
        <w:tc>
          <w:tcPr>
            <w:tcW w:w="1291" w:type="dxa"/>
            <w:vAlign w:val="center"/>
          </w:tcPr>
          <w:p w:rsidR="00984B61" w:rsidRDefault="00465533" w:rsidP="00E26527">
            <w:pPr>
              <w:jc w:val="right"/>
            </w:pPr>
            <w:r>
              <w:rPr>
                <w:rFonts w:eastAsiaTheme="minorEastAsia"/>
                <w:color w:val="000000" w:themeColor="text1"/>
                <w:szCs w:val="21"/>
              </w:rPr>
              <w:t>0.0</w:t>
            </w:r>
            <w:r w:rsidR="00E26527">
              <w:rPr>
                <w:rFonts w:eastAsiaTheme="minorEastAsia"/>
                <w:color w:val="000000" w:themeColor="text1"/>
                <w:szCs w:val="21"/>
              </w:rPr>
              <w:t>3</w:t>
            </w:r>
            <w:r>
              <w:rPr>
                <w:rFonts w:eastAsiaTheme="minorEastAsia"/>
                <w:color w:val="000000" w:themeColor="text1"/>
                <w:szCs w:val="21"/>
              </w:rPr>
              <w:t>%</w:t>
            </w:r>
          </w:p>
        </w:tc>
      </w:tr>
    </w:tbl>
    <w:p w:rsidR="009A3BD8" w:rsidRDefault="009A3BD8" w:rsidP="009A3BD8">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上投摩根标普港股通低波红利指数</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Tr="00DA6FA7">
        <w:tc>
          <w:tcPr>
            <w:tcW w:w="1290"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lastRenderedPageBreak/>
              <w:t>阶段</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9A3BD8" w:rsidRDefault="009A3BD8" w:rsidP="00DA6FA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D12A1F">
        <w:tc>
          <w:tcPr>
            <w:tcW w:w="1290" w:type="dxa"/>
            <w:vAlign w:val="center"/>
          </w:tcPr>
          <w:p w:rsidR="00D12A1F" w:rsidRDefault="00D12A1F" w:rsidP="00D12A1F">
            <w:pPr>
              <w:jc w:val="left"/>
            </w:pPr>
            <w:r>
              <w:rPr>
                <w:rFonts w:eastAsiaTheme="minorEastAsia"/>
                <w:color w:val="000000" w:themeColor="text1"/>
                <w:szCs w:val="21"/>
              </w:rPr>
              <w:t>过去三个月</w:t>
            </w:r>
          </w:p>
        </w:tc>
        <w:tc>
          <w:tcPr>
            <w:tcW w:w="1291" w:type="dxa"/>
            <w:vAlign w:val="center"/>
          </w:tcPr>
          <w:p w:rsidR="00D12A1F" w:rsidRDefault="00D12A1F" w:rsidP="00D12A1F">
            <w:pPr>
              <w:jc w:val="right"/>
            </w:pPr>
            <w:r>
              <w:rPr>
                <w:rFonts w:eastAsiaTheme="minorEastAsia"/>
                <w:color w:val="000000" w:themeColor="text1"/>
                <w:szCs w:val="21"/>
              </w:rPr>
              <w:t>-0.91%</w:t>
            </w:r>
          </w:p>
        </w:tc>
        <w:tc>
          <w:tcPr>
            <w:tcW w:w="1291" w:type="dxa"/>
            <w:vAlign w:val="center"/>
          </w:tcPr>
          <w:p w:rsidR="00D12A1F" w:rsidRDefault="00D12A1F" w:rsidP="00D12A1F">
            <w:pPr>
              <w:jc w:val="right"/>
            </w:pPr>
            <w:r>
              <w:rPr>
                <w:rFonts w:eastAsiaTheme="minorEastAsia"/>
                <w:color w:val="000000" w:themeColor="text1"/>
                <w:szCs w:val="21"/>
              </w:rPr>
              <w:t>1.34%</w:t>
            </w:r>
          </w:p>
        </w:tc>
        <w:tc>
          <w:tcPr>
            <w:tcW w:w="1291" w:type="dxa"/>
            <w:vAlign w:val="center"/>
          </w:tcPr>
          <w:p w:rsidR="00D12A1F" w:rsidRDefault="00D12A1F" w:rsidP="00D12A1F">
            <w:pPr>
              <w:jc w:val="right"/>
            </w:pPr>
            <w:r>
              <w:rPr>
                <w:rFonts w:eastAsiaTheme="minorEastAsia"/>
                <w:color w:val="000000" w:themeColor="text1"/>
                <w:szCs w:val="21"/>
              </w:rPr>
              <w:t>-3.11%</w:t>
            </w:r>
          </w:p>
        </w:tc>
        <w:tc>
          <w:tcPr>
            <w:tcW w:w="1291" w:type="dxa"/>
            <w:vAlign w:val="center"/>
          </w:tcPr>
          <w:p w:rsidR="00D12A1F" w:rsidRDefault="00D12A1F" w:rsidP="00D12A1F">
            <w:pPr>
              <w:jc w:val="right"/>
            </w:pPr>
            <w:r>
              <w:rPr>
                <w:rFonts w:eastAsiaTheme="minorEastAsia"/>
                <w:color w:val="000000" w:themeColor="text1"/>
                <w:szCs w:val="21"/>
              </w:rPr>
              <w:t>1.32%</w:t>
            </w:r>
          </w:p>
        </w:tc>
        <w:tc>
          <w:tcPr>
            <w:tcW w:w="1291" w:type="dxa"/>
            <w:vAlign w:val="center"/>
          </w:tcPr>
          <w:p w:rsidR="00D12A1F" w:rsidRDefault="00D12A1F" w:rsidP="00D12A1F">
            <w:pPr>
              <w:jc w:val="right"/>
            </w:pPr>
            <w:r>
              <w:rPr>
                <w:rFonts w:eastAsiaTheme="minorEastAsia"/>
                <w:color w:val="000000" w:themeColor="text1"/>
                <w:szCs w:val="21"/>
              </w:rPr>
              <w:t>2.20%</w:t>
            </w:r>
          </w:p>
        </w:tc>
        <w:tc>
          <w:tcPr>
            <w:tcW w:w="1291" w:type="dxa"/>
            <w:vAlign w:val="center"/>
          </w:tcPr>
          <w:p w:rsidR="00D12A1F" w:rsidRDefault="00D12A1F" w:rsidP="00BB11F7">
            <w:pPr>
              <w:jc w:val="right"/>
            </w:pPr>
            <w:r>
              <w:rPr>
                <w:rFonts w:eastAsiaTheme="minorEastAsia"/>
                <w:color w:val="000000" w:themeColor="text1"/>
                <w:szCs w:val="21"/>
              </w:rPr>
              <w:t>0.0</w:t>
            </w:r>
            <w:r w:rsidR="00BB11F7">
              <w:rPr>
                <w:rFonts w:eastAsiaTheme="minorEastAsia"/>
                <w:color w:val="000000" w:themeColor="text1"/>
                <w:szCs w:val="21"/>
              </w:rPr>
              <w:t>2</w:t>
            </w:r>
            <w:r>
              <w:rPr>
                <w:rFonts w:eastAsiaTheme="minorEastAsia"/>
                <w:color w:val="000000" w:themeColor="text1"/>
                <w:szCs w:val="21"/>
              </w:rPr>
              <w:t>%</w:t>
            </w:r>
          </w:p>
        </w:tc>
      </w:tr>
      <w:tr w:rsidR="00D12A1F">
        <w:tc>
          <w:tcPr>
            <w:tcW w:w="1290" w:type="dxa"/>
            <w:vAlign w:val="center"/>
          </w:tcPr>
          <w:p w:rsidR="00D12A1F" w:rsidRDefault="00D12A1F" w:rsidP="00D12A1F">
            <w:pPr>
              <w:jc w:val="left"/>
            </w:pPr>
            <w:r>
              <w:rPr>
                <w:rFonts w:eastAsiaTheme="minorEastAsia"/>
                <w:color w:val="000000" w:themeColor="text1"/>
                <w:szCs w:val="21"/>
              </w:rPr>
              <w:t>过去六个月</w:t>
            </w:r>
          </w:p>
        </w:tc>
        <w:tc>
          <w:tcPr>
            <w:tcW w:w="1291" w:type="dxa"/>
            <w:vAlign w:val="center"/>
          </w:tcPr>
          <w:p w:rsidR="00D12A1F" w:rsidRDefault="00D12A1F" w:rsidP="00D12A1F">
            <w:pPr>
              <w:jc w:val="right"/>
            </w:pPr>
            <w:r>
              <w:rPr>
                <w:rFonts w:eastAsiaTheme="minorEastAsia"/>
                <w:color w:val="000000" w:themeColor="text1"/>
                <w:szCs w:val="21"/>
              </w:rPr>
              <w:t>-18.76%</w:t>
            </w:r>
          </w:p>
        </w:tc>
        <w:tc>
          <w:tcPr>
            <w:tcW w:w="1291" w:type="dxa"/>
            <w:vAlign w:val="center"/>
          </w:tcPr>
          <w:p w:rsidR="00D12A1F" w:rsidRDefault="00D12A1F" w:rsidP="00D12A1F">
            <w:pPr>
              <w:jc w:val="right"/>
            </w:pPr>
            <w:r>
              <w:rPr>
                <w:rFonts w:eastAsiaTheme="minorEastAsia"/>
                <w:color w:val="000000" w:themeColor="text1"/>
                <w:szCs w:val="21"/>
              </w:rPr>
              <w:t>1.72%</w:t>
            </w:r>
          </w:p>
        </w:tc>
        <w:tc>
          <w:tcPr>
            <w:tcW w:w="1291" w:type="dxa"/>
            <w:vAlign w:val="center"/>
          </w:tcPr>
          <w:p w:rsidR="00D12A1F" w:rsidRDefault="00D12A1F" w:rsidP="00D12A1F">
            <w:pPr>
              <w:jc w:val="right"/>
            </w:pPr>
            <w:r>
              <w:rPr>
                <w:rFonts w:eastAsiaTheme="minorEastAsia"/>
                <w:color w:val="000000" w:themeColor="text1"/>
                <w:szCs w:val="21"/>
              </w:rPr>
              <w:t>-20.14%</w:t>
            </w:r>
          </w:p>
        </w:tc>
        <w:tc>
          <w:tcPr>
            <w:tcW w:w="1291" w:type="dxa"/>
            <w:vAlign w:val="center"/>
          </w:tcPr>
          <w:p w:rsidR="00D12A1F" w:rsidRDefault="00D12A1F" w:rsidP="00D12A1F">
            <w:pPr>
              <w:jc w:val="right"/>
            </w:pPr>
            <w:r>
              <w:rPr>
                <w:rFonts w:eastAsiaTheme="minorEastAsia"/>
                <w:color w:val="000000" w:themeColor="text1"/>
                <w:szCs w:val="21"/>
              </w:rPr>
              <w:t>1.63%</w:t>
            </w:r>
          </w:p>
        </w:tc>
        <w:tc>
          <w:tcPr>
            <w:tcW w:w="1291" w:type="dxa"/>
            <w:vAlign w:val="center"/>
          </w:tcPr>
          <w:p w:rsidR="00D12A1F" w:rsidRDefault="00D12A1F" w:rsidP="00D12A1F">
            <w:pPr>
              <w:jc w:val="right"/>
            </w:pPr>
            <w:r>
              <w:rPr>
                <w:rFonts w:eastAsiaTheme="minorEastAsia"/>
                <w:color w:val="000000" w:themeColor="text1"/>
                <w:szCs w:val="21"/>
              </w:rPr>
              <w:t>1.38%</w:t>
            </w:r>
          </w:p>
        </w:tc>
        <w:tc>
          <w:tcPr>
            <w:tcW w:w="1291" w:type="dxa"/>
            <w:vAlign w:val="center"/>
          </w:tcPr>
          <w:p w:rsidR="00D12A1F" w:rsidRDefault="00D12A1F" w:rsidP="00D12A1F">
            <w:pPr>
              <w:jc w:val="right"/>
            </w:pPr>
            <w:r>
              <w:rPr>
                <w:rFonts w:eastAsiaTheme="minorEastAsia"/>
                <w:color w:val="000000" w:themeColor="text1"/>
                <w:szCs w:val="21"/>
              </w:rPr>
              <w:t>0.09%</w:t>
            </w:r>
          </w:p>
        </w:tc>
      </w:tr>
      <w:tr w:rsidR="00D12A1F">
        <w:tc>
          <w:tcPr>
            <w:tcW w:w="1290" w:type="dxa"/>
            <w:vAlign w:val="center"/>
          </w:tcPr>
          <w:p w:rsidR="00D12A1F" w:rsidRDefault="00D12A1F" w:rsidP="00D12A1F">
            <w:pPr>
              <w:jc w:val="left"/>
            </w:pPr>
            <w:r>
              <w:rPr>
                <w:rFonts w:eastAsiaTheme="minorEastAsia"/>
                <w:color w:val="000000" w:themeColor="text1"/>
                <w:szCs w:val="21"/>
              </w:rPr>
              <w:t>过去一年</w:t>
            </w:r>
          </w:p>
        </w:tc>
        <w:tc>
          <w:tcPr>
            <w:tcW w:w="1291" w:type="dxa"/>
            <w:vAlign w:val="center"/>
          </w:tcPr>
          <w:p w:rsidR="00D12A1F" w:rsidRDefault="00D12A1F" w:rsidP="00D12A1F">
            <w:pPr>
              <w:jc w:val="right"/>
            </w:pPr>
            <w:r>
              <w:rPr>
                <w:rFonts w:eastAsiaTheme="minorEastAsia"/>
                <w:color w:val="000000" w:themeColor="text1"/>
                <w:szCs w:val="21"/>
              </w:rPr>
              <w:t>-18.90%</w:t>
            </w:r>
          </w:p>
        </w:tc>
        <w:tc>
          <w:tcPr>
            <w:tcW w:w="1291" w:type="dxa"/>
            <w:vAlign w:val="center"/>
          </w:tcPr>
          <w:p w:rsidR="00D12A1F" w:rsidRDefault="00D12A1F" w:rsidP="00D12A1F">
            <w:pPr>
              <w:jc w:val="right"/>
            </w:pPr>
            <w:r>
              <w:rPr>
                <w:rFonts w:eastAsiaTheme="minorEastAsia"/>
                <w:color w:val="000000" w:themeColor="text1"/>
                <w:szCs w:val="21"/>
              </w:rPr>
              <w:t>1.33%</w:t>
            </w:r>
          </w:p>
        </w:tc>
        <w:tc>
          <w:tcPr>
            <w:tcW w:w="1291" w:type="dxa"/>
            <w:vAlign w:val="center"/>
          </w:tcPr>
          <w:p w:rsidR="00D12A1F" w:rsidRDefault="00D12A1F" w:rsidP="00D12A1F">
            <w:pPr>
              <w:jc w:val="right"/>
            </w:pPr>
            <w:r>
              <w:rPr>
                <w:rFonts w:eastAsiaTheme="minorEastAsia"/>
                <w:color w:val="000000" w:themeColor="text1"/>
                <w:szCs w:val="21"/>
              </w:rPr>
              <w:t>-19.93%</w:t>
            </w:r>
          </w:p>
        </w:tc>
        <w:tc>
          <w:tcPr>
            <w:tcW w:w="1291" w:type="dxa"/>
            <w:vAlign w:val="center"/>
          </w:tcPr>
          <w:p w:rsidR="00D12A1F" w:rsidRDefault="00D12A1F" w:rsidP="00D12A1F">
            <w:pPr>
              <w:jc w:val="right"/>
            </w:pPr>
            <w:r>
              <w:rPr>
                <w:rFonts w:eastAsiaTheme="minorEastAsia"/>
                <w:color w:val="000000" w:themeColor="text1"/>
                <w:szCs w:val="21"/>
              </w:rPr>
              <w:t>1.26%</w:t>
            </w:r>
          </w:p>
        </w:tc>
        <w:tc>
          <w:tcPr>
            <w:tcW w:w="1291" w:type="dxa"/>
            <w:vAlign w:val="center"/>
          </w:tcPr>
          <w:p w:rsidR="00D12A1F" w:rsidRDefault="00D12A1F" w:rsidP="00D12A1F">
            <w:pPr>
              <w:jc w:val="right"/>
            </w:pPr>
            <w:r>
              <w:rPr>
                <w:rFonts w:eastAsiaTheme="minorEastAsia"/>
                <w:color w:val="000000" w:themeColor="text1"/>
                <w:szCs w:val="21"/>
              </w:rPr>
              <w:t>1.03%</w:t>
            </w:r>
          </w:p>
        </w:tc>
        <w:tc>
          <w:tcPr>
            <w:tcW w:w="1291" w:type="dxa"/>
            <w:vAlign w:val="center"/>
          </w:tcPr>
          <w:p w:rsidR="00D12A1F" w:rsidRDefault="00D12A1F" w:rsidP="00D12A1F">
            <w:pPr>
              <w:jc w:val="right"/>
            </w:pPr>
            <w:r>
              <w:rPr>
                <w:rFonts w:eastAsiaTheme="minorEastAsia"/>
                <w:color w:val="000000" w:themeColor="text1"/>
                <w:szCs w:val="21"/>
              </w:rPr>
              <w:t>0.07%</w:t>
            </w:r>
          </w:p>
        </w:tc>
      </w:tr>
      <w:tr w:rsidR="00D12A1F">
        <w:tc>
          <w:tcPr>
            <w:tcW w:w="1290" w:type="dxa"/>
            <w:vAlign w:val="center"/>
          </w:tcPr>
          <w:p w:rsidR="00D12A1F" w:rsidRDefault="00D12A1F" w:rsidP="00D12A1F">
            <w:pPr>
              <w:jc w:val="left"/>
            </w:pPr>
            <w:r>
              <w:rPr>
                <w:rFonts w:eastAsiaTheme="minorEastAsia"/>
                <w:color w:val="000000" w:themeColor="text1"/>
                <w:szCs w:val="21"/>
              </w:rPr>
              <w:t>过去三年</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r>
      <w:tr w:rsidR="00D12A1F">
        <w:tc>
          <w:tcPr>
            <w:tcW w:w="1290" w:type="dxa"/>
            <w:vAlign w:val="center"/>
          </w:tcPr>
          <w:p w:rsidR="00D12A1F" w:rsidRDefault="00D12A1F" w:rsidP="00D12A1F">
            <w:pPr>
              <w:jc w:val="left"/>
            </w:pPr>
            <w:r>
              <w:rPr>
                <w:rFonts w:eastAsiaTheme="minorEastAsia"/>
                <w:color w:val="000000" w:themeColor="text1"/>
                <w:szCs w:val="21"/>
              </w:rPr>
              <w:t>过去五年</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c>
          <w:tcPr>
            <w:tcW w:w="1291" w:type="dxa"/>
            <w:vAlign w:val="center"/>
          </w:tcPr>
          <w:p w:rsidR="00D12A1F" w:rsidRDefault="00D12A1F" w:rsidP="00D12A1F">
            <w:pPr>
              <w:jc w:val="right"/>
            </w:pPr>
            <w:r>
              <w:rPr>
                <w:rFonts w:eastAsiaTheme="minorEastAsia"/>
                <w:color w:val="000000" w:themeColor="text1"/>
                <w:szCs w:val="21"/>
              </w:rPr>
              <w:t>-</w:t>
            </w:r>
          </w:p>
        </w:tc>
      </w:tr>
      <w:tr w:rsidR="00D12A1F">
        <w:tc>
          <w:tcPr>
            <w:tcW w:w="1290" w:type="dxa"/>
            <w:vAlign w:val="center"/>
          </w:tcPr>
          <w:p w:rsidR="00D12A1F" w:rsidRDefault="00D12A1F" w:rsidP="00D12A1F">
            <w:pPr>
              <w:jc w:val="left"/>
            </w:pPr>
            <w:r>
              <w:rPr>
                <w:rFonts w:eastAsiaTheme="minorEastAsia"/>
                <w:color w:val="000000" w:themeColor="text1"/>
                <w:szCs w:val="21"/>
              </w:rPr>
              <w:t>自基金合同生效起至今</w:t>
            </w:r>
          </w:p>
        </w:tc>
        <w:tc>
          <w:tcPr>
            <w:tcW w:w="1291" w:type="dxa"/>
            <w:vAlign w:val="center"/>
          </w:tcPr>
          <w:p w:rsidR="00D12A1F" w:rsidRDefault="00D12A1F" w:rsidP="00D12A1F">
            <w:pPr>
              <w:jc w:val="right"/>
            </w:pPr>
            <w:r>
              <w:rPr>
                <w:rFonts w:eastAsiaTheme="minorEastAsia"/>
                <w:color w:val="000000" w:themeColor="text1"/>
                <w:szCs w:val="21"/>
              </w:rPr>
              <w:t>-20.46%</w:t>
            </w:r>
          </w:p>
        </w:tc>
        <w:tc>
          <w:tcPr>
            <w:tcW w:w="1291" w:type="dxa"/>
            <w:vAlign w:val="center"/>
          </w:tcPr>
          <w:p w:rsidR="00D12A1F" w:rsidRDefault="00D12A1F" w:rsidP="00D12A1F">
            <w:pPr>
              <w:jc w:val="right"/>
            </w:pPr>
            <w:r>
              <w:rPr>
                <w:rFonts w:eastAsiaTheme="minorEastAsia"/>
                <w:color w:val="000000" w:themeColor="text1"/>
                <w:szCs w:val="21"/>
              </w:rPr>
              <w:t>1.06%</w:t>
            </w:r>
          </w:p>
        </w:tc>
        <w:tc>
          <w:tcPr>
            <w:tcW w:w="1291" w:type="dxa"/>
            <w:vAlign w:val="center"/>
          </w:tcPr>
          <w:p w:rsidR="00D12A1F" w:rsidRDefault="00D12A1F" w:rsidP="00D12A1F">
            <w:pPr>
              <w:jc w:val="right"/>
            </w:pPr>
            <w:r>
              <w:rPr>
                <w:rFonts w:eastAsiaTheme="minorEastAsia"/>
                <w:color w:val="000000" w:themeColor="text1"/>
                <w:szCs w:val="21"/>
              </w:rPr>
              <w:t>-22.95%</w:t>
            </w:r>
          </w:p>
        </w:tc>
        <w:tc>
          <w:tcPr>
            <w:tcW w:w="1291" w:type="dxa"/>
            <w:vAlign w:val="center"/>
          </w:tcPr>
          <w:p w:rsidR="00D12A1F" w:rsidRDefault="00D12A1F" w:rsidP="00D12A1F">
            <w:pPr>
              <w:jc w:val="right"/>
            </w:pPr>
            <w:r>
              <w:rPr>
                <w:rFonts w:eastAsiaTheme="minorEastAsia"/>
                <w:color w:val="000000" w:themeColor="text1"/>
                <w:szCs w:val="21"/>
              </w:rPr>
              <w:t>1.03%</w:t>
            </w:r>
          </w:p>
        </w:tc>
        <w:tc>
          <w:tcPr>
            <w:tcW w:w="1291" w:type="dxa"/>
            <w:vAlign w:val="center"/>
          </w:tcPr>
          <w:p w:rsidR="00D12A1F" w:rsidRDefault="00D12A1F" w:rsidP="00D12A1F">
            <w:pPr>
              <w:jc w:val="right"/>
            </w:pPr>
            <w:r>
              <w:rPr>
                <w:rFonts w:eastAsiaTheme="minorEastAsia"/>
                <w:color w:val="000000" w:themeColor="text1"/>
                <w:szCs w:val="21"/>
              </w:rPr>
              <w:t>2.49%</w:t>
            </w:r>
          </w:p>
        </w:tc>
        <w:tc>
          <w:tcPr>
            <w:tcW w:w="1291" w:type="dxa"/>
            <w:vAlign w:val="center"/>
          </w:tcPr>
          <w:p w:rsidR="00D12A1F" w:rsidRDefault="00D12A1F" w:rsidP="00D12A1F">
            <w:pPr>
              <w:jc w:val="right"/>
            </w:pPr>
            <w:r>
              <w:rPr>
                <w:rFonts w:eastAsiaTheme="minorEastAsia"/>
                <w:color w:val="000000" w:themeColor="text1"/>
                <w:szCs w:val="21"/>
              </w:rPr>
              <w:t>0.03%</w:t>
            </w:r>
          </w:p>
        </w:tc>
      </w:tr>
    </w:tbl>
    <w:p w:rsidR="009A3BD8" w:rsidRDefault="009A3BD8" w:rsidP="009A3BD8">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4"/>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9A3BD8" w:rsidRDefault="009A3BD8" w:rsidP="009A3BD8">
      <w:pPr>
        <w:spacing w:line="360" w:lineRule="auto"/>
        <w:jc w:val="center"/>
        <w:rPr>
          <w:rFonts w:eastAsiaTheme="minorEastAsia"/>
          <w:color w:val="000000" w:themeColor="text1"/>
          <w:szCs w:val="21"/>
        </w:rPr>
      </w:pPr>
      <w:r>
        <w:rPr>
          <w:rFonts w:eastAsiaTheme="minorEastAsia"/>
          <w:color w:val="000000" w:themeColor="text1"/>
          <w:szCs w:val="21"/>
        </w:rPr>
        <w:t>上投摩根标普港股通低波红利指数型证券投资基金</w:t>
      </w:r>
    </w:p>
    <w:p w:rsidR="009A3BD8" w:rsidRDefault="009A3BD8" w:rsidP="009A3BD8">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9A3BD8" w:rsidRDefault="009A3BD8" w:rsidP="009A3BD8">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4</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9A3BD8" w:rsidRDefault="009A3BD8" w:rsidP="009A3BD8">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．上投摩根标普港股通低波红利指数</w:t>
      </w:r>
      <w:r>
        <w:rPr>
          <w:rFonts w:eastAsiaTheme="minorEastAsia"/>
          <w:color w:val="000000" w:themeColor="text1"/>
          <w:szCs w:val="21"/>
        </w:rPr>
        <w:t>A</w:t>
      </w:r>
      <w:r>
        <w:rPr>
          <w:rFonts w:eastAsiaTheme="minorEastAsia"/>
          <w:color w:val="000000" w:themeColor="text1"/>
          <w:szCs w:val="21"/>
        </w:rPr>
        <w:t>：</w:t>
      </w:r>
    </w:p>
    <w:p w:rsidR="009A3BD8" w:rsidRDefault="00953B16" w:rsidP="009A3BD8">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14:anchorId="44B894FC" wp14:editId="7838673A">
            <wp:extent cx="5278120" cy="309314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8120" cy="3093140"/>
                    </a:xfrm>
                    <a:prstGeom prst="rect">
                      <a:avLst/>
                    </a:prstGeom>
                    <a:noFill/>
                    <a:ln>
                      <a:noFill/>
                    </a:ln>
                  </pic:spPr>
                </pic:pic>
              </a:graphicData>
            </a:graphic>
          </wp:inline>
        </w:drawing>
      </w:r>
    </w:p>
    <w:p w:rsidR="00984B61" w:rsidRDefault="0046553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9A3BD8" w:rsidRDefault="009A3BD8" w:rsidP="009A3BD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日，建仓期结束时资产配置比例符合本基金基金合同规定。</w:t>
      </w:r>
    </w:p>
    <w:p w:rsidR="009A3BD8" w:rsidRDefault="009A3BD8" w:rsidP="009A3BD8">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．上投摩根标普港股通低波红利指数</w:t>
      </w:r>
      <w:r>
        <w:rPr>
          <w:rFonts w:eastAsiaTheme="minorEastAsia"/>
          <w:color w:val="000000" w:themeColor="text1"/>
          <w:szCs w:val="21"/>
        </w:rPr>
        <w:t>C</w:t>
      </w:r>
      <w:r>
        <w:rPr>
          <w:rFonts w:eastAsiaTheme="minorEastAsia"/>
          <w:color w:val="000000" w:themeColor="text1"/>
          <w:szCs w:val="21"/>
        </w:rPr>
        <w:t>：</w:t>
      </w:r>
    </w:p>
    <w:p w:rsidR="009A3BD8" w:rsidRDefault="00953B16" w:rsidP="009A3BD8">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lastRenderedPageBreak/>
        <w:drawing>
          <wp:inline distT="0" distB="0" distL="0" distR="0" wp14:anchorId="2535EA5A" wp14:editId="206C444E">
            <wp:extent cx="5278120" cy="309314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8120" cy="3093140"/>
                    </a:xfrm>
                    <a:prstGeom prst="rect">
                      <a:avLst/>
                    </a:prstGeom>
                    <a:noFill/>
                    <a:ln>
                      <a:noFill/>
                    </a:ln>
                  </pic:spPr>
                </pic:pic>
              </a:graphicData>
            </a:graphic>
          </wp:inline>
        </w:drawing>
      </w:r>
      <w:bookmarkStart w:id="0" w:name="_GoBack"/>
      <w:bookmarkEnd w:id="0"/>
    </w:p>
    <w:p w:rsidR="00984B61" w:rsidRDefault="0046553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9A3BD8" w:rsidRDefault="009A3BD8" w:rsidP="009A3BD8">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日，建仓期结束时资产配置比例符合本基金基金合同规定。</w:t>
      </w:r>
    </w:p>
    <w:p w:rsidR="009A3BD8" w:rsidRDefault="009A3BD8" w:rsidP="009A3BD8">
      <w:pPr>
        <w:spacing w:line="360" w:lineRule="auto"/>
        <w:ind w:firstLineChars="200" w:firstLine="420"/>
        <w:rPr>
          <w:rFonts w:eastAsiaTheme="minorEastAsia"/>
          <w:color w:val="000000" w:themeColor="text1"/>
          <w:szCs w:val="21"/>
        </w:rPr>
      </w:pPr>
    </w:p>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4  </w:t>
      </w:r>
      <w:r>
        <w:rPr>
          <w:rFonts w:asciiTheme="minorEastAsia" w:eastAsiaTheme="minorEastAsia" w:hAnsiTheme="minorEastAsia" w:cs="Arial" w:hint="eastAsia"/>
          <w:color w:val="000000" w:themeColor="text1"/>
          <w:kern w:val="0"/>
          <w:sz w:val="24"/>
          <w:szCs w:val="24"/>
        </w:rPr>
        <w:t>管理人报告</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4.1 </w:t>
      </w:r>
      <w:r>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A960A3">
        <w:trPr>
          <w:cantSplit/>
        </w:trPr>
        <w:tc>
          <w:tcPr>
            <w:tcW w:w="952" w:type="dxa"/>
            <w:vMerge w:val="restart"/>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姓名</w:t>
            </w:r>
          </w:p>
        </w:tc>
        <w:tc>
          <w:tcPr>
            <w:tcW w:w="930" w:type="dxa"/>
            <w:vMerge w:val="restart"/>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职务</w:t>
            </w:r>
          </w:p>
        </w:tc>
        <w:tc>
          <w:tcPr>
            <w:tcW w:w="2519" w:type="dxa"/>
            <w:gridSpan w:val="2"/>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任本基金的基金经理期限</w:t>
            </w:r>
          </w:p>
        </w:tc>
        <w:tc>
          <w:tcPr>
            <w:tcW w:w="1254" w:type="dxa"/>
            <w:vMerge w:val="restart"/>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证券从业年限</w:t>
            </w:r>
          </w:p>
        </w:tc>
        <w:tc>
          <w:tcPr>
            <w:tcW w:w="3276" w:type="dxa"/>
            <w:vMerge w:val="restart"/>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说明</w:t>
            </w:r>
          </w:p>
        </w:tc>
      </w:tr>
      <w:tr w:rsidR="00A960A3">
        <w:trPr>
          <w:cantSplit/>
        </w:trPr>
        <w:tc>
          <w:tcPr>
            <w:tcW w:w="952" w:type="dxa"/>
            <w:vMerge/>
            <w:vAlign w:val="center"/>
          </w:tcPr>
          <w:p w:rsidR="00A960A3" w:rsidRDefault="00A960A3">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p>
        </w:tc>
        <w:tc>
          <w:tcPr>
            <w:tcW w:w="930" w:type="dxa"/>
            <w:vMerge/>
          </w:tcPr>
          <w:p w:rsidR="00A960A3" w:rsidRDefault="00A960A3">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p>
        </w:tc>
        <w:tc>
          <w:tcPr>
            <w:tcW w:w="1210" w:type="dxa"/>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任职日期</w:t>
            </w:r>
          </w:p>
        </w:tc>
        <w:tc>
          <w:tcPr>
            <w:tcW w:w="1309" w:type="dxa"/>
            <w:vAlign w:val="center"/>
          </w:tcPr>
          <w:p w:rsidR="00A960A3" w:rsidRDefault="005B4E34">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离任日期</w:t>
            </w:r>
          </w:p>
        </w:tc>
        <w:tc>
          <w:tcPr>
            <w:tcW w:w="1254" w:type="dxa"/>
            <w:vMerge/>
            <w:vAlign w:val="center"/>
          </w:tcPr>
          <w:p w:rsidR="00A960A3" w:rsidRDefault="00A960A3">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p>
        </w:tc>
        <w:tc>
          <w:tcPr>
            <w:tcW w:w="3276" w:type="dxa"/>
            <w:vMerge/>
            <w:vAlign w:val="center"/>
          </w:tcPr>
          <w:p w:rsidR="00A960A3" w:rsidRDefault="00A960A3">
            <w:pPr>
              <w:autoSpaceDE w:val="0"/>
              <w:autoSpaceDN w:val="0"/>
              <w:adjustRightInd w:val="0"/>
              <w:spacing w:before="29" w:line="288" w:lineRule="auto"/>
              <w:ind w:left="15"/>
              <w:jc w:val="center"/>
              <w:rPr>
                <w:rFonts w:asciiTheme="minorEastAsia" w:eastAsiaTheme="minorEastAsia" w:hAnsiTheme="minorEastAsia" w:cs="Arial"/>
                <w:color w:val="000000" w:themeColor="text1"/>
                <w:kern w:val="0"/>
                <w:sz w:val="24"/>
              </w:rPr>
            </w:pPr>
          </w:p>
        </w:tc>
      </w:tr>
      <w:tr w:rsidR="00984B61">
        <w:tc>
          <w:tcPr>
            <w:tcW w:w="952" w:type="dxa"/>
            <w:vAlign w:val="center"/>
          </w:tcPr>
          <w:p w:rsidR="00984B61" w:rsidRDefault="00465533">
            <w:pPr>
              <w:jc w:val="center"/>
            </w:pPr>
            <w:r>
              <w:rPr>
                <w:rFonts w:asciiTheme="minorEastAsia" w:eastAsiaTheme="minorEastAsia" w:hAnsiTheme="minorEastAsia"/>
                <w:color w:val="000000" w:themeColor="text1"/>
                <w:sz w:val="24"/>
              </w:rPr>
              <w:t>张淑婉</w:t>
            </w:r>
          </w:p>
        </w:tc>
        <w:tc>
          <w:tcPr>
            <w:tcW w:w="930" w:type="dxa"/>
            <w:vAlign w:val="center"/>
          </w:tcPr>
          <w:p w:rsidR="00984B61" w:rsidRDefault="00465533">
            <w:pPr>
              <w:jc w:val="center"/>
            </w:pPr>
            <w:r>
              <w:rPr>
                <w:rFonts w:asciiTheme="minorEastAsia" w:eastAsiaTheme="minorEastAsia" w:hAnsiTheme="minorEastAsia"/>
                <w:color w:val="000000" w:themeColor="text1"/>
                <w:sz w:val="24"/>
              </w:rPr>
              <w:t>本基金基金经理</w:t>
            </w:r>
          </w:p>
        </w:tc>
        <w:tc>
          <w:tcPr>
            <w:tcW w:w="1210" w:type="dxa"/>
            <w:vAlign w:val="center"/>
          </w:tcPr>
          <w:p w:rsidR="00984B61" w:rsidRDefault="00465533">
            <w:pPr>
              <w:jc w:val="center"/>
            </w:pPr>
            <w:r>
              <w:rPr>
                <w:rFonts w:asciiTheme="minorEastAsia" w:eastAsiaTheme="minorEastAsia" w:hAnsiTheme="minorEastAsia"/>
                <w:color w:val="000000" w:themeColor="text1"/>
                <w:sz w:val="24"/>
              </w:rPr>
              <w:t>2017-12-04</w:t>
            </w:r>
          </w:p>
        </w:tc>
        <w:tc>
          <w:tcPr>
            <w:tcW w:w="1309" w:type="dxa"/>
            <w:vAlign w:val="center"/>
          </w:tcPr>
          <w:p w:rsidR="00984B61" w:rsidRDefault="00465533">
            <w:pPr>
              <w:jc w:val="center"/>
            </w:pPr>
            <w:r>
              <w:rPr>
                <w:rFonts w:asciiTheme="minorEastAsia" w:eastAsiaTheme="minorEastAsia" w:hAnsiTheme="minorEastAsia"/>
                <w:color w:val="000000" w:themeColor="text1"/>
                <w:sz w:val="24"/>
              </w:rPr>
              <w:t>-</w:t>
            </w:r>
          </w:p>
        </w:tc>
        <w:tc>
          <w:tcPr>
            <w:tcW w:w="1254" w:type="dxa"/>
            <w:vAlign w:val="center"/>
          </w:tcPr>
          <w:p w:rsidR="00984B61" w:rsidRDefault="00465533">
            <w:pPr>
              <w:jc w:val="center"/>
            </w:pPr>
            <w:r>
              <w:rPr>
                <w:rFonts w:asciiTheme="minorEastAsia" w:eastAsiaTheme="minorEastAsia" w:hAnsiTheme="minorEastAsia"/>
                <w:color w:val="000000" w:themeColor="text1"/>
                <w:sz w:val="24"/>
              </w:rPr>
              <w:t>29年</w:t>
            </w:r>
          </w:p>
        </w:tc>
        <w:tc>
          <w:tcPr>
            <w:tcW w:w="3276" w:type="dxa"/>
            <w:vAlign w:val="center"/>
          </w:tcPr>
          <w:p w:rsidR="00984B61" w:rsidRDefault="00465533">
            <w:r>
              <w:rPr>
                <w:rFonts w:asciiTheme="minorEastAsia" w:eastAsiaTheme="minorEastAsia" w:hAnsiTheme="minorEastAsia"/>
                <w:color w:val="000000" w:themeColor="text1"/>
                <w:sz w:val="24"/>
              </w:rPr>
              <w:t>张淑婉女士，台湾大学财务金融研究所MBA，自1987年9月至1989年2月，在东盟成衣股份有限公司担任研究部专员；自1989年3月至1991年8月，在富隆证券股份有限公司担任投行部专员；自1993年3月至1998年1月，在光华证券投资信托股份有限公司担任研究部副理；自1998年2月至2006年7月，在摩根富林明证券信托股份有限</w:t>
            </w:r>
            <w:r>
              <w:rPr>
                <w:rFonts w:asciiTheme="minorEastAsia" w:eastAsiaTheme="minorEastAsia" w:hAnsiTheme="minorEastAsia"/>
                <w:color w:val="000000" w:themeColor="text1"/>
                <w:sz w:val="24"/>
              </w:rPr>
              <w:lastRenderedPageBreak/>
              <w:t>公司担任副总经理；自2007年11月至2009年8月，在德意志亚洲资产管理公司担任副总经理；自2009年9月至2014年6月，在嘉实国际资产管理公司担任副总经理；自2014年7月至2016年8月，在上投摩根资产管理（香港）有限公司担任投资总监；自2016年9月起加入上投摩根基金管理有限公司，自2016年12月起同时担任上投摩根亚太优势混合型证券投资基金基金经理及上投摩根全球新兴市场混合型证券投资基金基金经理，自2017年12月起同时担任上投摩根标普港股通低波红利指数型证券投资基金基金经理，自2018年6月起同时担任上投摩根香港精选港股通混合型证券投资基金基金经理。</w:t>
            </w:r>
          </w:p>
        </w:tc>
      </w:tr>
      <w:tr w:rsidR="00984B61">
        <w:tc>
          <w:tcPr>
            <w:tcW w:w="952" w:type="dxa"/>
            <w:vAlign w:val="center"/>
          </w:tcPr>
          <w:p w:rsidR="00984B61" w:rsidRDefault="00465533">
            <w:pPr>
              <w:jc w:val="center"/>
            </w:pPr>
            <w:r>
              <w:rPr>
                <w:rFonts w:asciiTheme="minorEastAsia" w:eastAsiaTheme="minorEastAsia" w:hAnsiTheme="minorEastAsia"/>
                <w:color w:val="000000" w:themeColor="text1"/>
                <w:sz w:val="24"/>
              </w:rPr>
              <w:lastRenderedPageBreak/>
              <w:t>施虓文</w:t>
            </w:r>
          </w:p>
        </w:tc>
        <w:tc>
          <w:tcPr>
            <w:tcW w:w="930" w:type="dxa"/>
            <w:vAlign w:val="center"/>
          </w:tcPr>
          <w:p w:rsidR="00984B61" w:rsidRDefault="00465533">
            <w:pPr>
              <w:jc w:val="center"/>
            </w:pPr>
            <w:r>
              <w:rPr>
                <w:rFonts w:asciiTheme="minorEastAsia" w:eastAsiaTheme="minorEastAsia" w:hAnsiTheme="minorEastAsia"/>
                <w:color w:val="000000" w:themeColor="text1"/>
                <w:sz w:val="24"/>
              </w:rPr>
              <w:t>本基金基金经理</w:t>
            </w:r>
          </w:p>
        </w:tc>
        <w:tc>
          <w:tcPr>
            <w:tcW w:w="1210" w:type="dxa"/>
            <w:vAlign w:val="center"/>
          </w:tcPr>
          <w:p w:rsidR="00984B61" w:rsidRDefault="00465533">
            <w:pPr>
              <w:jc w:val="center"/>
            </w:pPr>
            <w:r>
              <w:rPr>
                <w:rFonts w:asciiTheme="minorEastAsia" w:eastAsiaTheme="minorEastAsia" w:hAnsiTheme="minorEastAsia"/>
                <w:color w:val="000000" w:themeColor="text1"/>
                <w:sz w:val="24"/>
              </w:rPr>
              <w:t>2017-12-04</w:t>
            </w:r>
          </w:p>
        </w:tc>
        <w:tc>
          <w:tcPr>
            <w:tcW w:w="1309" w:type="dxa"/>
            <w:vAlign w:val="center"/>
          </w:tcPr>
          <w:p w:rsidR="00984B61" w:rsidRDefault="00465533">
            <w:pPr>
              <w:jc w:val="center"/>
            </w:pPr>
            <w:r>
              <w:rPr>
                <w:rFonts w:asciiTheme="minorEastAsia" w:eastAsiaTheme="minorEastAsia" w:hAnsiTheme="minorEastAsia"/>
                <w:color w:val="000000" w:themeColor="text1"/>
                <w:sz w:val="24"/>
              </w:rPr>
              <w:t>-</w:t>
            </w:r>
          </w:p>
        </w:tc>
        <w:tc>
          <w:tcPr>
            <w:tcW w:w="1254" w:type="dxa"/>
            <w:vAlign w:val="center"/>
          </w:tcPr>
          <w:p w:rsidR="00984B61" w:rsidRDefault="00465533">
            <w:pPr>
              <w:jc w:val="center"/>
            </w:pPr>
            <w:r>
              <w:rPr>
                <w:rFonts w:asciiTheme="minorEastAsia" w:eastAsiaTheme="minorEastAsia" w:hAnsiTheme="minorEastAsia"/>
                <w:color w:val="000000" w:themeColor="text1"/>
                <w:sz w:val="24"/>
              </w:rPr>
              <w:t>8年</w:t>
            </w:r>
          </w:p>
        </w:tc>
        <w:tc>
          <w:tcPr>
            <w:tcW w:w="3276" w:type="dxa"/>
            <w:vAlign w:val="center"/>
          </w:tcPr>
          <w:p w:rsidR="00984B61" w:rsidRDefault="00465533">
            <w:r>
              <w:rPr>
                <w:rFonts w:asciiTheme="minorEastAsia" w:eastAsiaTheme="minorEastAsia" w:hAnsiTheme="minorEastAsia"/>
                <w:color w:val="000000" w:themeColor="text1"/>
                <w:sz w:val="24"/>
              </w:rPr>
              <w:t>基金经理施虓文先生，北京大学经济学硕士，2012年7月起加入上投摩根基金管理有限公司，先后担任助理研究员、研究员/基金经理助理、基金经理，主要承担量化支持方面的工作。自2017年1月至2019年9月担任上投摩根安丰回报混合型证券投资基金基金经理，2017年1月至2018年10月担任上投摩根安泽回报混合型证券投资基金基金经理，自2017年12月起同时担任上投摩根标普港股通低波红利指数型证券投资基金基金经理，自2018年2月至2019年4月同时担任上投摩根安隆回报混合型证券投资基金基金经理，2018年2月至7月担任上投摩根安腾回报混合型证券投资基金基金经理，2018年4月起同时担任上投摩根富</w:t>
            </w:r>
            <w:r>
              <w:rPr>
                <w:rFonts w:asciiTheme="minorEastAsia" w:eastAsiaTheme="minorEastAsia" w:hAnsiTheme="minorEastAsia"/>
                <w:color w:val="000000" w:themeColor="text1"/>
                <w:sz w:val="24"/>
              </w:rPr>
              <w:lastRenderedPageBreak/>
              <w:t>时发达市场REITs指数型证券投资基金（QDII）基金经理，2018年9月至2020年5月同时担任上投摩根安裕回报混合型证券投资基金基金经理，自2019年4月至2020年5月同时担任上投摩根安通回报混合型证券投资基金基金经理，自2019年12月起同时担任上投摩根动态多因子策略灵活配置混合型证券投资基金、上投摩根量化多因子灵活配置混合型证券投资基金、上投摩根优选多因子股票型证券投资基金及上投摩根中证消费服务领先指数证券投资基金基金经理；</w:t>
            </w:r>
            <w:r w:rsidR="00CE5867" w:rsidRPr="00CE5867">
              <w:rPr>
                <w:rFonts w:asciiTheme="minorEastAsia" w:eastAsiaTheme="minorEastAsia" w:hAnsiTheme="minorEastAsia" w:hint="eastAsia"/>
                <w:color w:val="000000" w:themeColor="text1"/>
                <w:sz w:val="24"/>
              </w:rPr>
              <w:t>自2020年5月起同时担任上投摩根MSCI中国A股交易型开放式指数证券投资基金基金经理。</w:t>
            </w:r>
          </w:p>
        </w:tc>
      </w:tr>
    </w:tbl>
    <w:p w:rsidR="00984B61" w:rsidRDefault="0046553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注：1.任职日期和离任日期均指根据公司决定确定的聘任日期和解聘日期。</w:t>
      </w:r>
    </w:p>
    <w:p w:rsidR="00984B61" w:rsidRDefault="00465533">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2.张淑婉女士、施虓文先生为本基金首任基金经理，其任职日期指本基金基金合同生效之日。</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3.证券从业的含义遵从行业协会《证券业从业人员资格管理办法》的相关规定。</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4.2</w:t>
      </w:r>
      <w:r>
        <w:rPr>
          <w:rFonts w:asciiTheme="minorEastAsia" w:eastAsiaTheme="minorEastAsia" w:hAnsiTheme="minorEastAsia" w:hint="eastAsia"/>
          <w:b/>
          <w:bCs/>
          <w:color w:val="000000" w:themeColor="text1"/>
          <w:sz w:val="24"/>
        </w:rPr>
        <w:t>管理人对报告期内本基金运作遵规守信情况的说明</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在本报告期内，基金管理人不存在损害基金份额持有人利益的行为，勤勉尽责地为基金份额持有人谋求利益。基金管理人遵守了《证券投资基金法》及其他有关法律法规、《上投摩根标普港股通低波红利指数型证券投资基金基金合同》的规定。基金经理对个股和投资组合的比例遵循了投资决策委员会的授权限制，基金投资比例符合基金合同和法律法规的要求。</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4.3 </w:t>
      </w:r>
      <w:r>
        <w:rPr>
          <w:rFonts w:asciiTheme="minorEastAsia" w:eastAsiaTheme="minorEastAsia" w:hAnsiTheme="minorEastAsia" w:cs="Arial" w:hint="eastAsia"/>
          <w:b/>
          <w:color w:val="000000" w:themeColor="text1"/>
          <w:kern w:val="0"/>
          <w:sz w:val="24"/>
        </w:rPr>
        <w:t>公平交易专项说明</w:t>
      </w: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4.3.1 公平交易制度的执行情况</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报告期内，本公司继续贯彻落实《证券投资基金管理公司公平交易制度指导意见》等相关法律法规和公司内部公平交易流程的各项要求，严格规范境内上市</w:t>
      </w:r>
      <w:r>
        <w:rPr>
          <w:rFonts w:asciiTheme="minorEastAsia" w:eastAsiaTheme="minorEastAsia" w:hAnsiTheme="minorEastAsia"/>
          <w:color w:val="000000" w:themeColor="text1"/>
          <w:kern w:val="0"/>
          <w:sz w:val="24"/>
        </w:rPr>
        <w:lastRenderedPageBreak/>
        <w:t>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报告期内，通过对不同投资组合之间的收益率差异比较、对同向交易和反向交易的交易时机和交易价差监控分析，未发现整体公平交易执行出现异常的情况。</w:t>
      </w: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4.3.2 异常交易行为的专项说明</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报告期内，通过对交易价格、交易时间、交易方向等的分析，未发现有可能导致不公平交易和利益输送的异常交易行为。</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所有投资组合参与的交易所公开竞价同日反向交易成交较少的单边交易量超过该证券当日成交量的5%的情形：无。</w:t>
      </w:r>
    </w:p>
    <w:p w:rsidR="00A960A3" w:rsidRDefault="00A960A3">
      <w:pPr>
        <w:spacing w:line="360" w:lineRule="auto"/>
        <w:ind w:firstLineChars="200" w:firstLine="480"/>
        <w:rPr>
          <w:rFonts w:asciiTheme="minorEastAsia" w:eastAsiaTheme="minorEastAsia" w:hAnsiTheme="minorEastAsia"/>
          <w:color w:val="000000" w:themeColor="text1"/>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4.4 </w:t>
      </w:r>
      <w:r>
        <w:rPr>
          <w:rFonts w:asciiTheme="minorEastAsia" w:eastAsiaTheme="minorEastAsia" w:hAnsiTheme="minorEastAsia" w:cs="Arial" w:hint="eastAsia"/>
          <w:b/>
          <w:color w:val="000000" w:themeColor="text1"/>
          <w:kern w:val="0"/>
          <w:sz w:val="24"/>
        </w:rPr>
        <w:t>报告期内基金的投资策略和业绩表现说明</w:t>
      </w: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4.4.1报告期内基金投资策略和运作分析</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随着1季度末欧美疫情达到一个阶段性顶点，海外市场都出现了短期底部，此后在美联储无限量宽松的强力支撑下市场不断修复，科技股估值上浮的行情在6月下旬达到了高峰，纳斯达克指数创下历史新高。</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但二季度港股市场表现既弱于美股也弱于A股，全球疫情扩散、中美贸易摩擦、香港社会局势、汇率波动等多重因素叠加，使港股市场呈现震荡格局。</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当前港股整体估值仍处于历史极端低位，恒生指数市净率维持在0.9倍附近。</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二季度港股通股票分行业看，食品饮料、医药、家电等消费行业表现相对较好，而建筑、纺织服装、机械、钢铁等周期行业表现较差。</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本基金跟踪标普港股通低波红利指数，报告期内采用被动复制的投资策略，仓位维持在正常水平，跟踪误差保持在合理范围内。</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下半年风险因素主要来自美国：6月下旬美国疫情二次爆发，其经济复苏进</w:t>
      </w:r>
      <w:r>
        <w:rPr>
          <w:rFonts w:asciiTheme="minorEastAsia" w:eastAsiaTheme="minorEastAsia" w:hAnsiTheme="minorEastAsia"/>
          <w:color w:val="000000" w:themeColor="text1"/>
          <w:kern w:val="0"/>
          <w:sz w:val="24"/>
        </w:rPr>
        <w:lastRenderedPageBreak/>
        <w:t>程蒙上阴影；11月即将迎来美国大选，选情焦灼之际中美贸易摩擦也有可能再度反复。</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香港是中美关系的一个重要舞台，美国有可能取消香港单独关税地位，对港股市场构成短期风险。</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国内方面，政策进入观察期，预计在相对宽松的大背景下，货币进一步放松的空间有限，财政政策有望接续发力。我们认为中国经济在今年下半年至明年将保持稳健复苏的势头。</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港股市场过去一段震荡调整的时期内，南下资金持续流入，同期外资流出，港股资金结构发生了显著变化。</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随着香港本地局势重归稳定，后疫情时代港股的估值洼地价值将愈发凸显。从中长期的角度看，中国经济前景在主要经济体中位于前列，海外资金增配中国的需求强烈，将进一步推动港股市场复苏。</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我们对港股市场前景乐观，相对看好高股息、必需消费、A股稀缺的新兴行业中的优质标的。</w:t>
      </w: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4.4.2报告期内基金的业绩表现</w:t>
      </w:r>
    </w:p>
    <w:p w:rsidR="00984B61" w:rsidRDefault="00465533">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本报告期</w:t>
      </w:r>
      <w:r w:rsidR="00775F54" w:rsidRPr="00775F54">
        <w:rPr>
          <w:rFonts w:asciiTheme="minorEastAsia" w:eastAsiaTheme="minorEastAsia" w:hAnsiTheme="minorEastAsia" w:hint="eastAsia"/>
          <w:color w:val="000000" w:themeColor="text1"/>
          <w:kern w:val="0"/>
          <w:sz w:val="24"/>
        </w:rPr>
        <w:t>上投摩根标普港股通低波红利指数</w:t>
      </w:r>
      <w:r>
        <w:rPr>
          <w:rFonts w:asciiTheme="minorEastAsia" w:eastAsiaTheme="minorEastAsia" w:hAnsiTheme="minorEastAsia"/>
          <w:color w:val="000000" w:themeColor="text1"/>
          <w:kern w:val="0"/>
          <w:sz w:val="24"/>
        </w:rPr>
        <w:t>A份额净值增长率为:-0.79%，同期业绩比较基准收益率为:-3.11%,</w:t>
      </w:r>
    </w:p>
    <w:p w:rsidR="00A960A3" w:rsidRDefault="00775F54">
      <w:pPr>
        <w:spacing w:line="360" w:lineRule="auto"/>
        <w:ind w:firstLineChars="200" w:firstLine="480"/>
        <w:rPr>
          <w:rFonts w:asciiTheme="minorEastAsia" w:eastAsiaTheme="minorEastAsia" w:hAnsiTheme="minorEastAsia"/>
          <w:color w:val="000000" w:themeColor="text1"/>
          <w:kern w:val="0"/>
          <w:sz w:val="24"/>
        </w:rPr>
      </w:pPr>
      <w:r w:rsidRPr="00775F54">
        <w:rPr>
          <w:rFonts w:asciiTheme="minorEastAsia" w:eastAsiaTheme="minorEastAsia" w:hAnsiTheme="minorEastAsia" w:hint="eastAsia"/>
          <w:color w:val="000000" w:themeColor="text1"/>
          <w:kern w:val="0"/>
          <w:sz w:val="24"/>
        </w:rPr>
        <w:t>上投摩根标普港股通低波红利指数</w:t>
      </w:r>
      <w:r w:rsidR="005B4E34">
        <w:rPr>
          <w:rFonts w:asciiTheme="minorEastAsia" w:eastAsiaTheme="minorEastAsia" w:hAnsiTheme="minorEastAsia"/>
          <w:color w:val="000000" w:themeColor="text1"/>
          <w:kern w:val="0"/>
          <w:sz w:val="24"/>
        </w:rPr>
        <w:t>C份额净值增长率为:-0.91%，同期业绩比较基准收益率为:-3.11%。</w:t>
      </w:r>
    </w:p>
    <w:p w:rsidR="00A960A3" w:rsidRDefault="00A960A3">
      <w:pPr>
        <w:spacing w:line="360" w:lineRule="auto"/>
        <w:ind w:firstLineChars="200" w:firstLine="480"/>
        <w:rPr>
          <w:rFonts w:asciiTheme="minorEastAsia" w:eastAsiaTheme="minorEastAsia" w:hAnsiTheme="minorEastAsia"/>
          <w:color w:val="000000" w:themeColor="text1"/>
          <w:kern w:val="0"/>
          <w:sz w:val="24"/>
        </w:rPr>
      </w:pPr>
    </w:p>
    <w:p w:rsidR="00A960A3" w:rsidRDefault="005B4E34">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b/>
          <w:color w:val="000000" w:themeColor="text1"/>
          <w:kern w:val="0"/>
          <w:sz w:val="24"/>
        </w:rPr>
        <w:t>4</w:t>
      </w:r>
      <w:r>
        <w:rPr>
          <w:rFonts w:asciiTheme="minorEastAsia" w:eastAsiaTheme="minorEastAsia" w:hAnsiTheme="minorEastAsia" w:hint="eastAsia"/>
          <w:b/>
          <w:color w:val="000000" w:themeColor="text1"/>
          <w:kern w:val="0"/>
          <w:sz w:val="24"/>
        </w:rPr>
        <w:t>.5报告期内基金持有人数或基金资产净值预警说明</w:t>
      </w:r>
    </w:p>
    <w:p w:rsidR="00A960A3" w:rsidRDefault="005B4E34">
      <w:pPr>
        <w:spacing w:line="360" w:lineRule="auto"/>
        <w:ind w:firstLineChars="200" w:firstLine="48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无。</w:t>
      </w:r>
    </w:p>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5  </w:t>
      </w:r>
      <w:r>
        <w:rPr>
          <w:rFonts w:asciiTheme="minorEastAsia" w:eastAsiaTheme="minorEastAsia" w:hAnsiTheme="minorEastAsia" w:cs="Arial" w:hint="eastAsia"/>
          <w:color w:val="000000" w:themeColor="text1"/>
          <w:kern w:val="0"/>
          <w:sz w:val="24"/>
          <w:szCs w:val="24"/>
        </w:rPr>
        <w:t>投资组合报告</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5.1 </w:t>
      </w:r>
      <w:r>
        <w:rPr>
          <w:rFonts w:asciiTheme="minorEastAsia" w:eastAsiaTheme="minorEastAsia" w:hAnsiTheme="minorEastAsia" w:cs="Arial" w:hint="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序号</w:t>
            </w:r>
          </w:p>
        </w:tc>
        <w:tc>
          <w:tcPr>
            <w:tcW w:w="3357"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2977"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金额(元)</w:t>
            </w:r>
          </w:p>
        </w:tc>
        <w:tc>
          <w:tcPr>
            <w:tcW w:w="1843"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占基金总资产的比例(</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权益投资</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368,227,016.10</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92.44</w:t>
            </w:r>
          </w:p>
        </w:tc>
      </w:tr>
      <w:tr w:rsidR="00A960A3">
        <w:trPr>
          <w:jc w:val="center"/>
        </w:trPr>
        <w:tc>
          <w:tcPr>
            <w:tcW w:w="720" w:type="dxa"/>
            <w:vAlign w:val="center"/>
          </w:tcPr>
          <w:p w:rsidR="00A960A3" w:rsidRDefault="00A960A3">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其中：股票</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368,227,016.10</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92.44</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2</w:t>
            </w: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固定收益投资</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A960A3">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其中：债券</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A960A3">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A960A3" w:rsidRDefault="005B4E34">
            <w:pPr>
              <w:autoSpaceDE w:val="0"/>
              <w:autoSpaceDN w:val="0"/>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资产支持证券</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w:t>
            </w:r>
          </w:p>
        </w:tc>
        <w:tc>
          <w:tcPr>
            <w:tcW w:w="3357" w:type="dxa"/>
          </w:tcPr>
          <w:p w:rsidR="00A960A3" w:rsidRDefault="005B4E34">
            <w:pPr>
              <w:spacing w:before="29" w:line="360" w:lineRule="auto"/>
              <w:ind w:leftChars="50" w:left="105"/>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贵金属投资</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w:t>
            </w:r>
          </w:p>
        </w:tc>
        <w:tc>
          <w:tcPr>
            <w:tcW w:w="3357" w:type="dxa"/>
            <w:vAlign w:val="center"/>
          </w:tcPr>
          <w:p w:rsidR="00A960A3" w:rsidRDefault="005B4E34">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金融衍生品投资</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买入返售金融资产</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A960A3">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其中：买断式回购的买入返售金融资产</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p>
        </w:tc>
        <w:tc>
          <w:tcPr>
            <w:tcW w:w="3357" w:type="dxa"/>
            <w:vAlign w:val="center"/>
          </w:tcPr>
          <w:p w:rsidR="00A960A3" w:rsidRDefault="005B4E34">
            <w:pPr>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银行存款和结算备付金合计</w:t>
            </w:r>
          </w:p>
        </w:tc>
        <w:tc>
          <w:tcPr>
            <w:tcW w:w="2977"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21,687,022.55</w:t>
            </w:r>
          </w:p>
        </w:tc>
        <w:tc>
          <w:tcPr>
            <w:tcW w:w="1843" w:type="dxa"/>
            <w:vAlign w:val="center"/>
          </w:tcPr>
          <w:p w:rsidR="00A960A3" w:rsidRDefault="005B4E34">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5.44</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7</w:t>
            </w:r>
          </w:p>
        </w:tc>
        <w:tc>
          <w:tcPr>
            <w:tcW w:w="3357" w:type="dxa"/>
            <w:vAlign w:val="center"/>
          </w:tcPr>
          <w:p w:rsidR="00A960A3" w:rsidRDefault="005B4E34">
            <w:pPr>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其他各项资产</w:t>
            </w:r>
          </w:p>
        </w:tc>
        <w:tc>
          <w:tcPr>
            <w:tcW w:w="2977" w:type="dxa"/>
            <w:vAlign w:val="center"/>
          </w:tcPr>
          <w:p w:rsidR="00A960A3" w:rsidRDefault="005B4E34">
            <w:pPr>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8,422,932.86</w:t>
            </w:r>
          </w:p>
        </w:tc>
        <w:tc>
          <w:tcPr>
            <w:tcW w:w="1843" w:type="dxa"/>
            <w:vAlign w:val="center"/>
          </w:tcPr>
          <w:p w:rsidR="00A960A3" w:rsidRDefault="005B4E34">
            <w:pPr>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2.11</w:t>
            </w:r>
          </w:p>
        </w:tc>
      </w:tr>
      <w:tr w:rsidR="00A960A3">
        <w:trPr>
          <w:jc w:val="center"/>
        </w:trPr>
        <w:tc>
          <w:tcPr>
            <w:tcW w:w="720"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8</w:t>
            </w:r>
          </w:p>
        </w:tc>
        <w:tc>
          <w:tcPr>
            <w:tcW w:w="3357" w:type="dxa"/>
            <w:vAlign w:val="center"/>
          </w:tcPr>
          <w:p w:rsidR="00A960A3" w:rsidRDefault="005B4E34">
            <w:pPr>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合计</w:t>
            </w:r>
          </w:p>
        </w:tc>
        <w:tc>
          <w:tcPr>
            <w:tcW w:w="2977" w:type="dxa"/>
            <w:vAlign w:val="center"/>
          </w:tcPr>
          <w:p w:rsidR="00A960A3" w:rsidRDefault="005B4E34">
            <w:pPr>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398,336,971.51</w:t>
            </w:r>
          </w:p>
        </w:tc>
        <w:tc>
          <w:tcPr>
            <w:tcW w:w="1843" w:type="dxa"/>
            <w:vAlign w:val="center"/>
          </w:tcPr>
          <w:p w:rsidR="00A960A3" w:rsidRDefault="005B4E34">
            <w:pPr>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100.00</w:t>
            </w:r>
          </w:p>
        </w:tc>
      </w:tr>
    </w:tbl>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5.2 </w:t>
      </w:r>
      <w:r>
        <w:rPr>
          <w:rFonts w:asciiTheme="minorEastAsia" w:eastAsiaTheme="minorEastAsia" w:hAnsiTheme="minorEastAsia" w:cs="Arial" w:hint="eastAsia"/>
          <w:b/>
          <w:color w:val="000000" w:themeColor="text1"/>
          <w:kern w:val="0"/>
          <w:sz w:val="24"/>
        </w:rPr>
        <w:t>报告期末按行业分类的股票投资组合</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5.2.1积极投资按行业分类的股票投资组合</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本基金本报告期末未持有积极投资股票。</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5.2.2指数投资按行业分类的股票投资组合</w:t>
      </w:r>
    </w:p>
    <w:p w:rsidR="00A960A3" w:rsidRDefault="005B4E34">
      <w:pPr>
        <w:jc w:val="left"/>
        <w:rPr>
          <w:rFonts w:asciiTheme="minorEastAsia" w:eastAsiaTheme="minorEastAsia" w:hAnsiTheme="minorEastAsia" w:cs="宋体"/>
          <w:color w:val="000000" w:themeColor="text1"/>
          <w:sz w:val="24"/>
        </w:rPr>
      </w:pPr>
      <w:r>
        <w:rPr>
          <w:rFonts w:asciiTheme="minorEastAsia" w:eastAsiaTheme="minorEastAsia" w:hAnsiTheme="minorEastAsia" w:cs="Arial" w:hint="eastAsia"/>
          <w:b/>
          <w:color w:val="000000" w:themeColor="text1"/>
          <w:kern w:val="0"/>
          <w:sz w:val="24"/>
        </w:rPr>
        <w:t>5.2.3报告期末按行业分类的港股通投资股票投资组合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A960A3">
        <w:trPr>
          <w:jc w:val="center"/>
        </w:trPr>
        <w:tc>
          <w:tcPr>
            <w:tcW w:w="2397"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行业类别</w:t>
            </w:r>
          </w:p>
        </w:tc>
        <w:tc>
          <w:tcPr>
            <w:tcW w:w="3119"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公允价值（人民币）</w:t>
            </w:r>
          </w:p>
        </w:tc>
        <w:tc>
          <w:tcPr>
            <w:tcW w:w="3118"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占基金资产净值比例（%）</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A 基础材料</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28,613,416.65</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7.20</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B 消费者非必需品</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25,637,553.37</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6.45</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C 消费者常用品</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11,902,625.59</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2.99</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D 能源</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34,656,662.62</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8.72</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E 金融</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74,049,703.46</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18.63</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F 医疗保健</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G 工业</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56,527,704.58</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14.22</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H 信息技术</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7,904,585.49</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1.99</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I 电信服务</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31,270,193.42</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7.87</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J 公用事业</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34,147,771.50</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8.59</w:t>
            </w:r>
          </w:p>
        </w:tc>
      </w:tr>
      <w:tr w:rsidR="00984B61">
        <w:trPr>
          <w:jc w:val="center"/>
        </w:trPr>
        <w:tc>
          <w:tcPr>
            <w:tcW w:w="2397" w:type="dxa"/>
            <w:vAlign w:val="center"/>
          </w:tcPr>
          <w:p w:rsidR="00984B61" w:rsidRDefault="00465533">
            <w:pPr>
              <w:jc w:val="center"/>
            </w:pPr>
            <w:r>
              <w:rPr>
                <w:rFonts w:asciiTheme="minorEastAsia" w:eastAsiaTheme="minorEastAsia" w:hAnsiTheme="minorEastAsia"/>
                <w:color w:val="000000" w:themeColor="text1"/>
                <w:sz w:val="24"/>
              </w:rPr>
              <w:t>K 房地产</w:t>
            </w:r>
          </w:p>
        </w:tc>
        <w:tc>
          <w:tcPr>
            <w:tcW w:w="3119" w:type="dxa"/>
            <w:vAlign w:val="center"/>
          </w:tcPr>
          <w:p w:rsidR="00984B61" w:rsidRDefault="00465533">
            <w:pPr>
              <w:jc w:val="center"/>
            </w:pPr>
            <w:r>
              <w:rPr>
                <w:rFonts w:asciiTheme="minorEastAsia" w:eastAsiaTheme="minorEastAsia" w:hAnsiTheme="minorEastAsia"/>
                <w:color w:val="000000" w:themeColor="text1"/>
                <w:sz w:val="24"/>
              </w:rPr>
              <w:t>63,516,799.42</w:t>
            </w:r>
          </w:p>
        </w:tc>
        <w:tc>
          <w:tcPr>
            <w:tcW w:w="3118" w:type="dxa"/>
            <w:vAlign w:val="center"/>
          </w:tcPr>
          <w:p w:rsidR="00984B61" w:rsidRDefault="00465533">
            <w:pPr>
              <w:jc w:val="center"/>
            </w:pPr>
            <w:r>
              <w:rPr>
                <w:rFonts w:asciiTheme="minorEastAsia" w:eastAsiaTheme="minorEastAsia" w:hAnsiTheme="minorEastAsia"/>
                <w:color w:val="000000" w:themeColor="text1"/>
                <w:sz w:val="24"/>
              </w:rPr>
              <w:t>15.98</w:t>
            </w:r>
          </w:p>
        </w:tc>
      </w:tr>
      <w:tr w:rsidR="00A960A3">
        <w:trPr>
          <w:jc w:val="center"/>
        </w:trPr>
        <w:tc>
          <w:tcPr>
            <w:tcW w:w="2397" w:type="dxa"/>
            <w:vAlign w:val="center"/>
          </w:tcPr>
          <w:p w:rsidR="00A960A3" w:rsidRDefault="005B4E34">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合计</w:t>
            </w:r>
          </w:p>
        </w:tc>
        <w:tc>
          <w:tcPr>
            <w:tcW w:w="3119" w:type="dxa"/>
            <w:vAlign w:val="center"/>
          </w:tcPr>
          <w:p w:rsidR="00A960A3" w:rsidRDefault="005B4E34">
            <w:pPr>
              <w:adjustRightInd w:val="0"/>
              <w:snapToGrid w:val="0"/>
              <w:spacing w:line="4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368,227,016.10</w:t>
            </w:r>
          </w:p>
        </w:tc>
        <w:tc>
          <w:tcPr>
            <w:tcW w:w="3118" w:type="dxa"/>
            <w:vAlign w:val="center"/>
          </w:tcPr>
          <w:p w:rsidR="00A960A3" w:rsidRDefault="005B4E34">
            <w:pPr>
              <w:adjustRightInd w:val="0"/>
              <w:snapToGrid w:val="0"/>
              <w:spacing w:line="400" w:lineRule="exact"/>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92.65</w:t>
            </w:r>
          </w:p>
        </w:tc>
      </w:tr>
    </w:tbl>
    <w:p w:rsidR="00A960A3" w:rsidRDefault="00A960A3">
      <w:pPr>
        <w:autoSpaceDE w:val="0"/>
        <w:autoSpaceDN w:val="0"/>
        <w:adjustRightInd w:val="0"/>
        <w:spacing w:line="360" w:lineRule="auto"/>
        <w:jc w:val="left"/>
        <w:rPr>
          <w:rFonts w:asciiTheme="minorEastAsia" w:eastAsiaTheme="minorEastAsia" w:hAnsiTheme="minorEastAsia"/>
          <w:color w:val="000000" w:themeColor="text1"/>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5.3</w:t>
      </w:r>
      <w:r>
        <w:rPr>
          <w:rFonts w:asciiTheme="minorEastAsia" w:eastAsiaTheme="minorEastAsia" w:hAnsiTheme="minorEastAsia" w:cs="Arial" w:hint="eastAsia"/>
          <w:b/>
          <w:color w:val="000000" w:themeColor="text1"/>
          <w:kern w:val="0"/>
          <w:sz w:val="24"/>
        </w:rPr>
        <w:t>期末按公允价值占基金资产净值比例大小排序的股票投资明细</w:t>
      </w:r>
    </w:p>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cs="Arial" w:hint="eastAsia"/>
          <w:b/>
          <w:color w:val="000000" w:themeColor="text1"/>
          <w:kern w:val="0"/>
          <w:sz w:val="24"/>
        </w:rPr>
        <w:lastRenderedPageBreak/>
        <w:t>5.3.1期末</w:t>
      </w:r>
      <w:r>
        <w:rPr>
          <w:rFonts w:asciiTheme="minorEastAsia" w:eastAsiaTheme="minorEastAsia" w:hAnsiTheme="minorEastAsia" w:hint="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tc>
          <w:tcPr>
            <w:tcW w:w="817"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序号</w:t>
            </w:r>
          </w:p>
        </w:tc>
        <w:tc>
          <w:tcPr>
            <w:tcW w:w="1276"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股票代码</w:t>
            </w:r>
          </w:p>
        </w:tc>
        <w:tc>
          <w:tcPr>
            <w:tcW w:w="1701"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股票名称</w:t>
            </w:r>
          </w:p>
        </w:tc>
        <w:tc>
          <w:tcPr>
            <w:tcW w:w="1276"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数量(股)</w:t>
            </w:r>
          </w:p>
        </w:tc>
        <w:tc>
          <w:tcPr>
            <w:tcW w:w="1842" w:type="dxa"/>
            <w:vAlign w:val="center"/>
          </w:tcPr>
          <w:p w:rsidR="00A960A3" w:rsidRDefault="005B4E34">
            <w:pPr>
              <w:autoSpaceDE w:val="0"/>
              <w:autoSpaceDN w:val="0"/>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公允价值</w:t>
            </w:r>
            <w:r>
              <w:rPr>
                <w:rFonts w:asciiTheme="minorEastAsia" w:eastAsiaTheme="minorEastAsia" w:hAnsiTheme="minorEastAsia" w:cs="宋体"/>
                <w:color w:val="000000" w:themeColor="text1"/>
                <w:sz w:val="24"/>
              </w:rPr>
              <w:t>(</w:t>
            </w:r>
            <w:r>
              <w:rPr>
                <w:rFonts w:asciiTheme="minorEastAsia" w:eastAsiaTheme="minorEastAsia" w:hAnsiTheme="minorEastAsia" w:cs="宋体" w:hint="eastAsia"/>
                <w:color w:val="000000" w:themeColor="text1"/>
                <w:sz w:val="24"/>
              </w:rPr>
              <w:t>元</w:t>
            </w:r>
            <w:r>
              <w:rPr>
                <w:rFonts w:asciiTheme="minorEastAsia" w:eastAsiaTheme="minorEastAsia" w:hAnsiTheme="minorEastAsia" w:cs="宋体"/>
                <w:color w:val="000000" w:themeColor="text1"/>
                <w:sz w:val="24"/>
              </w:rPr>
              <w:t>)</w:t>
            </w:r>
          </w:p>
        </w:tc>
        <w:tc>
          <w:tcPr>
            <w:tcW w:w="1616" w:type="dxa"/>
            <w:vAlign w:val="center"/>
          </w:tcPr>
          <w:p w:rsidR="00A960A3" w:rsidRDefault="005B4E34">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占基金资产净值比例(％)</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1</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00338</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上海石油化工股份</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11,280,000.00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19,164,701.95</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4.82</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2</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00386</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中国石油化工股份</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4,136,000.00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12,202,900.72</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3.07</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3</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00008</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电讯盈科</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2,776,000.00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11,207,835.72</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2.82</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4</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01288</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农业银行</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3,537,000.00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10,080,212.31</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2.54</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5</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03328</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交通银行</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2,300,000.00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10,042,359.36</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2.53</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6</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01313</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华润水泥控股</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1,090,000.00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9,448,714.70</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2.38</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7</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01088</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中国神华</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844,500.00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9,349,368.97</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2.35</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8</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00144</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招商局港口</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1,086,000.00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9,086,681.89</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2.29</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9</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01310</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香港宽频</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732,000.00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9,066,732.36</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2.28</w:t>
            </w:r>
          </w:p>
        </w:tc>
      </w:tr>
      <w:tr w:rsidR="00984B61">
        <w:tc>
          <w:tcPr>
            <w:tcW w:w="817" w:type="dxa"/>
            <w:vAlign w:val="center"/>
          </w:tcPr>
          <w:p w:rsidR="00984B61" w:rsidRDefault="00465533">
            <w:pPr>
              <w:jc w:val="center"/>
            </w:pPr>
            <w:r>
              <w:rPr>
                <w:rFonts w:asciiTheme="minorEastAsia" w:eastAsiaTheme="minorEastAsia" w:hAnsiTheme="minorEastAsia" w:cs="宋体"/>
                <w:color w:val="000000" w:themeColor="text1"/>
                <w:sz w:val="24"/>
              </w:rPr>
              <w:t>10</w:t>
            </w:r>
          </w:p>
        </w:tc>
        <w:tc>
          <w:tcPr>
            <w:tcW w:w="1276" w:type="dxa"/>
            <w:vAlign w:val="center"/>
          </w:tcPr>
          <w:p w:rsidR="00984B61" w:rsidRDefault="00465533">
            <w:pPr>
              <w:jc w:val="center"/>
            </w:pPr>
            <w:r>
              <w:rPr>
                <w:rFonts w:asciiTheme="minorEastAsia" w:eastAsiaTheme="minorEastAsia" w:hAnsiTheme="minorEastAsia" w:cs="宋体"/>
                <w:color w:val="000000" w:themeColor="text1"/>
                <w:sz w:val="24"/>
              </w:rPr>
              <w:t>00939</w:t>
            </w:r>
          </w:p>
        </w:tc>
        <w:tc>
          <w:tcPr>
            <w:tcW w:w="1701" w:type="dxa"/>
            <w:vAlign w:val="center"/>
          </w:tcPr>
          <w:p w:rsidR="00984B61" w:rsidRDefault="00465533">
            <w:pPr>
              <w:jc w:val="center"/>
            </w:pPr>
            <w:r>
              <w:rPr>
                <w:rFonts w:asciiTheme="minorEastAsia" w:eastAsiaTheme="minorEastAsia" w:hAnsiTheme="minorEastAsia" w:cs="宋体"/>
                <w:color w:val="000000" w:themeColor="text1"/>
                <w:sz w:val="24"/>
              </w:rPr>
              <w:t>建设银行</w:t>
            </w:r>
          </w:p>
        </w:tc>
        <w:tc>
          <w:tcPr>
            <w:tcW w:w="1276" w:type="dxa"/>
            <w:vAlign w:val="center"/>
          </w:tcPr>
          <w:p w:rsidR="00984B61" w:rsidRDefault="00465533">
            <w:pPr>
              <w:jc w:val="right"/>
            </w:pPr>
            <w:r>
              <w:rPr>
                <w:rFonts w:asciiTheme="minorEastAsia" w:eastAsiaTheme="minorEastAsia" w:hAnsiTheme="minorEastAsia" w:cs="宋体"/>
                <w:color w:val="000000" w:themeColor="text1"/>
                <w:sz w:val="24"/>
              </w:rPr>
              <w:t>1,579,000.00</w:t>
            </w:r>
          </w:p>
        </w:tc>
        <w:tc>
          <w:tcPr>
            <w:tcW w:w="1842" w:type="dxa"/>
            <w:vAlign w:val="center"/>
          </w:tcPr>
          <w:p w:rsidR="00984B61" w:rsidRDefault="00465533">
            <w:pPr>
              <w:jc w:val="right"/>
            </w:pPr>
            <w:r>
              <w:rPr>
                <w:rFonts w:asciiTheme="minorEastAsia" w:eastAsiaTheme="minorEastAsia" w:hAnsiTheme="minorEastAsia" w:cs="宋体"/>
                <w:color w:val="000000" w:themeColor="text1"/>
                <w:sz w:val="24"/>
              </w:rPr>
              <w:t>9,043,357.44</w:t>
            </w:r>
          </w:p>
        </w:tc>
        <w:tc>
          <w:tcPr>
            <w:tcW w:w="1616" w:type="dxa"/>
            <w:vAlign w:val="center"/>
          </w:tcPr>
          <w:p w:rsidR="00984B61" w:rsidRDefault="00465533">
            <w:pPr>
              <w:jc w:val="right"/>
            </w:pPr>
            <w:r>
              <w:rPr>
                <w:rFonts w:asciiTheme="minorEastAsia" w:eastAsiaTheme="minorEastAsia" w:hAnsiTheme="minorEastAsia" w:cs="宋体"/>
                <w:color w:val="000000" w:themeColor="text1"/>
                <w:sz w:val="24"/>
              </w:rPr>
              <w:t>2.28</w:t>
            </w:r>
          </w:p>
        </w:tc>
      </w:tr>
    </w:tbl>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cs="Arial" w:hint="eastAsia"/>
          <w:b/>
          <w:color w:val="000000" w:themeColor="text1"/>
          <w:kern w:val="0"/>
          <w:sz w:val="24"/>
        </w:rPr>
        <w:t>5.3.2期末</w:t>
      </w:r>
      <w:r>
        <w:rPr>
          <w:rFonts w:asciiTheme="minorEastAsia" w:eastAsiaTheme="minorEastAsia" w:hAnsiTheme="minorEastAsia" w:hint="eastAsia"/>
          <w:b/>
          <w:color w:val="000000" w:themeColor="text1"/>
          <w:sz w:val="24"/>
        </w:rPr>
        <w:t>积极投资按公允价值占基金资产净值比例大小排序的前五名股票投资明细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本基金本报告期末未持有积极投资股票。</w:t>
      </w:r>
    </w:p>
    <w:p w:rsidR="00A960A3" w:rsidRDefault="00A960A3">
      <w:pPr>
        <w:autoSpaceDE w:val="0"/>
        <w:autoSpaceDN w:val="0"/>
        <w:adjustRightInd w:val="0"/>
        <w:spacing w:line="360" w:lineRule="auto"/>
        <w:jc w:val="left"/>
        <w:rPr>
          <w:rFonts w:asciiTheme="minorEastAsia" w:eastAsiaTheme="minorEastAsia" w:hAnsiTheme="minorEastAsia"/>
          <w:color w:val="000000" w:themeColor="text1"/>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5.4 </w:t>
      </w:r>
      <w:r>
        <w:rPr>
          <w:rFonts w:asciiTheme="minorEastAsia" w:eastAsiaTheme="minorEastAsia" w:hAnsiTheme="minorEastAsia" w:cs="Arial" w:hint="eastAsia"/>
          <w:b/>
          <w:color w:val="000000" w:themeColor="text1"/>
          <w:kern w:val="0"/>
          <w:sz w:val="24"/>
        </w:rPr>
        <w:t>报告期末按债券品种分类的债券投资组合</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本基金本报告期末未持有债券。</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5.5 </w:t>
      </w:r>
      <w:r>
        <w:rPr>
          <w:rFonts w:asciiTheme="minorEastAsia" w:eastAsiaTheme="minorEastAsia" w:hAnsiTheme="minorEastAsia" w:cs="Arial" w:hint="eastAsia"/>
          <w:b/>
          <w:color w:val="000000" w:themeColor="text1"/>
          <w:kern w:val="0"/>
          <w:sz w:val="24"/>
        </w:rPr>
        <w:t>报告期末按公允价值占基金资产净值比例大小排序的前五名债券投资明细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本基金本报告期末未持有债券。</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5.6</w:t>
      </w:r>
      <w:r>
        <w:rPr>
          <w:rFonts w:asciiTheme="minorEastAsia" w:eastAsiaTheme="minorEastAsia" w:hAnsiTheme="minorEastAsia" w:cs="Arial" w:hint="eastAsia"/>
          <w:b/>
          <w:color w:val="000000" w:themeColor="text1"/>
          <w:kern w:val="0"/>
          <w:sz w:val="24"/>
        </w:rPr>
        <w:t>报告期末按公允价值占基金资产净值比例大小排序的前十名资产支持证券</w:t>
      </w:r>
      <w:r>
        <w:rPr>
          <w:rFonts w:asciiTheme="minorEastAsia" w:eastAsiaTheme="minorEastAsia" w:hAnsiTheme="minorEastAsia" w:cs="Arial" w:hint="eastAsia"/>
          <w:b/>
          <w:color w:val="000000" w:themeColor="text1"/>
          <w:kern w:val="0"/>
          <w:sz w:val="24"/>
        </w:rPr>
        <w:lastRenderedPageBreak/>
        <w:t>投资明细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本基金本报告期末未持有资产支持证券。</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5.7 报告期末按公允价值占基金资产净值比例大小排序的前五名贵金属投资明细</w:t>
      </w:r>
    </w:p>
    <w:p w:rsidR="00A960A3" w:rsidRDefault="005B4E34">
      <w:pPr>
        <w:widowControl/>
        <w:spacing w:line="360" w:lineRule="auto"/>
        <w:jc w:val="left"/>
        <w:rPr>
          <w:rFonts w:ascii="宋体" w:hAnsi="宋体"/>
          <w:color w:val="000000" w:themeColor="text1"/>
          <w:szCs w:val="21"/>
        </w:rPr>
      </w:pPr>
      <w:r>
        <w:rPr>
          <w:rFonts w:ascii="宋体" w:hAnsi="宋体"/>
          <w:color w:val="000000" w:themeColor="text1"/>
          <w:szCs w:val="21"/>
        </w:rPr>
        <w:t>本基金本报告期末未持有贵金属。</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bCs/>
          <w:color w:val="000000" w:themeColor="text1"/>
          <w:kern w:val="0"/>
          <w:sz w:val="24"/>
        </w:rPr>
        <w:t>5.8</w:t>
      </w:r>
      <w:r>
        <w:rPr>
          <w:rFonts w:asciiTheme="minorEastAsia" w:eastAsiaTheme="minorEastAsia" w:hAnsiTheme="minorEastAsia" w:hint="eastAsia"/>
          <w:b/>
          <w:bCs/>
          <w:color w:val="000000" w:themeColor="text1"/>
          <w:sz w:val="24"/>
        </w:rPr>
        <w:t>报告期末按公允价值占基金资产净值比例大小排名的前五名权证投资明细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本基金本报告期末未持有权证。</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djustRightInd w:val="0"/>
        <w:snapToGrid w:val="0"/>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bCs/>
          <w:color w:val="000000" w:themeColor="text1"/>
          <w:kern w:val="0"/>
          <w:sz w:val="24"/>
        </w:rPr>
        <w:t>5.9</w:t>
      </w:r>
      <w:r>
        <w:rPr>
          <w:rFonts w:asciiTheme="minorEastAsia" w:eastAsiaTheme="minorEastAsia" w:hAnsiTheme="minorEastAsia" w:hint="eastAsia"/>
          <w:b/>
          <w:color w:val="000000" w:themeColor="text1"/>
          <w:sz w:val="24"/>
        </w:rPr>
        <w:t xml:space="preserve"> 报告期末本基金投资的股指期货交易情况说明</w:t>
      </w:r>
    </w:p>
    <w:p w:rsidR="00A960A3" w:rsidRDefault="005B4E34">
      <w:pPr>
        <w:autoSpaceDE w:val="0"/>
        <w:autoSpaceDN w:val="0"/>
        <w:adjustRightInd w:val="0"/>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本基金本报告期末未持有股指期货。</w:t>
      </w:r>
    </w:p>
    <w:p w:rsidR="00A960A3" w:rsidRDefault="00A960A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960A3" w:rsidRDefault="005B4E34">
      <w:pPr>
        <w:adjustRightInd w:val="0"/>
        <w:snapToGrid w:val="0"/>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5.10报告期末本基金投资的国债期货交易情况说明</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本基金本报告期末未持有国债期货。</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11</w:t>
      </w:r>
      <w:r>
        <w:rPr>
          <w:rFonts w:asciiTheme="minorEastAsia" w:eastAsiaTheme="minorEastAsia" w:hAnsiTheme="minorEastAsia" w:cs="Arial"/>
          <w:b/>
          <w:color w:val="000000" w:themeColor="text1"/>
          <w:kern w:val="0"/>
          <w:sz w:val="24"/>
        </w:rPr>
        <w:t xml:space="preserve"> </w:t>
      </w:r>
      <w:r>
        <w:rPr>
          <w:rFonts w:asciiTheme="minorEastAsia" w:eastAsiaTheme="minorEastAsia" w:hAnsiTheme="minorEastAsia" w:cs="Arial" w:hint="eastAsia"/>
          <w:b/>
          <w:color w:val="000000" w:themeColor="text1"/>
          <w:kern w:val="0"/>
          <w:sz w:val="24"/>
        </w:rPr>
        <w:t>投资组合报告附注</w:t>
      </w:r>
    </w:p>
    <w:p w:rsidR="00A960A3" w:rsidRDefault="005B4E34">
      <w:pPr>
        <w:spacing w:line="360" w:lineRule="auto"/>
        <w:rPr>
          <w:rFonts w:asciiTheme="minorEastAsia" w:eastAsiaTheme="minorEastAsia" w:hAnsiTheme="minorEastAsia"/>
          <w:color w:val="000000" w:themeColor="text1"/>
          <w:kern w:val="0"/>
          <w:sz w:val="24"/>
        </w:rPr>
      </w:pPr>
      <w:r>
        <w:rPr>
          <w:rFonts w:asciiTheme="minorEastAsia" w:eastAsiaTheme="minorEastAsia" w:hAnsiTheme="minorEastAsia" w:hint="eastAsia"/>
          <w:bCs/>
          <w:color w:val="000000" w:themeColor="text1"/>
          <w:kern w:val="0"/>
          <w:sz w:val="24"/>
        </w:rPr>
        <w:t>5.11.1</w:t>
      </w:r>
      <w:r>
        <w:rPr>
          <w:rFonts w:asciiTheme="minorEastAsia" w:eastAsiaTheme="minorEastAsia" w:hAnsiTheme="minorEastAsia"/>
          <w:color w:val="000000" w:themeColor="text1"/>
          <w:kern w:val="0"/>
          <w:sz w:val="24"/>
        </w:rPr>
        <w:t>本基金投资的前十名证券的发行主体本期没有出现被监管部门立案调查，或在报告编制日前一年内受到公开谴责、处罚的情形。</w:t>
      </w:r>
    </w:p>
    <w:p w:rsidR="00A960A3" w:rsidRDefault="005B4E34">
      <w:pPr>
        <w:spacing w:line="360" w:lineRule="auto"/>
        <w:rPr>
          <w:rFonts w:asciiTheme="minorEastAsia" w:eastAsiaTheme="minorEastAsia" w:hAnsiTheme="minorEastAsia"/>
          <w:color w:val="000000" w:themeColor="text1"/>
          <w:kern w:val="0"/>
          <w:sz w:val="24"/>
        </w:rPr>
      </w:pPr>
      <w:r>
        <w:rPr>
          <w:rFonts w:asciiTheme="minorEastAsia" w:eastAsiaTheme="minorEastAsia" w:hAnsiTheme="minorEastAsia" w:hint="eastAsia"/>
          <w:bCs/>
          <w:color w:val="000000" w:themeColor="text1"/>
          <w:kern w:val="0"/>
          <w:sz w:val="24"/>
        </w:rPr>
        <w:t>5.11.2</w:t>
      </w:r>
      <w:r>
        <w:rPr>
          <w:rFonts w:asciiTheme="minorEastAsia" w:eastAsiaTheme="minorEastAsia" w:hAnsiTheme="minorEastAsia"/>
          <w:color w:val="000000" w:themeColor="text1"/>
          <w:kern w:val="0"/>
          <w:sz w:val="24"/>
        </w:rPr>
        <w:t>报告期内本基金投资的前十名股票中没有在基金合同规定备选股票库之外的股票。</w:t>
      </w:r>
    </w:p>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bCs/>
          <w:color w:val="000000" w:themeColor="text1"/>
          <w:kern w:val="0"/>
          <w:sz w:val="24"/>
        </w:rPr>
        <w:t>5.11.3</w:t>
      </w:r>
      <w:r>
        <w:rPr>
          <w:rFonts w:asciiTheme="minorEastAsia" w:eastAsiaTheme="minorEastAsia" w:hAnsiTheme="minorEastAsia" w:cs="Arial" w:hint="eastAsia"/>
          <w:b/>
          <w:color w:val="000000" w:themeColor="text1"/>
          <w:kern w:val="0"/>
          <w:sz w:val="24"/>
        </w:rPr>
        <w:t>其他资产构成</w:t>
      </w:r>
    </w:p>
    <w:tbl>
      <w:tblPr>
        <w:tblStyle w:val="afa"/>
        <w:tblW w:w="8528" w:type="dxa"/>
        <w:tblLayout w:type="fixed"/>
        <w:tblLook w:val="04A0" w:firstRow="1" w:lastRow="0" w:firstColumn="1" w:lastColumn="0" w:noHBand="0" w:noVBand="1"/>
      </w:tblPr>
      <w:tblGrid>
        <w:gridCol w:w="959"/>
        <w:gridCol w:w="2761"/>
        <w:gridCol w:w="4808"/>
      </w:tblGrid>
      <w:tr w:rsidR="00A960A3">
        <w:tc>
          <w:tcPr>
            <w:tcW w:w="959" w:type="dxa"/>
          </w:tcPr>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序号</w:t>
            </w:r>
          </w:p>
        </w:tc>
        <w:tc>
          <w:tcPr>
            <w:tcW w:w="2761" w:type="dxa"/>
          </w:tcPr>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名称</w:t>
            </w:r>
          </w:p>
        </w:tc>
        <w:tc>
          <w:tcPr>
            <w:tcW w:w="4808" w:type="dxa"/>
          </w:tcPr>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金额（元）</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1</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存出保证金</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应收股利</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7,151,787.80</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应收利息</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6,395.31</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5</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应收申购款</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1,264,749.75</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6</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其他应收款</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A960A3">
        <w:tc>
          <w:tcPr>
            <w:tcW w:w="959" w:type="dxa"/>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p>
        </w:tc>
        <w:tc>
          <w:tcPr>
            <w:tcW w:w="2761" w:type="dxa"/>
          </w:tcPr>
          <w:p w:rsidR="00A960A3" w:rsidRDefault="005B4E34">
            <w:pPr>
              <w:autoSpaceDE w:val="0"/>
              <w:autoSpaceDN w:val="0"/>
              <w:adjustRightInd w:val="0"/>
              <w:spacing w:before="29" w:line="360" w:lineRule="auto"/>
              <w:ind w:leftChars="50" w:left="10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待摊费用</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8</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A960A3">
        <w:tc>
          <w:tcPr>
            <w:tcW w:w="959" w:type="dxa"/>
            <w:vAlign w:val="center"/>
          </w:tcPr>
          <w:p w:rsidR="00A960A3" w:rsidRDefault="005B4E34">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9</w:t>
            </w:r>
          </w:p>
        </w:tc>
        <w:tc>
          <w:tcPr>
            <w:tcW w:w="2761" w:type="dxa"/>
            <w:vAlign w:val="center"/>
          </w:tcPr>
          <w:p w:rsidR="00A960A3" w:rsidRDefault="005B4E34">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合计</w:t>
            </w:r>
          </w:p>
        </w:tc>
        <w:tc>
          <w:tcPr>
            <w:tcW w:w="4808" w:type="dxa"/>
            <w:vAlign w:val="center"/>
          </w:tcPr>
          <w:p w:rsidR="00A960A3" w:rsidRDefault="005B4E3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8,422,932.86</w:t>
            </w:r>
          </w:p>
        </w:tc>
      </w:tr>
    </w:tbl>
    <w:p w:rsidR="00A960A3" w:rsidRDefault="005B4E34">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bCs/>
          <w:color w:val="000000" w:themeColor="text1"/>
          <w:kern w:val="0"/>
          <w:sz w:val="24"/>
        </w:rPr>
        <w:t>5.11.4</w:t>
      </w:r>
      <w:r>
        <w:rPr>
          <w:rFonts w:asciiTheme="minorEastAsia" w:eastAsiaTheme="minorEastAsia" w:hAnsiTheme="minorEastAsia" w:cs="Arial"/>
          <w:b/>
          <w:color w:val="000000" w:themeColor="text1"/>
          <w:kern w:val="0"/>
          <w:sz w:val="24"/>
        </w:rPr>
        <w:t>报告期末持有的处于转股期的可转换债券明细</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本基金本报告期末未持有处于转股期的可转换债券。</w:t>
      </w:r>
    </w:p>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bCs/>
          <w:color w:val="000000" w:themeColor="text1"/>
          <w:kern w:val="0"/>
          <w:sz w:val="24"/>
        </w:rPr>
        <w:t>5.11.5</w:t>
      </w:r>
      <w:r>
        <w:rPr>
          <w:rFonts w:asciiTheme="minorEastAsia" w:eastAsiaTheme="minorEastAsia" w:hAnsiTheme="minorEastAsia" w:hint="eastAsia"/>
          <w:b/>
          <w:color w:val="000000" w:themeColor="text1"/>
          <w:sz w:val="24"/>
        </w:rPr>
        <w:t>期末前十名股票中存在流通受限情况的说明</w:t>
      </w:r>
    </w:p>
    <w:p w:rsidR="00A960A3" w:rsidRDefault="005B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b/>
          <w:color w:val="000000" w:themeColor="text1"/>
          <w:kern w:val="0"/>
          <w:sz w:val="24"/>
        </w:rPr>
      </w:pPr>
      <w:r>
        <w:rPr>
          <w:rFonts w:asciiTheme="minorEastAsia" w:eastAsiaTheme="minorEastAsia" w:hAnsiTheme="minorEastAsia" w:hint="eastAsia"/>
          <w:b/>
          <w:bCs/>
          <w:color w:val="000000" w:themeColor="text1"/>
          <w:kern w:val="0"/>
          <w:sz w:val="24"/>
        </w:rPr>
        <w:t>5.11.5.1</w:t>
      </w:r>
      <w:r>
        <w:rPr>
          <w:rFonts w:ascii="宋体" w:hAnsi="宋体" w:cs="宋体"/>
          <w:b/>
          <w:color w:val="000000" w:themeColor="text1"/>
          <w:kern w:val="0"/>
          <w:sz w:val="24"/>
        </w:rPr>
        <w:t>期末指数投资前十名股票中存在流通受限情况的说明</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本基金本报告期末前十名股票中不存在流通受限情况。</w:t>
      </w:r>
    </w:p>
    <w:p w:rsidR="00A960A3" w:rsidRDefault="005B4E34">
      <w:pPr>
        <w:spacing w:line="360" w:lineRule="auto"/>
        <w:rPr>
          <w:rFonts w:asciiTheme="minorEastAsia" w:eastAsiaTheme="minorEastAsia" w:hAnsiTheme="minorEastAsia" w:cs="STSong-Light"/>
          <w:b/>
          <w:color w:val="000000" w:themeColor="text1"/>
          <w:sz w:val="24"/>
        </w:rPr>
      </w:pPr>
      <w:r>
        <w:rPr>
          <w:rFonts w:asciiTheme="minorEastAsia" w:eastAsiaTheme="minorEastAsia" w:hAnsiTheme="minorEastAsia" w:hint="eastAsia"/>
          <w:b/>
          <w:bCs/>
          <w:color w:val="000000" w:themeColor="text1"/>
          <w:kern w:val="0"/>
          <w:sz w:val="24"/>
        </w:rPr>
        <w:t>5.11.5.2</w:t>
      </w:r>
      <w:r>
        <w:rPr>
          <w:rFonts w:asciiTheme="minorEastAsia" w:eastAsiaTheme="minorEastAsia" w:hAnsiTheme="minorEastAsia"/>
          <w:b/>
          <w:color w:val="000000" w:themeColor="text1"/>
          <w:sz w:val="24"/>
        </w:rPr>
        <w:t>期末</w:t>
      </w:r>
      <w:r>
        <w:rPr>
          <w:rFonts w:asciiTheme="minorEastAsia" w:eastAsiaTheme="minorEastAsia" w:hAnsiTheme="minorEastAsia" w:hint="eastAsia"/>
          <w:b/>
          <w:color w:val="000000" w:themeColor="text1"/>
          <w:sz w:val="24"/>
        </w:rPr>
        <w:t>积极投资</w:t>
      </w:r>
      <w:r>
        <w:rPr>
          <w:rFonts w:asciiTheme="minorEastAsia" w:eastAsiaTheme="minorEastAsia" w:hAnsiTheme="minorEastAsia"/>
          <w:b/>
          <w:color w:val="000000" w:themeColor="text1"/>
          <w:sz w:val="24"/>
        </w:rPr>
        <w:t>前五名股票中存在流通受限情况的说明</w:t>
      </w:r>
    </w:p>
    <w:p w:rsidR="00A960A3" w:rsidRDefault="005B4E34">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本基金本报告期末前五名积极投资中不存在流通受限情况。</w:t>
      </w:r>
    </w:p>
    <w:p w:rsidR="00A960A3" w:rsidRDefault="00A960A3">
      <w:pPr>
        <w:spacing w:line="360" w:lineRule="auto"/>
        <w:rPr>
          <w:rFonts w:asciiTheme="minorEastAsia" w:eastAsiaTheme="minorEastAsia" w:hAnsiTheme="minorEastAsia"/>
          <w:bCs/>
          <w:color w:val="000000" w:themeColor="text1"/>
          <w:sz w:val="24"/>
        </w:rPr>
      </w:pPr>
    </w:p>
    <w:p w:rsidR="00A960A3" w:rsidRDefault="005B4E34">
      <w:pPr>
        <w:spacing w:line="360" w:lineRule="auto"/>
        <w:rPr>
          <w:rFonts w:asciiTheme="minorEastAsia" w:eastAsiaTheme="minorEastAsia" w:hAnsiTheme="minorEastAsia" w:cs="STSong-Light"/>
          <w:b/>
          <w:color w:val="000000" w:themeColor="text1"/>
          <w:sz w:val="24"/>
        </w:rPr>
      </w:pPr>
      <w:r>
        <w:rPr>
          <w:rFonts w:asciiTheme="minorEastAsia" w:eastAsiaTheme="minorEastAsia" w:hAnsiTheme="minorEastAsia" w:hint="eastAsia"/>
          <w:b/>
          <w:bCs/>
          <w:color w:val="000000" w:themeColor="text1"/>
          <w:kern w:val="0"/>
          <w:sz w:val="24"/>
        </w:rPr>
        <w:t>5.11.6投资组合报告附注的其他文字描述部分</w:t>
      </w:r>
    </w:p>
    <w:p w:rsidR="00A960A3" w:rsidRDefault="005B4E34">
      <w:pPr>
        <w:spacing w:line="360" w:lineRule="auto"/>
        <w:ind w:firstLineChars="200" w:firstLine="480"/>
        <w:rPr>
          <w:rFonts w:asciiTheme="minorEastAsia" w:eastAsiaTheme="minorEastAsia" w:hAnsiTheme="minorEastAsia" w:cs="STSong-Light"/>
          <w:color w:val="000000" w:themeColor="text1"/>
          <w:sz w:val="24"/>
        </w:rPr>
      </w:pPr>
      <w:r>
        <w:rPr>
          <w:rFonts w:asciiTheme="minorEastAsia" w:eastAsiaTheme="minorEastAsia" w:hAnsiTheme="minorEastAsia"/>
          <w:color w:val="000000" w:themeColor="text1"/>
          <w:kern w:val="0"/>
          <w:sz w:val="24"/>
        </w:rPr>
        <w:t>因四舍五入原因,投资组合报告中分项之和与合计可能存在尾差。</w:t>
      </w:r>
    </w:p>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§6</w:t>
      </w:r>
      <w:r>
        <w:rPr>
          <w:rFonts w:asciiTheme="minorEastAsia" w:eastAsiaTheme="minorEastAsia" w:hAnsiTheme="minorEastAsia" w:cs="Arial"/>
          <w:color w:val="000000" w:themeColor="text1"/>
          <w:kern w:val="0"/>
          <w:sz w:val="24"/>
          <w:szCs w:val="24"/>
        </w:rPr>
        <w:t xml:space="preserve">  </w:t>
      </w:r>
      <w:r>
        <w:rPr>
          <w:rFonts w:asciiTheme="minorEastAsia" w:eastAsiaTheme="minorEastAsia" w:hAnsiTheme="minorEastAsia" w:cs="Arial" w:hint="eastAsia"/>
          <w:color w:val="000000" w:themeColor="text1"/>
          <w:kern w:val="0"/>
          <w:sz w:val="24"/>
          <w:szCs w:val="24"/>
        </w:rPr>
        <w:t>开放式基金份额变动</w:t>
      </w:r>
    </w:p>
    <w:p w:rsidR="0098228A" w:rsidRDefault="0098228A" w:rsidP="0098228A">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上投摩根标普港股通低波红利指数</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上投摩根标普港股通低波红利指数</w:t>
            </w:r>
            <w:r>
              <w:rPr>
                <w:rFonts w:eastAsiaTheme="minorEastAsia"/>
                <w:color w:val="000000" w:themeColor="text1"/>
                <w:szCs w:val="21"/>
              </w:rPr>
              <w:t>C</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483,307,675.88</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8,535,804.38</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20,571,258.13</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7,927,931.16</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21,446,385.79</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4,324,034.53</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98228A"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482,432,548.22</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Default="0098228A" w:rsidP="00043F7D">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12,139,701.01</w:t>
            </w:r>
          </w:p>
        </w:tc>
      </w:tr>
    </w:tbl>
    <w:p w:rsidR="00A960A3" w:rsidRDefault="005B4E34" w:rsidP="009A3BD8">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98228A" w:rsidRDefault="0098228A" w:rsidP="0098228A">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98228A" w:rsidRDefault="0098228A" w:rsidP="009822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A960A3" w:rsidRDefault="00A960A3">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§8  影响投资者决策的其他重要信息</w:t>
      </w:r>
    </w:p>
    <w:p w:rsidR="00A960A3" w:rsidRDefault="005B4E34">
      <w:pPr>
        <w:autoSpaceDE w:val="0"/>
        <w:autoSpaceDN w:val="0"/>
        <w:adjustRightInd w:val="0"/>
        <w:spacing w:line="360" w:lineRule="auto"/>
        <w:jc w:val="left"/>
        <w:rPr>
          <w:rFonts w:ascii="宋体" w:hAnsi="宋体"/>
          <w:b/>
          <w:bCs/>
          <w:color w:val="000000"/>
          <w:kern w:val="0"/>
          <w:sz w:val="24"/>
        </w:rPr>
      </w:pPr>
      <w:r>
        <w:rPr>
          <w:rFonts w:ascii="宋体" w:hAnsi="宋体"/>
          <w:b/>
          <w:bCs/>
          <w:color w:val="000000"/>
          <w:kern w:val="0"/>
          <w:sz w:val="24"/>
        </w:rPr>
        <w:t>8.</w:t>
      </w:r>
      <w:r>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960A3">
        <w:tc>
          <w:tcPr>
            <w:tcW w:w="993" w:type="dxa"/>
            <w:vMerge w:val="restart"/>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投资者类别</w:t>
            </w:r>
            <w:r>
              <w:rPr>
                <w:rFonts w:ascii="宋体" w:hAnsi="宋体"/>
                <w:color w:val="000000"/>
                <w:kern w:val="0"/>
                <w:sz w:val="24"/>
              </w:rPr>
              <w:t xml:space="preserve">  </w:t>
            </w:r>
          </w:p>
        </w:tc>
        <w:tc>
          <w:tcPr>
            <w:tcW w:w="5670" w:type="dxa"/>
            <w:gridSpan w:val="5"/>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报告期内持有基金份额变化情况</w:t>
            </w:r>
          </w:p>
        </w:tc>
        <w:tc>
          <w:tcPr>
            <w:tcW w:w="2549" w:type="dxa"/>
            <w:gridSpan w:val="2"/>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报告期末持有基金情况</w:t>
            </w:r>
          </w:p>
        </w:tc>
      </w:tr>
      <w:tr w:rsidR="00A960A3">
        <w:tc>
          <w:tcPr>
            <w:tcW w:w="993" w:type="dxa"/>
            <w:vMerge/>
            <w:vAlign w:val="center"/>
          </w:tcPr>
          <w:p w:rsidR="00A960A3" w:rsidRDefault="00A960A3">
            <w:pPr>
              <w:autoSpaceDE w:val="0"/>
              <w:autoSpaceDN w:val="0"/>
              <w:adjustRightInd w:val="0"/>
              <w:jc w:val="center"/>
              <w:rPr>
                <w:rFonts w:ascii="宋体" w:hAnsi="宋体"/>
                <w:b/>
                <w:bCs/>
                <w:color w:val="000000"/>
                <w:kern w:val="0"/>
                <w:sz w:val="24"/>
              </w:rPr>
            </w:pPr>
          </w:p>
        </w:tc>
        <w:tc>
          <w:tcPr>
            <w:tcW w:w="992" w:type="dxa"/>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序号</w:t>
            </w:r>
          </w:p>
        </w:tc>
        <w:tc>
          <w:tcPr>
            <w:tcW w:w="1843" w:type="dxa"/>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持有基金份额比例达到或者超过20%的时间区间</w:t>
            </w:r>
          </w:p>
        </w:tc>
        <w:tc>
          <w:tcPr>
            <w:tcW w:w="851" w:type="dxa"/>
            <w:vAlign w:val="center"/>
          </w:tcPr>
          <w:p w:rsidR="00A960A3" w:rsidRDefault="005B4E34">
            <w:pPr>
              <w:widowControl/>
              <w:jc w:val="center"/>
              <w:rPr>
                <w:rFonts w:ascii="宋体" w:hAnsi="宋体"/>
                <w:b/>
                <w:bCs/>
                <w:color w:val="000000"/>
                <w:kern w:val="0"/>
                <w:sz w:val="24"/>
              </w:rPr>
            </w:pPr>
            <w:r>
              <w:rPr>
                <w:rFonts w:ascii="宋体" w:hAnsi="宋体" w:hint="eastAsia"/>
                <w:color w:val="000000"/>
                <w:kern w:val="0"/>
                <w:sz w:val="24"/>
              </w:rPr>
              <w:t>期初份额</w:t>
            </w:r>
          </w:p>
        </w:tc>
        <w:tc>
          <w:tcPr>
            <w:tcW w:w="850" w:type="dxa"/>
            <w:vAlign w:val="center"/>
          </w:tcPr>
          <w:p w:rsidR="00A960A3" w:rsidRDefault="005B4E34">
            <w:pPr>
              <w:widowControl/>
              <w:jc w:val="center"/>
              <w:rPr>
                <w:rFonts w:ascii="宋体" w:hAnsi="宋体"/>
                <w:b/>
                <w:bCs/>
                <w:color w:val="000000"/>
                <w:kern w:val="0"/>
                <w:sz w:val="24"/>
              </w:rPr>
            </w:pPr>
            <w:r>
              <w:rPr>
                <w:rFonts w:ascii="宋体" w:hAnsi="宋体" w:hint="eastAsia"/>
                <w:color w:val="000000"/>
                <w:kern w:val="0"/>
                <w:sz w:val="24"/>
              </w:rPr>
              <w:t>申购份额</w:t>
            </w:r>
          </w:p>
        </w:tc>
        <w:tc>
          <w:tcPr>
            <w:tcW w:w="1134" w:type="dxa"/>
            <w:vAlign w:val="center"/>
          </w:tcPr>
          <w:p w:rsidR="00A960A3" w:rsidRDefault="005B4E34">
            <w:pPr>
              <w:widowControl/>
              <w:jc w:val="center"/>
              <w:rPr>
                <w:rFonts w:ascii="宋体" w:hAnsi="宋体"/>
                <w:b/>
                <w:bCs/>
                <w:color w:val="000000"/>
                <w:kern w:val="0"/>
                <w:sz w:val="24"/>
              </w:rPr>
            </w:pPr>
            <w:r>
              <w:rPr>
                <w:rFonts w:ascii="宋体" w:hAnsi="宋体" w:hint="eastAsia"/>
                <w:color w:val="000000"/>
                <w:kern w:val="0"/>
                <w:sz w:val="24"/>
              </w:rPr>
              <w:t>赎回份额</w:t>
            </w:r>
          </w:p>
        </w:tc>
        <w:tc>
          <w:tcPr>
            <w:tcW w:w="1419" w:type="dxa"/>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持有份额</w:t>
            </w:r>
          </w:p>
        </w:tc>
        <w:tc>
          <w:tcPr>
            <w:tcW w:w="1130" w:type="dxa"/>
            <w:vAlign w:val="center"/>
          </w:tcPr>
          <w:p w:rsidR="00A960A3" w:rsidRDefault="005B4E34">
            <w:pPr>
              <w:autoSpaceDE w:val="0"/>
              <w:autoSpaceDN w:val="0"/>
              <w:adjustRightInd w:val="0"/>
              <w:jc w:val="center"/>
              <w:rPr>
                <w:rFonts w:ascii="宋体" w:hAnsi="宋体"/>
                <w:b/>
                <w:bCs/>
                <w:color w:val="000000"/>
                <w:kern w:val="0"/>
                <w:sz w:val="24"/>
              </w:rPr>
            </w:pPr>
            <w:r>
              <w:rPr>
                <w:rFonts w:ascii="宋体" w:hAnsi="宋体" w:hint="eastAsia"/>
                <w:color w:val="000000"/>
                <w:kern w:val="0"/>
                <w:sz w:val="24"/>
              </w:rPr>
              <w:t>份额占比</w:t>
            </w:r>
          </w:p>
        </w:tc>
      </w:tr>
      <w:tr w:rsidR="00984B61">
        <w:tc>
          <w:tcPr>
            <w:tcW w:w="993" w:type="dxa"/>
            <w:vMerge w:val="restart"/>
          </w:tcPr>
          <w:p w:rsidR="00984B61" w:rsidRDefault="00984B61"/>
          <w:p w:rsidR="00984B61" w:rsidRDefault="00465533">
            <w:r>
              <w:rPr>
                <w:rFonts w:ascii="宋体" w:hAnsi="宋体" w:hint="eastAsia"/>
                <w:bCs/>
                <w:color w:val="000000"/>
                <w:kern w:val="0"/>
                <w:sz w:val="24"/>
              </w:rPr>
              <w:t>机构</w:t>
            </w:r>
          </w:p>
        </w:tc>
        <w:tc>
          <w:tcPr>
            <w:tcW w:w="992" w:type="dxa"/>
            <w:vAlign w:val="center"/>
          </w:tcPr>
          <w:p w:rsidR="00984B61" w:rsidRDefault="00465533">
            <w:pPr>
              <w:jc w:val="center"/>
            </w:pPr>
            <w:r>
              <w:rPr>
                <w:rFonts w:ascii="宋体" w:hAnsi="宋体"/>
                <w:color w:val="000000"/>
                <w:kern w:val="0"/>
                <w:sz w:val="24"/>
              </w:rPr>
              <w:t>1</w:t>
            </w:r>
          </w:p>
        </w:tc>
        <w:tc>
          <w:tcPr>
            <w:tcW w:w="1843" w:type="dxa"/>
            <w:vAlign w:val="center"/>
          </w:tcPr>
          <w:p w:rsidR="00984B61" w:rsidRDefault="00465533">
            <w:pPr>
              <w:jc w:val="center"/>
            </w:pPr>
            <w:r>
              <w:rPr>
                <w:rFonts w:ascii="宋体" w:hAnsi="宋体"/>
                <w:color w:val="000000"/>
                <w:kern w:val="0"/>
                <w:sz w:val="24"/>
              </w:rPr>
              <w:t>20200401-20200630</w:t>
            </w:r>
          </w:p>
        </w:tc>
        <w:tc>
          <w:tcPr>
            <w:tcW w:w="851" w:type="dxa"/>
            <w:vAlign w:val="center"/>
          </w:tcPr>
          <w:p w:rsidR="00984B61" w:rsidRDefault="00465533">
            <w:pPr>
              <w:jc w:val="center"/>
            </w:pPr>
            <w:r>
              <w:rPr>
                <w:rFonts w:ascii="宋体" w:hAnsi="宋体"/>
                <w:color w:val="000000"/>
                <w:kern w:val="0"/>
                <w:sz w:val="24"/>
              </w:rPr>
              <w:t>165,055,043.14</w:t>
            </w:r>
          </w:p>
        </w:tc>
        <w:tc>
          <w:tcPr>
            <w:tcW w:w="850" w:type="dxa"/>
            <w:vAlign w:val="center"/>
          </w:tcPr>
          <w:p w:rsidR="00984B61" w:rsidRDefault="00465533">
            <w:pPr>
              <w:jc w:val="center"/>
            </w:pPr>
            <w:r>
              <w:rPr>
                <w:rFonts w:ascii="宋体" w:hAnsi="宋体"/>
                <w:color w:val="000000"/>
                <w:kern w:val="0"/>
                <w:sz w:val="24"/>
              </w:rPr>
              <w:t>0.00</w:t>
            </w:r>
          </w:p>
        </w:tc>
        <w:tc>
          <w:tcPr>
            <w:tcW w:w="1134" w:type="dxa"/>
            <w:vAlign w:val="center"/>
          </w:tcPr>
          <w:p w:rsidR="00984B61" w:rsidRDefault="00465533">
            <w:pPr>
              <w:jc w:val="center"/>
            </w:pPr>
            <w:r>
              <w:rPr>
                <w:rFonts w:ascii="宋体" w:hAnsi="宋体"/>
                <w:color w:val="000000"/>
                <w:kern w:val="0"/>
                <w:sz w:val="24"/>
              </w:rPr>
              <w:t>0.00</w:t>
            </w:r>
          </w:p>
        </w:tc>
        <w:tc>
          <w:tcPr>
            <w:tcW w:w="1419" w:type="dxa"/>
            <w:vAlign w:val="center"/>
          </w:tcPr>
          <w:p w:rsidR="00984B61" w:rsidRDefault="00465533">
            <w:pPr>
              <w:jc w:val="center"/>
            </w:pPr>
            <w:r>
              <w:rPr>
                <w:rFonts w:ascii="宋体" w:hAnsi="宋体"/>
                <w:color w:val="000000"/>
                <w:kern w:val="0"/>
                <w:sz w:val="24"/>
              </w:rPr>
              <w:t>165,055,043.14</w:t>
            </w:r>
          </w:p>
        </w:tc>
        <w:tc>
          <w:tcPr>
            <w:tcW w:w="1130" w:type="dxa"/>
            <w:vAlign w:val="center"/>
          </w:tcPr>
          <w:p w:rsidR="00984B61" w:rsidRDefault="00465533">
            <w:pPr>
              <w:jc w:val="center"/>
            </w:pPr>
            <w:r>
              <w:rPr>
                <w:rFonts w:ascii="宋体" w:hAnsi="宋体"/>
                <w:color w:val="000000"/>
                <w:kern w:val="0"/>
                <w:sz w:val="24"/>
              </w:rPr>
              <w:t>33.37%</w:t>
            </w:r>
          </w:p>
        </w:tc>
      </w:tr>
      <w:tr w:rsidR="00A960A3">
        <w:tc>
          <w:tcPr>
            <w:tcW w:w="9212" w:type="dxa"/>
            <w:gridSpan w:val="8"/>
            <w:vAlign w:val="center"/>
          </w:tcPr>
          <w:p w:rsidR="00A960A3" w:rsidRDefault="005B4E34">
            <w:pPr>
              <w:autoSpaceDE w:val="0"/>
              <w:autoSpaceDN w:val="0"/>
              <w:adjustRightInd w:val="0"/>
              <w:jc w:val="center"/>
              <w:rPr>
                <w:rFonts w:ascii="宋体" w:hAnsi="宋体"/>
                <w:kern w:val="0"/>
                <w:sz w:val="24"/>
              </w:rPr>
            </w:pPr>
            <w:r>
              <w:rPr>
                <w:rFonts w:ascii="宋体" w:hAnsi="宋体"/>
                <w:color w:val="000000"/>
                <w:kern w:val="0"/>
                <w:sz w:val="24"/>
              </w:rPr>
              <w:t>产品特有风险</w:t>
            </w:r>
          </w:p>
        </w:tc>
      </w:tr>
      <w:tr w:rsidR="00A960A3">
        <w:tc>
          <w:tcPr>
            <w:tcW w:w="9212" w:type="dxa"/>
            <w:gridSpan w:val="8"/>
            <w:vAlign w:val="center"/>
          </w:tcPr>
          <w:p w:rsidR="00A960A3" w:rsidRDefault="005B4E34">
            <w:pPr>
              <w:autoSpaceDE w:val="0"/>
              <w:autoSpaceDN w:val="0"/>
              <w:adjustRightInd w:val="0"/>
              <w:jc w:val="left"/>
              <w:rPr>
                <w:rFonts w:ascii="宋体" w:hAnsi="宋体"/>
                <w:kern w:val="0"/>
                <w:sz w:val="24"/>
              </w:rPr>
            </w:pPr>
            <w:r>
              <w:rPr>
                <w:rFonts w:ascii="宋体" w:hAnsi="宋体" w:hint="eastAsia"/>
                <w:kern w:val="0"/>
                <w:sz w:val="24"/>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A960A3" w:rsidRDefault="005B4E34" w:rsidP="009A3BD8">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 xml:space="preserve">§9  </w:t>
      </w:r>
      <w:r>
        <w:rPr>
          <w:rFonts w:asciiTheme="minorEastAsia" w:eastAsiaTheme="minorEastAsia" w:hAnsiTheme="minorEastAsia" w:cs="Arial"/>
          <w:color w:val="000000" w:themeColor="text1"/>
          <w:kern w:val="0"/>
          <w:sz w:val="24"/>
          <w:szCs w:val="24"/>
        </w:rPr>
        <w:t>备查文件目录</w:t>
      </w:r>
    </w:p>
    <w:p w:rsidR="00A960A3" w:rsidRDefault="005B4E34">
      <w:pPr>
        <w:spacing w:line="360" w:lineRule="auto"/>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1 备查文件目录</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1. 中国证监会准予上投摩根标普港股通低波红利指数型证券投资基金募集注册的文件； </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《上投摩根标普港股通低波红利指数型证券投资基金基金合同》； </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 《上投摩根标普港股通低波红利指数型证券投资基金托管协议》；</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4. 《上投摩根开放式基金业务规则》； </w:t>
      </w:r>
    </w:p>
    <w:p w:rsidR="00984B61" w:rsidRDefault="00465533">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5. 基金管理人业务资格批件、营业执照； </w:t>
      </w:r>
    </w:p>
    <w:p w:rsidR="00A960A3" w:rsidRDefault="005B4E3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 基金托管人业务资格批件和营业执照。</w:t>
      </w:r>
    </w:p>
    <w:p w:rsidR="00A960A3" w:rsidRDefault="00A960A3">
      <w:pPr>
        <w:spacing w:line="360" w:lineRule="auto"/>
        <w:ind w:firstLineChars="200" w:firstLine="480"/>
        <w:rPr>
          <w:rFonts w:asciiTheme="minorEastAsia" w:eastAsiaTheme="minorEastAsia" w:hAnsiTheme="minorEastAsia"/>
          <w:color w:val="000000" w:themeColor="text1"/>
          <w:sz w:val="24"/>
        </w:rPr>
      </w:pPr>
    </w:p>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2 存放地点</w:t>
      </w:r>
    </w:p>
    <w:p w:rsidR="00A960A3" w:rsidRDefault="005B4E3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基金管理人或基金托管人住所。</w:t>
      </w:r>
    </w:p>
    <w:p w:rsidR="00A960A3" w:rsidRDefault="00A960A3">
      <w:pPr>
        <w:spacing w:line="360" w:lineRule="auto"/>
        <w:ind w:firstLineChars="200" w:firstLine="480"/>
        <w:rPr>
          <w:rFonts w:asciiTheme="minorEastAsia" w:eastAsiaTheme="minorEastAsia" w:hAnsiTheme="minorEastAsia"/>
          <w:color w:val="000000" w:themeColor="text1"/>
          <w:sz w:val="24"/>
        </w:rPr>
      </w:pPr>
    </w:p>
    <w:p w:rsidR="00A960A3" w:rsidRDefault="005B4E34">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3 查阅方式</w:t>
      </w:r>
    </w:p>
    <w:p w:rsidR="00A960A3" w:rsidRDefault="005B4E34">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投资者可在营业时间免费查阅，也可按工本费购买复印件。</w:t>
      </w:r>
    </w:p>
    <w:p w:rsidR="00A960A3" w:rsidRDefault="005B4E34">
      <w:pPr>
        <w:spacing w:line="360" w:lineRule="auto"/>
        <w:ind w:left="84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ab/>
      </w: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A960A3">
      <w:pPr>
        <w:spacing w:line="360" w:lineRule="auto"/>
        <w:ind w:left="840"/>
        <w:jc w:val="right"/>
        <w:rPr>
          <w:rFonts w:asciiTheme="minorEastAsia" w:eastAsiaTheme="minorEastAsia" w:hAnsiTheme="minorEastAsia"/>
          <w:color w:val="000000" w:themeColor="text1"/>
          <w:sz w:val="24"/>
        </w:rPr>
      </w:pPr>
    </w:p>
    <w:p w:rsidR="00A960A3" w:rsidRDefault="005B4E34">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上投摩根基金管理有限公司</w:t>
      </w:r>
    </w:p>
    <w:p w:rsidR="00A960A3" w:rsidRDefault="005B4E34">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二〇二〇年七月二十一日</w:t>
      </w:r>
    </w:p>
    <w:p w:rsidR="00A960A3" w:rsidRDefault="00A960A3">
      <w:pPr>
        <w:spacing w:line="360" w:lineRule="auto"/>
        <w:ind w:firstLineChars="900" w:firstLine="2168"/>
        <w:rPr>
          <w:rFonts w:asciiTheme="minorEastAsia" w:eastAsiaTheme="minorEastAsia" w:hAnsiTheme="minorEastAsia"/>
          <w:b/>
          <w:color w:val="000000" w:themeColor="text1"/>
          <w:sz w:val="24"/>
        </w:rPr>
      </w:pPr>
    </w:p>
    <w:sectPr w:rsidR="00A960A3">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92" w:rsidRDefault="007D0592">
      <w:r>
        <w:separator/>
      </w:r>
    </w:p>
  </w:endnote>
  <w:endnote w:type="continuationSeparator" w:id="0">
    <w:p w:rsidR="007D0592" w:rsidRDefault="007D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STSong-Light">
    <w:altName w:val="Times New Roman"/>
    <w:charset w:val="00"/>
    <w:family w:val="roman"/>
    <w:pitch w:val="default"/>
    <w:sig w:usb0="00000000"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53B1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53B16">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0A3" w:rsidRDefault="00A960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53B16">
      <w:rPr>
        <w:rStyle w:val="af5"/>
        <w:noProof/>
      </w:rPr>
      <w:t>6</w:t>
    </w:r>
    <w:r>
      <w:rPr>
        <w:rStyle w:val="af5"/>
      </w:rPr>
      <w:fldChar w:fldCharType="end"/>
    </w:r>
  </w:p>
  <w:p w:rsidR="00A960A3" w:rsidRDefault="00A96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92" w:rsidRDefault="007D0592">
      <w:r>
        <w:separator/>
      </w:r>
    </w:p>
  </w:footnote>
  <w:footnote w:type="continuationSeparator" w:id="0">
    <w:p w:rsidR="007D0592" w:rsidRDefault="007D0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f"/>
      <w:pBdr>
        <w:bottom w:val="single" w:sz="6" w:space="0" w:color="auto"/>
      </w:pBdr>
      <w:jc w:val="right"/>
    </w:pPr>
    <w:r>
      <w:rPr>
        <w:sz w:val="21"/>
        <w:szCs w:val="21"/>
      </w:rPr>
      <w:t>上投摩根标普港股通低波红利指数型证券投资基金</w:t>
    </w:r>
    <w:r>
      <w:rPr>
        <w:sz w:val="21"/>
        <w:szCs w:val="21"/>
      </w:rPr>
      <w:t>2020</w:t>
    </w:r>
    <w:r>
      <w:rPr>
        <w:sz w:val="21"/>
        <w:szCs w:val="21"/>
      </w:rPr>
      <w:t>年第</w:t>
    </w:r>
    <w:r>
      <w:rPr>
        <w:sz w:val="21"/>
        <w:szCs w:val="21"/>
      </w:rPr>
      <w:t>2</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392F"/>
    <w:rsid w:val="000140FF"/>
    <w:rsid w:val="000148F1"/>
    <w:rsid w:val="0001536C"/>
    <w:rsid w:val="00017581"/>
    <w:rsid w:val="00020149"/>
    <w:rsid w:val="00020583"/>
    <w:rsid w:val="00021DD4"/>
    <w:rsid w:val="00023BE7"/>
    <w:rsid w:val="00026AAE"/>
    <w:rsid w:val="00031E23"/>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1C1"/>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26B"/>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F00"/>
    <w:rsid w:val="0018325A"/>
    <w:rsid w:val="00183C9E"/>
    <w:rsid w:val="00184556"/>
    <w:rsid w:val="00186199"/>
    <w:rsid w:val="001871AE"/>
    <w:rsid w:val="001928F7"/>
    <w:rsid w:val="00194537"/>
    <w:rsid w:val="0019563C"/>
    <w:rsid w:val="001A21A9"/>
    <w:rsid w:val="001A363B"/>
    <w:rsid w:val="001A3F20"/>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1F54A2"/>
    <w:rsid w:val="002010DE"/>
    <w:rsid w:val="00202968"/>
    <w:rsid w:val="00202C32"/>
    <w:rsid w:val="00203AEF"/>
    <w:rsid w:val="00210344"/>
    <w:rsid w:val="00211A26"/>
    <w:rsid w:val="002125F7"/>
    <w:rsid w:val="00213171"/>
    <w:rsid w:val="00214463"/>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563"/>
    <w:rsid w:val="002648D8"/>
    <w:rsid w:val="00270548"/>
    <w:rsid w:val="00272485"/>
    <w:rsid w:val="00272E0C"/>
    <w:rsid w:val="00273F86"/>
    <w:rsid w:val="002752B0"/>
    <w:rsid w:val="002774F0"/>
    <w:rsid w:val="0028459B"/>
    <w:rsid w:val="00284C5F"/>
    <w:rsid w:val="002873F0"/>
    <w:rsid w:val="00292198"/>
    <w:rsid w:val="002964F9"/>
    <w:rsid w:val="002A1F14"/>
    <w:rsid w:val="002A2678"/>
    <w:rsid w:val="002A2E01"/>
    <w:rsid w:val="002A398F"/>
    <w:rsid w:val="002A44F9"/>
    <w:rsid w:val="002A5C6B"/>
    <w:rsid w:val="002A5D31"/>
    <w:rsid w:val="002A714F"/>
    <w:rsid w:val="002A721F"/>
    <w:rsid w:val="002B1851"/>
    <w:rsid w:val="002B27FF"/>
    <w:rsid w:val="002B4429"/>
    <w:rsid w:val="002B6793"/>
    <w:rsid w:val="002C0B68"/>
    <w:rsid w:val="002C1726"/>
    <w:rsid w:val="002C1DF3"/>
    <w:rsid w:val="002C21A6"/>
    <w:rsid w:val="002C26D5"/>
    <w:rsid w:val="002C5777"/>
    <w:rsid w:val="002D1791"/>
    <w:rsid w:val="002D32E3"/>
    <w:rsid w:val="002E0FEB"/>
    <w:rsid w:val="002E1EBA"/>
    <w:rsid w:val="002F0F79"/>
    <w:rsid w:val="002F280E"/>
    <w:rsid w:val="002F3709"/>
    <w:rsid w:val="002F3A6C"/>
    <w:rsid w:val="002F4296"/>
    <w:rsid w:val="00300951"/>
    <w:rsid w:val="003023C9"/>
    <w:rsid w:val="00302CA8"/>
    <w:rsid w:val="00302DE9"/>
    <w:rsid w:val="003041B1"/>
    <w:rsid w:val="00305084"/>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432B"/>
    <w:rsid w:val="00357EB5"/>
    <w:rsid w:val="00361E7E"/>
    <w:rsid w:val="00370AA4"/>
    <w:rsid w:val="00371FF4"/>
    <w:rsid w:val="00373015"/>
    <w:rsid w:val="00377520"/>
    <w:rsid w:val="00380D36"/>
    <w:rsid w:val="003822D3"/>
    <w:rsid w:val="0038409E"/>
    <w:rsid w:val="00386630"/>
    <w:rsid w:val="00390522"/>
    <w:rsid w:val="00390B25"/>
    <w:rsid w:val="00390C86"/>
    <w:rsid w:val="00391076"/>
    <w:rsid w:val="00397156"/>
    <w:rsid w:val="00397960"/>
    <w:rsid w:val="003A0A5A"/>
    <w:rsid w:val="003A3BC4"/>
    <w:rsid w:val="003A458A"/>
    <w:rsid w:val="003A4DA3"/>
    <w:rsid w:val="003B07C8"/>
    <w:rsid w:val="003B2082"/>
    <w:rsid w:val="003B2F13"/>
    <w:rsid w:val="003B405E"/>
    <w:rsid w:val="003B57D3"/>
    <w:rsid w:val="003C1F58"/>
    <w:rsid w:val="003C39FF"/>
    <w:rsid w:val="003C792F"/>
    <w:rsid w:val="003D124B"/>
    <w:rsid w:val="003D18F3"/>
    <w:rsid w:val="003D4E5A"/>
    <w:rsid w:val="003D5951"/>
    <w:rsid w:val="003D78B5"/>
    <w:rsid w:val="003E1062"/>
    <w:rsid w:val="003E244F"/>
    <w:rsid w:val="003E3AE8"/>
    <w:rsid w:val="003E62A6"/>
    <w:rsid w:val="003E695F"/>
    <w:rsid w:val="003E6C9B"/>
    <w:rsid w:val="003E709C"/>
    <w:rsid w:val="003E7B89"/>
    <w:rsid w:val="003F20D3"/>
    <w:rsid w:val="003F4241"/>
    <w:rsid w:val="003F7525"/>
    <w:rsid w:val="003F7C45"/>
    <w:rsid w:val="0040132C"/>
    <w:rsid w:val="00405085"/>
    <w:rsid w:val="004066FC"/>
    <w:rsid w:val="00407C10"/>
    <w:rsid w:val="004113B4"/>
    <w:rsid w:val="00414827"/>
    <w:rsid w:val="00416C10"/>
    <w:rsid w:val="004217C8"/>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6CE0"/>
    <w:rsid w:val="004575E9"/>
    <w:rsid w:val="00457804"/>
    <w:rsid w:val="004646BF"/>
    <w:rsid w:val="00464744"/>
    <w:rsid w:val="00465533"/>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1BBA"/>
    <w:rsid w:val="004A3E3C"/>
    <w:rsid w:val="004A3F71"/>
    <w:rsid w:val="004B0E6D"/>
    <w:rsid w:val="004B16E8"/>
    <w:rsid w:val="004B2326"/>
    <w:rsid w:val="004B2D05"/>
    <w:rsid w:val="004B6250"/>
    <w:rsid w:val="004B76B1"/>
    <w:rsid w:val="004C0057"/>
    <w:rsid w:val="004C0541"/>
    <w:rsid w:val="004C2C46"/>
    <w:rsid w:val="004C7235"/>
    <w:rsid w:val="004C7955"/>
    <w:rsid w:val="004D047F"/>
    <w:rsid w:val="004D0AAD"/>
    <w:rsid w:val="004D3D96"/>
    <w:rsid w:val="004D650F"/>
    <w:rsid w:val="004E0347"/>
    <w:rsid w:val="004E2133"/>
    <w:rsid w:val="004E32E2"/>
    <w:rsid w:val="004E5AB9"/>
    <w:rsid w:val="004E60FB"/>
    <w:rsid w:val="004F779C"/>
    <w:rsid w:val="004F7846"/>
    <w:rsid w:val="005000D4"/>
    <w:rsid w:val="005015FA"/>
    <w:rsid w:val="00505411"/>
    <w:rsid w:val="00510CAF"/>
    <w:rsid w:val="005128C5"/>
    <w:rsid w:val="00514754"/>
    <w:rsid w:val="0051478B"/>
    <w:rsid w:val="0051566A"/>
    <w:rsid w:val="00515D7B"/>
    <w:rsid w:val="005166E9"/>
    <w:rsid w:val="0052009E"/>
    <w:rsid w:val="00525E59"/>
    <w:rsid w:val="00530D61"/>
    <w:rsid w:val="005318CC"/>
    <w:rsid w:val="00531D1B"/>
    <w:rsid w:val="00533544"/>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A66EB"/>
    <w:rsid w:val="005B011E"/>
    <w:rsid w:val="005B14F0"/>
    <w:rsid w:val="005B2E84"/>
    <w:rsid w:val="005B4E34"/>
    <w:rsid w:val="005B7B0E"/>
    <w:rsid w:val="005C526E"/>
    <w:rsid w:val="005C5409"/>
    <w:rsid w:val="005C69AC"/>
    <w:rsid w:val="005C6DCF"/>
    <w:rsid w:val="005C722E"/>
    <w:rsid w:val="005D01A4"/>
    <w:rsid w:val="005D14DE"/>
    <w:rsid w:val="005D44E4"/>
    <w:rsid w:val="005D45B3"/>
    <w:rsid w:val="005D4CEB"/>
    <w:rsid w:val="005E0C14"/>
    <w:rsid w:val="005E1D51"/>
    <w:rsid w:val="005F04E6"/>
    <w:rsid w:val="005F26F7"/>
    <w:rsid w:val="005F43B9"/>
    <w:rsid w:val="005F68CB"/>
    <w:rsid w:val="005F6A4A"/>
    <w:rsid w:val="005F6F31"/>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7CAF"/>
    <w:rsid w:val="00661974"/>
    <w:rsid w:val="00662F58"/>
    <w:rsid w:val="00664551"/>
    <w:rsid w:val="0066704D"/>
    <w:rsid w:val="006676A0"/>
    <w:rsid w:val="006706B6"/>
    <w:rsid w:val="00670857"/>
    <w:rsid w:val="00671124"/>
    <w:rsid w:val="006727B0"/>
    <w:rsid w:val="0067307E"/>
    <w:rsid w:val="00677E68"/>
    <w:rsid w:val="006848C1"/>
    <w:rsid w:val="006868CD"/>
    <w:rsid w:val="00687AD5"/>
    <w:rsid w:val="00691D14"/>
    <w:rsid w:val="00694EE4"/>
    <w:rsid w:val="00695251"/>
    <w:rsid w:val="00695296"/>
    <w:rsid w:val="00695ADE"/>
    <w:rsid w:val="00695C0D"/>
    <w:rsid w:val="00696356"/>
    <w:rsid w:val="00696B8B"/>
    <w:rsid w:val="006A591E"/>
    <w:rsid w:val="006A72C6"/>
    <w:rsid w:val="006B02DA"/>
    <w:rsid w:val="006B10DA"/>
    <w:rsid w:val="006B2065"/>
    <w:rsid w:val="006B3940"/>
    <w:rsid w:val="006B5B3E"/>
    <w:rsid w:val="006C168D"/>
    <w:rsid w:val="006C642C"/>
    <w:rsid w:val="006C6FC6"/>
    <w:rsid w:val="006D0E4F"/>
    <w:rsid w:val="006D676F"/>
    <w:rsid w:val="006D7693"/>
    <w:rsid w:val="006E231B"/>
    <w:rsid w:val="006E3118"/>
    <w:rsid w:val="006E346E"/>
    <w:rsid w:val="006E34B7"/>
    <w:rsid w:val="006F103E"/>
    <w:rsid w:val="006F364A"/>
    <w:rsid w:val="006F4CD8"/>
    <w:rsid w:val="006F53D9"/>
    <w:rsid w:val="007004DC"/>
    <w:rsid w:val="007027B6"/>
    <w:rsid w:val="00703E8A"/>
    <w:rsid w:val="00707FB8"/>
    <w:rsid w:val="0071006D"/>
    <w:rsid w:val="00711522"/>
    <w:rsid w:val="007124FE"/>
    <w:rsid w:val="00713186"/>
    <w:rsid w:val="00713757"/>
    <w:rsid w:val="0071425C"/>
    <w:rsid w:val="00716F79"/>
    <w:rsid w:val="00717772"/>
    <w:rsid w:val="00721AF1"/>
    <w:rsid w:val="0072280F"/>
    <w:rsid w:val="00722B5E"/>
    <w:rsid w:val="0072708F"/>
    <w:rsid w:val="00727C6C"/>
    <w:rsid w:val="00730C66"/>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7111A"/>
    <w:rsid w:val="00772272"/>
    <w:rsid w:val="007756ED"/>
    <w:rsid w:val="00775F54"/>
    <w:rsid w:val="007870FC"/>
    <w:rsid w:val="0078729B"/>
    <w:rsid w:val="00787CD0"/>
    <w:rsid w:val="00791053"/>
    <w:rsid w:val="00791A3A"/>
    <w:rsid w:val="00794196"/>
    <w:rsid w:val="007951F3"/>
    <w:rsid w:val="0079671E"/>
    <w:rsid w:val="00797637"/>
    <w:rsid w:val="007A3680"/>
    <w:rsid w:val="007A59B8"/>
    <w:rsid w:val="007A6BEA"/>
    <w:rsid w:val="007B2862"/>
    <w:rsid w:val="007B662A"/>
    <w:rsid w:val="007C7E22"/>
    <w:rsid w:val="007D0592"/>
    <w:rsid w:val="007D1C16"/>
    <w:rsid w:val="007D28C9"/>
    <w:rsid w:val="007D2D2E"/>
    <w:rsid w:val="007D3CC8"/>
    <w:rsid w:val="007D62F9"/>
    <w:rsid w:val="007D63A4"/>
    <w:rsid w:val="007E008D"/>
    <w:rsid w:val="007E1AA2"/>
    <w:rsid w:val="007E1AD0"/>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07DE7"/>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1746"/>
    <w:rsid w:val="00952AAD"/>
    <w:rsid w:val="00952F4F"/>
    <w:rsid w:val="00953B16"/>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228A"/>
    <w:rsid w:val="00983C82"/>
    <w:rsid w:val="00983D29"/>
    <w:rsid w:val="00983E6E"/>
    <w:rsid w:val="00984520"/>
    <w:rsid w:val="00984B61"/>
    <w:rsid w:val="0098545C"/>
    <w:rsid w:val="00990AAA"/>
    <w:rsid w:val="00992BA2"/>
    <w:rsid w:val="00992F83"/>
    <w:rsid w:val="00994AB9"/>
    <w:rsid w:val="0099508A"/>
    <w:rsid w:val="00997231"/>
    <w:rsid w:val="009974EB"/>
    <w:rsid w:val="009A1126"/>
    <w:rsid w:val="009A3BD8"/>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A5E"/>
    <w:rsid w:val="009D6ED2"/>
    <w:rsid w:val="009E0F1A"/>
    <w:rsid w:val="009E140D"/>
    <w:rsid w:val="009E41E9"/>
    <w:rsid w:val="009E4465"/>
    <w:rsid w:val="009E6401"/>
    <w:rsid w:val="009E6C54"/>
    <w:rsid w:val="009F2261"/>
    <w:rsid w:val="009F2A25"/>
    <w:rsid w:val="009F3EB4"/>
    <w:rsid w:val="009F5235"/>
    <w:rsid w:val="009F531A"/>
    <w:rsid w:val="009F6550"/>
    <w:rsid w:val="009F786E"/>
    <w:rsid w:val="00A008DA"/>
    <w:rsid w:val="00A00902"/>
    <w:rsid w:val="00A039FF"/>
    <w:rsid w:val="00A05ACE"/>
    <w:rsid w:val="00A078CB"/>
    <w:rsid w:val="00A14AE3"/>
    <w:rsid w:val="00A16675"/>
    <w:rsid w:val="00A22CD6"/>
    <w:rsid w:val="00A234EC"/>
    <w:rsid w:val="00A2417A"/>
    <w:rsid w:val="00A26668"/>
    <w:rsid w:val="00A27804"/>
    <w:rsid w:val="00A30F47"/>
    <w:rsid w:val="00A36822"/>
    <w:rsid w:val="00A36AB5"/>
    <w:rsid w:val="00A37A23"/>
    <w:rsid w:val="00A411D1"/>
    <w:rsid w:val="00A43389"/>
    <w:rsid w:val="00A43E71"/>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960A3"/>
    <w:rsid w:val="00AA1B53"/>
    <w:rsid w:val="00AA3556"/>
    <w:rsid w:val="00AA35FD"/>
    <w:rsid w:val="00AA3DB7"/>
    <w:rsid w:val="00AB0340"/>
    <w:rsid w:val="00AB3012"/>
    <w:rsid w:val="00AB321C"/>
    <w:rsid w:val="00AB5B99"/>
    <w:rsid w:val="00AB688F"/>
    <w:rsid w:val="00AB75EA"/>
    <w:rsid w:val="00AB7AA2"/>
    <w:rsid w:val="00AC4BC1"/>
    <w:rsid w:val="00AD04BD"/>
    <w:rsid w:val="00AD1C72"/>
    <w:rsid w:val="00AD25F6"/>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A67"/>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A6F84"/>
    <w:rsid w:val="00BB0187"/>
    <w:rsid w:val="00BB11F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F5F"/>
    <w:rsid w:val="00CA35A8"/>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5867"/>
    <w:rsid w:val="00CE6358"/>
    <w:rsid w:val="00CF2D54"/>
    <w:rsid w:val="00CF592C"/>
    <w:rsid w:val="00CF6AD7"/>
    <w:rsid w:val="00CF7B8C"/>
    <w:rsid w:val="00D03538"/>
    <w:rsid w:val="00D049B8"/>
    <w:rsid w:val="00D0516C"/>
    <w:rsid w:val="00D05EE7"/>
    <w:rsid w:val="00D068D0"/>
    <w:rsid w:val="00D078D1"/>
    <w:rsid w:val="00D129A8"/>
    <w:rsid w:val="00D12A1F"/>
    <w:rsid w:val="00D12FB9"/>
    <w:rsid w:val="00D13FE2"/>
    <w:rsid w:val="00D200BD"/>
    <w:rsid w:val="00D22399"/>
    <w:rsid w:val="00D33751"/>
    <w:rsid w:val="00D33924"/>
    <w:rsid w:val="00D34559"/>
    <w:rsid w:val="00D36F6E"/>
    <w:rsid w:val="00D3705B"/>
    <w:rsid w:val="00D37343"/>
    <w:rsid w:val="00D4205E"/>
    <w:rsid w:val="00D45DB6"/>
    <w:rsid w:val="00D5574C"/>
    <w:rsid w:val="00D604CE"/>
    <w:rsid w:val="00D61315"/>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7B69"/>
    <w:rsid w:val="00DC234A"/>
    <w:rsid w:val="00DC27AD"/>
    <w:rsid w:val="00DC41E4"/>
    <w:rsid w:val="00DC5116"/>
    <w:rsid w:val="00DC5271"/>
    <w:rsid w:val="00DC7879"/>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2D28"/>
    <w:rsid w:val="00E230E3"/>
    <w:rsid w:val="00E23731"/>
    <w:rsid w:val="00E26527"/>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B1C"/>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4874"/>
    <w:rsid w:val="00EE79A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6AA6"/>
    <w:rsid w:val="00F97B71"/>
    <w:rsid w:val="00FA0A2A"/>
    <w:rsid w:val="00FA2DDA"/>
    <w:rsid w:val="00FA34CA"/>
    <w:rsid w:val="00FA4A55"/>
    <w:rsid w:val="00FA4D4F"/>
    <w:rsid w:val="00FA54E8"/>
    <w:rsid w:val="00FA7193"/>
    <w:rsid w:val="00FA7910"/>
    <w:rsid w:val="00FB2D17"/>
    <w:rsid w:val="00FB2F69"/>
    <w:rsid w:val="00FB368B"/>
    <w:rsid w:val="00FB45FF"/>
    <w:rsid w:val="00FB572A"/>
    <w:rsid w:val="00FB5D97"/>
    <w:rsid w:val="00FC054F"/>
    <w:rsid w:val="00FC1CA5"/>
    <w:rsid w:val="00FC219C"/>
    <w:rsid w:val="00FC2979"/>
    <w:rsid w:val="00FD1C3C"/>
    <w:rsid w:val="00FD1E02"/>
    <w:rsid w:val="00FD38A8"/>
    <w:rsid w:val="00FD6AC8"/>
    <w:rsid w:val="00FE3EA1"/>
    <w:rsid w:val="00FE4818"/>
    <w:rsid w:val="00FE5D80"/>
    <w:rsid w:val="00FE67F1"/>
    <w:rsid w:val="00FF1577"/>
    <w:rsid w:val="00FF3515"/>
    <w:rsid w:val="00FF6ADB"/>
    <w:rsid w:val="103A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DC452D"/>
  <w15:docId w15:val="{46A10AEF-3050-4DF1-8D37-4E65F022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semiHidden/>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qFormat/>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HTML0">
    <w:name w:val="HTML 预设格式 字符"/>
    <w:basedOn w:val="a1"/>
    <w:link w:val="HTML"/>
    <w:uiPriority w:val="99"/>
    <w:rPr>
      <w:rFonts w:ascii="宋体" w:hAnsi="宋体" w:cs="宋体"/>
      <w:sz w:val="24"/>
      <w:szCs w:val="24"/>
    </w:rPr>
  </w:style>
  <w:style w:type="character" w:customStyle="1" w:styleId="ac">
    <w:name w:val="日期 字符"/>
    <w:basedOn w:val="a1"/>
    <w:link w:val="ab"/>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1315</Words>
  <Characters>7500</Characters>
  <Application>Microsoft Office Word</Application>
  <DocSecurity>0</DocSecurity>
  <Lines>62</Lines>
  <Paragraphs>17</Paragraphs>
  <ScaleCrop>false</ScaleCrop>
  <Company>TRT. Ltd. Co.</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168</cp:revision>
  <cp:lastPrinted>2007-07-19T00:46:00Z</cp:lastPrinted>
  <dcterms:created xsi:type="dcterms:W3CDTF">2012-11-28T02:28:00Z</dcterms:created>
  <dcterms:modified xsi:type="dcterms:W3CDTF">2020-07-20T10:01:00Z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