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4DB52A" w14:textId="77777777" w:rsidR="00C77D2D" w:rsidRDefault="00C77D2D">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782BBAA3" w14:textId="77777777" w:rsidR="00C77D2D" w:rsidRDefault="00C77D2D">
      <w:pPr>
        <w:spacing w:line="360" w:lineRule="auto"/>
        <w:rPr>
          <w:rFonts w:ascii="宋体" w:hAnsi="宋体" w:hint="eastAsia"/>
          <w:sz w:val="48"/>
        </w:rPr>
      </w:pPr>
      <w:r>
        <w:rPr>
          <w:rFonts w:ascii="宋体" w:hAnsi="宋体" w:hint="eastAsia"/>
          <w:sz w:val="48"/>
        </w:rPr>
        <w:t xml:space="preserve">　 </w:t>
      </w:r>
    </w:p>
    <w:p w14:paraId="40A3E9C3" w14:textId="77777777" w:rsidR="00C77D2D" w:rsidRDefault="00C77D2D">
      <w:pPr>
        <w:spacing w:line="360" w:lineRule="auto"/>
        <w:jc w:val="center"/>
      </w:pPr>
      <w:r>
        <w:rPr>
          <w:rFonts w:ascii="宋体" w:hAnsi="宋体" w:hint="eastAsia"/>
          <w:b/>
          <w:bCs/>
          <w:color w:val="000000" w:themeColor="text1"/>
          <w:sz w:val="48"/>
          <w:szCs w:val="30"/>
        </w:rPr>
        <w:t>摩根安隆回报混合型证券投资基金</w:t>
      </w:r>
      <w:r>
        <w:rPr>
          <w:rFonts w:ascii="宋体" w:hAnsi="宋体" w:hint="eastAsia"/>
          <w:b/>
          <w:bCs/>
          <w:color w:val="000000" w:themeColor="text1"/>
          <w:sz w:val="48"/>
          <w:szCs w:val="30"/>
        </w:rPr>
        <w:br/>
        <w:t>2025年第4季度报告</w:t>
      </w:r>
    </w:p>
    <w:p w14:paraId="6B4BC311" w14:textId="77777777" w:rsidR="00C77D2D" w:rsidRDefault="00C77D2D">
      <w:pPr>
        <w:spacing w:line="360" w:lineRule="auto"/>
        <w:jc w:val="center"/>
        <w:rPr>
          <w:rFonts w:ascii="宋体" w:hAnsi="宋体" w:hint="eastAsia"/>
          <w:sz w:val="28"/>
          <w:szCs w:val="30"/>
        </w:rPr>
      </w:pPr>
      <w:r>
        <w:rPr>
          <w:rFonts w:ascii="宋体" w:hAnsi="宋体" w:hint="eastAsia"/>
          <w:sz w:val="28"/>
          <w:szCs w:val="30"/>
        </w:rPr>
        <w:t xml:space="preserve">　 </w:t>
      </w:r>
    </w:p>
    <w:p w14:paraId="54874C39" w14:textId="77777777" w:rsidR="00C77D2D" w:rsidRDefault="00C77D2D">
      <w:pPr>
        <w:spacing w:line="360" w:lineRule="auto"/>
        <w:jc w:val="center"/>
      </w:pPr>
      <w:r>
        <w:rPr>
          <w:rFonts w:ascii="宋体" w:hAnsi="宋体" w:hint="eastAsia"/>
          <w:b/>
          <w:bCs/>
          <w:sz w:val="28"/>
          <w:szCs w:val="30"/>
        </w:rPr>
        <w:t>2025年12月31日</w:t>
      </w:r>
    </w:p>
    <w:p w14:paraId="65841A05" w14:textId="77777777" w:rsidR="00C77D2D" w:rsidRDefault="00C77D2D">
      <w:pPr>
        <w:spacing w:line="360" w:lineRule="auto"/>
        <w:jc w:val="center"/>
        <w:rPr>
          <w:rFonts w:ascii="宋体" w:hAnsi="宋体" w:hint="eastAsia"/>
          <w:sz w:val="28"/>
          <w:szCs w:val="30"/>
        </w:rPr>
      </w:pPr>
      <w:r>
        <w:rPr>
          <w:rFonts w:ascii="宋体" w:hAnsi="宋体" w:hint="eastAsia"/>
          <w:sz w:val="28"/>
          <w:szCs w:val="30"/>
        </w:rPr>
        <w:t xml:space="preserve">　 </w:t>
      </w:r>
    </w:p>
    <w:p w14:paraId="17E72090" w14:textId="77777777" w:rsidR="00C77D2D" w:rsidRDefault="00C77D2D">
      <w:pPr>
        <w:spacing w:line="360" w:lineRule="auto"/>
        <w:jc w:val="center"/>
        <w:rPr>
          <w:rFonts w:ascii="宋体" w:hAnsi="宋体" w:hint="eastAsia"/>
          <w:sz w:val="28"/>
          <w:szCs w:val="30"/>
        </w:rPr>
      </w:pPr>
      <w:r>
        <w:rPr>
          <w:rFonts w:ascii="宋体" w:hAnsi="宋体" w:hint="eastAsia"/>
          <w:sz w:val="28"/>
          <w:szCs w:val="30"/>
        </w:rPr>
        <w:t xml:space="preserve">　 </w:t>
      </w:r>
    </w:p>
    <w:p w14:paraId="18D8F9A0" w14:textId="77777777" w:rsidR="00C77D2D" w:rsidRDefault="00C77D2D">
      <w:pPr>
        <w:spacing w:line="360" w:lineRule="auto"/>
        <w:jc w:val="center"/>
        <w:rPr>
          <w:rFonts w:ascii="宋体" w:hAnsi="宋体" w:hint="eastAsia"/>
          <w:sz w:val="28"/>
          <w:szCs w:val="30"/>
        </w:rPr>
      </w:pPr>
      <w:r>
        <w:rPr>
          <w:rFonts w:ascii="宋体" w:hAnsi="宋体" w:hint="eastAsia"/>
          <w:sz w:val="28"/>
          <w:szCs w:val="30"/>
        </w:rPr>
        <w:t xml:space="preserve">　 </w:t>
      </w:r>
    </w:p>
    <w:p w14:paraId="56ED2346" w14:textId="77777777" w:rsidR="00C77D2D" w:rsidRDefault="00C77D2D">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26F1E74" w14:textId="77777777" w:rsidR="00C77D2D" w:rsidRDefault="00C77D2D">
      <w:pPr>
        <w:spacing w:line="360" w:lineRule="auto"/>
        <w:jc w:val="center"/>
        <w:rPr>
          <w:rFonts w:ascii="宋体" w:hAnsi="宋体" w:hint="eastAsia"/>
          <w:sz w:val="28"/>
          <w:szCs w:val="30"/>
        </w:rPr>
      </w:pPr>
      <w:r>
        <w:rPr>
          <w:rFonts w:ascii="宋体" w:hAnsi="宋体" w:hint="eastAsia"/>
          <w:sz w:val="28"/>
          <w:szCs w:val="30"/>
        </w:rPr>
        <w:t xml:space="preserve">　 </w:t>
      </w:r>
    </w:p>
    <w:p w14:paraId="5BF022CD" w14:textId="77777777" w:rsidR="00C77D2D" w:rsidRDefault="00C77D2D">
      <w:pPr>
        <w:spacing w:line="360" w:lineRule="auto"/>
        <w:jc w:val="center"/>
        <w:rPr>
          <w:rFonts w:ascii="宋体" w:hAnsi="宋体" w:hint="eastAsia"/>
          <w:sz w:val="28"/>
          <w:szCs w:val="30"/>
        </w:rPr>
      </w:pPr>
      <w:r>
        <w:rPr>
          <w:rFonts w:ascii="宋体" w:hAnsi="宋体" w:hint="eastAsia"/>
          <w:sz w:val="28"/>
          <w:szCs w:val="30"/>
        </w:rPr>
        <w:t xml:space="preserve">　 </w:t>
      </w:r>
    </w:p>
    <w:p w14:paraId="26740A6F" w14:textId="77777777" w:rsidR="00C77D2D" w:rsidRDefault="00C77D2D">
      <w:pPr>
        <w:spacing w:line="360" w:lineRule="auto"/>
        <w:jc w:val="center"/>
        <w:rPr>
          <w:rFonts w:ascii="宋体" w:hAnsi="宋体" w:hint="eastAsia"/>
          <w:sz w:val="28"/>
          <w:szCs w:val="30"/>
        </w:rPr>
      </w:pPr>
      <w:r>
        <w:rPr>
          <w:rFonts w:ascii="宋体" w:hAnsi="宋体" w:hint="eastAsia"/>
          <w:sz w:val="28"/>
          <w:szCs w:val="30"/>
        </w:rPr>
        <w:t xml:space="preserve">　 </w:t>
      </w:r>
    </w:p>
    <w:p w14:paraId="4CC116BF" w14:textId="77777777" w:rsidR="00C77D2D" w:rsidRDefault="00C77D2D">
      <w:pPr>
        <w:spacing w:line="360" w:lineRule="auto"/>
        <w:jc w:val="center"/>
        <w:rPr>
          <w:rFonts w:ascii="宋体" w:hAnsi="宋体" w:hint="eastAsia"/>
          <w:sz w:val="28"/>
          <w:szCs w:val="30"/>
        </w:rPr>
      </w:pPr>
      <w:r>
        <w:rPr>
          <w:rFonts w:ascii="宋体" w:hAnsi="宋体" w:hint="eastAsia"/>
          <w:sz w:val="28"/>
          <w:szCs w:val="30"/>
        </w:rPr>
        <w:t xml:space="preserve">　 </w:t>
      </w:r>
    </w:p>
    <w:p w14:paraId="26926FBC" w14:textId="77777777" w:rsidR="00C77D2D" w:rsidRDefault="00C77D2D">
      <w:pPr>
        <w:spacing w:line="360" w:lineRule="auto"/>
        <w:jc w:val="center"/>
        <w:rPr>
          <w:rFonts w:ascii="宋体" w:hAnsi="宋体" w:hint="eastAsia"/>
          <w:sz w:val="28"/>
          <w:szCs w:val="30"/>
        </w:rPr>
      </w:pPr>
      <w:r>
        <w:rPr>
          <w:rFonts w:ascii="宋体" w:hAnsi="宋体" w:hint="eastAsia"/>
          <w:sz w:val="28"/>
          <w:szCs w:val="30"/>
        </w:rPr>
        <w:t xml:space="preserve">　 </w:t>
      </w:r>
    </w:p>
    <w:p w14:paraId="5AD54AAC" w14:textId="77777777" w:rsidR="00C77D2D" w:rsidRDefault="00C77D2D">
      <w:pPr>
        <w:spacing w:line="360" w:lineRule="auto"/>
        <w:jc w:val="center"/>
        <w:rPr>
          <w:rFonts w:ascii="宋体" w:hAnsi="宋体" w:hint="eastAsia"/>
          <w:sz w:val="28"/>
          <w:szCs w:val="30"/>
        </w:rPr>
      </w:pPr>
      <w:r>
        <w:rPr>
          <w:rFonts w:ascii="宋体" w:hAnsi="宋体" w:hint="eastAsia"/>
          <w:sz w:val="28"/>
          <w:szCs w:val="30"/>
        </w:rPr>
        <w:t xml:space="preserve">　 </w:t>
      </w:r>
    </w:p>
    <w:p w14:paraId="439E9E59" w14:textId="77777777" w:rsidR="00C77D2D" w:rsidRDefault="00C77D2D">
      <w:pPr>
        <w:spacing w:line="360" w:lineRule="auto"/>
        <w:jc w:val="center"/>
        <w:rPr>
          <w:rFonts w:ascii="宋体" w:hAnsi="宋体" w:hint="eastAsia"/>
          <w:sz w:val="28"/>
          <w:szCs w:val="30"/>
        </w:rPr>
      </w:pPr>
      <w:r>
        <w:rPr>
          <w:rFonts w:ascii="宋体" w:hAnsi="宋体" w:hint="eastAsia"/>
          <w:sz w:val="28"/>
          <w:szCs w:val="30"/>
        </w:rPr>
        <w:t xml:space="preserve">　 </w:t>
      </w:r>
    </w:p>
    <w:p w14:paraId="372D8B75" w14:textId="77777777" w:rsidR="00C77D2D" w:rsidRDefault="00C77D2D">
      <w:pPr>
        <w:spacing w:line="360" w:lineRule="auto"/>
        <w:ind w:firstLineChars="800" w:firstLine="2249"/>
        <w:jc w:val="left"/>
      </w:pPr>
      <w:r>
        <w:rPr>
          <w:rFonts w:ascii="宋体" w:hAnsi="宋体" w:hint="eastAsia"/>
          <w:b/>
          <w:bCs/>
          <w:sz w:val="28"/>
          <w:szCs w:val="30"/>
        </w:rPr>
        <w:t>基金管理人：摩根基金管理（中国）有限公司</w:t>
      </w:r>
    </w:p>
    <w:p w14:paraId="694BDA26" w14:textId="77777777" w:rsidR="00C77D2D" w:rsidRDefault="00C77D2D">
      <w:pPr>
        <w:spacing w:line="360" w:lineRule="auto"/>
        <w:ind w:firstLineChars="800" w:firstLine="2249"/>
        <w:jc w:val="left"/>
      </w:pPr>
      <w:r>
        <w:rPr>
          <w:rFonts w:ascii="宋体" w:hAnsi="宋体" w:hint="eastAsia"/>
          <w:b/>
          <w:bCs/>
          <w:sz w:val="28"/>
          <w:szCs w:val="30"/>
        </w:rPr>
        <w:t>基金托管人：杭州银行股份有限公司</w:t>
      </w:r>
    </w:p>
    <w:p w14:paraId="1DFCCB0F" w14:textId="77777777" w:rsidR="00C77D2D" w:rsidRDefault="00C77D2D">
      <w:pPr>
        <w:spacing w:line="360" w:lineRule="auto"/>
        <w:ind w:firstLineChars="800" w:firstLine="2249"/>
        <w:jc w:val="left"/>
      </w:pPr>
      <w:r>
        <w:rPr>
          <w:rFonts w:ascii="宋体" w:hAnsi="宋体" w:hint="eastAsia"/>
          <w:b/>
          <w:bCs/>
          <w:sz w:val="28"/>
          <w:szCs w:val="30"/>
        </w:rPr>
        <w:t>报告送出日期：2026年1月22日</w:t>
      </w:r>
    </w:p>
    <w:p w14:paraId="0606BD78" w14:textId="77777777" w:rsidR="00C77D2D" w:rsidRDefault="00C77D2D">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4B9F4EDA" w14:textId="77777777" w:rsidR="00C77D2D" w:rsidRDefault="00C77D2D">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基金托管人杭州银行股份有限公司根据本基金合同规定，于2026年1月21日复核了本报告中的财务指标、净值表现和投资组合报告等内容，保证复核内容不存在虚假记载、误导性陈述或者重大遗漏。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39A0EC1E" w14:textId="77777777" w:rsidR="00C77D2D" w:rsidRDefault="00C77D2D">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FF1735" w14:paraId="05D2F916" w14:textId="77777777">
        <w:trPr>
          <w:divId w:val="1735395652"/>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6D8F1C74" w14:textId="77777777" w:rsidR="00C77D2D" w:rsidRDefault="00C77D2D">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437B03" w14:textId="77777777" w:rsidR="00C77D2D" w:rsidRDefault="00C77D2D">
            <w:pPr>
              <w:jc w:val="left"/>
            </w:pPr>
            <w:r>
              <w:rPr>
                <w:rFonts w:ascii="宋体" w:hAnsi="宋体" w:hint="eastAsia"/>
                <w:szCs w:val="24"/>
                <w:lang w:eastAsia="zh-Hans"/>
              </w:rPr>
              <w:t>摩根安隆回报混合</w:t>
            </w:r>
            <w:r>
              <w:rPr>
                <w:rFonts w:ascii="宋体" w:hAnsi="宋体" w:hint="eastAsia"/>
                <w:lang w:eastAsia="zh-Hans"/>
              </w:rPr>
              <w:t xml:space="preserve"> </w:t>
            </w:r>
          </w:p>
        </w:tc>
      </w:tr>
      <w:tr w:rsidR="00FF1735" w14:paraId="17F42F8C" w14:textId="77777777">
        <w:trPr>
          <w:divId w:val="17353956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AA700D" w14:textId="77777777" w:rsidR="00C77D2D" w:rsidRDefault="00C77D2D">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9958E5" w14:textId="77777777" w:rsidR="00C77D2D" w:rsidRDefault="00C77D2D">
            <w:pPr>
              <w:jc w:val="left"/>
            </w:pPr>
            <w:r>
              <w:rPr>
                <w:rFonts w:ascii="宋体" w:hAnsi="宋体" w:hint="eastAsia"/>
                <w:lang w:eastAsia="zh-Hans"/>
              </w:rPr>
              <w:t>004738</w:t>
            </w:r>
          </w:p>
        </w:tc>
      </w:tr>
      <w:tr w:rsidR="00FF1735" w14:paraId="6FB07C9E" w14:textId="77777777">
        <w:trPr>
          <w:divId w:val="17353956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D0C5FC" w14:textId="77777777" w:rsidR="00C77D2D" w:rsidRDefault="00C77D2D">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4809E6" w14:textId="77777777" w:rsidR="00C77D2D" w:rsidRDefault="00C77D2D">
            <w:pPr>
              <w:jc w:val="left"/>
            </w:pPr>
            <w:r>
              <w:rPr>
                <w:rFonts w:ascii="宋体" w:hAnsi="宋体" w:hint="eastAsia"/>
                <w:lang w:eastAsia="zh-Hans"/>
              </w:rPr>
              <w:t>契约型开放式</w:t>
            </w:r>
          </w:p>
        </w:tc>
      </w:tr>
      <w:tr w:rsidR="00FF1735" w14:paraId="3CD80D90" w14:textId="77777777">
        <w:trPr>
          <w:divId w:val="17353956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A99EDA" w14:textId="77777777" w:rsidR="00C77D2D" w:rsidRDefault="00C77D2D">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3FE8EF" w14:textId="77777777" w:rsidR="00C77D2D" w:rsidRDefault="00C77D2D">
            <w:pPr>
              <w:jc w:val="left"/>
            </w:pPr>
            <w:r>
              <w:rPr>
                <w:rFonts w:ascii="宋体" w:hAnsi="宋体" w:hint="eastAsia"/>
                <w:lang w:eastAsia="zh-Hans"/>
              </w:rPr>
              <w:t>2018年2月8日</w:t>
            </w:r>
          </w:p>
        </w:tc>
      </w:tr>
      <w:tr w:rsidR="00FF1735" w14:paraId="561C41B6" w14:textId="77777777">
        <w:trPr>
          <w:divId w:val="17353956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8D2700" w14:textId="77777777" w:rsidR="00C77D2D" w:rsidRDefault="00C77D2D">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1E151A" w14:textId="77777777" w:rsidR="00C77D2D" w:rsidRDefault="00C77D2D">
            <w:pPr>
              <w:jc w:val="left"/>
            </w:pPr>
            <w:r>
              <w:rPr>
                <w:rFonts w:ascii="宋体" w:hAnsi="宋体" w:hint="eastAsia"/>
                <w:lang w:eastAsia="zh-Hans"/>
              </w:rPr>
              <w:t>124,455,678.18</w:t>
            </w:r>
            <w:r>
              <w:rPr>
                <w:rFonts w:hint="eastAsia"/>
              </w:rPr>
              <w:t>份</w:t>
            </w:r>
            <w:r>
              <w:rPr>
                <w:rFonts w:ascii="宋体" w:hAnsi="宋体" w:hint="eastAsia"/>
                <w:lang w:eastAsia="zh-Hans"/>
              </w:rPr>
              <w:t xml:space="preserve"> </w:t>
            </w:r>
          </w:p>
        </w:tc>
      </w:tr>
      <w:tr w:rsidR="00FF1735" w14:paraId="367F524C" w14:textId="77777777">
        <w:trPr>
          <w:divId w:val="17353956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11D6F6" w14:textId="77777777" w:rsidR="00C77D2D" w:rsidRDefault="00C77D2D">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7047CC" w14:textId="77777777" w:rsidR="00C77D2D" w:rsidRDefault="00C77D2D">
            <w:pPr>
              <w:jc w:val="left"/>
            </w:pPr>
            <w:r>
              <w:rPr>
                <w:rFonts w:ascii="宋体" w:hAnsi="宋体" w:hint="eastAsia"/>
                <w:lang w:eastAsia="zh-Hans"/>
              </w:rPr>
              <w:t>以追求稳健收益作为基金的投资目标，通过严格的风险控制，力争实现基金资产的稳健增值。</w:t>
            </w:r>
          </w:p>
        </w:tc>
      </w:tr>
      <w:tr w:rsidR="00FF1735" w14:paraId="2BAE805C" w14:textId="77777777">
        <w:trPr>
          <w:divId w:val="17353956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850ABF" w14:textId="77777777" w:rsidR="00C77D2D" w:rsidRDefault="00C77D2D">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FA12C3" w14:textId="77777777" w:rsidR="00C77D2D" w:rsidRDefault="00C77D2D">
            <w:pPr>
              <w:jc w:val="left"/>
            </w:pPr>
            <w:r>
              <w:rPr>
                <w:rFonts w:ascii="宋体" w:hAnsi="宋体" w:hint="eastAsia"/>
                <w:lang w:eastAsia="zh-Hans"/>
              </w:rPr>
              <w:t>1、资产配置策略</w:t>
            </w:r>
            <w:r>
              <w:rPr>
                <w:rFonts w:ascii="宋体" w:hAnsi="宋体" w:hint="eastAsia"/>
                <w:lang w:eastAsia="zh-Hans"/>
              </w:rPr>
              <w:br/>
              <w:t>本基金将通过对宏观经济、国家政策、资金面、市场估值水平和市场情绪等影响证券市场的重要因素进行综合分析，评估股票、债券等各类资产风险收益特征，预测不同类别资产表现，确定合适的资产配置比例。同时采用严格的仓位控制策略，根据基金单位净值的变化和对未来市场的判断，灵活控制股票仓位，控制下行风险。</w:t>
            </w:r>
            <w:r>
              <w:rPr>
                <w:rFonts w:ascii="宋体" w:hAnsi="宋体" w:hint="eastAsia"/>
                <w:lang w:eastAsia="zh-Hans"/>
              </w:rPr>
              <w:br/>
              <w:t>2、债券投资策略</w:t>
            </w:r>
            <w:r>
              <w:rPr>
                <w:rFonts w:ascii="宋体" w:hAnsi="宋体" w:hint="eastAsia"/>
                <w:lang w:eastAsia="zh-Hans"/>
              </w:rPr>
              <w:br/>
              <w:t>本基金根据对财政政策、货币政策的分析以及对宏观经济的持续跟踪，结合不同债券品种的到期收益率、流动性、市场规模等情况，灵活运用久期策略、期限结构配置策略、信用债策略、可转债策略、中小企业私募债策略、证券公司短期债等多种投资策略，实施积极主动的组合管理，并根据对债券收益率曲线形态、息差变化的预测，对债券组合进行动态调整。</w:t>
            </w:r>
            <w:r>
              <w:rPr>
                <w:rFonts w:ascii="宋体" w:hAnsi="宋体" w:hint="eastAsia"/>
                <w:lang w:eastAsia="zh-Hans"/>
              </w:rPr>
              <w:br/>
              <w:t>3、股票投资策略</w:t>
            </w:r>
            <w:r>
              <w:rPr>
                <w:rFonts w:ascii="宋体" w:hAnsi="宋体" w:hint="eastAsia"/>
                <w:lang w:eastAsia="zh-Hans"/>
              </w:rPr>
              <w:br/>
              <w:t>本基金将采用自下而上的分析方法，根据上市公司财</w:t>
            </w:r>
            <w:r>
              <w:rPr>
                <w:rFonts w:ascii="宋体" w:hAnsi="宋体" w:hint="eastAsia"/>
                <w:lang w:eastAsia="zh-Hans"/>
              </w:rPr>
              <w:lastRenderedPageBreak/>
              <w:t>务分析、盈利预期、治理结构等因素，结合股票的价值评估，以及对公司经营有实质性影响的事件，精选个股，构建投资组合。</w:t>
            </w:r>
            <w:r>
              <w:rPr>
                <w:rFonts w:ascii="宋体" w:hAnsi="宋体" w:hint="eastAsia"/>
                <w:lang w:eastAsia="zh-Hans"/>
              </w:rPr>
              <w:br/>
              <w:t>4、其他投资策略：包括股指期货投资策略、股票期权投资策略、资产支持证券投资策略、存托凭证投资策略。</w:t>
            </w:r>
          </w:p>
        </w:tc>
      </w:tr>
      <w:tr w:rsidR="00FF1735" w14:paraId="07B9CE5B" w14:textId="77777777">
        <w:trPr>
          <w:divId w:val="17353956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7F01C4" w14:textId="77777777" w:rsidR="00C77D2D" w:rsidRDefault="00C77D2D">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73ACD3" w14:textId="77777777" w:rsidR="00C77D2D" w:rsidRDefault="00C77D2D">
            <w:pPr>
              <w:jc w:val="left"/>
            </w:pPr>
            <w:r>
              <w:rPr>
                <w:rFonts w:ascii="宋体" w:hAnsi="宋体" w:hint="eastAsia"/>
                <w:lang w:eastAsia="zh-Hans"/>
              </w:rPr>
              <w:t>沪深300指数收益率×20%+中证综合债券指数收益率×80%</w:t>
            </w:r>
          </w:p>
        </w:tc>
      </w:tr>
      <w:tr w:rsidR="00FF1735" w14:paraId="20EFFADB" w14:textId="77777777">
        <w:trPr>
          <w:divId w:val="17353956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2E3945" w14:textId="77777777" w:rsidR="00C77D2D" w:rsidRDefault="00C77D2D">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57FF75" w14:textId="77777777" w:rsidR="00C77D2D" w:rsidRDefault="00C77D2D">
            <w:pPr>
              <w:jc w:val="left"/>
            </w:pPr>
            <w:r>
              <w:rPr>
                <w:rFonts w:ascii="宋体" w:hAnsi="宋体" w:hint="eastAsia"/>
                <w:lang w:eastAsia="zh-Hans"/>
              </w:rPr>
              <w:t>本基金属于混合型基金产品，预期风险和收益水平高于债券型基金和货币市场基金，低于股票型基金，属于中等风险收益水平的基金产品。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FF1735" w14:paraId="38D639EF" w14:textId="77777777">
        <w:trPr>
          <w:divId w:val="17353956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7764BF" w14:textId="77777777" w:rsidR="00C77D2D" w:rsidRDefault="00C77D2D">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60CE46" w14:textId="77777777" w:rsidR="00C77D2D" w:rsidRDefault="00C77D2D">
            <w:pPr>
              <w:jc w:val="left"/>
            </w:pPr>
            <w:r>
              <w:rPr>
                <w:rFonts w:ascii="宋体" w:hAnsi="宋体" w:hint="eastAsia"/>
                <w:lang w:eastAsia="zh-Hans"/>
              </w:rPr>
              <w:t>摩根基金管理（中国）有限公司</w:t>
            </w:r>
          </w:p>
        </w:tc>
      </w:tr>
      <w:tr w:rsidR="00FF1735" w14:paraId="7EF9F836" w14:textId="77777777">
        <w:trPr>
          <w:divId w:val="17353956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794BE3" w14:textId="77777777" w:rsidR="00C77D2D" w:rsidRDefault="00C77D2D">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60F093" w14:textId="77777777" w:rsidR="00C77D2D" w:rsidRDefault="00C77D2D">
            <w:pPr>
              <w:jc w:val="left"/>
            </w:pPr>
            <w:r>
              <w:rPr>
                <w:rFonts w:ascii="宋体" w:hAnsi="宋体" w:hint="eastAsia"/>
                <w:lang w:eastAsia="zh-Hans"/>
              </w:rPr>
              <w:t>杭州银行股份有限公司</w:t>
            </w:r>
          </w:p>
        </w:tc>
      </w:tr>
      <w:tr w:rsidR="00FF1735" w14:paraId="2EAF0A3C" w14:textId="77777777">
        <w:trPr>
          <w:divId w:val="173539565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B43464" w14:textId="77777777" w:rsidR="00C77D2D" w:rsidRDefault="00C77D2D">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A4AC09C" w14:textId="77777777" w:rsidR="00C77D2D" w:rsidRDefault="00C77D2D">
            <w:pPr>
              <w:jc w:val="center"/>
            </w:pPr>
            <w:r>
              <w:rPr>
                <w:rFonts w:ascii="宋体" w:hAnsi="宋体" w:hint="eastAsia"/>
                <w:lang w:eastAsia="zh-Hans"/>
              </w:rPr>
              <w:t>摩根安隆回报混合A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0CC0A2D" w14:textId="77777777" w:rsidR="00C77D2D" w:rsidRDefault="00C77D2D">
            <w:pPr>
              <w:jc w:val="center"/>
            </w:pPr>
            <w:r>
              <w:rPr>
                <w:rFonts w:ascii="宋体" w:hAnsi="宋体" w:hint="eastAsia"/>
                <w:lang w:eastAsia="zh-Hans"/>
              </w:rPr>
              <w:t>摩根安隆回报混合C</w:t>
            </w:r>
            <w:r>
              <w:rPr>
                <w:rFonts w:ascii="宋体" w:hAnsi="宋体" w:hint="eastAsia"/>
                <w:kern w:val="0"/>
                <w:sz w:val="20"/>
                <w:lang w:eastAsia="zh-Hans"/>
              </w:rPr>
              <w:t xml:space="preserve"> </w:t>
            </w:r>
          </w:p>
        </w:tc>
      </w:tr>
      <w:tr w:rsidR="00FF1735" w14:paraId="28EA31F2" w14:textId="77777777">
        <w:trPr>
          <w:divId w:val="173539565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2867E2" w14:textId="77777777" w:rsidR="00C77D2D" w:rsidRDefault="00C77D2D">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525FE0B" w14:textId="77777777" w:rsidR="00C77D2D" w:rsidRDefault="00C77D2D">
            <w:pPr>
              <w:jc w:val="center"/>
            </w:pPr>
            <w:r>
              <w:rPr>
                <w:rFonts w:ascii="宋体" w:hAnsi="宋体" w:hint="eastAsia"/>
                <w:lang w:eastAsia="zh-Hans"/>
              </w:rPr>
              <w:t>004738</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D8F98EB" w14:textId="77777777" w:rsidR="00C77D2D" w:rsidRDefault="00C77D2D">
            <w:pPr>
              <w:jc w:val="center"/>
            </w:pPr>
            <w:r>
              <w:rPr>
                <w:rFonts w:ascii="宋体" w:hAnsi="宋体" w:hint="eastAsia"/>
                <w:lang w:eastAsia="zh-Hans"/>
              </w:rPr>
              <w:t>004739</w:t>
            </w:r>
            <w:r>
              <w:rPr>
                <w:rFonts w:ascii="宋体" w:hAnsi="宋体" w:hint="eastAsia"/>
                <w:kern w:val="0"/>
                <w:sz w:val="20"/>
                <w:lang w:eastAsia="zh-Hans"/>
              </w:rPr>
              <w:t xml:space="preserve"> </w:t>
            </w:r>
          </w:p>
        </w:tc>
      </w:tr>
      <w:bookmarkEnd w:id="33"/>
      <w:bookmarkEnd w:id="32"/>
      <w:tr w:rsidR="00FF1735" w14:paraId="12BB05A6" w14:textId="77777777">
        <w:trPr>
          <w:divId w:val="173539565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8AE672" w14:textId="77777777" w:rsidR="00C77D2D" w:rsidRDefault="00C77D2D">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B77738" w14:textId="77777777" w:rsidR="00C77D2D" w:rsidRDefault="00C77D2D">
            <w:pPr>
              <w:jc w:val="center"/>
            </w:pPr>
            <w:r>
              <w:rPr>
                <w:rFonts w:ascii="宋体" w:hAnsi="宋体" w:hint="eastAsia"/>
                <w:lang w:eastAsia="zh-Hans"/>
              </w:rPr>
              <w:t>86,224,071.11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6592BC" w14:textId="77777777" w:rsidR="00C77D2D" w:rsidRDefault="00C77D2D">
            <w:pPr>
              <w:jc w:val="center"/>
            </w:pPr>
            <w:r>
              <w:rPr>
                <w:rFonts w:ascii="宋体" w:hAnsi="宋体" w:hint="eastAsia"/>
                <w:lang w:eastAsia="zh-Hans"/>
              </w:rPr>
              <w:t>38,231,607.07</w:t>
            </w:r>
            <w:r>
              <w:rPr>
                <w:rFonts w:hint="eastAsia"/>
              </w:rPr>
              <w:t>份</w:t>
            </w:r>
            <w:r>
              <w:rPr>
                <w:rFonts w:ascii="宋体" w:hAnsi="宋体" w:hint="eastAsia"/>
                <w:lang w:eastAsia="zh-Hans"/>
              </w:rPr>
              <w:t xml:space="preserve"> </w:t>
            </w:r>
          </w:p>
        </w:tc>
      </w:tr>
    </w:tbl>
    <w:p w14:paraId="2BD4727E" w14:textId="77777777" w:rsidR="00C77D2D" w:rsidRDefault="00C77D2D">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103926AA" w14:textId="77777777" w:rsidR="00C77D2D" w:rsidRDefault="00C77D2D">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7B8D07E5" w14:textId="77777777" w:rsidR="00C77D2D" w:rsidRDefault="00C77D2D">
      <w:pPr>
        <w:jc w:val="right"/>
        <w:divId w:val="2026789471"/>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FF1735" w14:paraId="740CD5FB" w14:textId="77777777">
        <w:trPr>
          <w:divId w:val="2026789471"/>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C74C89C" w14:textId="77777777" w:rsidR="00C77D2D" w:rsidRDefault="00C77D2D">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7410294" w14:textId="77777777" w:rsidR="00C77D2D" w:rsidRDefault="00C77D2D">
            <w:pPr>
              <w:pStyle w:val="a5"/>
              <w:jc w:val="center"/>
              <w:rPr>
                <w:rFonts w:hint="eastAsia"/>
              </w:rPr>
            </w:pPr>
            <w:r>
              <w:rPr>
                <w:rFonts w:hint="eastAsia"/>
                <w:kern w:val="2"/>
                <w:sz w:val="21"/>
                <w:szCs w:val="24"/>
                <w:lang w:eastAsia="zh-Hans"/>
              </w:rPr>
              <w:t xml:space="preserve">报告期（2025年10月1日 - 2025年12月31日） </w:t>
            </w:r>
          </w:p>
        </w:tc>
      </w:tr>
      <w:tr w:rsidR="00FF1735" w14:paraId="70F56363" w14:textId="77777777">
        <w:trPr>
          <w:divId w:val="2026789471"/>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7A05CE" w14:textId="77777777" w:rsidR="00C77D2D" w:rsidRDefault="00C77D2D">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33D80FD" w14:textId="77777777" w:rsidR="00C77D2D" w:rsidRDefault="00C77D2D">
            <w:pPr>
              <w:jc w:val="center"/>
            </w:pPr>
            <w:r>
              <w:rPr>
                <w:rFonts w:ascii="宋体" w:hAnsi="宋体" w:hint="eastAsia"/>
                <w:szCs w:val="24"/>
                <w:lang w:eastAsia="zh-Hans"/>
              </w:rPr>
              <w:t>摩根安隆回报混合A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98A1285" w14:textId="77777777" w:rsidR="00C77D2D" w:rsidRDefault="00C77D2D">
            <w:pPr>
              <w:jc w:val="center"/>
            </w:pPr>
            <w:r>
              <w:rPr>
                <w:rFonts w:ascii="宋体" w:hAnsi="宋体" w:hint="eastAsia"/>
                <w:szCs w:val="24"/>
                <w:lang w:eastAsia="zh-Hans"/>
              </w:rPr>
              <w:t>摩根安隆回报混合C</w:t>
            </w:r>
          </w:p>
        </w:tc>
      </w:tr>
      <w:tr w:rsidR="00FF1735" w14:paraId="7CF6905C" w14:textId="77777777">
        <w:trPr>
          <w:divId w:val="202678947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0F2D377" w14:textId="77777777" w:rsidR="00C77D2D" w:rsidRDefault="00C77D2D">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EA73181" w14:textId="77777777" w:rsidR="00C77D2D" w:rsidRDefault="00C77D2D">
            <w:pPr>
              <w:jc w:val="right"/>
            </w:pPr>
            <w:r>
              <w:rPr>
                <w:rFonts w:ascii="宋体" w:hAnsi="宋体" w:hint="eastAsia"/>
                <w:szCs w:val="24"/>
                <w:lang w:eastAsia="zh-Hans"/>
              </w:rPr>
              <w:t>841,858.42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F230152" w14:textId="77777777" w:rsidR="00C77D2D" w:rsidRDefault="00C77D2D">
            <w:pPr>
              <w:jc w:val="right"/>
            </w:pPr>
            <w:r>
              <w:rPr>
                <w:rFonts w:ascii="宋体" w:hAnsi="宋体" w:hint="eastAsia"/>
                <w:szCs w:val="24"/>
                <w:lang w:eastAsia="zh-Hans"/>
              </w:rPr>
              <w:t>308,856.75</w:t>
            </w:r>
          </w:p>
        </w:tc>
      </w:tr>
      <w:tr w:rsidR="00FF1735" w14:paraId="31777EBA" w14:textId="77777777">
        <w:trPr>
          <w:divId w:val="202678947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A0D1714" w14:textId="77777777" w:rsidR="00C77D2D" w:rsidRDefault="00C77D2D">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33B2546" w14:textId="77777777" w:rsidR="00C77D2D" w:rsidRDefault="00C77D2D">
            <w:pPr>
              <w:jc w:val="right"/>
            </w:pPr>
            <w:r>
              <w:rPr>
                <w:rFonts w:ascii="宋体" w:hAnsi="宋体" w:hint="eastAsia"/>
                <w:szCs w:val="24"/>
                <w:lang w:eastAsia="zh-Hans"/>
              </w:rPr>
              <w:t>1,248,898.73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F119B17" w14:textId="77777777" w:rsidR="00C77D2D" w:rsidRDefault="00C77D2D">
            <w:pPr>
              <w:jc w:val="right"/>
            </w:pPr>
            <w:r>
              <w:rPr>
                <w:rFonts w:ascii="宋体" w:hAnsi="宋体" w:hint="eastAsia"/>
                <w:szCs w:val="24"/>
                <w:lang w:eastAsia="zh-Hans"/>
              </w:rPr>
              <w:t>499,053.63</w:t>
            </w:r>
          </w:p>
        </w:tc>
      </w:tr>
      <w:tr w:rsidR="00FF1735" w14:paraId="6F6F9E8C" w14:textId="77777777">
        <w:trPr>
          <w:divId w:val="202678947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04566FB" w14:textId="77777777" w:rsidR="00C77D2D" w:rsidRDefault="00C77D2D">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18C9AFB" w14:textId="77777777" w:rsidR="00C77D2D" w:rsidRDefault="00C77D2D">
            <w:pPr>
              <w:jc w:val="right"/>
            </w:pPr>
            <w:r>
              <w:rPr>
                <w:rFonts w:ascii="宋体" w:hAnsi="宋体" w:hint="eastAsia"/>
                <w:szCs w:val="24"/>
                <w:lang w:eastAsia="zh-Hans"/>
              </w:rPr>
              <w:t>0.0135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A2242F5" w14:textId="77777777" w:rsidR="00C77D2D" w:rsidRDefault="00C77D2D">
            <w:pPr>
              <w:jc w:val="right"/>
            </w:pPr>
            <w:r>
              <w:rPr>
                <w:rFonts w:ascii="宋体" w:hAnsi="宋体" w:hint="eastAsia"/>
                <w:szCs w:val="24"/>
                <w:lang w:eastAsia="zh-Hans"/>
              </w:rPr>
              <w:t>0.0127</w:t>
            </w:r>
          </w:p>
        </w:tc>
      </w:tr>
      <w:tr w:rsidR="00FF1735" w14:paraId="3FC53CFA" w14:textId="77777777">
        <w:trPr>
          <w:divId w:val="202678947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8225021" w14:textId="77777777" w:rsidR="00C77D2D" w:rsidRDefault="00C77D2D">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768D1C9" w14:textId="77777777" w:rsidR="00C77D2D" w:rsidRDefault="00C77D2D">
            <w:pPr>
              <w:jc w:val="right"/>
            </w:pPr>
            <w:r>
              <w:rPr>
                <w:rFonts w:ascii="宋体" w:hAnsi="宋体" w:hint="eastAsia"/>
                <w:szCs w:val="24"/>
                <w:lang w:eastAsia="zh-Hans"/>
              </w:rPr>
              <w:t>123,092,129.89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B44F705" w14:textId="77777777" w:rsidR="00C77D2D" w:rsidRDefault="00C77D2D">
            <w:pPr>
              <w:jc w:val="right"/>
            </w:pPr>
            <w:r>
              <w:rPr>
                <w:rFonts w:ascii="宋体" w:hAnsi="宋体" w:hint="eastAsia"/>
                <w:szCs w:val="24"/>
                <w:lang w:eastAsia="zh-Hans"/>
              </w:rPr>
              <w:t>53,257,445.70</w:t>
            </w:r>
          </w:p>
        </w:tc>
      </w:tr>
      <w:tr w:rsidR="00FF1735" w14:paraId="0FF42B41" w14:textId="77777777">
        <w:trPr>
          <w:divId w:val="202678947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CC12B93" w14:textId="77777777" w:rsidR="00C77D2D" w:rsidRDefault="00C77D2D">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9B15754" w14:textId="77777777" w:rsidR="00C77D2D" w:rsidRDefault="00C77D2D">
            <w:pPr>
              <w:jc w:val="right"/>
            </w:pPr>
            <w:r>
              <w:rPr>
                <w:rFonts w:ascii="宋体" w:hAnsi="宋体" w:hint="eastAsia"/>
                <w:szCs w:val="24"/>
                <w:lang w:eastAsia="zh-Hans"/>
              </w:rPr>
              <w:t>1.4276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37022CE" w14:textId="77777777" w:rsidR="00C77D2D" w:rsidRDefault="00C77D2D">
            <w:pPr>
              <w:jc w:val="right"/>
            </w:pPr>
            <w:r>
              <w:rPr>
                <w:rFonts w:ascii="宋体" w:hAnsi="宋体" w:hint="eastAsia"/>
                <w:szCs w:val="24"/>
                <w:lang w:eastAsia="zh-Hans"/>
              </w:rPr>
              <w:t>1.3930</w:t>
            </w:r>
          </w:p>
        </w:tc>
      </w:tr>
    </w:tbl>
    <w:p w14:paraId="252C1E1A" w14:textId="77777777" w:rsidR="00C77D2D" w:rsidRDefault="00C77D2D">
      <w:pPr>
        <w:wordWrap w:val="0"/>
        <w:spacing w:line="360" w:lineRule="auto"/>
        <w:jc w:val="left"/>
        <w:divId w:val="315763667"/>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288B9BD8" w14:textId="77777777" w:rsidR="00C77D2D" w:rsidRDefault="00C77D2D">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0EE6837D" w14:textId="77777777" w:rsidR="00C77D2D" w:rsidRDefault="00C77D2D">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3C4F19F8" w14:textId="77777777" w:rsidR="00C77D2D" w:rsidRDefault="00C77D2D">
      <w:pPr>
        <w:spacing w:line="360" w:lineRule="auto"/>
        <w:jc w:val="center"/>
        <w:divId w:val="1208762105"/>
      </w:pPr>
      <w:r>
        <w:rPr>
          <w:rFonts w:ascii="宋体" w:hAnsi="宋体" w:hint="eastAsia"/>
        </w:rPr>
        <w:t>摩根安隆回报混合A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F1735" w14:paraId="12E09202" w14:textId="77777777">
        <w:trPr>
          <w:divId w:val="120876210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A4047A" w14:textId="77777777" w:rsidR="00C77D2D" w:rsidRDefault="00C77D2D">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4C9DCD" w14:textId="77777777" w:rsidR="00C77D2D" w:rsidRDefault="00C77D2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4EA760" w14:textId="77777777" w:rsidR="00C77D2D" w:rsidRDefault="00C77D2D">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77E8EB" w14:textId="77777777" w:rsidR="00C77D2D" w:rsidRDefault="00C77D2D">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92F2716" w14:textId="77777777" w:rsidR="00C77D2D" w:rsidRDefault="00C77D2D">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FB34D0" w14:textId="77777777" w:rsidR="00C77D2D" w:rsidRDefault="00C77D2D">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25BD6C" w14:textId="77777777" w:rsidR="00C77D2D" w:rsidRDefault="00C77D2D">
            <w:pPr>
              <w:spacing w:line="360" w:lineRule="auto"/>
              <w:jc w:val="center"/>
            </w:pPr>
            <w:r>
              <w:rPr>
                <w:rFonts w:ascii="宋体" w:hAnsi="宋体" w:hint="eastAsia"/>
              </w:rPr>
              <w:t xml:space="preserve">②－④ </w:t>
            </w:r>
          </w:p>
        </w:tc>
      </w:tr>
      <w:tr w:rsidR="00FF1735" w14:paraId="3A726CD6" w14:textId="77777777">
        <w:trPr>
          <w:divId w:val="12087621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4E0BED" w14:textId="77777777" w:rsidR="00C77D2D" w:rsidRDefault="00C77D2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2C5B96" w14:textId="77777777" w:rsidR="00C77D2D" w:rsidRDefault="00C77D2D">
            <w:pPr>
              <w:spacing w:line="360" w:lineRule="auto"/>
              <w:jc w:val="right"/>
            </w:pPr>
            <w:r>
              <w:rPr>
                <w:rFonts w:ascii="宋体" w:hAnsi="宋体" w:hint="eastAsia"/>
              </w:rPr>
              <w:t xml:space="preserve">1.02%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C2772F" w14:textId="77777777" w:rsidR="00C77D2D" w:rsidRDefault="00C77D2D">
            <w:pPr>
              <w:spacing w:line="360" w:lineRule="auto"/>
              <w:jc w:val="right"/>
            </w:pPr>
            <w:r>
              <w:rPr>
                <w:rFonts w:ascii="宋体" w:hAnsi="宋体" w:hint="eastAsia"/>
              </w:rPr>
              <w:t xml:space="preserve">0.17%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634347" w14:textId="77777777" w:rsidR="00C77D2D" w:rsidRDefault="00C77D2D">
            <w:pPr>
              <w:spacing w:line="360" w:lineRule="auto"/>
              <w:jc w:val="right"/>
            </w:pPr>
            <w:r>
              <w:rPr>
                <w:rFonts w:ascii="宋体" w:hAnsi="宋体" w:hint="eastAsia"/>
              </w:rPr>
              <w:t xml:space="preserve">0.39%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18E8A4" w14:textId="77777777" w:rsidR="00C77D2D" w:rsidRDefault="00C77D2D">
            <w:pPr>
              <w:spacing w:line="360" w:lineRule="auto"/>
              <w:jc w:val="right"/>
            </w:pPr>
            <w:r>
              <w:rPr>
                <w:rFonts w:ascii="宋体" w:hAnsi="宋体" w:hint="eastAsia"/>
              </w:rPr>
              <w:t xml:space="preserve">0.19%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5A19A24" w14:textId="77777777" w:rsidR="00C77D2D" w:rsidRDefault="00C77D2D">
            <w:pPr>
              <w:spacing w:line="360" w:lineRule="auto"/>
              <w:jc w:val="right"/>
            </w:pPr>
            <w:r>
              <w:rPr>
                <w:rFonts w:ascii="宋体" w:hAnsi="宋体" w:hint="eastAsia"/>
              </w:rPr>
              <w:t xml:space="preserve">0.63%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A34A9E" w14:textId="77777777" w:rsidR="00C77D2D" w:rsidRDefault="00C77D2D">
            <w:pPr>
              <w:spacing w:line="360" w:lineRule="auto"/>
              <w:jc w:val="right"/>
            </w:pPr>
            <w:r>
              <w:rPr>
                <w:rFonts w:ascii="宋体" w:hAnsi="宋体" w:hint="eastAsia"/>
              </w:rPr>
              <w:t xml:space="preserve">-0.02% </w:t>
            </w:r>
          </w:p>
        </w:tc>
      </w:tr>
      <w:tr w:rsidR="00FF1735" w14:paraId="436A8215" w14:textId="77777777">
        <w:trPr>
          <w:divId w:val="12087621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C614A0" w14:textId="77777777" w:rsidR="00C77D2D" w:rsidRDefault="00C77D2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121186" w14:textId="77777777" w:rsidR="00C77D2D" w:rsidRDefault="00C77D2D">
            <w:pPr>
              <w:spacing w:line="360" w:lineRule="auto"/>
              <w:jc w:val="right"/>
            </w:pPr>
            <w:r>
              <w:rPr>
                <w:rFonts w:ascii="宋体" w:hAnsi="宋体" w:hint="eastAsia"/>
              </w:rPr>
              <w:t xml:space="preserve">2.94%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36FB87" w14:textId="77777777" w:rsidR="00C77D2D" w:rsidRDefault="00C77D2D">
            <w:pPr>
              <w:spacing w:line="360" w:lineRule="auto"/>
              <w:jc w:val="right"/>
            </w:pPr>
            <w:r>
              <w:rPr>
                <w:rFonts w:ascii="宋体" w:hAnsi="宋体" w:hint="eastAsia"/>
              </w:rPr>
              <w:t xml:space="preserve">0.13%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5C2637" w14:textId="77777777" w:rsidR="00C77D2D" w:rsidRDefault="00C77D2D">
            <w:pPr>
              <w:spacing w:line="360" w:lineRule="auto"/>
              <w:jc w:val="right"/>
            </w:pPr>
            <w:r>
              <w:rPr>
                <w:rFonts w:ascii="宋体" w:hAnsi="宋体" w:hint="eastAsia"/>
              </w:rPr>
              <w:t xml:space="preserve">3.22%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32B9FD" w14:textId="77777777" w:rsidR="00C77D2D" w:rsidRDefault="00C77D2D">
            <w:pPr>
              <w:spacing w:line="360" w:lineRule="auto"/>
              <w:jc w:val="right"/>
            </w:pPr>
            <w:r>
              <w:rPr>
                <w:rFonts w:ascii="宋体" w:hAnsi="宋体" w:hint="eastAsia"/>
              </w:rPr>
              <w:t xml:space="preserve">0.18%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315E69E" w14:textId="77777777" w:rsidR="00C77D2D" w:rsidRDefault="00C77D2D">
            <w:pPr>
              <w:spacing w:line="360" w:lineRule="auto"/>
              <w:jc w:val="right"/>
            </w:pPr>
            <w:r>
              <w:rPr>
                <w:rFonts w:ascii="宋体" w:hAnsi="宋体" w:hint="eastAsia"/>
              </w:rPr>
              <w:t xml:space="preserve">-0.28%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3D0EB7" w14:textId="77777777" w:rsidR="00C77D2D" w:rsidRDefault="00C77D2D">
            <w:pPr>
              <w:spacing w:line="360" w:lineRule="auto"/>
              <w:jc w:val="right"/>
            </w:pPr>
            <w:r>
              <w:rPr>
                <w:rFonts w:ascii="宋体" w:hAnsi="宋体" w:hint="eastAsia"/>
              </w:rPr>
              <w:t xml:space="preserve">-0.05% </w:t>
            </w:r>
          </w:p>
        </w:tc>
      </w:tr>
      <w:tr w:rsidR="00FF1735" w14:paraId="0F3D4DF9" w14:textId="77777777">
        <w:trPr>
          <w:divId w:val="12087621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0D4647" w14:textId="77777777" w:rsidR="00C77D2D" w:rsidRDefault="00C77D2D">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4E0C26" w14:textId="77777777" w:rsidR="00C77D2D" w:rsidRDefault="00C77D2D">
            <w:pPr>
              <w:spacing w:line="360" w:lineRule="auto"/>
              <w:jc w:val="right"/>
            </w:pPr>
            <w:r>
              <w:rPr>
                <w:rFonts w:ascii="宋体" w:hAnsi="宋体" w:hint="eastAsia"/>
              </w:rPr>
              <w:t xml:space="preserve">3.41%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34FF66" w14:textId="77777777" w:rsidR="00C77D2D" w:rsidRDefault="00C77D2D">
            <w:pPr>
              <w:spacing w:line="360" w:lineRule="auto"/>
              <w:jc w:val="right"/>
            </w:pPr>
            <w:r>
              <w:rPr>
                <w:rFonts w:ascii="宋体" w:hAnsi="宋体" w:hint="eastAsia"/>
              </w:rPr>
              <w:t xml:space="preserve">0.17%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36AD9D" w14:textId="77777777" w:rsidR="00C77D2D" w:rsidRDefault="00C77D2D">
            <w:pPr>
              <w:spacing w:line="360" w:lineRule="auto"/>
              <w:jc w:val="right"/>
            </w:pPr>
            <w:r>
              <w:rPr>
                <w:rFonts w:ascii="宋体" w:hAnsi="宋体" w:hint="eastAsia"/>
              </w:rPr>
              <w:t xml:space="preserve">4.09%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F5DC3" w14:textId="77777777" w:rsidR="00C77D2D" w:rsidRDefault="00C77D2D">
            <w:pPr>
              <w:spacing w:line="360" w:lineRule="auto"/>
              <w:jc w:val="right"/>
            </w:pPr>
            <w:r>
              <w:rPr>
                <w:rFonts w:ascii="宋体" w:hAnsi="宋体" w:hint="eastAsia"/>
              </w:rPr>
              <w:t xml:space="preserve">0.18%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BACFA19" w14:textId="77777777" w:rsidR="00C77D2D" w:rsidRDefault="00C77D2D">
            <w:pPr>
              <w:spacing w:line="360" w:lineRule="auto"/>
              <w:jc w:val="right"/>
            </w:pPr>
            <w:r>
              <w:rPr>
                <w:rFonts w:ascii="宋体" w:hAnsi="宋体" w:hint="eastAsia"/>
              </w:rPr>
              <w:t xml:space="preserve">-0.68%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037F74" w14:textId="77777777" w:rsidR="00C77D2D" w:rsidRDefault="00C77D2D">
            <w:pPr>
              <w:spacing w:line="360" w:lineRule="auto"/>
              <w:jc w:val="right"/>
            </w:pPr>
            <w:r>
              <w:rPr>
                <w:rFonts w:ascii="宋体" w:hAnsi="宋体" w:hint="eastAsia"/>
              </w:rPr>
              <w:t xml:space="preserve">-0.01% </w:t>
            </w:r>
          </w:p>
        </w:tc>
      </w:tr>
      <w:tr w:rsidR="00FF1735" w14:paraId="1BAA842D" w14:textId="77777777">
        <w:trPr>
          <w:divId w:val="12087621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E51236" w14:textId="77777777" w:rsidR="00C77D2D" w:rsidRDefault="00C77D2D">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F889C5" w14:textId="77777777" w:rsidR="00C77D2D" w:rsidRDefault="00C77D2D">
            <w:pPr>
              <w:spacing w:line="360" w:lineRule="auto"/>
              <w:jc w:val="right"/>
            </w:pPr>
            <w:r>
              <w:rPr>
                <w:rFonts w:ascii="宋体" w:hAnsi="宋体" w:hint="eastAsia"/>
              </w:rPr>
              <w:t xml:space="preserve">7.42%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CA107A" w14:textId="77777777" w:rsidR="00C77D2D" w:rsidRDefault="00C77D2D">
            <w:pPr>
              <w:spacing w:line="360" w:lineRule="auto"/>
              <w:jc w:val="right"/>
            </w:pPr>
            <w:r>
              <w:rPr>
                <w:rFonts w:ascii="宋体" w:hAnsi="宋体" w:hint="eastAsia"/>
              </w:rPr>
              <w:t xml:space="preserve">0.25%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E6DDDB" w14:textId="77777777" w:rsidR="00C77D2D" w:rsidRDefault="00C77D2D">
            <w:pPr>
              <w:spacing w:line="360" w:lineRule="auto"/>
              <w:jc w:val="right"/>
            </w:pPr>
            <w:r>
              <w:rPr>
                <w:rFonts w:ascii="宋体" w:hAnsi="宋体" w:hint="eastAsia"/>
              </w:rPr>
              <w:t xml:space="preserve">15.02%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D9E39E" w14:textId="77777777" w:rsidR="00C77D2D" w:rsidRDefault="00C77D2D">
            <w:pPr>
              <w:spacing w:line="360" w:lineRule="auto"/>
              <w:jc w:val="right"/>
            </w:pPr>
            <w:r>
              <w:rPr>
                <w:rFonts w:ascii="宋体" w:hAnsi="宋体" w:hint="eastAsia"/>
              </w:rPr>
              <w:t xml:space="preserve">0.20%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EFDDBB2" w14:textId="77777777" w:rsidR="00C77D2D" w:rsidRDefault="00C77D2D">
            <w:pPr>
              <w:spacing w:line="360" w:lineRule="auto"/>
              <w:jc w:val="right"/>
            </w:pPr>
            <w:r>
              <w:rPr>
                <w:rFonts w:ascii="宋体" w:hAnsi="宋体" w:hint="eastAsia"/>
              </w:rPr>
              <w:t xml:space="preserve">-7.60%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E21774" w14:textId="77777777" w:rsidR="00C77D2D" w:rsidRDefault="00C77D2D">
            <w:pPr>
              <w:spacing w:line="360" w:lineRule="auto"/>
              <w:jc w:val="right"/>
            </w:pPr>
            <w:r>
              <w:rPr>
                <w:rFonts w:ascii="宋体" w:hAnsi="宋体" w:hint="eastAsia"/>
              </w:rPr>
              <w:t xml:space="preserve">0.05% </w:t>
            </w:r>
          </w:p>
        </w:tc>
      </w:tr>
      <w:tr w:rsidR="00FF1735" w14:paraId="5A556E13" w14:textId="77777777">
        <w:trPr>
          <w:divId w:val="12087621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9D6D50" w14:textId="77777777" w:rsidR="00C77D2D" w:rsidRDefault="00C77D2D">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779464" w14:textId="77777777" w:rsidR="00C77D2D" w:rsidRDefault="00C77D2D">
            <w:pPr>
              <w:spacing w:line="360" w:lineRule="auto"/>
              <w:jc w:val="right"/>
            </w:pPr>
            <w:r>
              <w:rPr>
                <w:rFonts w:ascii="宋体" w:hAnsi="宋体" w:hint="eastAsia"/>
              </w:rPr>
              <w:t xml:space="preserve">11.60%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84A3C3" w14:textId="77777777" w:rsidR="00C77D2D" w:rsidRDefault="00C77D2D">
            <w:pPr>
              <w:spacing w:line="360" w:lineRule="auto"/>
              <w:jc w:val="right"/>
            </w:pPr>
            <w:r>
              <w:rPr>
                <w:rFonts w:ascii="宋体" w:hAnsi="宋体" w:hint="eastAsia"/>
              </w:rPr>
              <w:t xml:space="preserve">0.25%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8B24D1" w14:textId="77777777" w:rsidR="00C77D2D" w:rsidRDefault="00C77D2D">
            <w:pPr>
              <w:spacing w:line="360" w:lineRule="auto"/>
              <w:jc w:val="right"/>
            </w:pPr>
            <w:r>
              <w:rPr>
                <w:rFonts w:ascii="宋体" w:hAnsi="宋体" w:hint="eastAsia"/>
              </w:rPr>
              <w:t xml:space="preserve">16.81%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102982" w14:textId="77777777" w:rsidR="00C77D2D" w:rsidRDefault="00C77D2D">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6155A49" w14:textId="77777777" w:rsidR="00C77D2D" w:rsidRDefault="00C77D2D">
            <w:pPr>
              <w:spacing w:line="360" w:lineRule="auto"/>
              <w:jc w:val="right"/>
            </w:pPr>
            <w:r>
              <w:rPr>
                <w:rFonts w:ascii="宋体" w:hAnsi="宋体" w:hint="eastAsia"/>
              </w:rPr>
              <w:t xml:space="preserve">-5.21%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35784F" w14:textId="77777777" w:rsidR="00C77D2D" w:rsidRDefault="00C77D2D">
            <w:pPr>
              <w:spacing w:line="360" w:lineRule="auto"/>
              <w:jc w:val="right"/>
            </w:pPr>
            <w:r>
              <w:rPr>
                <w:rFonts w:ascii="宋体" w:hAnsi="宋体" w:hint="eastAsia"/>
              </w:rPr>
              <w:t xml:space="preserve">0.03% </w:t>
            </w:r>
          </w:p>
        </w:tc>
      </w:tr>
      <w:tr w:rsidR="00FF1735" w14:paraId="3CEFF5D1" w14:textId="77777777">
        <w:trPr>
          <w:divId w:val="12087621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6CC704" w14:textId="77777777" w:rsidR="00C77D2D" w:rsidRDefault="00C77D2D">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1B9E72" w14:textId="77777777" w:rsidR="00C77D2D" w:rsidRDefault="00C77D2D">
            <w:pPr>
              <w:spacing w:line="360" w:lineRule="auto"/>
              <w:jc w:val="right"/>
            </w:pPr>
            <w:r>
              <w:rPr>
                <w:rFonts w:ascii="宋体" w:hAnsi="宋体" w:hint="eastAsia"/>
              </w:rPr>
              <w:t xml:space="preserve">42.76%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9A6BE1" w14:textId="77777777" w:rsidR="00C77D2D" w:rsidRDefault="00C77D2D">
            <w:pPr>
              <w:spacing w:line="360" w:lineRule="auto"/>
              <w:jc w:val="right"/>
            </w:pPr>
            <w:r>
              <w:rPr>
                <w:rFonts w:ascii="宋体" w:hAnsi="宋体" w:hint="eastAsia"/>
              </w:rPr>
              <w:t xml:space="preserve">0.24%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29893A" w14:textId="77777777" w:rsidR="00C77D2D" w:rsidRDefault="00C77D2D">
            <w:pPr>
              <w:spacing w:line="360" w:lineRule="auto"/>
              <w:jc w:val="right"/>
            </w:pPr>
            <w:r>
              <w:rPr>
                <w:rFonts w:ascii="宋体" w:hAnsi="宋体" w:hint="eastAsia"/>
              </w:rPr>
              <w:t xml:space="preserve">37.65%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8264E4" w14:textId="77777777" w:rsidR="00C77D2D" w:rsidRDefault="00C77D2D">
            <w:pPr>
              <w:spacing w:line="360" w:lineRule="auto"/>
              <w:jc w:val="right"/>
            </w:pPr>
            <w:r>
              <w:rPr>
                <w:rFonts w:ascii="宋体" w:hAnsi="宋体" w:hint="eastAsia"/>
              </w:rPr>
              <w:t xml:space="preserve">0.24%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0654B2E" w14:textId="77777777" w:rsidR="00C77D2D" w:rsidRDefault="00C77D2D">
            <w:pPr>
              <w:spacing w:line="360" w:lineRule="auto"/>
              <w:jc w:val="right"/>
            </w:pPr>
            <w:r>
              <w:rPr>
                <w:rFonts w:ascii="宋体" w:hAnsi="宋体" w:hint="eastAsia"/>
              </w:rPr>
              <w:t xml:space="preserve">5.11%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020112" w14:textId="77777777" w:rsidR="00C77D2D" w:rsidRDefault="00C77D2D">
            <w:pPr>
              <w:spacing w:line="360" w:lineRule="auto"/>
              <w:jc w:val="right"/>
            </w:pPr>
            <w:r>
              <w:rPr>
                <w:rFonts w:ascii="宋体" w:hAnsi="宋体" w:hint="eastAsia"/>
              </w:rPr>
              <w:t xml:space="preserve">0.00% </w:t>
            </w:r>
          </w:p>
        </w:tc>
      </w:tr>
    </w:tbl>
    <w:p w14:paraId="5CB62A71" w14:textId="77777777" w:rsidR="00C77D2D" w:rsidRDefault="00C77D2D">
      <w:pPr>
        <w:spacing w:line="360" w:lineRule="auto"/>
        <w:jc w:val="center"/>
        <w:divId w:val="625041639"/>
      </w:pPr>
      <w:r>
        <w:rPr>
          <w:rFonts w:ascii="宋体" w:hAnsi="宋体" w:hint="eastAsia"/>
        </w:rPr>
        <w:t>摩根安隆回报混合C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F1735" w14:paraId="51E74F53" w14:textId="77777777">
        <w:trPr>
          <w:divId w:val="62504163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8710E2" w14:textId="77777777" w:rsidR="00C77D2D" w:rsidRDefault="00C77D2D">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F9F9426" w14:textId="77777777" w:rsidR="00C77D2D" w:rsidRDefault="00C77D2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8038525" w14:textId="77777777" w:rsidR="00C77D2D" w:rsidRDefault="00C77D2D">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A17A25A" w14:textId="77777777" w:rsidR="00C77D2D" w:rsidRDefault="00C77D2D">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BC1C3A" w14:textId="77777777" w:rsidR="00C77D2D" w:rsidRDefault="00C77D2D">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93CC7D" w14:textId="77777777" w:rsidR="00C77D2D" w:rsidRDefault="00C77D2D">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18B512" w14:textId="77777777" w:rsidR="00C77D2D" w:rsidRDefault="00C77D2D">
            <w:pPr>
              <w:spacing w:line="360" w:lineRule="auto"/>
              <w:jc w:val="center"/>
            </w:pPr>
            <w:r>
              <w:rPr>
                <w:rFonts w:ascii="宋体" w:hAnsi="宋体" w:hint="eastAsia"/>
              </w:rPr>
              <w:t xml:space="preserve">②－④ </w:t>
            </w:r>
          </w:p>
        </w:tc>
      </w:tr>
      <w:tr w:rsidR="00FF1735" w14:paraId="38F49D2C" w14:textId="77777777">
        <w:trPr>
          <w:divId w:val="62504163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DB108D" w14:textId="77777777" w:rsidR="00C77D2D" w:rsidRDefault="00C77D2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16AC31" w14:textId="77777777" w:rsidR="00C77D2D" w:rsidRDefault="00C77D2D">
            <w:pPr>
              <w:spacing w:line="360" w:lineRule="auto"/>
              <w:jc w:val="right"/>
            </w:pPr>
            <w:r>
              <w:rPr>
                <w:rFonts w:ascii="宋体" w:hAnsi="宋体" w:hint="eastAsia"/>
              </w:rPr>
              <w:t xml:space="preserve">0.94%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D8ABC4" w14:textId="77777777" w:rsidR="00C77D2D" w:rsidRDefault="00C77D2D">
            <w:pPr>
              <w:spacing w:line="360" w:lineRule="auto"/>
              <w:jc w:val="right"/>
            </w:pPr>
            <w:r>
              <w:rPr>
                <w:rFonts w:ascii="宋体" w:hAnsi="宋体" w:hint="eastAsia"/>
              </w:rPr>
              <w:t xml:space="preserve">0.17%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42617C" w14:textId="77777777" w:rsidR="00C77D2D" w:rsidRDefault="00C77D2D">
            <w:pPr>
              <w:spacing w:line="360" w:lineRule="auto"/>
              <w:jc w:val="right"/>
            </w:pPr>
            <w:r>
              <w:rPr>
                <w:rFonts w:ascii="宋体" w:hAnsi="宋体" w:hint="eastAsia"/>
              </w:rPr>
              <w:t xml:space="preserve">0.39%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A29F60" w14:textId="77777777" w:rsidR="00C77D2D" w:rsidRDefault="00C77D2D">
            <w:pPr>
              <w:spacing w:line="360" w:lineRule="auto"/>
              <w:jc w:val="right"/>
            </w:pPr>
            <w:r>
              <w:rPr>
                <w:rFonts w:ascii="宋体" w:hAnsi="宋体" w:hint="eastAsia"/>
              </w:rPr>
              <w:t xml:space="preserve">0.19%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9C8EABD" w14:textId="77777777" w:rsidR="00C77D2D" w:rsidRDefault="00C77D2D">
            <w:pPr>
              <w:spacing w:line="360" w:lineRule="auto"/>
              <w:jc w:val="right"/>
            </w:pPr>
            <w:r>
              <w:rPr>
                <w:rFonts w:ascii="宋体" w:hAnsi="宋体" w:hint="eastAsia"/>
              </w:rPr>
              <w:t xml:space="preserve">0.55%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2055D" w14:textId="77777777" w:rsidR="00C77D2D" w:rsidRDefault="00C77D2D">
            <w:pPr>
              <w:spacing w:line="360" w:lineRule="auto"/>
              <w:jc w:val="right"/>
            </w:pPr>
            <w:r>
              <w:rPr>
                <w:rFonts w:ascii="宋体" w:hAnsi="宋体" w:hint="eastAsia"/>
              </w:rPr>
              <w:t xml:space="preserve">-0.02% </w:t>
            </w:r>
          </w:p>
        </w:tc>
      </w:tr>
      <w:tr w:rsidR="00FF1735" w14:paraId="0399D862" w14:textId="77777777">
        <w:trPr>
          <w:divId w:val="62504163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3E7967" w14:textId="77777777" w:rsidR="00C77D2D" w:rsidRDefault="00C77D2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C424C8" w14:textId="77777777" w:rsidR="00C77D2D" w:rsidRDefault="00C77D2D">
            <w:pPr>
              <w:spacing w:line="360" w:lineRule="auto"/>
              <w:jc w:val="right"/>
            </w:pPr>
            <w:r>
              <w:rPr>
                <w:rFonts w:ascii="宋体" w:hAnsi="宋体" w:hint="eastAsia"/>
              </w:rPr>
              <w:t xml:space="preserve">2.78%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C3E79E" w14:textId="77777777" w:rsidR="00C77D2D" w:rsidRDefault="00C77D2D">
            <w:pPr>
              <w:spacing w:line="360" w:lineRule="auto"/>
              <w:jc w:val="right"/>
            </w:pPr>
            <w:r>
              <w:rPr>
                <w:rFonts w:ascii="宋体" w:hAnsi="宋体" w:hint="eastAsia"/>
              </w:rPr>
              <w:t xml:space="preserve">0.13%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9985DF" w14:textId="77777777" w:rsidR="00C77D2D" w:rsidRDefault="00C77D2D">
            <w:pPr>
              <w:spacing w:line="360" w:lineRule="auto"/>
              <w:jc w:val="right"/>
            </w:pPr>
            <w:r>
              <w:rPr>
                <w:rFonts w:ascii="宋体" w:hAnsi="宋体" w:hint="eastAsia"/>
              </w:rPr>
              <w:t xml:space="preserve">3.22%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B17E07" w14:textId="77777777" w:rsidR="00C77D2D" w:rsidRDefault="00C77D2D">
            <w:pPr>
              <w:spacing w:line="360" w:lineRule="auto"/>
              <w:jc w:val="right"/>
            </w:pPr>
            <w:r>
              <w:rPr>
                <w:rFonts w:ascii="宋体" w:hAnsi="宋体" w:hint="eastAsia"/>
              </w:rPr>
              <w:t xml:space="preserve">0.18%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73C86FF" w14:textId="77777777" w:rsidR="00C77D2D" w:rsidRDefault="00C77D2D">
            <w:pPr>
              <w:spacing w:line="360" w:lineRule="auto"/>
              <w:jc w:val="right"/>
            </w:pPr>
            <w:r>
              <w:rPr>
                <w:rFonts w:ascii="宋体" w:hAnsi="宋体" w:hint="eastAsia"/>
              </w:rPr>
              <w:t xml:space="preserve">-0.44%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139DCE" w14:textId="77777777" w:rsidR="00C77D2D" w:rsidRDefault="00C77D2D">
            <w:pPr>
              <w:spacing w:line="360" w:lineRule="auto"/>
              <w:jc w:val="right"/>
            </w:pPr>
            <w:r>
              <w:rPr>
                <w:rFonts w:ascii="宋体" w:hAnsi="宋体" w:hint="eastAsia"/>
              </w:rPr>
              <w:t xml:space="preserve">-0.05% </w:t>
            </w:r>
          </w:p>
        </w:tc>
      </w:tr>
      <w:tr w:rsidR="00FF1735" w14:paraId="0B4086F9" w14:textId="77777777">
        <w:trPr>
          <w:divId w:val="62504163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0ED456" w14:textId="77777777" w:rsidR="00C77D2D" w:rsidRDefault="00C77D2D">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F4AB94" w14:textId="77777777" w:rsidR="00C77D2D" w:rsidRDefault="00C77D2D">
            <w:pPr>
              <w:spacing w:line="360" w:lineRule="auto"/>
              <w:jc w:val="right"/>
            </w:pPr>
            <w:r>
              <w:rPr>
                <w:rFonts w:ascii="宋体" w:hAnsi="宋体" w:hint="eastAsia"/>
              </w:rPr>
              <w:t xml:space="preserve">3.09%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67196B" w14:textId="77777777" w:rsidR="00C77D2D" w:rsidRDefault="00C77D2D">
            <w:pPr>
              <w:spacing w:line="360" w:lineRule="auto"/>
              <w:jc w:val="right"/>
            </w:pPr>
            <w:r>
              <w:rPr>
                <w:rFonts w:ascii="宋体" w:hAnsi="宋体" w:hint="eastAsia"/>
              </w:rPr>
              <w:t xml:space="preserve">0.17%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46F0BF" w14:textId="77777777" w:rsidR="00C77D2D" w:rsidRDefault="00C77D2D">
            <w:pPr>
              <w:spacing w:line="360" w:lineRule="auto"/>
              <w:jc w:val="right"/>
            </w:pPr>
            <w:r>
              <w:rPr>
                <w:rFonts w:ascii="宋体" w:hAnsi="宋体" w:hint="eastAsia"/>
              </w:rPr>
              <w:t xml:space="preserve">4.09%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8E7ED1" w14:textId="77777777" w:rsidR="00C77D2D" w:rsidRDefault="00C77D2D">
            <w:pPr>
              <w:spacing w:line="360" w:lineRule="auto"/>
              <w:jc w:val="right"/>
            </w:pPr>
            <w:r>
              <w:rPr>
                <w:rFonts w:ascii="宋体" w:hAnsi="宋体" w:hint="eastAsia"/>
              </w:rPr>
              <w:t xml:space="preserve">0.18%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BA3F0F1" w14:textId="77777777" w:rsidR="00C77D2D" w:rsidRDefault="00C77D2D">
            <w:pPr>
              <w:spacing w:line="360" w:lineRule="auto"/>
              <w:jc w:val="right"/>
            </w:pPr>
            <w:r>
              <w:rPr>
                <w:rFonts w:ascii="宋体" w:hAnsi="宋体" w:hint="eastAsia"/>
              </w:rPr>
              <w:t xml:space="preserve">-1.00%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5F1F4B" w14:textId="77777777" w:rsidR="00C77D2D" w:rsidRDefault="00C77D2D">
            <w:pPr>
              <w:spacing w:line="360" w:lineRule="auto"/>
              <w:jc w:val="right"/>
            </w:pPr>
            <w:r>
              <w:rPr>
                <w:rFonts w:ascii="宋体" w:hAnsi="宋体" w:hint="eastAsia"/>
              </w:rPr>
              <w:t xml:space="preserve">-0.01% </w:t>
            </w:r>
          </w:p>
        </w:tc>
      </w:tr>
      <w:tr w:rsidR="00FF1735" w14:paraId="60A90714" w14:textId="77777777">
        <w:trPr>
          <w:divId w:val="62504163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86A259" w14:textId="77777777" w:rsidR="00C77D2D" w:rsidRDefault="00C77D2D">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0F0A65" w14:textId="77777777" w:rsidR="00C77D2D" w:rsidRDefault="00C77D2D">
            <w:pPr>
              <w:spacing w:line="360" w:lineRule="auto"/>
              <w:jc w:val="right"/>
            </w:pPr>
            <w:r>
              <w:rPr>
                <w:rFonts w:ascii="宋体" w:hAnsi="宋体" w:hint="eastAsia"/>
              </w:rPr>
              <w:t xml:space="preserve">6.45%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0EAB45" w14:textId="77777777" w:rsidR="00C77D2D" w:rsidRDefault="00C77D2D">
            <w:pPr>
              <w:spacing w:line="360" w:lineRule="auto"/>
              <w:jc w:val="right"/>
            </w:pPr>
            <w:r>
              <w:rPr>
                <w:rFonts w:ascii="宋体" w:hAnsi="宋体" w:hint="eastAsia"/>
              </w:rPr>
              <w:t xml:space="preserve">0.25%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CD4318" w14:textId="77777777" w:rsidR="00C77D2D" w:rsidRDefault="00C77D2D">
            <w:pPr>
              <w:spacing w:line="360" w:lineRule="auto"/>
              <w:jc w:val="right"/>
            </w:pPr>
            <w:r>
              <w:rPr>
                <w:rFonts w:ascii="宋体" w:hAnsi="宋体" w:hint="eastAsia"/>
              </w:rPr>
              <w:t xml:space="preserve">15.02%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93BF11" w14:textId="77777777" w:rsidR="00C77D2D" w:rsidRDefault="00C77D2D">
            <w:pPr>
              <w:spacing w:line="360" w:lineRule="auto"/>
              <w:jc w:val="right"/>
            </w:pPr>
            <w:r>
              <w:rPr>
                <w:rFonts w:ascii="宋体" w:hAnsi="宋体" w:hint="eastAsia"/>
              </w:rPr>
              <w:t xml:space="preserve">0.20%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215D6B9" w14:textId="77777777" w:rsidR="00C77D2D" w:rsidRDefault="00C77D2D">
            <w:pPr>
              <w:spacing w:line="360" w:lineRule="auto"/>
              <w:jc w:val="right"/>
            </w:pPr>
            <w:r>
              <w:rPr>
                <w:rFonts w:ascii="宋体" w:hAnsi="宋体" w:hint="eastAsia"/>
              </w:rPr>
              <w:t xml:space="preserve">-8.57%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DB7875" w14:textId="77777777" w:rsidR="00C77D2D" w:rsidRDefault="00C77D2D">
            <w:pPr>
              <w:spacing w:line="360" w:lineRule="auto"/>
              <w:jc w:val="right"/>
            </w:pPr>
            <w:r>
              <w:rPr>
                <w:rFonts w:ascii="宋体" w:hAnsi="宋体" w:hint="eastAsia"/>
              </w:rPr>
              <w:t xml:space="preserve">0.05% </w:t>
            </w:r>
          </w:p>
        </w:tc>
      </w:tr>
      <w:tr w:rsidR="00FF1735" w14:paraId="29D30F67" w14:textId="77777777">
        <w:trPr>
          <w:divId w:val="62504163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817DA8" w14:textId="77777777" w:rsidR="00C77D2D" w:rsidRDefault="00C77D2D">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BE6562" w14:textId="77777777" w:rsidR="00C77D2D" w:rsidRDefault="00C77D2D">
            <w:pPr>
              <w:spacing w:line="360" w:lineRule="auto"/>
              <w:jc w:val="right"/>
            </w:pPr>
            <w:r>
              <w:rPr>
                <w:rFonts w:ascii="宋体" w:hAnsi="宋体" w:hint="eastAsia"/>
              </w:rPr>
              <w:t xml:space="preserve">9.94%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4421CA" w14:textId="77777777" w:rsidR="00C77D2D" w:rsidRDefault="00C77D2D">
            <w:pPr>
              <w:spacing w:line="360" w:lineRule="auto"/>
              <w:jc w:val="right"/>
            </w:pPr>
            <w:r>
              <w:rPr>
                <w:rFonts w:ascii="宋体" w:hAnsi="宋体" w:hint="eastAsia"/>
              </w:rPr>
              <w:t xml:space="preserve">0.25%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D11D46" w14:textId="77777777" w:rsidR="00C77D2D" w:rsidRDefault="00C77D2D">
            <w:pPr>
              <w:spacing w:line="360" w:lineRule="auto"/>
              <w:jc w:val="right"/>
            </w:pPr>
            <w:r>
              <w:rPr>
                <w:rFonts w:ascii="宋体" w:hAnsi="宋体" w:hint="eastAsia"/>
              </w:rPr>
              <w:t xml:space="preserve">16.81%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5CC692" w14:textId="77777777" w:rsidR="00C77D2D" w:rsidRDefault="00C77D2D">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33A9519" w14:textId="77777777" w:rsidR="00C77D2D" w:rsidRDefault="00C77D2D">
            <w:pPr>
              <w:spacing w:line="360" w:lineRule="auto"/>
              <w:jc w:val="right"/>
            </w:pPr>
            <w:r>
              <w:rPr>
                <w:rFonts w:ascii="宋体" w:hAnsi="宋体" w:hint="eastAsia"/>
              </w:rPr>
              <w:t xml:space="preserve">-6.87%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76B38E" w14:textId="77777777" w:rsidR="00C77D2D" w:rsidRDefault="00C77D2D">
            <w:pPr>
              <w:spacing w:line="360" w:lineRule="auto"/>
              <w:jc w:val="right"/>
            </w:pPr>
            <w:r>
              <w:rPr>
                <w:rFonts w:ascii="宋体" w:hAnsi="宋体" w:hint="eastAsia"/>
              </w:rPr>
              <w:t xml:space="preserve">0.03% </w:t>
            </w:r>
          </w:p>
        </w:tc>
      </w:tr>
      <w:tr w:rsidR="00FF1735" w14:paraId="6AE6073C" w14:textId="77777777">
        <w:trPr>
          <w:divId w:val="62504163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029A77" w14:textId="77777777" w:rsidR="00C77D2D" w:rsidRDefault="00C77D2D">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EC9BF9" w14:textId="77777777" w:rsidR="00C77D2D" w:rsidRDefault="00C77D2D">
            <w:pPr>
              <w:spacing w:line="360" w:lineRule="auto"/>
              <w:jc w:val="right"/>
            </w:pPr>
            <w:r>
              <w:rPr>
                <w:rFonts w:ascii="宋体" w:hAnsi="宋体" w:hint="eastAsia"/>
              </w:rPr>
              <w:t xml:space="preserve">39.30%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288A01" w14:textId="77777777" w:rsidR="00C77D2D" w:rsidRDefault="00C77D2D">
            <w:pPr>
              <w:spacing w:line="360" w:lineRule="auto"/>
              <w:jc w:val="right"/>
            </w:pPr>
            <w:r>
              <w:rPr>
                <w:rFonts w:ascii="宋体" w:hAnsi="宋体" w:hint="eastAsia"/>
              </w:rPr>
              <w:t xml:space="preserve">0.24%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32D98" w14:textId="77777777" w:rsidR="00C77D2D" w:rsidRDefault="00C77D2D">
            <w:pPr>
              <w:spacing w:line="360" w:lineRule="auto"/>
              <w:jc w:val="right"/>
            </w:pPr>
            <w:r>
              <w:rPr>
                <w:rFonts w:ascii="宋体" w:hAnsi="宋体" w:hint="eastAsia"/>
              </w:rPr>
              <w:t xml:space="preserve">37.65%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38E2E7" w14:textId="77777777" w:rsidR="00C77D2D" w:rsidRDefault="00C77D2D">
            <w:pPr>
              <w:spacing w:line="360" w:lineRule="auto"/>
              <w:jc w:val="right"/>
            </w:pPr>
            <w:r>
              <w:rPr>
                <w:rFonts w:ascii="宋体" w:hAnsi="宋体" w:hint="eastAsia"/>
              </w:rPr>
              <w:t xml:space="preserve">0.24%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665AB14" w14:textId="77777777" w:rsidR="00C77D2D" w:rsidRDefault="00C77D2D">
            <w:pPr>
              <w:spacing w:line="360" w:lineRule="auto"/>
              <w:jc w:val="right"/>
            </w:pPr>
            <w:r>
              <w:rPr>
                <w:rFonts w:ascii="宋体" w:hAnsi="宋体" w:hint="eastAsia"/>
              </w:rPr>
              <w:t xml:space="preserve">1.65%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612570" w14:textId="77777777" w:rsidR="00C77D2D" w:rsidRDefault="00C77D2D">
            <w:pPr>
              <w:spacing w:line="360" w:lineRule="auto"/>
              <w:jc w:val="right"/>
            </w:pPr>
            <w:r>
              <w:rPr>
                <w:rFonts w:ascii="宋体" w:hAnsi="宋体" w:hint="eastAsia"/>
              </w:rPr>
              <w:t xml:space="preserve">0.00% </w:t>
            </w:r>
          </w:p>
        </w:tc>
      </w:tr>
    </w:tbl>
    <w:p w14:paraId="15B088ED" w14:textId="77777777" w:rsidR="00C77D2D" w:rsidRDefault="00C77D2D">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3081B6F4" w14:textId="77777777" w:rsidR="00C77D2D" w:rsidRDefault="00C77D2D">
      <w:pPr>
        <w:spacing w:line="360" w:lineRule="auto"/>
        <w:jc w:val="left"/>
        <w:divId w:val="943421680"/>
      </w:pPr>
      <w:bookmarkStart w:id="70" w:name="m07_04_07_09"/>
      <w:bookmarkStart w:id="71" w:name="m07_04_07_09_tab"/>
      <w:r>
        <w:rPr>
          <w:rFonts w:ascii="宋体" w:hAnsi="宋体" w:hint="eastAsia"/>
          <w:noProof/>
        </w:rPr>
        <w:drawing>
          <wp:inline distT="0" distB="0" distL="0" distR="0" wp14:anchorId="5E6E0E9E" wp14:editId="3F33A76E">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7B5473B9" w14:textId="77777777" w:rsidR="00C77D2D" w:rsidRDefault="00C77D2D">
      <w:pPr>
        <w:spacing w:line="360" w:lineRule="auto"/>
        <w:jc w:val="left"/>
        <w:divId w:val="1192257989"/>
      </w:pPr>
      <w:r>
        <w:rPr>
          <w:rFonts w:ascii="宋体" w:hAnsi="宋体" w:hint="eastAsia"/>
          <w:noProof/>
        </w:rPr>
        <w:drawing>
          <wp:inline distT="0" distB="0" distL="0" distR="0" wp14:anchorId="3BAAED3F" wp14:editId="275C4BE6">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71E86C2D" w14:textId="77777777" w:rsidR="00C77D2D" w:rsidRDefault="00C77D2D">
      <w:pPr>
        <w:spacing w:line="360" w:lineRule="auto"/>
      </w:pPr>
      <w:r>
        <w:rPr>
          <w:rFonts w:ascii="宋体" w:hAnsi="宋体" w:hint="eastAsia"/>
        </w:rPr>
        <w:t>注：</w:t>
      </w:r>
      <w:r>
        <w:rPr>
          <w:rFonts w:ascii="宋体" w:hAnsi="宋体" w:hint="eastAsia"/>
          <w:lang w:eastAsia="zh-Hans"/>
        </w:rPr>
        <w:t>本基金合同生效日为2018年2月8日，图示的时间段为合同生效日至本报告期末。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7C8AF0CE" w14:textId="77777777" w:rsidR="00C77D2D" w:rsidRDefault="00C77D2D">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794515C7" w14:textId="77777777" w:rsidR="00C77D2D" w:rsidRDefault="00C77D2D">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FF1735" w14:paraId="7C4E4865" w14:textId="77777777">
        <w:trPr>
          <w:divId w:val="376011919"/>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6178BD" w14:textId="77777777" w:rsidR="00C77D2D" w:rsidRDefault="00C77D2D">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61D7D5" w14:textId="77777777" w:rsidR="00C77D2D" w:rsidRDefault="00C77D2D">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A1D2CF" w14:textId="77777777" w:rsidR="00C77D2D" w:rsidRDefault="00C77D2D">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10D2B" w14:textId="77777777" w:rsidR="00C77D2D" w:rsidRDefault="00C77D2D">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02E66B" w14:textId="77777777" w:rsidR="00C77D2D" w:rsidRDefault="00C77D2D">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FF1735" w14:paraId="03362DB6" w14:textId="77777777">
        <w:trPr>
          <w:divId w:val="376011919"/>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3C4D5D" w14:textId="77777777" w:rsidR="00C77D2D" w:rsidRDefault="00C77D2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70E099" w14:textId="77777777" w:rsidR="00C77D2D" w:rsidRDefault="00C77D2D">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651212" w14:textId="77777777" w:rsidR="00C77D2D" w:rsidRDefault="00C77D2D">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72F0C4" w14:textId="77777777" w:rsidR="00C77D2D" w:rsidRDefault="00C77D2D">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8B59D5" w14:textId="77777777" w:rsidR="00C77D2D" w:rsidRDefault="00C77D2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0216EB" w14:textId="77777777" w:rsidR="00C77D2D" w:rsidRDefault="00C77D2D">
            <w:pPr>
              <w:widowControl/>
              <w:jc w:val="left"/>
            </w:pPr>
          </w:p>
        </w:tc>
      </w:tr>
      <w:tr w:rsidR="00FF1735" w14:paraId="4C08C934" w14:textId="77777777">
        <w:trPr>
          <w:divId w:val="37601191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8447CD" w14:textId="77777777" w:rsidR="00C77D2D" w:rsidRDefault="00C77D2D">
            <w:pPr>
              <w:jc w:val="center"/>
            </w:pPr>
            <w:r>
              <w:rPr>
                <w:rFonts w:ascii="宋体" w:hAnsi="宋体" w:hint="eastAsia"/>
                <w:szCs w:val="24"/>
                <w:lang w:eastAsia="zh-Hans"/>
              </w:rPr>
              <w:t>杨鹏</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C37583" w14:textId="77777777" w:rsidR="00C77D2D" w:rsidRDefault="00C77D2D">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8024F7" w14:textId="77777777" w:rsidR="00C77D2D" w:rsidRDefault="00C77D2D">
            <w:pPr>
              <w:jc w:val="center"/>
            </w:pPr>
            <w:r>
              <w:rPr>
                <w:rFonts w:ascii="宋体" w:hAnsi="宋体" w:hint="eastAsia"/>
                <w:szCs w:val="24"/>
                <w:lang w:eastAsia="zh-Hans"/>
              </w:rPr>
              <w:t>2023年9月15日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16F3AB" w14:textId="77777777" w:rsidR="00C77D2D" w:rsidRDefault="00C77D2D">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8EBC16" w14:textId="77777777" w:rsidR="00C77D2D" w:rsidRDefault="00C77D2D">
            <w:pPr>
              <w:jc w:val="center"/>
            </w:pPr>
            <w:r>
              <w:rPr>
                <w:rFonts w:ascii="宋体" w:hAnsi="宋体" w:hint="eastAsia"/>
                <w:szCs w:val="24"/>
                <w:lang w:eastAsia="zh-Hans"/>
              </w:rPr>
              <w:t>15年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D29773" w14:textId="77777777" w:rsidR="00C77D2D" w:rsidRDefault="00C77D2D">
            <w:pPr>
              <w:jc w:val="left"/>
            </w:pPr>
            <w:r>
              <w:rPr>
                <w:rFonts w:ascii="宋体" w:hAnsi="宋体" w:hint="eastAsia"/>
                <w:szCs w:val="24"/>
                <w:lang w:eastAsia="zh-Hans"/>
              </w:rPr>
              <w:t>杨鹏先生曾就职于华泰柏瑞基金管理有限公司和华金证券，曾任建信人寿保险股份有限公司FOF投资经理，鹏华基金管理有限公司绝对收益投资部投资经理，太平养老保险股份有限公司年金和养老金投资经理。自2023年5月加入摩根基金管理(中国)有限公司(原上投摩根基金管理有限公司)，现任绝对收益投资部高级基金经理。</w:t>
            </w:r>
          </w:p>
        </w:tc>
      </w:tr>
      <w:tr w:rsidR="00FF1735" w14:paraId="3BB75ED1" w14:textId="77777777">
        <w:trPr>
          <w:divId w:val="37601191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1BB319" w14:textId="77777777" w:rsidR="00C77D2D" w:rsidRDefault="00C77D2D">
            <w:pPr>
              <w:jc w:val="center"/>
            </w:pPr>
            <w:r>
              <w:rPr>
                <w:rFonts w:ascii="宋体" w:hAnsi="宋体" w:hint="eastAsia"/>
                <w:szCs w:val="24"/>
                <w:lang w:eastAsia="zh-Hans"/>
              </w:rPr>
              <w:t>陈星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B28C71" w14:textId="77777777" w:rsidR="00C77D2D" w:rsidRDefault="00C77D2D">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C29408" w14:textId="77777777" w:rsidR="00C77D2D" w:rsidRDefault="00C77D2D">
            <w:pPr>
              <w:jc w:val="center"/>
            </w:pPr>
            <w:r>
              <w:rPr>
                <w:rFonts w:ascii="宋体" w:hAnsi="宋体" w:hint="eastAsia"/>
                <w:szCs w:val="24"/>
                <w:lang w:eastAsia="zh-Hans"/>
              </w:rPr>
              <w:t>2025年11月12日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B5CD99" w14:textId="77777777" w:rsidR="00C77D2D" w:rsidRDefault="00C77D2D">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9D467E" w14:textId="77777777" w:rsidR="00C77D2D" w:rsidRDefault="00C77D2D">
            <w:pPr>
              <w:jc w:val="center"/>
            </w:pPr>
            <w:r>
              <w:rPr>
                <w:rFonts w:ascii="宋体" w:hAnsi="宋体" w:hint="eastAsia"/>
                <w:szCs w:val="24"/>
                <w:lang w:eastAsia="zh-Hans"/>
              </w:rPr>
              <w:t>19年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A6166E" w14:textId="77777777" w:rsidR="00C77D2D" w:rsidRDefault="00C77D2D">
            <w:pPr>
              <w:jc w:val="left"/>
            </w:pPr>
            <w:r>
              <w:rPr>
                <w:rFonts w:ascii="宋体" w:hAnsi="宋体" w:hint="eastAsia"/>
                <w:szCs w:val="24"/>
                <w:lang w:eastAsia="zh-Hans"/>
              </w:rPr>
              <w:t xml:space="preserve">陈星先生曾任中国国际金融有限公司投资银行部高级经理，第一创业摩根大通证券投资银行部总监。2016年7月起加入摩根基金管理（中国）有限公司（原上投摩根基金管理有限公司），历任子公司尚腾资本投资经理、绝对收益部投资经理、混合资产投资部资深投资经理，现任混合资产投资部基金经理。 </w:t>
            </w:r>
          </w:p>
        </w:tc>
      </w:tr>
      <w:tr w:rsidR="00FF1735" w14:paraId="2BA2EC1F" w14:textId="77777777">
        <w:trPr>
          <w:divId w:val="37601191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BD3E23" w14:textId="77777777" w:rsidR="00C77D2D" w:rsidRDefault="00C77D2D">
            <w:pPr>
              <w:jc w:val="center"/>
            </w:pPr>
            <w:r>
              <w:rPr>
                <w:rFonts w:ascii="宋体" w:hAnsi="宋体" w:hint="eastAsia"/>
                <w:szCs w:val="24"/>
                <w:lang w:eastAsia="zh-Hans"/>
              </w:rPr>
              <w:t>王娟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057FC2" w14:textId="77777777" w:rsidR="00C77D2D" w:rsidRDefault="00C77D2D">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031469" w14:textId="77777777" w:rsidR="00C77D2D" w:rsidRDefault="00C77D2D">
            <w:pPr>
              <w:jc w:val="center"/>
            </w:pPr>
            <w:r>
              <w:rPr>
                <w:rFonts w:ascii="宋体" w:hAnsi="宋体" w:hint="eastAsia"/>
                <w:szCs w:val="24"/>
                <w:lang w:eastAsia="zh-Hans"/>
              </w:rPr>
              <w:t>2022年11月25日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32DF62" w14:textId="77777777" w:rsidR="00C77D2D" w:rsidRDefault="00C77D2D">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B060E8" w14:textId="77777777" w:rsidR="00C77D2D" w:rsidRDefault="00C77D2D">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8287DC" w14:textId="77777777" w:rsidR="00C77D2D" w:rsidRDefault="00C77D2D">
            <w:pPr>
              <w:jc w:val="left"/>
            </w:pPr>
            <w:r>
              <w:rPr>
                <w:rFonts w:ascii="宋体" w:hAnsi="宋体" w:hint="eastAsia"/>
                <w:szCs w:val="24"/>
                <w:lang w:eastAsia="zh-Hans"/>
              </w:rPr>
              <w:t>王娟女士曾任海通期货有限公司研究所金融期货部经理，中国农业银行金融市场部投资经理，尚腾资本管理有限公司投资经理；自2020年8月加入摩根基金管理(中国)有限公司(原上投摩根基金管理有限公司)，历任绝对收益投资部基金经理助理，现任基金经理。</w:t>
            </w:r>
          </w:p>
        </w:tc>
      </w:tr>
    </w:tbl>
    <w:p w14:paraId="24493C00" w14:textId="77777777" w:rsidR="00C77D2D" w:rsidRDefault="00C77D2D">
      <w:pPr>
        <w:wordWrap w:val="0"/>
        <w:spacing w:line="360" w:lineRule="auto"/>
        <w:jc w:val="left"/>
        <w:divId w:val="916862439"/>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r>
        <w:rPr>
          <w:rFonts w:ascii="宋体" w:hAnsi="宋体" w:hint="eastAsia"/>
          <w:szCs w:val="21"/>
        </w:rPr>
        <w:br/>
        <w:t xml:space="preserve">　　3.自2026年1月15日起，王娟女士不再担任本</w:t>
      </w:r>
      <w:proofErr w:type="gramStart"/>
      <w:r>
        <w:rPr>
          <w:rFonts w:ascii="宋体" w:hAnsi="宋体" w:hint="eastAsia"/>
          <w:szCs w:val="21"/>
        </w:rPr>
        <w:t>基金基金</w:t>
      </w:r>
      <w:proofErr w:type="gramEnd"/>
      <w:r>
        <w:rPr>
          <w:rFonts w:ascii="宋体" w:hAnsi="宋体" w:hint="eastAsia"/>
          <w:szCs w:val="21"/>
        </w:rPr>
        <w:t>经理。</w:t>
      </w:r>
    </w:p>
    <w:p w14:paraId="288FA491" w14:textId="77777777" w:rsidR="00C77D2D" w:rsidRDefault="00C77D2D">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29A91CFA" w14:textId="77777777" w:rsidR="00C77D2D" w:rsidRDefault="00C77D2D">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57C9758A" w14:textId="77777777" w:rsidR="00C77D2D" w:rsidRDefault="00C77D2D">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66AF1D5A" w14:textId="77777777" w:rsidR="00C77D2D" w:rsidRDefault="00C77D2D">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6705E6F3" w14:textId="77777777" w:rsidR="00C77D2D" w:rsidRDefault="00C77D2D">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879EFA3" w14:textId="77777777" w:rsidR="00C77D2D" w:rsidRDefault="00C77D2D">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28EB279E" w14:textId="77777777" w:rsidR="00C77D2D" w:rsidRDefault="00C77D2D">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605BA559" w14:textId="77777777" w:rsidR="00C77D2D" w:rsidRDefault="00C77D2D">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36E33614" w14:textId="77777777" w:rsidR="00C77D2D" w:rsidRDefault="00C77D2D">
      <w:pPr>
        <w:spacing w:line="360" w:lineRule="auto"/>
        <w:ind w:firstLineChars="200" w:firstLine="420"/>
        <w:jc w:val="left"/>
      </w:pPr>
      <w:r>
        <w:rPr>
          <w:rFonts w:ascii="宋体" w:hAnsi="宋体" w:cs="宋体" w:hint="eastAsia"/>
          <w:color w:val="000000"/>
          <w:kern w:val="0"/>
        </w:rPr>
        <w:t>四季度经济仍然存在总量偏弱但新兴产业动能较强的结构分化，分项</w:t>
      </w:r>
      <w:proofErr w:type="gramStart"/>
      <w:r>
        <w:rPr>
          <w:rFonts w:ascii="宋体" w:hAnsi="宋体" w:cs="宋体" w:hint="eastAsia"/>
          <w:color w:val="000000"/>
          <w:kern w:val="0"/>
        </w:rPr>
        <w:t>看有效</w:t>
      </w:r>
      <w:proofErr w:type="gramEnd"/>
      <w:r>
        <w:rPr>
          <w:rFonts w:ascii="宋体" w:hAnsi="宋体" w:cs="宋体" w:hint="eastAsia"/>
          <w:color w:val="000000"/>
          <w:kern w:val="0"/>
        </w:rPr>
        <w:t>需求不足仍持续挤压企业盈利空间，以</w:t>
      </w:r>
      <w:proofErr w:type="gramStart"/>
      <w:r>
        <w:rPr>
          <w:rFonts w:ascii="宋体" w:hAnsi="宋体" w:cs="宋体" w:hint="eastAsia"/>
          <w:color w:val="000000"/>
          <w:kern w:val="0"/>
        </w:rPr>
        <w:t>价换量</w:t>
      </w:r>
      <w:proofErr w:type="gramEnd"/>
      <w:r>
        <w:rPr>
          <w:rFonts w:ascii="宋体" w:hAnsi="宋体" w:cs="宋体" w:hint="eastAsia"/>
          <w:color w:val="000000"/>
          <w:kern w:val="0"/>
        </w:rPr>
        <w:t>作用锐减，</w:t>
      </w:r>
      <w:proofErr w:type="gramStart"/>
      <w:r>
        <w:rPr>
          <w:rFonts w:ascii="宋体" w:hAnsi="宋体" w:cs="宋体" w:hint="eastAsia"/>
          <w:color w:val="000000"/>
          <w:kern w:val="0"/>
        </w:rPr>
        <w:t>社零同比</w:t>
      </w:r>
      <w:proofErr w:type="gramEnd"/>
      <w:r>
        <w:rPr>
          <w:rFonts w:ascii="宋体" w:hAnsi="宋体" w:cs="宋体" w:hint="eastAsia"/>
          <w:color w:val="000000"/>
          <w:kern w:val="0"/>
        </w:rPr>
        <w:t>增速下降较快，国补品类退坡较为明显。出口表现超预期，贡献来源于产业品类升级、贸易伙伴结构优化和市场份额提升。</w:t>
      </w:r>
      <w:proofErr w:type="gramStart"/>
      <w:r>
        <w:rPr>
          <w:rFonts w:ascii="宋体" w:hAnsi="宋体" w:cs="宋体" w:hint="eastAsia"/>
          <w:color w:val="000000"/>
          <w:kern w:val="0"/>
        </w:rPr>
        <w:t>社融方面</w:t>
      </w:r>
      <w:proofErr w:type="gramEnd"/>
      <w:r>
        <w:rPr>
          <w:rFonts w:ascii="宋体" w:hAnsi="宋体" w:cs="宋体" w:hint="eastAsia"/>
          <w:color w:val="000000"/>
          <w:kern w:val="0"/>
        </w:rPr>
        <w:t>，企业信贷受供、需综合影响，仍持续有同比少增的压力。以中央经济工作会议为核心的年末政策部署路径具体清晰，货币政策维持适度宽松总基调，强调逆周期和跨周期调节。目标指向打通</w:t>
      </w:r>
      <w:proofErr w:type="gramStart"/>
      <w:r>
        <w:rPr>
          <w:rFonts w:ascii="宋体" w:hAnsi="宋体" w:cs="宋体" w:hint="eastAsia"/>
          <w:color w:val="000000"/>
          <w:kern w:val="0"/>
        </w:rPr>
        <w:t>供强需弱堵</w:t>
      </w:r>
      <w:proofErr w:type="gramEnd"/>
      <w:r>
        <w:rPr>
          <w:rFonts w:ascii="宋体" w:hAnsi="宋体" w:cs="宋体" w:hint="eastAsia"/>
          <w:color w:val="000000"/>
          <w:kern w:val="0"/>
        </w:rPr>
        <w:t>点，通过扩大内需、优化供给来激发内生动力。后续财政政策有望保持总量韧性，增量支持精准聚焦于扩大内需、科技创新、中小</w:t>
      </w:r>
      <w:proofErr w:type="gramStart"/>
      <w:r>
        <w:rPr>
          <w:rFonts w:ascii="宋体" w:hAnsi="宋体" w:cs="宋体" w:hint="eastAsia"/>
          <w:color w:val="000000"/>
          <w:kern w:val="0"/>
        </w:rPr>
        <w:t>微企业</w:t>
      </w:r>
      <w:proofErr w:type="gramEnd"/>
      <w:r>
        <w:rPr>
          <w:rFonts w:ascii="宋体" w:hAnsi="宋体" w:cs="宋体" w:hint="eastAsia"/>
          <w:color w:val="000000"/>
          <w:kern w:val="0"/>
        </w:rPr>
        <w:t>等领域。</w:t>
      </w:r>
      <w:r>
        <w:rPr>
          <w:rFonts w:ascii="宋体" w:hAnsi="宋体" w:cs="宋体" w:hint="eastAsia"/>
          <w:color w:val="000000"/>
          <w:kern w:val="0"/>
        </w:rPr>
        <w:br/>
        <w:t xml:space="preserve">　　海外方面，美元流动性和科技投资叙事有所反复，对市场情绪冲击较为明显。美国劳动力市场还处在供需</w:t>
      </w:r>
      <w:proofErr w:type="gramStart"/>
      <w:r>
        <w:rPr>
          <w:rFonts w:ascii="宋体" w:hAnsi="宋体" w:cs="宋体" w:hint="eastAsia"/>
          <w:color w:val="000000"/>
          <w:kern w:val="0"/>
        </w:rPr>
        <w:t>弱平衡</w:t>
      </w:r>
      <w:proofErr w:type="gramEnd"/>
      <w:r>
        <w:rPr>
          <w:rFonts w:ascii="宋体" w:hAnsi="宋体" w:cs="宋体" w:hint="eastAsia"/>
          <w:color w:val="000000"/>
          <w:kern w:val="0"/>
        </w:rPr>
        <w:t>的态势中，通胀略有失真但核心分项的普遍放缓也确在发生。最终美国CPI略低于预期，日本加息靴子落地，风险偏好重归。往后看短期联储的重心在就业弱而不是通胀强，因此对于1月继续降息的预期可能再次升温，推动宽松交易继续，美国货币政策的宽松未见明显约束。</w:t>
      </w:r>
      <w:r>
        <w:rPr>
          <w:rFonts w:ascii="宋体" w:hAnsi="宋体" w:cs="宋体" w:hint="eastAsia"/>
          <w:color w:val="000000"/>
          <w:kern w:val="0"/>
        </w:rPr>
        <w:br/>
        <w:t xml:space="preserve">　　权益市场方面，A股权益市场配置行情延续，但短期波动加剧，导致市场调整的原因包括美联储降息预期波动、AI领域存在分歧、国内宏观数据边际退坡等。尽管没有出现三季度的大涨行情，但是指数经受住考验逐渐站稳关键整数位置。市场风格展开再平衡的过程，高端制造、红利、涨价题材成为市场焦点。后续市场步入重要政策观察窗口，国内外重要政策的变化成为市场风险偏好抬升的关键因素。从指数波动率和成交量来看，春季躁动开启的可能性在逐步提升。</w:t>
      </w:r>
      <w:r>
        <w:rPr>
          <w:rFonts w:ascii="宋体" w:hAnsi="宋体" w:cs="宋体" w:hint="eastAsia"/>
          <w:color w:val="000000"/>
          <w:kern w:val="0"/>
        </w:rPr>
        <w:br/>
        <w:t xml:space="preserve">　　债券市场方面，债市多空对于定价权的争夺变得愈发激烈，出现摆脱股票风险偏好冲击的迹象。宏观基本面因子效用回归前，市场主要受政府债发行供需及发行久期、资金面价格、</w:t>
      </w:r>
      <w:proofErr w:type="gramStart"/>
      <w:r>
        <w:rPr>
          <w:rFonts w:ascii="宋体" w:hAnsi="宋体" w:cs="宋体" w:hint="eastAsia"/>
          <w:color w:val="000000"/>
          <w:kern w:val="0"/>
        </w:rPr>
        <w:t>机构买债行为</w:t>
      </w:r>
      <w:proofErr w:type="gramEnd"/>
      <w:r>
        <w:rPr>
          <w:rFonts w:ascii="宋体" w:hAnsi="宋体" w:cs="宋体" w:hint="eastAsia"/>
          <w:color w:val="000000"/>
          <w:kern w:val="0"/>
        </w:rPr>
        <w:t>变化等因素的影响。10年国债向上突破1.75%至1.8%的窄幅运行箱体，配置力量相对缺位对利率形成向上压力。关注中长期品种的反弹机会，债市配置价值的进一步体现需要等待情绪和机构赎回状态的企稳，组合保持中</w:t>
      </w:r>
      <w:proofErr w:type="gramStart"/>
      <w:r>
        <w:rPr>
          <w:rFonts w:ascii="宋体" w:hAnsi="宋体" w:cs="宋体" w:hint="eastAsia"/>
          <w:color w:val="000000"/>
          <w:kern w:val="0"/>
        </w:rPr>
        <w:t>低久期</w:t>
      </w:r>
      <w:proofErr w:type="gramEnd"/>
      <w:r>
        <w:rPr>
          <w:rFonts w:ascii="宋体" w:hAnsi="宋体" w:cs="宋体" w:hint="eastAsia"/>
          <w:color w:val="000000"/>
          <w:kern w:val="0"/>
        </w:rPr>
        <w:t>配置。</w:t>
      </w:r>
      <w:r>
        <w:rPr>
          <w:rFonts w:ascii="宋体" w:hAnsi="宋体" w:cs="宋体" w:hint="eastAsia"/>
          <w:color w:val="000000"/>
          <w:kern w:val="0"/>
        </w:rPr>
        <w:br/>
        <w:t xml:space="preserve">　　总体来看，经济总量仍有下行压力、中</w:t>
      </w:r>
      <w:proofErr w:type="gramStart"/>
      <w:r>
        <w:rPr>
          <w:rFonts w:ascii="宋体" w:hAnsi="宋体" w:cs="宋体" w:hint="eastAsia"/>
          <w:color w:val="000000"/>
          <w:kern w:val="0"/>
        </w:rPr>
        <w:t>观行业</w:t>
      </w:r>
      <w:proofErr w:type="gramEnd"/>
      <w:r>
        <w:rPr>
          <w:rFonts w:ascii="宋体" w:hAnsi="宋体" w:cs="宋体" w:hint="eastAsia"/>
          <w:color w:val="000000"/>
          <w:kern w:val="0"/>
        </w:rPr>
        <w:t>仍未完全摆脱</w:t>
      </w:r>
      <w:proofErr w:type="gramStart"/>
      <w:r>
        <w:rPr>
          <w:rFonts w:ascii="宋体" w:hAnsi="宋体" w:cs="宋体" w:hint="eastAsia"/>
          <w:color w:val="000000"/>
          <w:kern w:val="0"/>
        </w:rPr>
        <w:t>利润负增局面</w:t>
      </w:r>
      <w:proofErr w:type="gramEnd"/>
      <w:r>
        <w:rPr>
          <w:rFonts w:ascii="宋体" w:hAnsi="宋体" w:cs="宋体" w:hint="eastAsia"/>
          <w:color w:val="000000"/>
          <w:kern w:val="0"/>
        </w:rPr>
        <w:t>、价格回升还需政策加码。但外资重新流入、保险资金配置需求增加与居民存款转移可能形成资金共振，给市场从流动性行情转向业绩驱动行情提供条件和时间窗口。行情的核心驱动力将从政策和流动性，转向业绩增长和价格恢复，风格层面更为均衡，成长和价值均有机会。具体投资操作上，组合在战略层面以科技、顺周期、高端制造等竞争优势产业为抓手，</w:t>
      </w:r>
      <w:proofErr w:type="gramStart"/>
      <w:r>
        <w:rPr>
          <w:rFonts w:ascii="宋体" w:hAnsi="宋体" w:cs="宋体" w:hint="eastAsia"/>
          <w:color w:val="000000"/>
          <w:kern w:val="0"/>
        </w:rPr>
        <w:t>仓位</w:t>
      </w:r>
      <w:proofErr w:type="gramEnd"/>
      <w:r>
        <w:rPr>
          <w:rFonts w:ascii="宋体" w:hAnsi="宋体" w:cs="宋体" w:hint="eastAsia"/>
          <w:color w:val="000000"/>
          <w:kern w:val="0"/>
        </w:rPr>
        <w:t>在调整中逐步恢复到超配。</w:t>
      </w:r>
      <w:r>
        <w:rPr>
          <w:rFonts w:ascii="宋体" w:hAnsi="宋体" w:cs="宋体" w:hint="eastAsia"/>
          <w:color w:val="000000"/>
          <w:kern w:val="0"/>
        </w:rPr>
        <w:br/>
        <w:t xml:space="preserve">　　展望后续，“十五五”规划开局之年承载重要使命，更加注重供需平衡发展。国内经济有望呈现外需企稳、内需改善、价格修复的特征。出口韧性源于国际经贸斗争边际缓和与国内产业链韧性。大力提</w:t>
      </w:r>
      <w:proofErr w:type="gramStart"/>
      <w:r>
        <w:rPr>
          <w:rFonts w:ascii="宋体" w:hAnsi="宋体" w:cs="宋体" w:hint="eastAsia"/>
          <w:color w:val="000000"/>
          <w:kern w:val="0"/>
        </w:rPr>
        <w:t>振消费</w:t>
      </w:r>
      <w:proofErr w:type="gramEnd"/>
      <w:r>
        <w:rPr>
          <w:rFonts w:ascii="宋体" w:hAnsi="宋体" w:cs="宋体" w:hint="eastAsia"/>
          <w:color w:val="000000"/>
          <w:kern w:val="0"/>
        </w:rPr>
        <w:t>政策有望</w:t>
      </w:r>
      <w:proofErr w:type="gramStart"/>
      <w:r>
        <w:rPr>
          <w:rFonts w:ascii="宋体" w:hAnsi="宋体" w:cs="宋体" w:hint="eastAsia"/>
          <w:color w:val="000000"/>
          <w:kern w:val="0"/>
        </w:rPr>
        <w:t>对社零增速</w:t>
      </w:r>
      <w:proofErr w:type="gramEnd"/>
      <w:r>
        <w:rPr>
          <w:rFonts w:ascii="宋体" w:hAnsi="宋体" w:cs="宋体" w:hint="eastAsia"/>
          <w:color w:val="000000"/>
          <w:kern w:val="0"/>
        </w:rPr>
        <w:t>和通胀回升形成边际支撑。国内政策的发力方向总体与2025年取向一致，中央、地方分工方面更加清晰。中央支出稳定短期内需，地方支出加力推进经济转型的格局将逐步形成，明年宏观政策效能将会进一步提升。</w:t>
      </w:r>
      <w:r>
        <w:rPr>
          <w:rFonts w:ascii="宋体" w:hAnsi="宋体" w:cs="宋体" w:hint="eastAsia"/>
          <w:color w:val="000000"/>
          <w:kern w:val="0"/>
        </w:rPr>
        <w:br/>
        <w:t xml:space="preserve">　　权益方面，估值超</w:t>
      </w:r>
      <w:proofErr w:type="gramStart"/>
      <w:r>
        <w:rPr>
          <w:rFonts w:ascii="宋体" w:hAnsi="宋体" w:cs="宋体" w:hint="eastAsia"/>
          <w:color w:val="000000"/>
          <w:kern w:val="0"/>
        </w:rPr>
        <w:t>跌恢复</w:t>
      </w:r>
      <w:proofErr w:type="gramEnd"/>
      <w:r>
        <w:rPr>
          <w:rFonts w:ascii="宋体" w:hAnsi="宋体" w:cs="宋体" w:hint="eastAsia"/>
          <w:color w:val="000000"/>
          <w:kern w:val="0"/>
        </w:rPr>
        <w:t>行情基本告一段落，明年在流动性保持宽松的基础上，如有业绩改善催化，有望驱动A股继续向上。市场将延续结构分化、板块轮动的特征，在科技成长、顺周期价格恢复、需求受益板块中选择标的。跨年后进入年报预告交易窗口，</w:t>
      </w:r>
      <w:proofErr w:type="gramStart"/>
      <w:r>
        <w:rPr>
          <w:rFonts w:ascii="宋体" w:hAnsi="宋体" w:cs="宋体" w:hint="eastAsia"/>
          <w:color w:val="000000"/>
          <w:kern w:val="0"/>
        </w:rPr>
        <w:t>关注全</w:t>
      </w:r>
      <w:proofErr w:type="gramEnd"/>
      <w:r>
        <w:rPr>
          <w:rFonts w:ascii="宋体" w:hAnsi="宋体" w:cs="宋体" w:hint="eastAsia"/>
          <w:color w:val="000000"/>
          <w:kern w:val="0"/>
        </w:rPr>
        <w:t>A非金融盈利周期能否向上摆脱</w:t>
      </w:r>
      <w:proofErr w:type="gramStart"/>
      <w:r>
        <w:rPr>
          <w:rFonts w:ascii="宋体" w:hAnsi="宋体" w:cs="宋体" w:hint="eastAsia"/>
          <w:color w:val="000000"/>
          <w:kern w:val="0"/>
        </w:rPr>
        <w:t>磨底期</w:t>
      </w:r>
      <w:proofErr w:type="gramEnd"/>
      <w:r>
        <w:rPr>
          <w:rFonts w:ascii="宋体" w:hAnsi="宋体" w:cs="宋体" w:hint="eastAsia"/>
          <w:color w:val="000000"/>
          <w:kern w:val="0"/>
        </w:rPr>
        <w:t>，以及TMT、高端制造等业绩高</w:t>
      </w:r>
      <w:proofErr w:type="gramStart"/>
      <w:r>
        <w:rPr>
          <w:rFonts w:ascii="宋体" w:hAnsi="宋体" w:cs="宋体" w:hint="eastAsia"/>
          <w:color w:val="000000"/>
          <w:kern w:val="0"/>
        </w:rPr>
        <w:t>增行业</w:t>
      </w:r>
      <w:proofErr w:type="gramEnd"/>
      <w:r>
        <w:rPr>
          <w:rFonts w:ascii="宋体" w:hAnsi="宋体" w:cs="宋体" w:hint="eastAsia"/>
          <w:color w:val="000000"/>
          <w:kern w:val="0"/>
        </w:rPr>
        <w:t>能否持续。行业方面继续关注各条线中的涨价因子：一是科技主线硬件需求向上游价格传导逻辑；二是周期板块政策引导叠加行业自发调整，在反内卷供给</w:t>
      </w:r>
      <w:proofErr w:type="gramStart"/>
      <w:r>
        <w:rPr>
          <w:rFonts w:ascii="宋体" w:hAnsi="宋体" w:cs="宋体" w:hint="eastAsia"/>
          <w:color w:val="000000"/>
          <w:kern w:val="0"/>
        </w:rPr>
        <w:t>端效果</w:t>
      </w:r>
      <w:proofErr w:type="gramEnd"/>
      <w:r>
        <w:rPr>
          <w:rFonts w:ascii="宋体" w:hAnsi="宋体" w:cs="宋体" w:hint="eastAsia"/>
          <w:color w:val="000000"/>
          <w:kern w:val="0"/>
        </w:rPr>
        <w:t>被逐步消化后，后续机会存在于全球货币宽松、投资需求回升之中，工业原料、中间资本品、工程机械等都可能有较好表现；三是消费品类中出现量价反转的线索，包括免税、航空等。</w:t>
      </w:r>
      <w:r>
        <w:rPr>
          <w:rFonts w:ascii="宋体" w:hAnsi="宋体" w:cs="宋体" w:hint="eastAsia"/>
          <w:color w:val="000000"/>
          <w:kern w:val="0"/>
        </w:rPr>
        <w:br/>
        <w:t xml:space="preserve">　　债券市场看，基于支持经济和政府债发行以及应对人民币升值，央行货币政策预计继续保持宽松取向，但年初银行资金可能优先支持信贷。提升</w:t>
      </w:r>
      <w:proofErr w:type="gramStart"/>
      <w:r>
        <w:rPr>
          <w:rFonts w:ascii="宋体" w:hAnsi="宋体" w:cs="宋体" w:hint="eastAsia"/>
          <w:color w:val="000000"/>
          <w:kern w:val="0"/>
        </w:rPr>
        <w:t>仓位久期需要</w:t>
      </w:r>
      <w:proofErr w:type="gramEnd"/>
      <w:r>
        <w:rPr>
          <w:rFonts w:ascii="宋体" w:hAnsi="宋体" w:cs="宋体" w:hint="eastAsia"/>
          <w:color w:val="000000"/>
          <w:kern w:val="0"/>
        </w:rPr>
        <w:t>看到更高的赔率，例如10年国债利率上行至1.9%以上超跌位置，或者出现央行降息、</w:t>
      </w:r>
      <w:proofErr w:type="gramStart"/>
      <w:r>
        <w:rPr>
          <w:rFonts w:ascii="宋体" w:hAnsi="宋体" w:cs="宋体" w:hint="eastAsia"/>
          <w:color w:val="000000"/>
          <w:kern w:val="0"/>
        </w:rPr>
        <w:t>大规模买债等</w:t>
      </w:r>
      <w:proofErr w:type="gramEnd"/>
      <w:r>
        <w:rPr>
          <w:rFonts w:ascii="宋体" w:hAnsi="宋体" w:cs="宋体" w:hint="eastAsia"/>
          <w:color w:val="000000"/>
          <w:kern w:val="0"/>
        </w:rPr>
        <w:t>因素。维持反弹操作观点，开年</w:t>
      </w:r>
      <w:proofErr w:type="gramStart"/>
      <w:r>
        <w:rPr>
          <w:rFonts w:ascii="宋体" w:hAnsi="宋体" w:cs="宋体" w:hint="eastAsia"/>
          <w:color w:val="000000"/>
          <w:kern w:val="0"/>
        </w:rPr>
        <w:t>政府债净发行</w:t>
      </w:r>
      <w:proofErr w:type="gramEnd"/>
      <w:r>
        <w:rPr>
          <w:rFonts w:ascii="宋体" w:hAnsi="宋体" w:cs="宋体" w:hint="eastAsia"/>
          <w:color w:val="000000"/>
          <w:kern w:val="0"/>
        </w:rPr>
        <w:t>压力明显上升，</w:t>
      </w:r>
      <w:proofErr w:type="gramStart"/>
      <w:r>
        <w:rPr>
          <w:rFonts w:ascii="宋体" w:hAnsi="宋体" w:cs="宋体" w:hint="eastAsia"/>
          <w:color w:val="000000"/>
          <w:kern w:val="0"/>
        </w:rPr>
        <w:t>叠加债基赎回</w:t>
      </w:r>
      <w:proofErr w:type="gramEnd"/>
      <w:r>
        <w:rPr>
          <w:rFonts w:ascii="宋体" w:hAnsi="宋体" w:cs="宋体" w:hint="eastAsia"/>
          <w:color w:val="000000"/>
          <w:kern w:val="0"/>
        </w:rPr>
        <w:t>费等显性利空，债市收益率上行压力暂未缓解。结构上曲线形态很难</w:t>
      </w:r>
      <w:proofErr w:type="gramStart"/>
      <w:r>
        <w:rPr>
          <w:rFonts w:ascii="宋体" w:hAnsi="宋体" w:cs="宋体" w:hint="eastAsia"/>
          <w:color w:val="000000"/>
          <w:kern w:val="0"/>
        </w:rPr>
        <w:t>大幅变陡</w:t>
      </w:r>
      <w:proofErr w:type="gramEnd"/>
      <w:r>
        <w:rPr>
          <w:rFonts w:ascii="宋体" w:hAnsi="宋体" w:cs="宋体" w:hint="eastAsia"/>
          <w:color w:val="000000"/>
          <w:kern w:val="0"/>
        </w:rPr>
        <w:t>，保持哑铃结构，短</w:t>
      </w:r>
      <w:proofErr w:type="gramStart"/>
      <w:r>
        <w:rPr>
          <w:rFonts w:ascii="宋体" w:hAnsi="宋体" w:cs="宋体" w:hint="eastAsia"/>
          <w:color w:val="000000"/>
          <w:kern w:val="0"/>
        </w:rPr>
        <w:t>端品种</w:t>
      </w:r>
      <w:proofErr w:type="gramEnd"/>
      <w:r>
        <w:rPr>
          <w:rFonts w:ascii="宋体" w:hAnsi="宋体" w:cs="宋体" w:hint="eastAsia"/>
          <w:color w:val="000000"/>
          <w:kern w:val="0"/>
        </w:rPr>
        <w:t>在资金宽松背景下关注票息价值。</w:t>
      </w:r>
    </w:p>
    <w:p w14:paraId="459E6293" w14:textId="77777777" w:rsidR="00C77D2D" w:rsidRDefault="00C77D2D">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68387BEA" w14:textId="77777777" w:rsidR="00C77D2D" w:rsidRDefault="00C77D2D">
      <w:pPr>
        <w:spacing w:line="360" w:lineRule="auto"/>
        <w:ind w:firstLineChars="200" w:firstLine="420"/>
      </w:pPr>
      <w:r>
        <w:rPr>
          <w:rFonts w:ascii="宋体" w:hAnsi="宋体" w:hint="eastAsia"/>
        </w:rPr>
        <w:t>本报告期摩根安隆回报混合A份额净值增长率为：1.02%，同期业绩比较基准收益率为：0.39%；</w:t>
      </w:r>
      <w:r>
        <w:rPr>
          <w:rFonts w:ascii="宋体" w:hAnsi="宋体" w:hint="eastAsia"/>
        </w:rPr>
        <w:br/>
        <w:t xml:space="preserve">　　摩根安隆回报混合C份额净值增长率为：0.94%，同期业绩比较基准收益率为：0.39%。</w:t>
      </w:r>
    </w:p>
    <w:p w14:paraId="59F6AA08" w14:textId="77777777" w:rsidR="00C77D2D" w:rsidRDefault="00C77D2D">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66E5CF91" w14:textId="77777777" w:rsidR="00C77D2D" w:rsidRDefault="00C77D2D">
      <w:pPr>
        <w:spacing w:line="360" w:lineRule="auto"/>
        <w:ind w:firstLineChars="200" w:firstLine="420"/>
        <w:jc w:val="left"/>
      </w:pPr>
      <w:r>
        <w:rPr>
          <w:rFonts w:ascii="宋体" w:hAnsi="宋体" w:hint="eastAsia"/>
        </w:rPr>
        <w:t>无。</w:t>
      </w:r>
    </w:p>
    <w:p w14:paraId="1958E5A3" w14:textId="77777777" w:rsidR="00C77D2D" w:rsidRDefault="00C77D2D">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026E70A4" w14:textId="77777777" w:rsidR="00C77D2D" w:rsidRDefault="00C77D2D">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FF1735" w14:paraId="24348A29" w14:textId="77777777">
        <w:trPr>
          <w:divId w:val="862599617"/>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E3EF8F" w14:textId="77777777" w:rsidR="00C77D2D" w:rsidRDefault="00C77D2D">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006A32B2" w14:textId="77777777" w:rsidR="00C77D2D" w:rsidRDefault="00C77D2D">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52796CE" w14:textId="77777777" w:rsidR="00C77D2D" w:rsidRDefault="00C77D2D">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AD122E5" w14:textId="77777777" w:rsidR="00C77D2D" w:rsidRDefault="00C77D2D">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FF1735" w14:paraId="6408A391" w14:textId="77777777">
        <w:trPr>
          <w:divId w:val="86259961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EA50EC1" w14:textId="77777777" w:rsidR="00C77D2D" w:rsidRDefault="00C77D2D">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6D33BD01" w14:textId="77777777" w:rsidR="00C77D2D" w:rsidRDefault="00C77D2D">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4E6C6B9" w14:textId="77777777" w:rsidR="00C77D2D" w:rsidRDefault="00C77D2D">
            <w:pPr>
              <w:jc w:val="right"/>
            </w:pPr>
            <w:r>
              <w:rPr>
                <w:rFonts w:ascii="宋体" w:hAnsi="宋体" w:hint="eastAsia"/>
                <w:szCs w:val="24"/>
                <w:lang w:eastAsia="zh-Hans"/>
              </w:rPr>
              <w:t>51,343,884.14</w:t>
            </w:r>
          </w:p>
        </w:tc>
        <w:tc>
          <w:tcPr>
            <w:tcW w:w="1333" w:type="pct"/>
            <w:tcBorders>
              <w:top w:val="single" w:sz="4" w:space="0" w:color="auto"/>
              <w:left w:val="nil"/>
              <w:bottom w:val="single" w:sz="4" w:space="0" w:color="auto"/>
              <w:right w:val="single" w:sz="4" w:space="0" w:color="auto"/>
            </w:tcBorders>
            <w:vAlign w:val="center"/>
            <w:hideMark/>
          </w:tcPr>
          <w:p w14:paraId="54628EAF" w14:textId="77777777" w:rsidR="00C77D2D" w:rsidRDefault="00C77D2D">
            <w:pPr>
              <w:jc w:val="right"/>
            </w:pPr>
            <w:r>
              <w:rPr>
                <w:rFonts w:ascii="宋体" w:hAnsi="宋体" w:hint="eastAsia"/>
                <w:szCs w:val="24"/>
                <w:lang w:eastAsia="zh-Hans"/>
              </w:rPr>
              <w:t>29.00</w:t>
            </w:r>
          </w:p>
        </w:tc>
      </w:tr>
      <w:tr w:rsidR="00FF1735" w14:paraId="56AE416F" w14:textId="77777777">
        <w:trPr>
          <w:divId w:val="86259961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A77E345" w14:textId="77777777" w:rsidR="00C77D2D" w:rsidRDefault="00C77D2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4568FA1" w14:textId="77777777" w:rsidR="00C77D2D" w:rsidRDefault="00C77D2D">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7D0EADB" w14:textId="77777777" w:rsidR="00C77D2D" w:rsidRDefault="00C77D2D">
            <w:pPr>
              <w:jc w:val="right"/>
            </w:pPr>
            <w:r>
              <w:rPr>
                <w:rFonts w:ascii="宋体" w:hAnsi="宋体" w:hint="eastAsia"/>
                <w:szCs w:val="24"/>
                <w:lang w:eastAsia="zh-Hans"/>
              </w:rPr>
              <w:t>51,343,884.14</w:t>
            </w:r>
          </w:p>
        </w:tc>
        <w:tc>
          <w:tcPr>
            <w:tcW w:w="1333" w:type="pct"/>
            <w:tcBorders>
              <w:top w:val="single" w:sz="4" w:space="0" w:color="auto"/>
              <w:left w:val="nil"/>
              <w:bottom w:val="single" w:sz="4" w:space="0" w:color="auto"/>
              <w:right w:val="single" w:sz="4" w:space="0" w:color="auto"/>
            </w:tcBorders>
            <w:vAlign w:val="center"/>
            <w:hideMark/>
          </w:tcPr>
          <w:p w14:paraId="14CEA575" w14:textId="77777777" w:rsidR="00C77D2D" w:rsidRDefault="00C77D2D">
            <w:pPr>
              <w:jc w:val="right"/>
            </w:pPr>
            <w:r>
              <w:rPr>
                <w:rFonts w:ascii="宋体" w:hAnsi="宋体" w:hint="eastAsia"/>
                <w:szCs w:val="24"/>
                <w:lang w:eastAsia="zh-Hans"/>
              </w:rPr>
              <w:t>29.00</w:t>
            </w:r>
          </w:p>
        </w:tc>
      </w:tr>
      <w:tr w:rsidR="00FF1735" w14:paraId="64D81AC3" w14:textId="77777777">
        <w:trPr>
          <w:divId w:val="86259961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611278C" w14:textId="77777777" w:rsidR="00C77D2D" w:rsidRDefault="00C77D2D">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0B27191A" w14:textId="77777777" w:rsidR="00C77D2D" w:rsidRDefault="00C77D2D">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5FABC01" w14:textId="77777777" w:rsidR="00C77D2D" w:rsidRDefault="00C77D2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F0B7018" w14:textId="77777777" w:rsidR="00C77D2D" w:rsidRDefault="00C77D2D">
            <w:pPr>
              <w:jc w:val="right"/>
            </w:pPr>
            <w:r>
              <w:rPr>
                <w:rFonts w:ascii="宋体" w:hAnsi="宋体" w:hint="eastAsia"/>
                <w:szCs w:val="24"/>
                <w:lang w:eastAsia="zh-Hans"/>
              </w:rPr>
              <w:t>-</w:t>
            </w:r>
          </w:p>
        </w:tc>
      </w:tr>
      <w:tr w:rsidR="00FF1735" w14:paraId="557BC91F" w14:textId="77777777">
        <w:trPr>
          <w:divId w:val="86259961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187A712" w14:textId="77777777" w:rsidR="00C77D2D" w:rsidRDefault="00C77D2D">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5C213D85" w14:textId="77777777" w:rsidR="00C77D2D" w:rsidRDefault="00C77D2D">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2420B4F" w14:textId="77777777" w:rsidR="00C77D2D" w:rsidRDefault="00C77D2D">
            <w:pPr>
              <w:jc w:val="right"/>
            </w:pPr>
            <w:r>
              <w:rPr>
                <w:rFonts w:ascii="宋体" w:hAnsi="宋体" w:hint="eastAsia"/>
                <w:szCs w:val="24"/>
                <w:lang w:eastAsia="zh-Hans"/>
              </w:rPr>
              <w:t>117,905,925.46</w:t>
            </w:r>
          </w:p>
        </w:tc>
        <w:tc>
          <w:tcPr>
            <w:tcW w:w="1333" w:type="pct"/>
            <w:tcBorders>
              <w:top w:val="single" w:sz="4" w:space="0" w:color="auto"/>
              <w:left w:val="nil"/>
              <w:bottom w:val="single" w:sz="4" w:space="0" w:color="auto"/>
              <w:right w:val="single" w:sz="4" w:space="0" w:color="auto"/>
            </w:tcBorders>
            <w:vAlign w:val="center"/>
            <w:hideMark/>
          </w:tcPr>
          <w:p w14:paraId="3AB89012" w14:textId="77777777" w:rsidR="00C77D2D" w:rsidRDefault="00C77D2D">
            <w:pPr>
              <w:jc w:val="right"/>
            </w:pPr>
            <w:r>
              <w:rPr>
                <w:rFonts w:ascii="宋体" w:hAnsi="宋体" w:hint="eastAsia"/>
                <w:szCs w:val="24"/>
                <w:lang w:eastAsia="zh-Hans"/>
              </w:rPr>
              <w:t>66.59</w:t>
            </w:r>
          </w:p>
        </w:tc>
      </w:tr>
      <w:tr w:rsidR="00FF1735" w14:paraId="26055222" w14:textId="77777777">
        <w:trPr>
          <w:divId w:val="86259961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8DF9F27" w14:textId="77777777" w:rsidR="00C77D2D" w:rsidRDefault="00C77D2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5E95C6F" w14:textId="77777777" w:rsidR="00C77D2D" w:rsidRDefault="00C77D2D">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48BC9D1" w14:textId="77777777" w:rsidR="00C77D2D" w:rsidRDefault="00C77D2D">
            <w:pPr>
              <w:jc w:val="right"/>
            </w:pPr>
            <w:r>
              <w:rPr>
                <w:rFonts w:ascii="宋体" w:hAnsi="宋体" w:hint="eastAsia"/>
                <w:szCs w:val="24"/>
                <w:lang w:eastAsia="zh-Hans"/>
              </w:rPr>
              <w:t>117,905,925.46</w:t>
            </w:r>
          </w:p>
        </w:tc>
        <w:tc>
          <w:tcPr>
            <w:tcW w:w="1333" w:type="pct"/>
            <w:tcBorders>
              <w:top w:val="single" w:sz="4" w:space="0" w:color="auto"/>
              <w:left w:val="nil"/>
              <w:bottom w:val="single" w:sz="4" w:space="0" w:color="auto"/>
              <w:right w:val="single" w:sz="4" w:space="0" w:color="auto"/>
            </w:tcBorders>
            <w:vAlign w:val="center"/>
            <w:hideMark/>
          </w:tcPr>
          <w:p w14:paraId="61CA394E" w14:textId="77777777" w:rsidR="00C77D2D" w:rsidRDefault="00C77D2D">
            <w:pPr>
              <w:jc w:val="right"/>
            </w:pPr>
            <w:r>
              <w:rPr>
                <w:rFonts w:ascii="宋体" w:hAnsi="宋体" w:hint="eastAsia"/>
                <w:szCs w:val="24"/>
                <w:lang w:eastAsia="zh-Hans"/>
              </w:rPr>
              <w:t>66.59</w:t>
            </w:r>
          </w:p>
        </w:tc>
      </w:tr>
      <w:tr w:rsidR="00FF1735" w14:paraId="55429CFE" w14:textId="77777777">
        <w:trPr>
          <w:divId w:val="86259961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52CB24D" w14:textId="77777777" w:rsidR="00C77D2D" w:rsidRDefault="00C77D2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EC1068C" w14:textId="77777777" w:rsidR="00C77D2D" w:rsidRDefault="00C77D2D">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E24E2C8" w14:textId="77777777" w:rsidR="00C77D2D" w:rsidRDefault="00C77D2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81CD5CC" w14:textId="77777777" w:rsidR="00C77D2D" w:rsidRDefault="00C77D2D">
            <w:pPr>
              <w:jc w:val="right"/>
            </w:pPr>
            <w:r>
              <w:rPr>
                <w:rFonts w:ascii="宋体" w:hAnsi="宋体" w:hint="eastAsia"/>
                <w:szCs w:val="24"/>
                <w:lang w:eastAsia="zh-Hans"/>
              </w:rPr>
              <w:t>-</w:t>
            </w:r>
          </w:p>
        </w:tc>
      </w:tr>
      <w:tr w:rsidR="00FF1735" w14:paraId="497F4BBD" w14:textId="77777777">
        <w:trPr>
          <w:divId w:val="86259961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78DAAB7" w14:textId="77777777" w:rsidR="00C77D2D" w:rsidRDefault="00C77D2D">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10DB24A5" w14:textId="77777777" w:rsidR="00C77D2D" w:rsidRDefault="00C77D2D">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21992A7" w14:textId="77777777" w:rsidR="00C77D2D" w:rsidRDefault="00C77D2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A1BD9CC" w14:textId="77777777" w:rsidR="00C77D2D" w:rsidRDefault="00C77D2D">
            <w:pPr>
              <w:jc w:val="right"/>
            </w:pPr>
            <w:r>
              <w:rPr>
                <w:rFonts w:ascii="宋体" w:hAnsi="宋体" w:hint="eastAsia"/>
                <w:szCs w:val="24"/>
                <w:lang w:eastAsia="zh-Hans"/>
              </w:rPr>
              <w:t>-</w:t>
            </w:r>
          </w:p>
        </w:tc>
      </w:tr>
      <w:tr w:rsidR="00FF1735" w14:paraId="6D8D2C92" w14:textId="77777777">
        <w:trPr>
          <w:divId w:val="86259961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3896954" w14:textId="77777777" w:rsidR="00C77D2D" w:rsidRDefault="00C77D2D">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399A82EC" w14:textId="77777777" w:rsidR="00C77D2D" w:rsidRDefault="00C77D2D">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79D758B" w14:textId="77777777" w:rsidR="00C77D2D" w:rsidRDefault="00C77D2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EB33F38" w14:textId="77777777" w:rsidR="00C77D2D" w:rsidRDefault="00C77D2D">
            <w:pPr>
              <w:jc w:val="right"/>
            </w:pPr>
            <w:r>
              <w:rPr>
                <w:rFonts w:ascii="宋体" w:hAnsi="宋体" w:hint="eastAsia"/>
                <w:szCs w:val="24"/>
                <w:lang w:eastAsia="zh-Hans"/>
              </w:rPr>
              <w:t>-</w:t>
            </w:r>
          </w:p>
        </w:tc>
      </w:tr>
      <w:tr w:rsidR="00FF1735" w14:paraId="70F912DD" w14:textId="77777777">
        <w:trPr>
          <w:divId w:val="86259961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BF3C629" w14:textId="77777777" w:rsidR="00C77D2D" w:rsidRDefault="00C77D2D">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2060D1B" w14:textId="77777777" w:rsidR="00C77D2D" w:rsidRDefault="00C77D2D">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D31821A" w14:textId="77777777" w:rsidR="00C77D2D" w:rsidRDefault="00C77D2D">
            <w:pPr>
              <w:jc w:val="right"/>
            </w:pPr>
            <w:r>
              <w:rPr>
                <w:rFonts w:ascii="宋体" w:hAnsi="宋体" w:hint="eastAsia"/>
                <w:szCs w:val="24"/>
                <w:lang w:eastAsia="zh-Hans"/>
              </w:rPr>
              <w:t>2,499,590.14</w:t>
            </w:r>
          </w:p>
        </w:tc>
        <w:tc>
          <w:tcPr>
            <w:tcW w:w="1333" w:type="pct"/>
            <w:tcBorders>
              <w:top w:val="single" w:sz="4" w:space="0" w:color="auto"/>
              <w:left w:val="nil"/>
              <w:bottom w:val="single" w:sz="4" w:space="0" w:color="auto"/>
              <w:right w:val="single" w:sz="4" w:space="0" w:color="auto"/>
            </w:tcBorders>
            <w:vAlign w:val="center"/>
            <w:hideMark/>
          </w:tcPr>
          <w:p w14:paraId="5F58E940" w14:textId="77777777" w:rsidR="00C77D2D" w:rsidRDefault="00C77D2D">
            <w:pPr>
              <w:jc w:val="right"/>
            </w:pPr>
            <w:r>
              <w:rPr>
                <w:rFonts w:ascii="宋体" w:hAnsi="宋体" w:hint="eastAsia"/>
                <w:szCs w:val="24"/>
                <w:lang w:eastAsia="zh-Hans"/>
              </w:rPr>
              <w:t>1.41</w:t>
            </w:r>
          </w:p>
        </w:tc>
      </w:tr>
      <w:tr w:rsidR="00FF1735" w14:paraId="14EF5F87" w14:textId="77777777">
        <w:trPr>
          <w:divId w:val="86259961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E55A797" w14:textId="77777777" w:rsidR="00C77D2D" w:rsidRDefault="00C77D2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70B16B5" w14:textId="77777777" w:rsidR="00C77D2D" w:rsidRDefault="00C77D2D">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F730933" w14:textId="77777777" w:rsidR="00C77D2D" w:rsidRDefault="00C77D2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B34D57F" w14:textId="77777777" w:rsidR="00C77D2D" w:rsidRDefault="00C77D2D">
            <w:pPr>
              <w:jc w:val="right"/>
            </w:pPr>
            <w:r>
              <w:rPr>
                <w:rFonts w:ascii="宋体" w:hAnsi="宋体" w:hint="eastAsia"/>
                <w:szCs w:val="24"/>
                <w:lang w:eastAsia="zh-Hans"/>
              </w:rPr>
              <w:t>-</w:t>
            </w:r>
          </w:p>
        </w:tc>
      </w:tr>
      <w:tr w:rsidR="00FF1735" w14:paraId="342A21CE" w14:textId="77777777">
        <w:trPr>
          <w:divId w:val="86259961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E307138" w14:textId="77777777" w:rsidR="00C77D2D" w:rsidRDefault="00C77D2D">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63744D81" w14:textId="77777777" w:rsidR="00C77D2D" w:rsidRDefault="00C77D2D">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FCE37BC" w14:textId="77777777" w:rsidR="00C77D2D" w:rsidRDefault="00C77D2D">
            <w:pPr>
              <w:jc w:val="right"/>
            </w:pPr>
            <w:r>
              <w:rPr>
                <w:rFonts w:ascii="宋体" w:hAnsi="宋体" w:hint="eastAsia"/>
                <w:szCs w:val="24"/>
                <w:lang w:eastAsia="zh-Hans"/>
              </w:rPr>
              <w:t>4,921,019.07</w:t>
            </w:r>
          </w:p>
        </w:tc>
        <w:tc>
          <w:tcPr>
            <w:tcW w:w="1333" w:type="pct"/>
            <w:tcBorders>
              <w:top w:val="single" w:sz="4" w:space="0" w:color="auto"/>
              <w:left w:val="nil"/>
              <w:bottom w:val="single" w:sz="4" w:space="0" w:color="auto"/>
              <w:right w:val="single" w:sz="4" w:space="0" w:color="auto"/>
            </w:tcBorders>
            <w:vAlign w:val="center"/>
            <w:hideMark/>
          </w:tcPr>
          <w:p w14:paraId="253D1A64" w14:textId="77777777" w:rsidR="00C77D2D" w:rsidRDefault="00C77D2D">
            <w:pPr>
              <w:jc w:val="right"/>
            </w:pPr>
            <w:r>
              <w:rPr>
                <w:rFonts w:ascii="宋体" w:hAnsi="宋体" w:hint="eastAsia"/>
                <w:szCs w:val="24"/>
                <w:lang w:eastAsia="zh-Hans"/>
              </w:rPr>
              <w:t>2.78</w:t>
            </w:r>
          </w:p>
        </w:tc>
      </w:tr>
      <w:tr w:rsidR="00FF1735" w14:paraId="613488B7" w14:textId="77777777">
        <w:trPr>
          <w:divId w:val="86259961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F5FAD82" w14:textId="77777777" w:rsidR="00C77D2D" w:rsidRDefault="00C77D2D">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24902D9E" w14:textId="77777777" w:rsidR="00C77D2D" w:rsidRDefault="00C77D2D">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32D4A0" w14:textId="77777777" w:rsidR="00C77D2D" w:rsidRDefault="00C77D2D">
            <w:pPr>
              <w:jc w:val="right"/>
            </w:pPr>
            <w:r>
              <w:rPr>
                <w:rFonts w:ascii="宋体" w:hAnsi="宋体" w:hint="eastAsia"/>
                <w:szCs w:val="24"/>
                <w:lang w:eastAsia="zh-Hans"/>
              </w:rPr>
              <w:t>401,075.86</w:t>
            </w:r>
          </w:p>
        </w:tc>
        <w:tc>
          <w:tcPr>
            <w:tcW w:w="1333" w:type="pct"/>
            <w:tcBorders>
              <w:top w:val="single" w:sz="4" w:space="0" w:color="auto"/>
              <w:left w:val="nil"/>
              <w:bottom w:val="single" w:sz="4" w:space="0" w:color="auto"/>
              <w:right w:val="single" w:sz="4" w:space="0" w:color="auto"/>
            </w:tcBorders>
            <w:vAlign w:val="center"/>
            <w:hideMark/>
          </w:tcPr>
          <w:p w14:paraId="1B13C9E1" w14:textId="77777777" w:rsidR="00C77D2D" w:rsidRDefault="00C77D2D">
            <w:pPr>
              <w:jc w:val="right"/>
            </w:pPr>
            <w:r>
              <w:rPr>
                <w:rFonts w:ascii="宋体" w:hAnsi="宋体" w:hint="eastAsia"/>
                <w:szCs w:val="24"/>
                <w:lang w:eastAsia="zh-Hans"/>
              </w:rPr>
              <w:t>0.23</w:t>
            </w:r>
          </w:p>
        </w:tc>
      </w:tr>
      <w:tr w:rsidR="00FF1735" w14:paraId="1451B27B" w14:textId="77777777">
        <w:trPr>
          <w:divId w:val="86259961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76DB55D" w14:textId="77777777" w:rsidR="00C77D2D" w:rsidRDefault="00C77D2D">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06D3854F" w14:textId="77777777" w:rsidR="00C77D2D" w:rsidRDefault="00C77D2D">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BADD6FA" w14:textId="77777777" w:rsidR="00C77D2D" w:rsidRDefault="00C77D2D">
            <w:pPr>
              <w:jc w:val="right"/>
            </w:pPr>
            <w:r>
              <w:rPr>
                <w:rFonts w:ascii="宋体" w:hAnsi="宋体" w:hint="eastAsia"/>
                <w:szCs w:val="24"/>
                <w:lang w:eastAsia="zh-Hans"/>
              </w:rPr>
              <w:t>177,071,494.67</w:t>
            </w:r>
          </w:p>
        </w:tc>
        <w:tc>
          <w:tcPr>
            <w:tcW w:w="1333" w:type="pct"/>
            <w:tcBorders>
              <w:top w:val="single" w:sz="4" w:space="0" w:color="auto"/>
              <w:left w:val="nil"/>
              <w:bottom w:val="single" w:sz="4" w:space="0" w:color="auto"/>
              <w:right w:val="single" w:sz="4" w:space="0" w:color="auto"/>
            </w:tcBorders>
            <w:vAlign w:val="center"/>
            <w:hideMark/>
          </w:tcPr>
          <w:p w14:paraId="571D2643" w14:textId="77777777" w:rsidR="00C77D2D" w:rsidRDefault="00C77D2D">
            <w:pPr>
              <w:jc w:val="right"/>
            </w:pPr>
            <w:r>
              <w:rPr>
                <w:rFonts w:ascii="宋体" w:hAnsi="宋体" w:hint="eastAsia"/>
                <w:szCs w:val="24"/>
                <w:lang w:eastAsia="zh-Hans"/>
              </w:rPr>
              <w:t>100.00</w:t>
            </w:r>
          </w:p>
        </w:tc>
      </w:tr>
    </w:tbl>
    <w:p w14:paraId="1D38DFDE" w14:textId="77777777" w:rsidR="00C77D2D" w:rsidRDefault="00C77D2D">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29F1108E" w14:textId="77777777" w:rsidR="00C77D2D" w:rsidRDefault="00C77D2D">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FF1735" w14:paraId="5BDEB0DF" w14:textId="77777777">
        <w:trPr>
          <w:divId w:val="1766881125"/>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014E750" w14:textId="77777777" w:rsidR="00C77D2D" w:rsidRDefault="00C77D2D">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5CFAA5BA" w14:textId="77777777" w:rsidR="00C77D2D" w:rsidRDefault="00C77D2D">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16B4BD38" w14:textId="77777777" w:rsidR="00C77D2D" w:rsidRDefault="00C77D2D">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2ECBCF5B" w14:textId="77777777" w:rsidR="00C77D2D" w:rsidRDefault="00C77D2D">
            <w:pPr>
              <w:jc w:val="center"/>
            </w:pPr>
            <w:r>
              <w:rPr>
                <w:rFonts w:ascii="宋体" w:hAnsi="宋体" w:hint="eastAsia"/>
                <w:color w:val="000000"/>
              </w:rPr>
              <w:t xml:space="preserve">占基金资产净值比例（%） </w:t>
            </w:r>
          </w:p>
        </w:tc>
      </w:tr>
      <w:tr w:rsidR="00FF1735" w14:paraId="15371AB9" w14:textId="77777777">
        <w:trPr>
          <w:divId w:val="176688112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9343A8D" w14:textId="77777777" w:rsidR="00C77D2D" w:rsidRDefault="00C77D2D">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3B6D70A" w14:textId="77777777" w:rsidR="00C77D2D" w:rsidRDefault="00C77D2D">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8646DBB" w14:textId="77777777" w:rsidR="00C77D2D" w:rsidRDefault="00C77D2D">
            <w:pPr>
              <w:jc w:val="right"/>
            </w:pPr>
            <w:r>
              <w:rPr>
                <w:rFonts w:ascii="宋体" w:hAnsi="宋体" w:hint="eastAsia"/>
                <w:szCs w:val="24"/>
                <w:lang w:eastAsia="zh-Hans"/>
              </w:rPr>
              <w:t>117,916.42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FD26345" w14:textId="77777777" w:rsidR="00C77D2D" w:rsidRDefault="00C77D2D">
            <w:pPr>
              <w:jc w:val="right"/>
            </w:pPr>
            <w:r>
              <w:rPr>
                <w:rFonts w:ascii="宋体" w:hAnsi="宋体" w:hint="eastAsia"/>
                <w:szCs w:val="24"/>
                <w:lang w:eastAsia="zh-Hans"/>
              </w:rPr>
              <w:t>0.07</w:t>
            </w:r>
          </w:p>
        </w:tc>
      </w:tr>
      <w:tr w:rsidR="00FF1735" w14:paraId="3262B125" w14:textId="77777777">
        <w:trPr>
          <w:divId w:val="176688112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E08D7B6" w14:textId="77777777" w:rsidR="00C77D2D" w:rsidRDefault="00C77D2D">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4485D46" w14:textId="77777777" w:rsidR="00C77D2D" w:rsidRDefault="00C77D2D">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72F1F85" w14:textId="77777777" w:rsidR="00C77D2D" w:rsidRDefault="00C77D2D">
            <w:pPr>
              <w:jc w:val="right"/>
            </w:pPr>
            <w:r>
              <w:rPr>
                <w:rFonts w:ascii="宋体" w:hAnsi="宋体" w:hint="eastAsia"/>
                <w:szCs w:val="24"/>
                <w:lang w:eastAsia="zh-Hans"/>
              </w:rPr>
              <w:t>2,292,204.49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5D90A08" w14:textId="77777777" w:rsidR="00C77D2D" w:rsidRDefault="00C77D2D">
            <w:pPr>
              <w:jc w:val="right"/>
            </w:pPr>
            <w:r>
              <w:rPr>
                <w:rFonts w:ascii="宋体" w:hAnsi="宋体" w:hint="eastAsia"/>
                <w:szCs w:val="24"/>
                <w:lang w:eastAsia="zh-Hans"/>
              </w:rPr>
              <w:t>1.30</w:t>
            </w:r>
          </w:p>
        </w:tc>
      </w:tr>
      <w:tr w:rsidR="00FF1735" w14:paraId="4CA65CD6" w14:textId="77777777">
        <w:trPr>
          <w:divId w:val="176688112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F32A2EC" w14:textId="77777777" w:rsidR="00C77D2D" w:rsidRDefault="00C77D2D">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4A10058" w14:textId="77777777" w:rsidR="00C77D2D" w:rsidRDefault="00C77D2D">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F96E3D2" w14:textId="77777777" w:rsidR="00C77D2D" w:rsidRDefault="00C77D2D">
            <w:pPr>
              <w:jc w:val="right"/>
            </w:pPr>
            <w:r>
              <w:rPr>
                <w:rFonts w:ascii="宋体" w:hAnsi="宋体" w:hint="eastAsia"/>
                <w:szCs w:val="24"/>
                <w:lang w:eastAsia="zh-Hans"/>
              </w:rPr>
              <w:t>33,670,836.66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AAEBD70" w14:textId="77777777" w:rsidR="00C77D2D" w:rsidRDefault="00C77D2D">
            <w:pPr>
              <w:jc w:val="right"/>
            </w:pPr>
            <w:r>
              <w:rPr>
                <w:rFonts w:ascii="宋体" w:hAnsi="宋体" w:hint="eastAsia"/>
                <w:szCs w:val="24"/>
                <w:lang w:eastAsia="zh-Hans"/>
              </w:rPr>
              <w:t>19.09</w:t>
            </w:r>
          </w:p>
        </w:tc>
      </w:tr>
      <w:tr w:rsidR="00FF1735" w14:paraId="63CF645F" w14:textId="77777777">
        <w:trPr>
          <w:divId w:val="176688112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444DD8" w14:textId="77777777" w:rsidR="00C77D2D" w:rsidRDefault="00C77D2D">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86B119D" w14:textId="77777777" w:rsidR="00C77D2D" w:rsidRDefault="00C77D2D">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E8F8C13" w14:textId="77777777" w:rsidR="00C77D2D" w:rsidRDefault="00C77D2D">
            <w:pPr>
              <w:jc w:val="right"/>
            </w:pPr>
            <w:r>
              <w:rPr>
                <w:rFonts w:ascii="宋体" w:hAnsi="宋体" w:hint="eastAsia"/>
                <w:szCs w:val="24"/>
                <w:lang w:eastAsia="zh-Hans"/>
              </w:rPr>
              <w:t>430,531.46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3FD9F26" w14:textId="77777777" w:rsidR="00C77D2D" w:rsidRDefault="00C77D2D">
            <w:pPr>
              <w:jc w:val="right"/>
            </w:pPr>
            <w:r>
              <w:rPr>
                <w:rFonts w:ascii="宋体" w:hAnsi="宋体" w:hint="eastAsia"/>
                <w:szCs w:val="24"/>
                <w:lang w:eastAsia="zh-Hans"/>
              </w:rPr>
              <w:t>0.24</w:t>
            </w:r>
          </w:p>
        </w:tc>
      </w:tr>
      <w:tr w:rsidR="00FF1735" w14:paraId="65A79225" w14:textId="77777777">
        <w:trPr>
          <w:divId w:val="176688112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64A7C30" w14:textId="77777777" w:rsidR="00C77D2D" w:rsidRDefault="00C77D2D">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28AF197" w14:textId="77777777" w:rsidR="00C77D2D" w:rsidRDefault="00C77D2D">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762F183" w14:textId="77777777" w:rsidR="00C77D2D" w:rsidRDefault="00C77D2D">
            <w:pPr>
              <w:jc w:val="right"/>
            </w:pPr>
            <w:r>
              <w:rPr>
                <w:rFonts w:ascii="宋体" w:hAnsi="宋体" w:hint="eastAsia"/>
                <w:szCs w:val="24"/>
                <w:lang w:eastAsia="zh-Hans"/>
              </w:rPr>
              <w:t>733,494.41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D82F9E" w14:textId="77777777" w:rsidR="00C77D2D" w:rsidRDefault="00C77D2D">
            <w:pPr>
              <w:jc w:val="right"/>
            </w:pPr>
            <w:r>
              <w:rPr>
                <w:rFonts w:ascii="宋体" w:hAnsi="宋体" w:hint="eastAsia"/>
                <w:szCs w:val="24"/>
                <w:lang w:eastAsia="zh-Hans"/>
              </w:rPr>
              <w:t>0.42</w:t>
            </w:r>
          </w:p>
        </w:tc>
      </w:tr>
      <w:tr w:rsidR="00FF1735" w14:paraId="561C5195" w14:textId="77777777">
        <w:trPr>
          <w:divId w:val="176688112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89E75CC" w14:textId="77777777" w:rsidR="00C77D2D" w:rsidRDefault="00C77D2D">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21A0394" w14:textId="77777777" w:rsidR="00C77D2D" w:rsidRDefault="00C77D2D">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B0810E4" w14:textId="77777777" w:rsidR="00C77D2D" w:rsidRDefault="00C77D2D">
            <w:pPr>
              <w:jc w:val="right"/>
            </w:pPr>
            <w:r>
              <w:rPr>
                <w:rFonts w:ascii="宋体" w:hAnsi="宋体" w:hint="eastAsia"/>
                <w:szCs w:val="24"/>
                <w:lang w:eastAsia="zh-Hans"/>
              </w:rPr>
              <w:t>416,607.24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F7CE9A5" w14:textId="77777777" w:rsidR="00C77D2D" w:rsidRDefault="00C77D2D">
            <w:pPr>
              <w:jc w:val="right"/>
            </w:pPr>
            <w:r>
              <w:rPr>
                <w:rFonts w:ascii="宋体" w:hAnsi="宋体" w:hint="eastAsia"/>
                <w:szCs w:val="24"/>
                <w:lang w:eastAsia="zh-Hans"/>
              </w:rPr>
              <w:t>0.24</w:t>
            </w:r>
          </w:p>
        </w:tc>
      </w:tr>
      <w:tr w:rsidR="00FF1735" w14:paraId="4B57E832" w14:textId="77777777">
        <w:trPr>
          <w:divId w:val="176688112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7729786" w14:textId="77777777" w:rsidR="00C77D2D" w:rsidRDefault="00C77D2D">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22BB3B7" w14:textId="77777777" w:rsidR="00C77D2D" w:rsidRDefault="00C77D2D">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19A4AA0" w14:textId="77777777" w:rsidR="00C77D2D" w:rsidRDefault="00C77D2D">
            <w:pPr>
              <w:jc w:val="right"/>
            </w:pPr>
            <w:r>
              <w:rPr>
                <w:rFonts w:ascii="宋体" w:hAnsi="宋体" w:hint="eastAsia"/>
                <w:szCs w:val="24"/>
                <w:lang w:eastAsia="zh-Hans"/>
              </w:rPr>
              <w:t>1,205,408.45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72D991F" w14:textId="77777777" w:rsidR="00C77D2D" w:rsidRDefault="00C77D2D">
            <w:pPr>
              <w:jc w:val="right"/>
            </w:pPr>
            <w:r>
              <w:rPr>
                <w:rFonts w:ascii="宋体" w:hAnsi="宋体" w:hint="eastAsia"/>
                <w:szCs w:val="24"/>
                <w:lang w:eastAsia="zh-Hans"/>
              </w:rPr>
              <w:t>0.68</w:t>
            </w:r>
          </w:p>
        </w:tc>
      </w:tr>
      <w:tr w:rsidR="00FF1735" w14:paraId="0E0B7CF2" w14:textId="77777777">
        <w:trPr>
          <w:divId w:val="176688112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6739268" w14:textId="77777777" w:rsidR="00C77D2D" w:rsidRDefault="00C77D2D">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AC45F79" w14:textId="77777777" w:rsidR="00C77D2D" w:rsidRDefault="00C77D2D">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A8F6791" w14:textId="77777777" w:rsidR="00C77D2D" w:rsidRDefault="00C77D2D">
            <w:pPr>
              <w:jc w:val="right"/>
            </w:pPr>
            <w:r>
              <w:rPr>
                <w:rFonts w:ascii="宋体" w:hAnsi="宋体" w:hint="eastAsia"/>
                <w:szCs w:val="24"/>
                <w:lang w:eastAsia="zh-Hans"/>
              </w:rPr>
              <w:t>195,975.00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A8511DF" w14:textId="77777777" w:rsidR="00C77D2D" w:rsidRDefault="00C77D2D">
            <w:pPr>
              <w:jc w:val="right"/>
            </w:pPr>
            <w:r>
              <w:rPr>
                <w:rFonts w:ascii="宋体" w:hAnsi="宋体" w:hint="eastAsia"/>
                <w:szCs w:val="24"/>
                <w:lang w:eastAsia="zh-Hans"/>
              </w:rPr>
              <w:t>0.11</w:t>
            </w:r>
          </w:p>
        </w:tc>
      </w:tr>
      <w:tr w:rsidR="00FF1735" w14:paraId="5CDB21FA" w14:textId="77777777">
        <w:trPr>
          <w:divId w:val="176688112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9C4F6BA" w14:textId="77777777" w:rsidR="00C77D2D" w:rsidRDefault="00C77D2D">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43A1ADB" w14:textId="77777777" w:rsidR="00C77D2D" w:rsidRDefault="00C77D2D">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42522DF" w14:textId="77777777" w:rsidR="00C77D2D" w:rsidRDefault="00C77D2D">
            <w:pPr>
              <w:jc w:val="right"/>
            </w:pPr>
            <w:r>
              <w:rPr>
                <w:rFonts w:ascii="宋体" w:hAnsi="宋体" w:hint="eastAsia"/>
                <w:szCs w:val="24"/>
                <w:lang w:eastAsia="zh-Hans"/>
              </w:rPr>
              <w:t>6,083,605.35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FB77A4A" w14:textId="77777777" w:rsidR="00C77D2D" w:rsidRDefault="00C77D2D">
            <w:pPr>
              <w:jc w:val="right"/>
            </w:pPr>
            <w:r>
              <w:rPr>
                <w:rFonts w:ascii="宋体" w:hAnsi="宋体" w:hint="eastAsia"/>
                <w:szCs w:val="24"/>
                <w:lang w:eastAsia="zh-Hans"/>
              </w:rPr>
              <w:t>3.45</w:t>
            </w:r>
          </w:p>
        </w:tc>
      </w:tr>
      <w:tr w:rsidR="00FF1735" w14:paraId="15866050" w14:textId="77777777">
        <w:trPr>
          <w:divId w:val="176688112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DB35D65" w14:textId="77777777" w:rsidR="00C77D2D" w:rsidRDefault="00C77D2D">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512C2E8" w14:textId="77777777" w:rsidR="00C77D2D" w:rsidRDefault="00C77D2D">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BCC289A" w14:textId="77777777" w:rsidR="00C77D2D" w:rsidRDefault="00C77D2D">
            <w:pPr>
              <w:jc w:val="right"/>
            </w:pPr>
            <w:r>
              <w:rPr>
                <w:rFonts w:ascii="宋体" w:hAnsi="宋体" w:hint="eastAsia"/>
                <w:szCs w:val="24"/>
                <w:lang w:eastAsia="zh-Hans"/>
              </w:rPr>
              <w:t>5,632,185.26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23E927B" w14:textId="77777777" w:rsidR="00C77D2D" w:rsidRDefault="00C77D2D">
            <w:pPr>
              <w:jc w:val="right"/>
            </w:pPr>
            <w:r>
              <w:rPr>
                <w:rFonts w:ascii="宋体" w:hAnsi="宋体" w:hint="eastAsia"/>
                <w:szCs w:val="24"/>
                <w:lang w:eastAsia="zh-Hans"/>
              </w:rPr>
              <w:t>3.19</w:t>
            </w:r>
          </w:p>
        </w:tc>
      </w:tr>
      <w:tr w:rsidR="00FF1735" w14:paraId="15E4D9D9" w14:textId="77777777">
        <w:trPr>
          <w:divId w:val="176688112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F29988E" w14:textId="77777777" w:rsidR="00C77D2D" w:rsidRDefault="00C77D2D">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9CE61F7" w14:textId="77777777" w:rsidR="00C77D2D" w:rsidRDefault="00C77D2D">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D912D86" w14:textId="77777777" w:rsidR="00C77D2D" w:rsidRDefault="00C77D2D">
            <w:pPr>
              <w:jc w:val="right"/>
            </w:pPr>
            <w:r>
              <w:rPr>
                <w:rFonts w:ascii="宋体" w:hAnsi="宋体" w:hint="eastAsia"/>
                <w:szCs w:val="24"/>
                <w:lang w:eastAsia="zh-Hans"/>
              </w:rPr>
              <w:t>41,675.20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58C63FE" w14:textId="77777777" w:rsidR="00C77D2D" w:rsidRDefault="00C77D2D">
            <w:pPr>
              <w:jc w:val="right"/>
            </w:pPr>
            <w:r>
              <w:rPr>
                <w:rFonts w:ascii="宋体" w:hAnsi="宋体" w:hint="eastAsia"/>
                <w:szCs w:val="24"/>
                <w:lang w:eastAsia="zh-Hans"/>
              </w:rPr>
              <w:t>0.02</w:t>
            </w:r>
          </w:p>
        </w:tc>
      </w:tr>
      <w:tr w:rsidR="00FF1735" w14:paraId="27884EEE" w14:textId="77777777">
        <w:trPr>
          <w:divId w:val="176688112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78613C1" w14:textId="77777777" w:rsidR="00C77D2D" w:rsidRDefault="00C77D2D">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DB09640" w14:textId="77777777" w:rsidR="00C77D2D" w:rsidRDefault="00C77D2D">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A80E580" w14:textId="77777777" w:rsidR="00C77D2D" w:rsidRDefault="00C77D2D">
            <w:pPr>
              <w:jc w:val="right"/>
            </w:pPr>
            <w:r>
              <w:rPr>
                <w:rFonts w:ascii="宋体" w:hAnsi="宋体" w:hint="eastAsia"/>
                <w:szCs w:val="24"/>
                <w:lang w:eastAsia="zh-Hans"/>
              </w:rPr>
              <w:t>261,596.87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DF12794" w14:textId="77777777" w:rsidR="00C77D2D" w:rsidRDefault="00C77D2D">
            <w:pPr>
              <w:jc w:val="right"/>
            </w:pPr>
            <w:r>
              <w:rPr>
                <w:rFonts w:ascii="宋体" w:hAnsi="宋体" w:hint="eastAsia"/>
                <w:szCs w:val="24"/>
                <w:lang w:eastAsia="zh-Hans"/>
              </w:rPr>
              <w:t>0.15</w:t>
            </w:r>
          </w:p>
        </w:tc>
      </w:tr>
      <w:tr w:rsidR="00FF1735" w14:paraId="29964482" w14:textId="77777777">
        <w:trPr>
          <w:divId w:val="176688112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348C52C" w14:textId="77777777" w:rsidR="00C77D2D" w:rsidRDefault="00C77D2D">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9C0F21E" w14:textId="77777777" w:rsidR="00C77D2D" w:rsidRDefault="00C77D2D">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A15272A" w14:textId="77777777" w:rsidR="00C77D2D" w:rsidRDefault="00C77D2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88C4DED" w14:textId="77777777" w:rsidR="00C77D2D" w:rsidRDefault="00C77D2D">
            <w:pPr>
              <w:jc w:val="right"/>
            </w:pPr>
            <w:r>
              <w:rPr>
                <w:rFonts w:ascii="宋体" w:hAnsi="宋体" w:hint="eastAsia"/>
                <w:szCs w:val="24"/>
                <w:lang w:eastAsia="zh-Hans"/>
              </w:rPr>
              <w:t>-</w:t>
            </w:r>
          </w:p>
        </w:tc>
      </w:tr>
      <w:tr w:rsidR="00FF1735" w14:paraId="3A3E6635" w14:textId="77777777">
        <w:trPr>
          <w:divId w:val="176688112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4CEE6AD" w14:textId="77777777" w:rsidR="00C77D2D" w:rsidRDefault="00C77D2D">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0743E36" w14:textId="77777777" w:rsidR="00C77D2D" w:rsidRDefault="00C77D2D">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6835C68" w14:textId="77777777" w:rsidR="00C77D2D" w:rsidRDefault="00C77D2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87CE3DE" w14:textId="77777777" w:rsidR="00C77D2D" w:rsidRDefault="00C77D2D">
            <w:pPr>
              <w:jc w:val="right"/>
            </w:pPr>
            <w:r>
              <w:rPr>
                <w:rFonts w:ascii="宋体" w:hAnsi="宋体" w:hint="eastAsia"/>
                <w:szCs w:val="24"/>
                <w:lang w:eastAsia="zh-Hans"/>
              </w:rPr>
              <w:t>-</w:t>
            </w:r>
          </w:p>
        </w:tc>
      </w:tr>
      <w:tr w:rsidR="00FF1735" w14:paraId="22FE1BA3" w14:textId="77777777">
        <w:trPr>
          <w:divId w:val="176688112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6E3DFB1" w14:textId="77777777" w:rsidR="00C77D2D" w:rsidRDefault="00C77D2D">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F093402" w14:textId="77777777" w:rsidR="00C77D2D" w:rsidRDefault="00C77D2D">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F1D1F18" w14:textId="77777777" w:rsidR="00C77D2D" w:rsidRDefault="00C77D2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B3ECAFD" w14:textId="77777777" w:rsidR="00C77D2D" w:rsidRDefault="00C77D2D">
            <w:pPr>
              <w:jc w:val="right"/>
            </w:pPr>
            <w:r>
              <w:rPr>
                <w:rFonts w:ascii="宋体" w:hAnsi="宋体" w:hint="eastAsia"/>
                <w:szCs w:val="24"/>
                <w:lang w:eastAsia="zh-Hans"/>
              </w:rPr>
              <w:t>-</w:t>
            </w:r>
          </w:p>
        </w:tc>
      </w:tr>
      <w:tr w:rsidR="00FF1735" w14:paraId="20F09F63" w14:textId="77777777">
        <w:trPr>
          <w:divId w:val="176688112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976F9E2" w14:textId="77777777" w:rsidR="00C77D2D" w:rsidRDefault="00C77D2D">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45D1963" w14:textId="77777777" w:rsidR="00C77D2D" w:rsidRDefault="00C77D2D">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2A3ACF9" w14:textId="77777777" w:rsidR="00C77D2D" w:rsidRDefault="00C77D2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C2FCDA3" w14:textId="77777777" w:rsidR="00C77D2D" w:rsidRDefault="00C77D2D">
            <w:pPr>
              <w:jc w:val="right"/>
            </w:pPr>
            <w:r>
              <w:rPr>
                <w:rFonts w:ascii="宋体" w:hAnsi="宋体" w:hint="eastAsia"/>
                <w:szCs w:val="24"/>
                <w:lang w:eastAsia="zh-Hans"/>
              </w:rPr>
              <w:t>-</w:t>
            </w:r>
          </w:p>
        </w:tc>
      </w:tr>
      <w:tr w:rsidR="00FF1735" w14:paraId="72A216C1" w14:textId="77777777">
        <w:trPr>
          <w:divId w:val="176688112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A1F6325" w14:textId="77777777" w:rsidR="00C77D2D" w:rsidRDefault="00C77D2D">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12B558A" w14:textId="77777777" w:rsidR="00C77D2D" w:rsidRDefault="00C77D2D">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67D5377" w14:textId="77777777" w:rsidR="00C77D2D" w:rsidRDefault="00C77D2D">
            <w:pPr>
              <w:jc w:val="right"/>
            </w:pPr>
            <w:r>
              <w:rPr>
                <w:rFonts w:ascii="宋体" w:hAnsi="宋体" w:hint="eastAsia"/>
                <w:szCs w:val="24"/>
                <w:lang w:eastAsia="zh-Hans"/>
              </w:rPr>
              <w:t>66,363.12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0F7EF3E" w14:textId="77777777" w:rsidR="00C77D2D" w:rsidRDefault="00C77D2D">
            <w:pPr>
              <w:jc w:val="right"/>
            </w:pPr>
            <w:r>
              <w:rPr>
                <w:rFonts w:ascii="宋体" w:hAnsi="宋体" w:hint="eastAsia"/>
                <w:szCs w:val="24"/>
                <w:lang w:eastAsia="zh-Hans"/>
              </w:rPr>
              <w:t>0.04</w:t>
            </w:r>
          </w:p>
        </w:tc>
      </w:tr>
      <w:tr w:rsidR="00FF1735" w14:paraId="3D19C2D8" w14:textId="77777777">
        <w:trPr>
          <w:divId w:val="176688112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F4FE66B" w14:textId="77777777" w:rsidR="00C77D2D" w:rsidRDefault="00C77D2D">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7477DE6" w14:textId="77777777" w:rsidR="00C77D2D" w:rsidRDefault="00C77D2D">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CB5B108" w14:textId="77777777" w:rsidR="00C77D2D" w:rsidRDefault="00C77D2D">
            <w:pPr>
              <w:jc w:val="right"/>
            </w:pPr>
            <w:r>
              <w:rPr>
                <w:rFonts w:ascii="宋体" w:hAnsi="宋体" w:hint="eastAsia"/>
                <w:szCs w:val="24"/>
                <w:lang w:eastAsia="zh-Hans"/>
              </w:rPr>
              <w:t>16,044.21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1553688" w14:textId="77777777" w:rsidR="00C77D2D" w:rsidRDefault="00C77D2D">
            <w:pPr>
              <w:jc w:val="right"/>
            </w:pPr>
            <w:r>
              <w:rPr>
                <w:rFonts w:ascii="宋体" w:hAnsi="宋体" w:hint="eastAsia"/>
                <w:szCs w:val="24"/>
                <w:lang w:eastAsia="zh-Hans"/>
              </w:rPr>
              <w:t>0.01</w:t>
            </w:r>
          </w:p>
        </w:tc>
      </w:tr>
      <w:tr w:rsidR="00FF1735" w14:paraId="7AD22253" w14:textId="77777777">
        <w:trPr>
          <w:divId w:val="176688112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0549E3B" w14:textId="77777777" w:rsidR="00C77D2D" w:rsidRDefault="00C77D2D">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947007E" w14:textId="77777777" w:rsidR="00C77D2D" w:rsidRDefault="00C77D2D">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3EAD16A" w14:textId="77777777" w:rsidR="00C77D2D" w:rsidRDefault="00C77D2D">
            <w:pPr>
              <w:jc w:val="right"/>
            </w:pPr>
            <w:r>
              <w:rPr>
                <w:rFonts w:ascii="宋体" w:hAnsi="宋体" w:hint="eastAsia"/>
                <w:szCs w:val="24"/>
                <w:lang w:eastAsia="zh-Hans"/>
              </w:rPr>
              <w:t>179,440.00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270C213" w14:textId="77777777" w:rsidR="00C77D2D" w:rsidRDefault="00C77D2D">
            <w:pPr>
              <w:jc w:val="right"/>
            </w:pPr>
            <w:r>
              <w:rPr>
                <w:rFonts w:ascii="宋体" w:hAnsi="宋体" w:hint="eastAsia"/>
                <w:szCs w:val="24"/>
                <w:lang w:eastAsia="zh-Hans"/>
              </w:rPr>
              <w:t>0.10</w:t>
            </w:r>
          </w:p>
        </w:tc>
      </w:tr>
      <w:tr w:rsidR="00FF1735" w14:paraId="45B4E52F" w14:textId="77777777">
        <w:trPr>
          <w:divId w:val="176688112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A7BB8AB" w14:textId="77777777" w:rsidR="00C77D2D" w:rsidRDefault="00C77D2D">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7687554" w14:textId="77777777" w:rsidR="00C77D2D" w:rsidRDefault="00C77D2D">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D69DEFF" w14:textId="77777777" w:rsidR="00C77D2D" w:rsidRDefault="00C77D2D">
            <w:pPr>
              <w:jc w:val="right"/>
            </w:pPr>
            <w:r>
              <w:rPr>
                <w:rFonts w:ascii="宋体" w:hAnsi="宋体" w:hint="eastAsia"/>
                <w:szCs w:val="24"/>
                <w:lang w:eastAsia="zh-Hans"/>
              </w:rPr>
              <w:t>51,343,884.14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19CC16B" w14:textId="77777777" w:rsidR="00C77D2D" w:rsidRDefault="00C77D2D">
            <w:pPr>
              <w:jc w:val="right"/>
            </w:pPr>
            <w:r>
              <w:rPr>
                <w:rFonts w:ascii="宋体" w:hAnsi="宋体" w:hint="eastAsia"/>
                <w:szCs w:val="24"/>
                <w:lang w:eastAsia="zh-Hans"/>
              </w:rPr>
              <w:t>29.11</w:t>
            </w:r>
          </w:p>
        </w:tc>
      </w:tr>
    </w:tbl>
    <w:p w14:paraId="47C92892" w14:textId="77777777" w:rsidR="00C77D2D" w:rsidRDefault="00C77D2D">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0B26437B" w14:textId="77777777" w:rsidR="00C77D2D" w:rsidRDefault="00C77D2D">
      <w:pPr>
        <w:spacing w:line="360" w:lineRule="auto"/>
        <w:ind w:firstLineChars="200" w:firstLine="420"/>
        <w:divId w:val="2110543948"/>
      </w:pPr>
      <w:r>
        <w:rPr>
          <w:rFonts w:ascii="宋体" w:hAnsi="宋体" w:hint="eastAsia"/>
          <w:szCs w:val="21"/>
          <w:lang w:eastAsia="zh-Hans"/>
        </w:rPr>
        <w:t>本基金本报告期末未持有港股通股票　。</w:t>
      </w:r>
    </w:p>
    <w:p w14:paraId="55F78260" w14:textId="77777777" w:rsidR="00C77D2D" w:rsidRDefault="00C77D2D">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13517BAA" w14:textId="77777777" w:rsidR="00C77D2D" w:rsidRDefault="00C77D2D">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FF1735" w14:paraId="17CBF858" w14:textId="77777777">
        <w:trPr>
          <w:divId w:val="516893293"/>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01D39E" w14:textId="77777777" w:rsidR="00C77D2D" w:rsidRDefault="00C77D2D">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202A58" w14:textId="77777777" w:rsidR="00C77D2D" w:rsidRDefault="00C77D2D">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205328F" w14:textId="77777777" w:rsidR="00C77D2D" w:rsidRDefault="00C77D2D">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C716174" w14:textId="77777777" w:rsidR="00C77D2D" w:rsidRDefault="00C77D2D">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4B4803F" w14:textId="77777777" w:rsidR="00C77D2D" w:rsidRDefault="00C77D2D">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BA8DA4F" w14:textId="77777777" w:rsidR="00C77D2D" w:rsidRDefault="00C77D2D">
            <w:pPr>
              <w:jc w:val="center"/>
            </w:pPr>
            <w:r>
              <w:rPr>
                <w:rFonts w:ascii="宋体" w:hAnsi="宋体" w:hint="eastAsia"/>
                <w:color w:val="000000"/>
              </w:rPr>
              <w:t xml:space="preserve">占基金资产净值比例（%） </w:t>
            </w:r>
          </w:p>
        </w:tc>
      </w:tr>
      <w:tr w:rsidR="00FF1735" w14:paraId="608D69CE" w14:textId="77777777">
        <w:trPr>
          <w:divId w:val="51689329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031453" w14:textId="77777777" w:rsidR="00C77D2D" w:rsidRDefault="00C77D2D">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2F6B27" w14:textId="77777777" w:rsidR="00C77D2D" w:rsidRDefault="00C77D2D">
            <w:pPr>
              <w:jc w:val="center"/>
            </w:pPr>
            <w:r>
              <w:rPr>
                <w:rFonts w:ascii="宋体" w:hAnsi="宋体" w:hint="eastAsia"/>
                <w:szCs w:val="24"/>
                <w:lang w:eastAsia="zh-Hans"/>
              </w:rPr>
              <w:t>601288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2E7714" w14:textId="77777777" w:rsidR="00C77D2D" w:rsidRDefault="00C77D2D">
            <w:pPr>
              <w:jc w:val="center"/>
            </w:pPr>
            <w:r>
              <w:rPr>
                <w:rFonts w:ascii="宋体" w:hAnsi="宋体" w:hint="eastAsia"/>
                <w:szCs w:val="24"/>
                <w:lang w:eastAsia="zh-Hans"/>
              </w:rPr>
              <w:t>农业银行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9B3826" w14:textId="77777777" w:rsidR="00C77D2D" w:rsidRDefault="00C77D2D">
            <w:pPr>
              <w:jc w:val="right"/>
            </w:pPr>
            <w:r>
              <w:rPr>
                <w:rFonts w:ascii="宋体" w:hAnsi="宋体" w:hint="eastAsia"/>
                <w:szCs w:val="24"/>
                <w:lang w:eastAsia="zh-Hans"/>
              </w:rPr>
              <w:t>183,454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C5C345" w14:textId="77777777" w:rsidR="00C77D2D" w:rsidRDefault="00C77D2D">
            <w:pPr>
              <w:jc w:val="right"/>
            </w:pPr>
            <w:r>
              <w:rPr>
                <w:rFonts w:ascii="宋体" w:hAnsi="宋体" w:hint="eastAsia"/>
                <w:szCs w:val="24"/>
                <w:lang w:eastAsia="zh-Hans"/>
              </w:rPr>
              <w:t>1,408,926.72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E13A7B" w14:textId="77777777" w:rsidR="00C77D2D" w:rsidRDefault="00C77D2D">
            <w:pPr>
              <w:jc w:val="right"/>
            </w:pPr>
            <w:r>
              <w:rPr>
                <w:rFonts w:ascii="宋体" w:hAnsi="宋体" w:hint="eastAsia"/>
                <w:szCs w:val="24"/>
                <w:lang w:eastAsia="zh-Hans"/>
              </w:rPr>
              <w:t>0.80</w:t>
            </w:r>
          </w:p>
        </w:tc>
      </w:tr>
      <w:tr w:rsidR="00FF1735" w14:paraId="6DF5C0B5" w14:textId="77777777">
        <w:trPr>
          <w:divId w:val="51689329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20FDF8" w14:textId="77777777" w:rsidR="00C77D2D" w:rsidRDefault="00C77D2D">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BBEFC9" w14:textId="77777777" w:rsidR="00C77D2D" w:rsidRDefault="00C77D2D">
            <w:pPr>
              <w:jc w:val="center"/>
            </w:pPr>
            <w:r>
              <w:rPr>
                <w:rFonts w:ascii="宋体" w:hAnsi="宋体" w:hint="eastAsia"/>
                <w:szCs w:val="24"/>
                <w:lang w:eastAsia="zh-Hans"/>
              </w:rPr>
              <w:t>600550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EA9995" w14:textId="77777777" w:rsidR="00C77D2D" w:rsidRDefault="00C77D2D">
            <w:pPr>
              <w:jc w:val="center"/>
            </w:pPr>
            <w:r>
              <w:rPr>
                <w:rFonts w:ascii="宋体" w:hAnsi="宋体" w:hint="eastAsia"/>
                <w:szCs w:val="24"/>
                <w:lang w:eastAsia="zh-Hans"/>
              </w:rPr>
              <w:t>保变电气</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12BF5F" w14:textId="77777777" w:rsidR="00C77D2D" w:rsidRDefault="00C77D2D">
            <w:pPr>
              <w:jc w:val="right"/>
            </w:pPr>
            <w:r>
              <w:rPr>
                <w:rFonts w:ascii="宋体" w:hAnsi="宋体" w:hint="eastAsia"/>
                <w:szCs w:val="24"/>
                <w:lang w:eastAsia="zh-Hans"/>
              </w:rPr>
              <w:t>94,400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447BF9" w14:textId="77777777" w:rsidR="00C77D2D" w:rsidRDefault="00C77D2D">
            <w:pPr>
              <w:jc w:val="right"/>
            </w:pPr>
            <w:r>
              <w:rPr>
                <w:rFonts w:ascii="宋体" w:hAnsi="宋体" w:hint="eastAsia"/>
                <w:szCs w:val="24"/>
                <w:lang w:eastAsia="zh-Hans"/>
              </w:rPr>
              <w:t>995,920.00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54DED7" w14:textId="77777777" w:rsidR="00C77D2D" w:rsidRDefault="00C77D2D">
            <w:pPr>
              <w:jc w:val="right"/>
            </w:pPr>
            <w:r>
              <w:rPr>
                <w:rFonts w:ascii="宋体" w:hAnsi="宋体" w:hint="eastAsia"/>
                <w:szCs w:val="24"/>
                <w:lang w:eastAsia="zh-Hans"/>
              </w:rPr>
              <w:t>0.56</w:t>
            </w:r>
          </w:p>
        </w:tc>
      </w:tr>
      <w:tr w:rsidR="00FF1735" w14:paraId="0B04DD93" w14:textId="77777777">
        <w:trPr>
          <w:divId w:val="51689329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EEE175" w14:textId="77777777" w:rsidR="00C77D2D" w:rsidRDefault="00C77D2D">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4C0929" w14:textId="77777777" w:rsidR="00C77D2D" w:rsidRDefault="00C77D2D">
            <w:pPr>
              <w:jc w:val="center"/>
            </w:pPr>
            <w:r>
              <w:rPr>
                <w:rFonts w:ascii="宋体" w:hAnsi="宋体" w:hint="eastAsia"/>
                <w:szCs w:val="24"/>
                <w:lang w:eastAsia="zh-Hans"/>
              </w:rPr>
              <w:t>601688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086AEB" w14:textId="77777777" w:rsidR="00C77D2D" w:rsidRDefault="00C77D2D">
            <w:pPr>
              <w:jc w:val="center"/>
            </w:pPr>
            <w:r>
              <w:rPr>
                <w:rFonts w:ascii="宋体" w:hAnsi="宋体" w:hint="eastAsia"/>
                <w:szCs w:val="24"/>
                <w:lang w:eastAsia="zh-Hans"/>
              </w:rPr>
              <w:t>华泰证券</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FAB17B" w14:textId="77777777" w:rsidR="00C77D2D" w:rsidRDefault="00C77D2D">
            <w:pPr>
              <w:jc w:val="right"/>
            </w:pPr>
            <w:r>
              <w:rPr>
                <w:rFonts w:ascii="宋体" w:hAnsi="宋体" w:hint="eastAsia"/>
                <w:szCs w:val="24"/>
                <w:lang w:eastAsia="zh-Hans"/>
              </w:rPr>
              <w:t>39,700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779C0B" w14:textId="77777777" w:rsidR="00C77D2D" w:rsidRDefault="00C77D2D">
            <w:pPr>
              <w:jc w:val="right"/>
            </w:pPr>
            <w:r>
              <w:rPr>
                <w:rFonts w:ascii="宋体" w:hAnsi="宋体" w:hint="eastAsia"/>
                <w:szCs w:val="24"/>
                <w:lang w:eastAsia="zh-Hans"/>
              </w:rPr>
              <w:t>936,523.00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AA1C1A" w14:textId="77777777" w:rsidR="00C77D2D" w:rsidRDefault="00C77D2D">
            <w:pPr>
              <w:jc w:val="right"/>
            </w:pPr>
            <w:r>
              <w:rPr>
                <w:rFonts w:ascii="宋体" w:hAnsi="宋体" w:hint="eastAsia"/>
                <w:szCs w:val="24"/>
                <w:lang w:eastAsia="zh-Hans"/>
              </w:rPr>
              <w:t>0.53</w:t>
            </w:r>
          </w:p>
        </w:tc>
      </w:tr>
      <w:tr w:rsidR="00FF1735" w14:paraId="733E6477" w14:textId="77777777">
        <w:trPr>
          <w:divId w:val="51689329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B518DB" w14:textId="77777777" w:rsidR="00C77D2D" w:rsidRDefault="00C77D2D">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877C33" w14:textId="77777777" w:rsidR="00C77D2D" w:rsidRDefault="00C77D2D">
            <w:pPr>
              <w:jc w:val="center"/>
            </w:pPr>
            <w:r>
              <w:rPr>
                <w:rFonts w:ascii="宋体" w:hAnsi="宋体" w:hint="eastAsia"/>
                <w:szCs w:val="24"/>
                <w:lang w:eastAsia="zh-Hans"/>
              </w:rPr>
              <w:t>000338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B486EB" w14:textId="77777777" w:rsidR="00C77D2D" w:rsidRDefault="00C77D2D">
            <w:pPr>
              <w:jc w:val="center"/>
            </w:pPr>
            <w:r>
              <w:rPr>
                <w:rFonts w:ascii="宋体" w:hAnsi="宋体" w:hint="eastAsia"/>
                <w:szCs w:val="24"/>
                <w:lang w:eastAsia="zh-Hans"/>
              </w:rPr>
              <w:t>潍柴动力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A8CFC5" w14:textId="77777777" w:rsidR="00C77D2D" w:rsidRDefault="00C77D2D">
            <w:pPr>
              <w:jc w:val="right"/>
            </w:pPr>
            <w:r>
              <w:rPr>
                <w:rFonts w:ascii="宋体" w:hAnsi="宋体" w:hint="eastAsia"/>
                <w:szCs w:val="24"/>
                <w:lang w:eastAsia="zh-Hans"/>
              </w:rPr>
              <w:t>54,300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378FB5" w14:textId="77777777" w:rsidR="00C77D2D" w:rsidRDefault="00C77D2D">
            <w:pPr>
              <w:jc w:val="right"/>
            </w:pPr>
            <w:r>
              <w:rPr>
                <w:rFonts w:ascii="宋体" w:hAnsi="宋体" w:hint="eastAsia"/>
                <w:szCs w:val="24"/>
                <w:lang w:eastAsia="zh-Hans"/>
              </w:rPr>
              <w:t>933,960.00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90F61C" w14:textId="77777777" w:rsidR="00C77D2D" w:rsidRDefault="00C77D2D">
            <w:pPr>
              <w:jc w:val="right"/>
            </w:pPr>
            <w:r>
              <w:rPr>
                <w:rFonts w:ascii="宋体" w:hAnsi="宋体" w:hint="eastAsia"/>
                <w:szCs w:val="24"/>
                <w:lang w:eastAsia="zh-Hans"/>
              </w:rPr>
              <w:t>0.53</w:t>
            </w:r>
          </w:p>
        </w:tc>
      </w:tr>
      <w:tr w:rsidR="00FF1735" w14:paraId="5ABDD057" w14:textId="77777777">
        <w:trPr>
          <w:divId w:val="51689329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A11055" w14:textId="77777777" w:rsidR="00C77D2D" w:rsidRDefault="00C77D2D">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FC6452" w14:textId="77777777" w:rsidR="00C77D2D" w:rsidRDefault="00C77D2D">
            <w:pPr>
              <w:jc w:val="center"/>
            </w:pPr>
            <w:r>
              <w:rPr>
                <w:rFonts w:ascii="宋体" w:hAnsi="宋体" w:hint="eastAsia"/>
                <w:szCs w:val="24"/>
                <w:lang w:eastAsia="zh-Hans"/>
              </w:rPr>
              <w:t>688981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A176A7" w14:textId="77777777" w:rsidR="00C77D2D" w:rsidRDefault="00C77D2D">
            <w:pPr>
              <w:jc w:val="center"/>
            </w:pPr>
            <w:r>
              <w:rPr>
                <w:rFonts w:ascii="宋体" w:hAnsi="宋体" w:hint="eastAsia"/>
                <w:szCs w:val="24"/>
                <w:lang w:eastAsia="zh-Hans"/>
              </w:rPr>
              <w:t>中芯国际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51CED7" w14:textId="77777777" w:rsidR="00C77D2D" w:rsidRDefault="00C77D2D">
            <w:pPr>
              <w:jc w:val="right"/>
            </w:pPr>
            <w:r>
              <w:rPr>
                <w:rFonts w:ascii="宋体" w:hAnsi="宋体" w:hint="eastAsia"/>
                <w:szCs w:val="24"/>
                <w:lang w:eastAsia="zh-Hans"/>
              </w:rPr>
              <w:t>6,936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78F6B5" w14:textId="77777777" w:rsidR="00C77D2D" w:rsidRDefault="00C77D2D">
            <w:pPr>
              <w:jc w:val="right"/>
            </w:pPr>
            <w:r>
              <w:rPr>
                <w:rFonts w:ascii="宋体" w:hAnsi="宋体" w:hint="eastAsia"/>
                <w:szCs w:val="24"/>
                <w:lang w:eastAsia="zh-Hans"/>
              </w:rPr>
              <w:t>851,948.88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9D471D" w14:textId="77777777" w:rsidR="00C77D2D" w:rsidRDefault="00C77D2D">
            <w:pPr>
              <w:jc w:val="right"/>
            </w:pPr>
            <w:r>
              <w:rPr>
                <w:rFonts w:ascii="宋体" w:hAnsi="宋体" w:hint="eastAsia"/>
                <w:szCs w:val="24"/>
                <w:lang w:eastAsia="zh-Hans"/>
              </w:rPr>
              <w:t>0.48</w:t>
            </w:r>
          </w:p>
        </w:tc>
      </w:tr>
      <w:tr w:rsidR="00FF1735" w14:paraId="44EC7F5E" w14:textId="77777777">
        <w:trPr>
          <w:divId w:val="51689329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EE8B46" w14:textId="77777777" w:rsidR="00C77D2D" w:rsidRDefault="00C77D2D">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61C4F5" w14:textId="77777777" w:rsidR="00C77D2D" w:rsidRDefault="00C77D2D">
            <w:pPr>
              <w:jc w:val="center"/>
            </w:pPr>
            <w:r>
              <w:rPr>
                <w:rFonts w:ascii="宋体" w:hAnsi="宋体" w:hint="eastAsia"/>
                <w:szCs w:val="24"/>
                <w:lang w:eastAsia="zh-Hans"/>
              </w:rPr>
              <w:t>000657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CDE49D" w14:textId="77777777" w:rsidR="00C77D2D" w:rsidRDefault="00C77D2D">
            <w:pPr>
              <w:jc w:val="center"/>
            </w:pPr>
            <w:r>
              <w:rPr>
                <w:rFonts w:ascii="宋体" w:hAnsi="宋体" w:hint="eastAsia"/>
                <w:szCs w:val="24"/>
                <w:lang w:eastAsia="zh-Hans"/>
              </w:rPr>
              <w:t>中钨高新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C82D4E" w14:textId="77777777" w:rsidR="00C77D2D" w:rsidRDefault="00C77D2D">
            <w:pPr>
              <w:jc w:val="right"/>
            </w:pPr>
            <w:r>
              <w:rPr>
                <w:rFonts w:ascii="宋体" w:hAnsi="宋体" w:hint="eastAsia"/>
                <w:szCs w:val="24"/>
                <w:lang w:eastAsia="zh-Hans"/>
              </w:rPr>
              <w:t>30,500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7EF41D" w14:textId="77777777" w:rsidR="00C77D2D" w:rsidRDefault="00C77D2D">
            <w:pPr>
              <w:jc w:val="right"/>
            </w:pPr>
            <w:r>
              <w:rPr>
                <w:rFonts w:ascii="宋体" w:hAnsi="宋体" w:hint="eastAsia"/>
                <w:szCs w:val="24"/>
                <w:lang w:eastAsia="zh-Hans"/>
              </w:rPr>
              <w:t>845,155.00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67A9DF" w14:textId="77777777" w:rsidR="00C77D2D" w:rsidRDefault="00C77D2D">
            <w:pPr>
              <w:jc w:val="right"/>
            </w:pPr>
            <w:r>
              <w:rPr>
                <w:rFonts w:ascii="宋体" w:hAnsi="宋体" w:hint="eastAsia"/>
                <w:szCs w:val="24"/>
                <w:lang w:eastAsia="zh-Hans"/>
              </w:rPr>
              <w:t>0.48</w:t>
            </w:r>
          </w:p>
        </w:tc>
      </w:tr>
      <w:tr w:rsidR="00FF1735" w14:paraId="210C630B" w14:textId="77777777">
        <w:trPr>
          <w:divId w:val="51689329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DF0B32" w14:textId="77777777" w:rsidR="00C77D2D" w:rsidRDefault="00C77D2D">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BD5308" w14:textId="77777777" w:rsidR="00C77D2D" w:rsidRDefault="00C77D2D">
            <w:pPr>
              <w:jc w:val="center"/>
            </w:pPr>
            <w:r>
              <w:rPr>
                <w:rFonts w:ascii="宋体" w:hAnsi="宋体" w:hint="eastAsia"/>
                <w:szCs w:val="24"/>
                <w:lang w:eastAsia="zh-Hans"/>
              </w:rPr>
              <w:t>600958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2739E3" w14:textId="77777777" w:rsidR="00C77D2D" w:rsidRDefault="00C77D2D">
            <w:pPr>
              <w:jc w:val="center"/>
            </w:pPr>
            <w:r>
              <w:rPr>
                <w:rFonts w:ascii="宋体" w:hAnsi="宋体" w:hint="eastAsia"/>
                <w:szCs w:val="24"/>
                <w:lang w:eastAsia="zh-Hans"/>
              </w:rPr>
              <w:t>东方证券</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E4AD75" w14:textId="77777777" w:rsidR="00C77D2D" w:rsidRDefault="00C77D2D">
            <w:pPr>
              <w:jc w:val="right"/>
            </w:pPr>
            <w:r>
              <w:rPr>
                <w:rFonts w:ascii="宋体" w:hAnsi="宋体" w:hint="eastAsia"/>
                <w:szCs w:val="24"/>
                <w:lang w:eastAsia="zh-Hans"/>
              </w:rPr>
              <w:t>76,900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DF1BDF" w14:textId="77777777" w:rsidR="00C77D2D" w:rsidRDefault="00C77D2D">
            <w:pPr>
              <w:jc w:val="right"/>
            </w:pPr>
            <w:r>
              <w:rPr>
                <w:rFonts w:ascii="宋体" w:hAnsi="宋体" w:hint="eastAsia"/>
                <w:szCs w:val="24"/>
                <w:lang w:eastAsia="zh-Hans"/>
              </w:rPr>
              <w:t>838,210.00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3D26F6" w14:textId="77777777" w:rsidR="00C77D2D" w:rsidRDefault="00C77D2D">
            <w:pPr>
              <w:jc w:val="right"/>
            </w:pPr>
            <w:r>
              <w:rPr>
                <w:rFonts w:ascii="宋体" w:hAnsi="宋体" w:hint="eastAsia"/>
                <w:szCs w:val="24"/>
                <w:lang w:eastAsia="zh-Hans"/>
              </w:rPr>
              <w:t>0.48</w:t>
            </w:r>
          </w:p>
        </w:tc>
      </w:tr>
      <w:tr w:rsidR="00FF1735" w14:paraId="57474830" w14:textId="77777777">
        <w:trPr>
          <w:divId w:val="51689329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404EE5" w14:textId="77777777" w:rsidR="00C77D2D" w:rsidRDefault="00C77D2D">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1FA659" w14:textId="77777777" w:rsidR="00C77D2D" w:rsidRDefault="00C77D2D">
            <w:pPr>
              <w:jc w:val="center"/>
            </w:pPr>
            <w:r>
              <w:rPr>
                <w:rFonts w:ascii="宋体" w:hAnsi="宋体" w:hint="eastAsia"/>
                <w:szCs w:val="24"/>
                <w:lang w:eastAsia="zh-Hans"/>
              </w:rPr>
              <w:t>601398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3D6140" w14:textId="77777777" w:rsidR="00C77D2D" w:rsidRDefault="00C77D2D">
            <w:pPr>
              <w:jc w:val="center"/>
            </w:pPr>
            <w:r>
              <w:rPr>
                <w:rFonts w:ascii="宋体" w:hAnsi="宋体" w:hint="eastAsia"/>
                <w:szCs w:val="24"/>
                <w:lang w:eastAsia="zh-Hans"/>
              </w:rPr>
              <w:t>工商银行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C8A194" w14:textId="77777777" w:rsidR="00C77D2D" w:rsidRDefault="00C77D2D">
            <w:pPr>
              <w:jc w:val="right"/>
            </w:pPr>
            <w:r>
              <w:rPr>
                <w:rFonts w:ascii="宋体" w:hAnsi="宋体" w:hint="eastAsia"/>
                <w:szCs w:val="24"/>
                <w:lang w:eastAsia="zh-Hans"/>
              </w:rPr>
              <w:t>101,269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EB6FA1" w14:textId="77777777" w:rsidR="00C77D2D" w:rsidRDefault="00C77D2D">
            <w:pPr>
              <w:jc w:val="right"/>
            </w:pPr>
            <w:r>
              <w:rPr>
                <w:rFonts w:ascii="宋体" w:hAnsi="宋体" w:hint="eastAsia"/>
                <w:szCs w:val="24"/>
                <w:lang w:eastAsia="zh-Hans"/>
              </w:rPr>
              <w:t>803,063.17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262431" w14:textId="77777777" w:rsidR="00C77D2D" w:rsidRDefault="00C77D2D">
            <w:pPr>
              <w:jc w:val="right"/>
            </w:pPr>
            <w:r>
              <w:rPr>
                <w:rFonts w:ascii="宋体" w:hAnsi="宋体" w:hint="eastAsia"/>
                <w:szCs w:val="24"/>
                <w:lang w:eastAsia="zh-Hans"/>
              </w:rPr>
              <w:t>0.46</w:t>
            </w:r>
          </w:p>
        </w:tc>
      </w:tr>
      <w:tr w:rsidR="00FF1735" w14:paraId="0F5B773F" w14:textId="77777777">
        <w:trPr>
          <w:divId w:val="51689329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A931DA" w14:textId="77777777" w:rsidR="00C77D2D" w:rsidRDefault="00C77D2D">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EA5EEC" w14:textId="77777777" w:rsidR="00C77D2D" w:rsidRDefault="00C77D2D">
            <w:pPr>
              <w:jc w:val="center"/>
            </w:pPr>
            <w:r>
              <w:rPr>
                <w:rFonts w:ascii="宋体" w:hAnsi="宋体" w:hint="eastAsia"/>
                <w:szCs w:val="24"/>
                <w:lang w:eastAsia="zh-Hans"/>
              </w:rPr>
              <w:t>688568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485EB3" w14:textId="77777777" w:rsidR="00C77D2D" w:rsidRDefault="00C77D2D">
            <w:pPr>
              <w:jc w:val="center"/>
            </w:pPr>
            <w:r>
              <w:rPr>
                <w:rFonts w:ascii="宋体" w:hAnsi="宋体" w:hint="eastAsia"/>
                <w:szCs w:val="24"/>
                <w:lang w:eastAsia="zh-Hans"/>
              </w:rPr>
              <w:t>中科星图</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65C022" w14:textId="77777777" w:rsidR="00C77D2D" w:rsidRDefault="00C77D2D">
            <w:pPr>
              <w:jc w:val="right"/>
            </w:pPr>
            <w:r>
              <w:rPr>
                <w:rFonts w:ascii="宋体" w:hAnsi="宋体" w:hint="eastAsia"/>
                <w:szCs w:val="24"/>
                <w:lang w:eastAsia="zh-Hans"/>
              </w:rPr>
              <w:t>12,387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88C0A8" w14:textId="77777777" w:rsidR="00C77D2D" w:rsidRDefault="00C77D2D">
            <w:pPr>
              <w:jc w:val="right"/>
            </w:pPr>
            <w:r>
              <w:rPr>
                <w:rFonts w:ascii="宋体" w:hAnsi="宋体" w:hint="eastAsia"/>
                <w:szCs w:val="24"/>
                <w:lang w:eastAsia="zh-Hans"/>
              </w:rPr>
              <w:t>730,833.00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539A83" w14:textId="77777777" w:rsidR="00C77D2D" w:rsidRDefault="00C77D2D">
            <w:pPr>
              <w:jc w:val="right"/>
            </w:pPr>
            <w:r>
              <w:rPr>
                <w:rFonts w:ascii="宋体" w:hAnsi="宋体" w:hint="eastAsia"/>
                <w:szCs w:val="24"/>
                <w:lang w:eastAsia="zh-Hans"/>
              </w:rPr>
              <w:t>0.41</w:t>
            </w:r>
          </w:p>
        </w:tc>
      </w:tr>
      <w:tr w:rsidR="00FF1735" w14:paraId="113A965C" w14:textId="77777777">
        <w:trPr>
          <w:divId w:val="51689329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FA75B1" w14:textId="77777777" w:rsidR="00C77D2D" w:rsidRDefault="00C77D2D">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81DDEC" w14:textId="77777777" w:rsidR="00C77D2D" w:rsidRDefault="00C77D2D">
            <w:pPr>
              <w:jc w:val="center"/>
            </w:pPr>
            <w:r>
              <w:rPr>
                <w:rFonts w:ascii="宋体" w:hAnsi="宋体" w:hint="eastAsia"/>
                <w:szCs w:val="24"/>
                <w:lang w:eastAsia="zh-Hans"/>
              </w:rPr>
              <w:t>002050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2B5950" w14:textId="77777777" w:rsidR="00C77D2D" w:rsidRDefault="00C77D2D">
            <w:pPr>
              <w:jc w:val="center"/>
            </w:pPr>
            <w:r>
              <w:rPr>
                <w:rFonts w:ascii="宋体" w:hAnsi="宋体" w:hint="eastAsia"/>
                <w:szCs w:val="24"/>
                <w:lang w:eastAsia="zh-Hans"/>
              </w:rPr>
              <w:t>三花智控</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0E1CD8" w14:textId="77777777" w:rsidR="00C77D2D" w:rsidRDefault="00C77D2D">
            <w:pPr>
              <w:jc w:val="right"/>
            </w:pPr>
            <w:r>
              <w:rPr>
                <w:rFonts w:ascii="宋体" w:hAnsi="宋体" w:hint="eastAsia"/>
                <w:szCs w:val="24"/>
                <w:lang w:eastAsia="zh-Hans"/>
              </w:rPr>
              <w:t>12,400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754896" w14:textId="77777777" w:rsidR="00C77D2D" w:rsidRDefault="00C77D2D">
            <w:pPr>
              <w:jc w:val="right"/>
            </w:pPr>
            <w:r>
              <w:rPr>
                <w:rFonts w:ascii="宋体" w:hAnsi="宋体" w:hint="eastAsia"/>
                <w:szCs w:val="24"/>
                <w:lang w:eastAsia="zh-Hans"/>
              </w:rPr>
              <w:t>685,844.00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6E6C38" w14:textId="77777777" w:rsidR="00C77D2D" w:rsidRDefault="00C77D2D">
            <w:pPr>
              <w:jc w:val="right"/>
            </w:pPr>
            <w:r>
              <w:rPr>
                <w:rFonts w:ascii="宋体" w:hAnsi="宋体" w:hint="eastAsia"/>
                <w:szCs w:val="24"/>
                <w:lang w:eastAsia="zh-Hans"/>
              </w:rPr>
              <w:t>0.39</w:t>
            </w:r>
          </w:p>
        </w:tc>
      </w:tr>
    </w:tbl>
    <w:p w14:paraId="0FA6FE33" w14:textId="77777777" w:rsidR="00C77D2D" w:rsidRDefault="00C77D2D">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FF1735" w14:paraId="5B1AA3D1" w14:textId="77777777">
        <w:trPr>
          <w:divId w:val="802817092"/>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472958A" w14:textId="77777777" w:rsidR="00C77D2D" w:rsidRDefault="00C77D2D">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DF8CA7" w14:textId="77777777" w:rsidR="00C77D2D" w:rsidRDefault="00C77D2D">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D239B04" w14:textId="77777777" w:rsidR="00C77D2D" w:rsidRDefault="00C77D2D">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FEB2B6" w14:textId="77777777" w:rsidR="00C77D2D" w:rsidRDefault="00C77D2D">
            <w:pPr>
              <w:jc w:val="center"/>
            </w:pPr>
            <w:r>
              <w:rPr>
                <w:rFonts w:ascii="宋体" w:hAnsi="宋体" w:hint="eastAsia"/>
                <w:color w:val="000000"/>
              </w:rPr>
              <w:t xml:space="preserve">占基金资产净值比例（%） </w:t>
            </w:r>
          </w:p>
        </w:tc>
      </w:tr>
      <w:tr w:rsidR="00FF1735" w14:paraId="67ABD197" w14:textId="77777777">
        <w:trPr>
          <w:divId w:val="80281709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80B6F81" w14:textId="77777777" w:rsidR="00C77D2D" w:rsidRDefault="00C77D2D">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9C174E3" w14:textId="77777777" w:rsidR="00C77D2D" w:rsidRDefault="00C77D2D">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DAE1E2D" w14:textId="77777777" w:rsidR="00C77D2D" w:rsidRDefault="00C77D2D">
            <w:pPr>
              <w:jc w:val="right"/>
            </w:pPr>
            <w:r>
              <w:rPr>
                <w:rFonts w:ascii="宋体" w:hAnsi="宋体" w:hint="eastAsia"/>
                <w:szCs w:val="24"/>
                <w:lang w:eastAsia="zh-Hans"/>
              </w:rPr>
              <w:t>67,344,725.46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BC88BE6" w14:textId="77777777" w:rsidR="00C77D2D" w:rsidRDefault="00C77D2D">
            <w:pPr>
              <w:jc w:val="right"/>
            </w:pPr>
            <w:r>
              <w:rPr>
                <w:rFonts w:ascii="宋体" w:hAnsi="宋体" w:hint="eastAsia"/>
                <w:szCs w:val="24"/>
                <w:lang w:eastAsia="zh-Hans"/>
              </w:rPr>
              <w:t>38.19</w:t>
            </w:r>
          </w:p>
        </w:tc>
      </w:tr>
      <w:tr w:rsidR="00FF1735" w14:paraId="54803D03" w14:textId="77777777">
        <w:trPr>
          <w:divId w:val="80281709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594824B" w14:textId="77777777" w:rsidR="00C77D2D" w:rsidRDefault="00C77D2D">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D575B6C" w14:textId="77777777" w:rsidR="00C77D2D" w:rsidRDefault="00C77D2D">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B5B38D1" w14:textId="77777777" w:rsidR="00C77D2D" w:rsidRDefault="00C77D2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59F8A10" w14:textId="77777777" w:rsidR="00C77D2D" w:rsidRDefault="00C77D2D">
            <w:pPr>
              <w:jc w:val="right"/>
            </w:pPr>
            <w:r>
              <w:rPr>
                <w:rFonts w:ascii="宋体" w:hAnsi="宋体" w:hint="eastAsia"/>
                <w:szCs w:val="24"/>
                <w:lang w:eastAsia="zh-Hans"/>
              </w:rPr>
              <w:t>-</w:t>
            </w:r>
          </w:p>
        </w:tc>
      </w:tr>
      <w:tr w:rsidR="00FF1735" w14:paraId="5B1C133B" w14:textId="77777777">
        <w:trPr>
          <w:divId w:val="80281709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6B17494" w14:textId="77777777" w:rsidR="00C77D2D" w:rsidRDefault="00C77D2D">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0D23F75" w14:textId="77777777" w:rsidR="00C77D2D" w:rsidRDefault="00C77D2D">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CD968B5" w14:textId="77777777" w:rsidR="00C77D2D" w:rsidRDefault="00C77D2D">
            <w:pPr>
              <w:jc w:val="right"/>
            </w:pPr>
            <w:r>
              <w:rPr>
                <w:rFonts w:ascii="宋体" w:hAnsi="宋体" w:hint="eastAsia"/>
                <w:szCs w:val="24"/>
                <w:lang w:eastAsia="zh-Hans"/>
              </w:rPr>
              <w:t>50,561,200.00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B92D5AC" w14:textId="77777777" w:rsidR="00C77D2D" w:rsidRDefault="00C77D2D">
            <w:pPr>
              <w:jc w:val="right"/>
            </w:pPr>
            <w:r>
              <w:rPr>
                <w:rFonts w:ascii="宋体" w:hAnsi="宋体" w:hint="eastAsia"/>
                <w:szCs w:val="24"/>
                <w:lang w:eastAsia="zh-Hans"/>
              </w:rPr>
              <w:t>28.67</w:t>
            </w:r>
          </w:p>
        </w:tc>
      </w:tr>
      <w:tr w:rsidR="00FF1735" w14:paraId="5824997C" w14:textId="77777777">
        <w:trPr>
          <w:divId w:val="80281709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F1A9FEA" w14:textId="77777777" w:rsidR="00C77D2D" w:rsidRDefault="00C77D2D">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B75B9EA" w14:textId="77777777" w:rsidR="00C77D2D" w:rsidRDefault="00C77D2D">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E69FAB0" w14:textId="77777777" w:rsidR="00C77D2D" w:rsidRDefault="00C77D2D">
            <w:pPr>
              <w:jc w:val="right"/>
            </w:pPr>
            <w:r>
              <w:rPr>
                <w:rFonts w:ascii="宋体" w:hAnsi="宋体" w:hint="eastAsia"/>
                <w:szCs w:val="24"/>
                <w:lang w:eastAsia="zh-Hans"/>
              </w:rPr>
              <w:t>50,561,200.00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2C2D9A7" w14:textId="77777777" w:rsidR="00C77D2D" w:rsidRDefault="00C77D2D">
            <w:pPr>
              <w:jc w:val="right"/>
            </w:pPr>
            <w:r>
              <w:rPr>
                <w:rFonts w:ascii="宋体" w:hAnsi="宋体" w:hint="eastAsia"/>
                <w:szCs w:val="24"/>
                <w:lang w:eastAsia="zh-Hans"/>
              </w:rPr>
              <w:t>28.67</w:t>
            </w:r>
          </w:p>
        </w:tc>
      </w:tr>
      <w:tr w:rsidR="00FF1735" w14:paraId="079F7718" w14:textId="77777777">
        <w:trPr>
          <w:divId w:val="80281709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F20FE45" w14:textId="77777777" w:rsidR="00C77D2D" w:rsidRDefault="00C77D2D">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FC756D5" w14:textId="77777777" w:rsidR="00C77D2D" w:rsidRDefault="00C77D2D">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D5B2B4F" w14:textId="77777777" w:rsidR="00C77D2D" w:rsidRDefault="00C77D2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D9927FA" w14:textId="77777777" w:rsidR="00C77D2D" w:rsidRDefault="00C77D2D">
            <w:pPr>
              <w:jc w:val="right"/>
            </w:pPr>
            <w:r>
              <w:rPr>
                <w:rFonts w:ascii="宋体" w:hAnsi="宋体" w:hint="eastAsia"/>
                <w:szCs w:val="24"/>
                <w:lang w:eastAsia="zh-Hans"/>
              </w:rPr>
              <w:t>-</w:t>
            </w:r>
          </w:p>
        </w:tc>
      </w:tr>
      <w:tr w:rsidR="00FF1735" w14:paraId="40519B2B" w14:textId="77777777">
        <w:trPr>
          <w:divId w:val="80281709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BA87BF5" w14:textId="77777777" w:rsidR="00C77D2D" w:rsidRDefault="00C77D2D">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9A82E3C" w14:textId="77777777" w:rsidR="00C77D2D" w:rsidRDefault="00C77D2D">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4029189" w14:textId="77777777" w:rsidR="00C77D2D" w:rsidRDefault="00C77D2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195F12A" w14:textId="77777777" w:rsidR="00C77D2D" w:rsidRDefault="00C77D2D">
            <w:pPr>
              <w:jc w:val="right"/>
            </w:pPr>
            <w:r>
              <w:rPr>
                <w:rFonts w:ascii="宋体" w:hAnsi="宋体" w:hint="eastAsia"/>
                <w:szCs w:val="24"/>
                <w:lang w:eastAsia="zh-Hans"/>
              </w:rPr>
              <w:t>-</w:t>
            </w:r>
          </w:p>
        </w:tc>
      </w:tr>
      <w:tr w:rsidR="00FF1735" w14:paraId="438A38DA" w14:textId="77777777">
        <w:trPr>
          <w:divId w:val="80281709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5BAA255" w14:textId="77777777" w:rsidR="00C77D2D" w:rsidRDefault="00C77D2D">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3F244F6" w14:textId="77777777" w:rsidR="00C77D2D" w:rsidRDefault="00C77D2D">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04C600A" w14:textId="77777777" w:rsidR="00C77D2D" w:rsidRDefault="00C77D2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D0D5532" w14:textId="77777777" w:rsidR="00C77D2D" w:rsidRDefault="00C77D2D">
            <w:pPr>
              <w:jc w:val="right"/>
            </w:pPr>
            <w:r>
              <w:rPr>
                <w:rFonts w:ascii="宋体" w:hAnsi="宋体" w:hint="eastAsia"/>
                <w:szCs w:val="24"/>
                <w:lang w:eastAsia="zh-Hans"/>
              </w:rPr>
              <w:t>-</w:t>
            </w:r>
          </w:p>
        </w:tc>
      </w:tr>
      <w:tr w:rsidR="00FF1735" w14:paraId="5510F11E" w14:textId="77777777">
        <w:trPr>
          <w:divId w:val="80281709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8B3ED4C" w14:textId="77777777" w:rsidR="00C77D2D" w:rsidRDefault="00C77D2D">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9A337E1" w14:textId="77777777" w:rsidR="00C77D2D" w:rsidRDefault="00C77D2D">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5A38037" w14:textId="77777777" w:rsidR="00C77D2D" w:rsidRDefault="00C77D2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C7A90C8" w14:textId="77777777" w:rsidR="00C77D2D" w:rsidRDefault="00C77D2D">
            <w:pPr>
              <w:jc w:val="right"/>
            </w:pPr>
            <w:r>
              <w:rPr>
                <w:rFonts w:ascii="宋体" w:hAnsi="宋体" w:hint="eastAsia"/>
                <w:szCs w:val="24"/>
                <w:lang w:eastAsia="zh-Hans"/>
              </w:rPr>
              <w:t>-</w:t>
            </w:r>
          </w:p>
        </w:tc>
      </w:tr>
      <w:tr w:rsidR="00FF1735" w14:paraId="05A1ED3D" w14:textId="77777777">
        <w:trPr>
          <w:divId w:val="80281709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5FEE90A" w14:textId="77777777" w:rsidR="00C77D2D" w:rsidRDefault="00C77D2D">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F3ECFA5" w14:textId="77777777" w:rsidR="00C77D2D" w:rsidRDefault="00C77D2D">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7B0AA75" w14:textId="77777777" w:rsidR="00C77D2D" w:rsidRDefault="00C77D2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F882936" w14:textId="77777777" w:rsidR="00C77D2D" w:rsidRDefault="00C77D2D">
            <w:pPr>
              <w:jc w:val="right"/>
            </w:pPr>
            <w:r>
              <w:rPr>
                <w:rFonts w:ascii="宋体" w:hAnsi="宋体" w:hint="eastAsia"/>
                <w:szCs w:val="24"/>
                <w:lang w:eastAsia="zh-Hans"/>
              </w:rPr>
              <w:t>-</w:t>
            </w:r>
          </w:p>
        </w:tc>
      </w:tr>
      <w:tr w:rsidR="00FF1735" w14:paraId="5FA2DEE1" w14:textId="77777777">
        <w:trPr>
          <w:divId w:val="80281709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016F0DD" w14:textId="77777777" w:rsidR="00C77D2D" w:rsidRDefault="00C77D2D">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B230E7F" w14:textId="77777777" w:rsidR="00C77D2D" w:rsidRDefault="00C77D2D">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AF01188" w14:textId="77777777" w:rsidR="00C77D2D" w:rsidRDefault="00C77D2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6DD3765" w14:textId="77777777" w:rsidR="00C77D2D" w:rsidRDefault="00C77D2D">
            <w:pPr>
              <w:jc w:val="right"/>
            </w:pPr>
            <w:r>
              <w:rPr>
                <w:rFonts w:ascii="宋体" w:hAnsi="宋体" w:hint="eastAsia"/>
                <w:szCs w:val="24"/>
                <w:lang w:eastAsia="zh-Hans"/>
              </w:rPr>
              <w:t>-</w:t>
            </w:r>
          </w:p>
        </w:tc>
      </w:tr>
      <w:tr w:rsidR="00FF1735" w14:paraId="500701B1" w14:textId="77777777">
        <w:trPr>
          <w:divId w:val="80281709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64D38A1" w14:textId="77777777" w:rsidR="00C77D2D" w:rsidRDefault="00C77D2D">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B8238A0" w14:textId="77777777" w:rsidR="00C77D2D" w:rsidRDefault="00C77D2D">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DC33E8C" w14:textId="77777777" w:rsidR="00C77D2D" w:rsidRDefault="00C77D2D">
            <w:pPr>
              <w:jc w:val="right"/>
            </w:pPr>
            <w:r>
              <w:rPr>
                <w:rFonts w:ascii="宋体" w:hAnsi="宋体" w:hint="eastAsia"/>
                <w:szCs w:val="24"/>
                <w:lang w:eastAsia="zh-Hans"/>
              </w:rPr>
              <w:t>117,905,925.46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6435455" w14:textId="77777777" w:rsidR="00C77D2D" w:rsidRDefault="00C77D2D">
            <w:pPr>
              <w:jc w:val="right"/>
            </w:pPr>
            <w:r>
              <w:rPr>
                <w:rFonts w:ascii="宋体" w:hAnsi="宋体" w:hint="eastAsia"/>
                <w:szCs w:val="24"/>
                <w:lang w:eastAsia="zh-Hans"/>
              </w:rPr>
              <w:t>66.86</w:t>
            </w:r>
          </w:p>
        </w:tc>
      </w:tr>
    </w:tbl>
    <w:p w14:paraId="37D8C1B6" w14:textId="77777777" w:rsidR="00C77D2D" w:rsidRDefault="00C77D2D">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FF1735" w14:paraId="09D201AC" w14:textId="77777777">
        <w:trPr>
          <w:divId w:val="210136356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8C37DD" w14:textId="77777777" w:rsidR="00C77D2D" w:rsidRDefault="00C77D2D">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47DD78" w14:textId="77777777" w:rsidR="00C77D2D" w:rsidRDefault="00C77D2D">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0829AD" w14:textId="77777777" w:rsidR="00C77D2D" w:rsidRDefault="00C77D2D">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33869A" w14:textId="77777777" w:rsidR="00C77D2D" w:rsidRDefault="00C77D2D">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BF70A1" w14:textId="77777777" w:rsidR="00C77D2D" w:rsidRDefault="00C77D2D">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508A30" w14:textId="77777777" w:rsidR="00C77D2D" w:rsidRDefault="00C77D2D">
            <w:pPr>
              <w:jc w:val="center"/>
            </w:pPr>
            <w:r>
              <w:rPr>
                <w:rFonts w:ascii="宋体" w:hAnsi="宋体" w:hint="eastAsia"/>
                <w:color w:val="000000"/>
              </w:rPr>
              <w:t xml:space="preserve">占基金资产净值比例（%） </w:t>
            </w:r>
          </w:p>
        </w:tc>
      </w:tr>
      <w:tr w:rsidR="00FF1735" w14:paraId="4DA535E2" w14:textId="77777777">
        <w:trPr>
          <w:divId w:val="210136356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96D9BC" w14:textId="77777777" w:rsidR="00C77D2D" w:rsidRDefault="00C77D2D">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2BD3C2" w14:textId="77777777" w:rsidR="00C77D2D" w:rsidRDefault="00C77D2D">
            <w:pPr>
              <w:jc w:val="center"/>
            </w:pPr>
            <w:r>
              <w:rPr>
                <w:rFonts w:ascii="宋体" w:hAnsi="宋体" w:hint="eastAsia"/>
                <w:szCs w:val="24"/>
                <w:lang w:eastAsia="zh-Hans"/>
              </w:rPr>
              <w:t>019766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677C29" w14:textId="77777777" w:rsidR="00C77D2D" w:rsidRDefault="00C77D2D">
            <w:pPr>
              <w:jc w:val="center"/>
            </w:pPr>
            <w:r>
              <w:rPr>
                <w:rFonts w:ascii="宋体" w:hAnsi="宋体" w:hint="eastAsia"/>
                <w:szCs w:val="24"/>
                <w:lang w:eastAsia="zh-Hans"/>
              </w:rPr>
              <w:t>25国债01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13240F" w14:textId="77777777" w:rsidR="00C77D2D" w:rsidRDefault="00C77D2D">
            <w:pPr>
              <w:jc w:val="right"/>
            </w:pPr>
            <w:r>
              <w:rPr>
                <w:rFonts w:ascii="宋体" w:hAnsi="宋体" w:hint="eastAsia"/>
                <w:szCs w:val="24"/>
                <w:lang w:eastAsia="zh-Hans"/>
              </w:rPr>
              <w:t>410,000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5B3441" w14:textId="77777777" w:rsidR="00C77D2D" w:rsidRDefault="00C77D2D">
            <w:pPr>
              <w:jc w:val="right"/>
            </w:pPr>
            <w:r>
              <w:rPr>
                <w:rFonts w:ascii="宋体" w:hAnsi="宋体" w:hint="eastAsia"/>
                <w:szCs w:val="24"/>
                <w:lang w:eastAsia="zh-Hans"/>
              </w:rPr>
              <w:t>41,457,357.81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F09586" w14:textId="77777777" w:rsidR="00C77D2D" w:rsidRDefault="00C77D2D">
            <w:pPr>
              <w:jc w:val="right"/>
            </w:pPr>
            <w:r>
              <w:rPr>
                <w:rFonts w:ascii="宋体" w:hAnsi="宋体" w:hint="eastAsia"/>
                <w:szCs w:val="24"/>
                <w:lang w:eastAsia="zh-Hans"/>
              </w:rPr>
              <w:t>23.51</w:t>
            </w:r>
          </w:p>
        </w:tc>
      </w:tr>
      <w:tr w:rsidR="00FF1735" w14:paraId="4564C0D6" w14:textId="77777777">
        <w:trPr>
          <w:divId w:val="210136356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10F0C6" w14:textId="77777777" w:rsidR="00C77D2D" w:rsidRDefault="00C77D2D">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F1B551" w14:textId="77777777" w:rsidR="00C77D2D" w:rsidRDefault="00C77D2D">
            <w:pPr>
              <w:jc w:val="center"/>
            </w:pPr>
            <w:r>
              <w:rPr>
                <w:rFonts w:ascii="宋体" w:hAnsi="宋体" w:hint="eastAsia"/>
                <w:szCs w:val="24"/>
                <w:lang w:eastAsia="zh-Hans"/>
              </w:rPr>
              <w:t>210203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C5D903" w14:textId="77777777" w:rsidR="00C77D2D" w:rsidRDefault="00C77D2D">
            <w:pPr>
              <w:jc w:val="center"/>
            </w:pPr>
            <w:r>
              <w:rPr>
                <w:rFonts w:ascii="宋体" w:hAnsi="宋体" w:hint="eastAsia"/>
                <w:szCs w:val="24"/>
                <w:lang w:eastAsia="zh-Hans"/>
              </w:rPr>
              <w:t>21国开03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233A34" w14:textId="77777777" w:rsidR="00C77D2D" w:rsidRDefault="00C77D2D">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7CCF4F" w14:textId="77777777" w:rsidR="00C77D2D" w:rsidRDefault="00C77D2D">
            <w:pPr>
              <w:jc w:val="right"/>
            </w:pPr>
            <w:r>
              <w:rPr>
                <w:rFonts w:ascii="宋体" w:hAnsi="宋体" w:hint="eastAsia"/>
                <w:szCs w:val="24"/>
                <w:lang w:eastAsia="zh-Hans"/>
              </w:rPr>
              <w:t>10,305,849.32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29CB31" w14:textId="77777777" w:rsidR="00C77D2D" w:rsidRDefault="00C77D2D">
            <w:pPr>
              <w:jc w:val="right"/>
            </w:pPr>
            <w:r>
              <w:rPr>
                <w:rFonts w:ascii="宋体" w:hAnsi="宋体" w:hint="eastAsia"/>
                <w:szCs w:val="24"/>
                <w:lang w:eastAsia="zh-Hans"/>
              </w:rPr>
              <w:t>5.84</w:t>
            </w:r>
          </w:p>
        </w:tc>
      </w:tr>
      <w:tr w:rsidR="00FF1735" w14:paraId="366991EC" w14:textId="77777777">
        <w:trPr>
          <w:divId w:val="210136356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46A7C3" w14:textId="77777777" w:rsidR="00C77D2D" w:rsidRDefault="00C77D2D">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9EAB66" w14:textId="77777777" w:rsidR="00C77D2D" w:rsidRDefault="00C77D2D">
            <w:pPr>
              <w:jc w:val="center"/>
            </w:pPr>
            <w:r>
              <w:rPr>
                <w:rFonts w:ascii="宋体" w:hAnsi="宋体" w:hint="eastAsia"/>
                <w:szCs w:val="24"/>
                <w:lang w:eastAsia="zh-Hans"/>
              </w:rPr>
              <w:t>230202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222D70" w14:textId="77777777" w:rsidR="00C77D2D" w:rsidRDefault="00C77D2D">
            <w:pPr>
              <w:jc w:val="center"/>
            </w:pPr>
            <w:r>
              <w:rPr>
                <w:rFonts w:ascii="宋体" w:hAnsi="宋体" w:hint="eastAsia"/>
                <w:szCs w:val="24"/>
                <w:lang w:eastAsia="zh-Hans"/>
              </w:rPr>
              <w:t>23国开02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36032C" w14:textId="77777777" w:rsidR="00C77D2D" w:rsidRDefault="00C77D2D">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246E87" w14:textId="77777777" w:rsidR="00C77D2D" w:rsidRDefault="00C77D2D">
            <w:pPr>
              <w:jc w:val="right"/>
            </w:pPr>
            <w:r>
              <w:rPr>
                <w:rFonts w:ascii="宋体" w:hAnsi="宋体" w:hint="eastAsia"/>
                <w:szCs w:val="24"/>
                <w:lang w:eastAsia="zh-Hans"/>
              </w:rPr>
              <w:t>10,255,904.11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B0E5B7" w14:textId="77777777" w:rsidR="00C77D2D" w:rsidRDefault="00C77D2D">
            <w:pPr>
              <w:jc w:val="right"/>
            </w:pPr>
            <w:r>
              <w:rPr>
                <w:rFonts w:ascii="宋体" w:hAnsi="宋体" w:hint="eastAsia"/>
                <w:szCs w:val="24"/>
                <w:lang w:eastAsia="zh-Hans"/>
              </w:rPr>
              <w:t>5.82</w:t>
            </w:r>
          </w:p>
        </w:tc>
      </w:tr>
      <w:tr w:rsidR="00FF1735" w14:paraId="4BEDF8E6" w14:textId="77777777">
        <w:trPr>
          <w:divId w:val="210136356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0FD418" w14:textId="77777777" w:rsidR="00C77D2D" w:rsidRDefault="00C77D2D">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484986" w14:textId="77777777" w:rsidR="00C77D2D" w:rsidRDefault="00C77D2D">
            <w:pPr>
              <w:jc w:val="center"/>
            </w:pPr>
            <w:r>
              <w:rPr>
                <w:rFonts w:ascii="宋体" w:hAnsi="宋体" w:hint="eastAsia"/>
                <w:szCs w:val="24"/>
                <w:lang w:eastAsia="zh-Hans"/>
              </w:rPr>
              <w:t>250206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398B58" w14:textId="77777777" w:rsidR="00C77D2D" w:rsidRDefault="00C77D2D">
            <w:pPr>
              <w:jc w:val="center"/>
            </w:pPr>
            <w:r>
              <w:rPr>
                <w:rFonts w:ascii="宋体" w:hAnsi="宋体" w:hint="eastAsia"/>
                <w:szCs w:val="24"/>
                <w:lang w:eastAsia="zh-Hans"/>
              </w:rPr>
              <w:t>25国开06</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A39DEF" w14:textId="77777777" w:rsidR="00C77D2D" w:rsidRDefault="00C77D2D">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EEDA66" w14:textId="77777777" w:rsidR="00C77D2D" w:rsidRDefault="00C77D2D">
            <w:pPr>
              <w:jc w:val="right"/>
            </w:pPr>
            <w:r>
              <w:rPr>
                <w:rFonts w:ascii="宋体" w:hAnsi="宋体" w:hint="eastAsia"/>
                <w:szCs w:val="24"/>
                <w:lang w:eastAsia="zh-Hans"/>
              </w:rPr>
              <w:t>10,117,605.48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3D6F92" w14:textId="77777777" w:rsidR="00C77D2D" w:rsidRDefault="00C77D2D">
            <w:pPr>
              <w:jc w:val="right"/>
            </w:pPr>
            <w:r>
              <w:rPr>
                <w:rFonts w:ascii="宋体" w:hAnsi="宋体" w:hint="eastAsia"/>
                <w:szCs w:val="24"/>
                <w:lang w:eastAsia="zh-Hans"/>
              </w:rPr>
              <w:t>5.74</w:t>
            </w:r>
          </w:p>
        </w:tc>
      </w:tr>
      <w:tr w:rsidR="00FF1735" w14:paraId="6B1A9D64" w14:textId="77777777">
        <w:trPr>
          <w:divId w:val="210136356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7266A0" w14:textId="77777777" w:rsidR="00C77D2D" w:rsidRDefault="00C77D2D">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D7BE26" w14:textId="77777777" w:rsidR="00C77D2D" w:rsidRDefault="00C77D2D">
            <w:pPr>
              <w:jc w:val="center"/>
            </w:pPr>
            <w:r>
              <w:rPr>
                <w:rFonts w:ascii="宋体" w:hAnsi="宋体" w:hint="eastAsia"/>
                <w:szCs w:val="24"/>
                <w:lang w:eastAsia="zh-Hans"/>
              </w:rPr>
              <w:t>250018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A69039" w14:textId="77777777" w:rsidR="00C77D2D" w:rsidRDefault="00C77D2D">
            <w:pPr>
              <w:jc w:val="center"/>
            </w:pPr>
            <w:r>
              <w:rPr>
                <w:rFonts w:ascii="宋体" w:hAnsi="宋体" w:hint="eastAsia"/>
                <w:szCs w:val="24"/>
                <w:lang w:eastAsia="zh-Hans"/>
              </w:rPr>
              <w:t>25附息国债18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F79B11" w14:textId="77777777" w:rsidR="00C77D2D" w:rsidRDefault="00C77D2D">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04DC80" w14:textId="77777777" w:rsidR="00C77D2D" w:rsidRDefault="00C77D2D">
            <w:pPr>
              <w:jc w:val="right"/>
            </w:pPr>
            <w:r>
              <w:rPr>
                <w:rFonts w:ascii="宋体" w:hAnsi="宋体" w:hint="eastAsia"/>
                <w:szCs w:val="24"/>
                <w:lang w:eastAsia="zh-Hans"/>
              </w:rPr>
              <w:t>10,083,668.49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8C07F8" w14:textId="77777777" w:rsidR="00C77D2D" w:rsidRDefault="00C77D2D">
            <w:pPr>
              <w:jc w:val="right"/>
            </w:pPr>
            <w:r>
              <w:rPr>
                <w:rFonts w:ascii="宋体" w:hAnsi="宋体" w:hint="eastAsia"/>
                <w:szCs w:val="24"/>
                <w:lang w:eastAsia="zh-Hans"/>
              </w:rPr>
              <w:t>5.72</w:t>
            </w:r>
          </w:p>
        </w:tc>
      </w:tr>
    </w:tbl>
    <w:p w14:paraId="7714FF88" w14:textId="77777777" w:rsidR="00C77D2D" w:rsidRDefault="00C77D2D">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7B9C0E7F" w14:textId="77777777" w:rsidR="00C77D2D" w:rsidRDefault="00C77D2D">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2CE51559" w14:textId="77777777" w:rsidR="00C77D2D" w:rsidRDefault="00C77D2D">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6B70D0DE" w14:textId="77777777" w:rsidR="00C77D2D" w:rsidRDefault="00C77D2D">
      <w:pPr>
        <w:spacing w:line="360" w:lineRule="auto"/>
        <w:ind w:firstLineChars="200" w:firstLine="420"/>
        <w:divId w:val="495848431"/>
      </w:pPr>
      <w:r>
        <w:rPr>
          <w:rFonts w:ascii="宋体" w:hAnsi="宋体" w:hint="eastAsia"/>
          <w:szCs w:val="21"/>
          <w:lang w:eastAsia="zh-Hans"/>
        </w:rPr>
        <w:t>本基金本报告期末未持有贵金属。</w:t>
      </w:r>
    </w:p>
    <w:p w14:paraId="6209D72C" w14:textId="77777777" w:rsidR="00C77D2D" w:rsidRDefault="00C77D2D">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2E909D02" w14:textId="77777777" w:rsidR="00C77D2D" w:rsidRDefault="00C77D2D">
      <w:pPr>
        <w:spacing w:line="360" w:lineRule="auto"/>
        <w:ind w:firstLineChars="200" w:firstLine="420"/>
        <w:divId w:val="1406803195"/>
      </w:pPr>
      <w:r>
        <w:rPr>
          <w:rFonts w:ascii="宋体" w:hAnsi="宋体" w:hint="eastAsia"/>
          <w:szCs w:val="21"/>
          <w:lang w:eastAsia="zh-Hans"/>
        </w:rPr>
        <w:t>本基金本报告期末未持有权证。</w:t>
      </w:r>
    </w:p>
    <w:p w14:paraId="7CE43063" w14:textId="77777777" w:rsidR="00C77D2D" w:rsidRDefault="00C77D2D">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59213DED" w14:textId="77777777" w:rsidR="00C77D2D" w:rsidRDefault="00C77D2D">
      <w:pPr>
        <w:spacing w:line="360" w:lineRule="auto"/>
        <w:ind w:firstLineChars="200" w:firstLine="420"/>
        <w:divId w:val="1508907176"/>
      </w:pPr>
      <w:r>
        <w:rPr>
          <w:rFonts w:ascii="宋体" w:hAnsi="宋体" w:hint="eastAsia"/>
          <w:szCs w:val="21"/>
          <w:lang w:eastAsia="zh-Hans"/>
        </w:rPr>
        <w:t>本基金本报告期末未持有股指期货。</w:t>
      </w:r>
    </w:p>
    <w:p w14:paraId="6B517F97" w14:textId="77777777" w:rsidR="00C77D2D" w:rsidRDefault="00C77D2D">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3098C389" w14:textId="77777777" w:rsidR="00C77D2D" w:rsidRDefault="00C77D2D">
      <w:pPr>
        <w:spacing w:line="360" w:lineRule="auto"/>
        <w:ind w:firstLineChars="200" w:firstLine="420"/>
        <w:divId w:val="74207370"/>
      </w:pPr>
      <w:bookmarkStart w:id="250" w:name="m510_01_1597"/>
      <w:bookmarkStart w:id="251" w:name="m510_01_1598"/>
      <w:bookmarkEnd w:id="250"/>
      <w:r>
        <w:rPr>
          <w:rFonts w:ascii="宋体" w:hAnsi="宋体" w:hint="eastAsia"/>
          <w:szCs w:val="21"/>
          <w:lang w:eastAsia="zh-Hans"/>
        </w:rPr>
        <w:t>本基金本报告期末未持有国债期货。</w:t>
      </w:r>
    </w:p>
    <w:p w14:paraId="6F922606" w14:textId="77777777" w:rsidR="00C77D2D" w:rsidRDefault="00C77D2D">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54C9AA6A" w14:textId="77777777" w:rsidR="00C77D2D" w:rsidRDefault="00C77D2D">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579B969F" w14:textId="77777777" w:rsidR="00C77D2D" w:rsidRDefault="00C77D2D">
      <w:pPr>
        <w:spacing w:line="360" w:lineRule="auto"/>
        <w:ind w:firstLineChars="200" w:firstLine="420"/>
      </w:pPr>
      <w:r>
        <w:rPr>
          <w:rFonts w:ascii="宋体" w:hAnsi="宋体" w:hint="eastAsia"/>
        </w:rPr>
        <w:t>本基金投资的前十名证券的发行主体中，中国农业银行股份有限公司报告编制日前一年内曾受到国家金融监督管理总局的处罚，国家开发银行报告编制日前一年内曾受到央行、国家外汇管理局北京市分局的处罚。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06EE441B" w14:textId="77777777" w:rsidR="00C77D2D" w:rsidRDefault="00C77D2D">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7DB77A53" w14:textId="77777777" w:rsidR="00C77D2D" w:rsidRDefault="00C77D2D">
      <w:pPr>
        <w:spacing w:line="360" w:lineRule="auto"/>
        <w:ind w:firstLineChars="200" w:firstLine="420"/>
      </w:pPr>
      <w:r>
        <w:rPr>
          <w:rFonts w:ascii="宋体" w:hAnsi="宋体" w:hint="eastAsia"/>
        </w:rPr>
        <w:t>报告期内本基金投资的前十名股票中没有在基金合同规定备选股票库之外的股票。</w:t>
      </w:r>
    </w:p>
    <w:p w14:paraId="02DCBD0A" w14:textId="77777777" w:rsidR="00C77D2D" w:rsidRDefault="00C77D2D">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FF1735" w14:paraId="76785516" w14:textId="77777777">
        <w:trPr>
          <w:divId w:val="29402354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4CD7E9" w14:textId="77777777" w:rsidR="00C77D2D" w:rsidRDefault="00C77D2D">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03F717" w14:textId="77777777" w:rsidR="00C77D2D" w:rsidRDefault="00C77D2D">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2AF7FB" w14:textId="77777777" w:rsidR="00C77D2D" w:rsidRDefault="00C77D2D">
            <w:pPr>
              <w:jc w:val="center"/>
            </w:pPr>
            <w:r>
              <w:rPr>
                <w:rFonts w:ascii="宋体" w:hAnsi="宋体" w:hint="eastAsia"/>
              </w:rPr>
              <w:t>金额（元）</w:t>
            </w:r>
            <w:r>
              <w:t xml:space="preserve"> </w:t>
            </w:r>
          </w:p>
        </w:tc>
      </w:tr>
      <w:tr w:rsidR="00FF1735" w14:paraId="02EC2793" w14:textId="77777777">
        <w:trPr>
          <w:divId w:val="29402354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652555" w14:textId="77777777" w:rsidR="00C77D2D" w:rsidRDefault="00C77D2D">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55D691" w14:textId="77777777" w:rsidR="00C77D2D" w:rsidRDefault="00C77D2D">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15445B" w14:textId="77777777" w:rsidR="00C77D2D" w:rsidRDefault="00C77D2D">
            <w:pPr>
              <w:jc w:val="right"/>
            </w:pPr>
            <w:r>
              <w:rPr>
                <w:rFonts w:ascii="宋体" w:hAnsi="宋体" w:hint="eastAsia"/>
              </w:rPr>
              <w:t>51,955.95</w:t>
            </w:r>
          </w:p>
        </w:tc>
      </w:tr>
      <w:tr w:rsidR="00FF1735" w14:paraId="74CD0F64" w14:textId="77777777">
        <w:trPr>
          <w:divId w:val="29402354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B6D954" w14:textId="77777777" w:rsidR="00C77D2D" w:rsidRDefault="00C77D2D">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BC4013" w14:textId="77777777" w:rsidR="00C77D2D" w:rsidRDefault="00C77D2D">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F2F5D1" w14:textId="77777777" w:rsidR="00C77D2D" w:rsidRDefault="00C77D2D">
            <w:pPr>
              <w:jc w:val="right"/>
            </w:pPr>
            <w:r>
              <w:rPr>
                <w:rFonts w:ascii="宋体" w:hAnsi="宋体" w:hint="eastAsia"/>
              </w:rPr>
              <w:t>344,445.92</w:t>
            </w:r>
          </w:p>
        </w:tc>
      </w:tr>
      <w:tr w:rsidR="00FF1735" w14:paraId="199EA1B9" w14:textId="77777777">
        <w:trPr>
          <w:divId w:val="29402354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D45F91" w14:textId="77777777" w:rsidR="00C77D2D" w:rsidRDefault="00C77D2D">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6341C6" w14:textId="77777777" w:rsidR="00C77D2D" w:rsidRDefault="00C77D2D">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DF2BC2" w14:textId="77777777" w:rsidR="00C77D2D" w:rsidRDefault="00C77D2D">
            <w:pPr>
              <w:jc w:val="right"/>
            </w:pPr>
            <w:r>
              <w:rPr>
                <w:rFonts w:ascii="宋体" w:hAnsi="宋体" w:hint="eastAsia"/>
              </w:rPr>
              <w:t>-</w:t>
            </w:r>
          </w:p>
        </w:tc>
      </w:tr>
      <w:tr w:rsidR="00FF1735" w14:paraId="43EB8E4E" w14:textId="77777777">
        <w:trPr>
          <w:divId w:val="29402354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AEED93" w14:textId="77777777" w:rsidR="00C77D2D" w:rsidRDefault="00C77D2D">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DD2985" w14:textId="77777777" w:rsidR="00C77D2D" w:rsidRDefault="00C77D2D">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8EBCBF" w14:textId="77777777" w:rsidR="00C77D2D" w:rsidRDefault="00C77D2D">
            <w:pPr>
              <w:jc w:val="right"/>
            </w:pPr>
            <w:r>
              <w:rPr>
                <w:rFonts w:ascii="宋体" w:hAnsi="宋体" w:hint="eastAsia"/>
              </w:rPr>
              <w:t>-</w:t>
            </w:r>
          </w:p>
        </w:tc>
      </w:tr>
      <w:tr w:rsidR="00FF1735" w14:paraId="29E1FF94" w14:textId="77777777">
        <w:trPr>
          <w:divId w:val="29402354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BF128A" w14:textId="77777777" w:rsidR="00C77D2D" w:rsidRDefault="00C77D2D">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37078F" w14:textId="77777777" w:rsidR="00C77D2D" w:rsidRDefault="00C77D2D">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29C11B" w14:textId="77777777" w:rsidR="00C77D2D" w:rsidRDefault="00C77D2D">
            <w:pPr>
              <w:jc w:val="right"/>
            </w:pPr>
            <w:r>
              <w:rPr>
                <w:rFonts w:ascii="宋体" w:hAnsi="宋体" w:hint="eastAsia"/>
              </w:rPr>
              <w:t>4,673.99</w:t>
            </w:r>
          </w:p>
        </w:tc>
      </w:tr>
      <w:tr w:rsidR="00FF1735" w14:paraId="68E6C417" w14:textId="77777777">
        <w:trPr>
          <w:divId w:val="29402354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169147" w14:textId="77777777" w:rsidR="00C77D2D" w:rsidRDefault="00C77D2D">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D039B2" w14:textId="77777777" w:rsidR="00C77D2D" w:rsidRDefault="00C77D2D">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422088" w14:textId="77777777" w:rsidR="00C77D2D" w:rsidRDefault="00C77D2D">
            <w:pPr>
              <w:jc w:val="right"/>
            </w:pPr>
            <w:r>
              <w:rPr>
                <w:rFonts w:ascii="宋体" w:hAnsi="宋体" w:hint="eastAsia"/>
              </w:rPr>
              <w:t>-</w:t>
            </w:r>
          </w:p>
        </w:tc>
      </w:tr>
      <w:tr w:rsidR="00FF1735" w14:paraId="163FB11D" w14:textId="77777777">
        <w:trPr>
          <w:divId w:val="29402354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FD9984" w14:textId="77777777" w:rsidR="00C77D2D" w:rsidRDefault="00C77D2D">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F7641F" w14:textId="77777777" w:rsidR="00C77D2D" w:rsidRDefault="00C77D2D">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C8ED2C" w14:textId="77777777" w:rsidR="00C77D2D" w:rsidRDefault="00C77D2D">
            <w:pPr>
              <w:jc w:val="right"/>
            </w:pPr>
            <w:r>
              <w:rPr>
                <w:rFonts w:ascii="宋体" w:hAnsi="宋体" w:hint="eastAsia"/>
              </w:rPr>
              <w:t>-</w:t>
            </w:r>
          </w:p>
        </w:tc>
      </w:tr>
      <w:tr w:rsidR="00FF1735" w14:paraId="28960FEC" w14:textId="77777777">
        <w:trPr>
          <w:divId w:val="29402354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7A7064" w14:textId="77777777" w:rsidR="00C77D2D" w:rsidRDefault="00C77D2D">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36716A" w14:textId="77777777" w:rsidR="00C77D2D" w:rsidRDefault="00C77D2D">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A9B51E" w14:textId="77777777" w:rsidR="00C77D2D" w:rsidRDefault="00C77D2D">
            <w:pPr>
              <w:jc w:val="right"/>
            </w:pPr>
            <w:r>
              <w:rPr>
                <w:rFonts w:ascii="宋体" w:hAnsi="宋体" w:hint="eastAsia"/>
              </w:rPr>
              <w:t>401,075.86</w:t>
            </w:r>
          </w:p>
        </w:tc>
      </w:tr>
    </w:tbl>
    <w:p w14:paraId="1FEDAA47" w14:textId="77777777" w:rsidR="00C77D2D" w:rsidRDefault="00C77D2D">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7BAA1B97" w14:textId="77777777" w:rsidR="00C77D2D" w:rsidRDefault="00C77D2D">
      <w:pPr>
        <w:spacing w:line="360" w:lineRule="auto"/>
        <w:ind w:firstLineChars="200" w:firstLine="420"/>
        <w:jc w:val="left"/>
      </w:pPr>
      <w:r>
        <w:rPr>
          <w:rFonts w:ascii="宋体" w:hAnsi="宋体" w:hint="eastAsia"/>
        </w:rPr>
        <w:t xml:space="preserve">本基金本报告期末未持有处于转股期的可转换债券。 </w:t>
      </w:r>
    </w:p>
    <w:p w14:paraId="47F159BB" w14:textId="77777777" w:rsidR="00C77D2D" w:rsidRDefault="00C77D2D">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110C27BD" w14:textId="77777777" w:rsidR="00C77D2D" w:rsidRDefault="00C77D2D">
      <w:pPr>
        <w:spacing w:line="360" w:lineRule="auto"/>
        <w:ind w:firstLineChars="200" w:firstLine="420"/>
        <w:jc w:val="left"/>
        <w:divId w:val="1969505084"/>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1A5D381B" w14:textId="77777777" w:rsidR="00C77D2D" w:rsidRDefault="00C77D2D">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053E315D" w14:textId="77777777" w:rsidR="00C77D2D" w:rsidRDefault="00C77D2D">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3DF87030" w14:textId="77777777" w:rsidR="00C77D2D" w:rsidRDefault="00C77D2D">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7EF4AC23" w14:textId="77777777" w:rsidR="00C77D2D" w:rsidRDefault="00C77D2D">
      <w:pPr>
        <w:wordWrap w:val="0"/>
        <w:spacing w:line="360" w:lineRule="auto"/>
        <w:jc w:val="right"/>
        <w:divId w:val="1084227930"/>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FF1735" w14:paraId="36F0D420" w14:textId="77777777">
        <w:trPr>
          <w:divId w:val="1084227930"/>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B7CBE98" w14:textId="77777777" w:rsidR="00C77D2D" w:rsidRDefault="00C77D2D">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A874B5" w14:textId="77777777" w:rsidR="00C77D2D" w:rsidRDefault="00C77D2D">
            <w:pPr>
              <w:ind w:right="3"/>
              <w:jc w:val="center"/>
            </w:pPr>
            <w:r>
              <w:rPr>
                <w:rFonts w:ascii="宋体" w:hAnsi="宋体" w:hint="eastAsia"/>
                <w:lang w:eastAsia="zh-Hans"/>
              </w:rPr>
              <w:t>摩根安隆回报混合A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921308" w14:textId="77777777" w:rsidR="00C77D2D" w:rsidRDefault="00C77D2D">
            <w:pPr>
              <w:ind w:right="3"/>
              <w:jc w:val="center"/>
            </w:pPr>
            <w:r>
              <w:rPr>
                <w:rFonts w:ascii="宋体" w:hAnsi="宋体" w:hint="eastAsia"/>
                <w:lang w:eastAsia="zh-Hans"/>
              </w:rPr>
              <w:t>摩根安隆回报混合C</w:t>
            </w:r>
            <w:r>
              <w:rPr>
                <w:rFonts w:ascii="宋体" w:hAnsi="宋体" w:hint="eastAsia"/>
                <w:kern w:val="0"/>
                <w:szCs w:val="24"/>
                <w:lang w:eastAsia="zh-Hans"/>
              </w:rPr>
              <w:t xml:space="preserve"> </w:t>
            </w:r>
          </w:p>
        </w:tc>
      </w:tr>
      <w:tr w:rsidR="00FF1735" w14:paraId="3F5A20EA" w14:textId="77777777">
        <w:trPr>
          <w:divId w:val="108422793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06AEA2" w14:textId="77777777" w:rsidR="00C77D2D" w:rsidRDefault="00C77D2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6662FB" w14:textId="77777777" w:rsidR="00C77D2D" w:rsidRDefault="00C77D2D">
            <w:pPr>
              <w:jc w:val="right"/>
            </w:pPr>
            <w:r>
              <w:rPr>
                <w:rFonts w:ascii="宋体" w:hAnsi="宋体" w:hint="eastAsia"/>
              </w:rPr>
              <w:t>96,592,604.75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F000C4" w14:textId="77777777" w:rsidR="00C77D2D" w:rsidRDefault="00C77D2D">
            <w:pPr>
              <w:jc w:val="right"/>
            </w:pPr>
            <w:r>
              <w:rPr>
                <w:rFonts w:ascii="宋体" w:hAnsi="宋体" w:hint="eastAsia"/>
              </w:rPr>
              <w:t>40,253,943.67</w:t>
            </w:r>
          </w:p>
        </w:tc>
      </w:tr>
      <w:tr w:rsidR="00FF1735" w14:paraId="7E8448BB" w14:textId="77777777">
        <w:trPr>
          <w:divId w:val="108422793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AD964F" w14:textId="77777777" w:rsidR="00C77D2D" w:rsidRDefault="00C77D2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6C44B8" w14:textId="77777777" w:rsidR="00C77D2D" w:rsidRDefault="00C77D2D">
            <w:pPr>
              <w:jc w:val="right"/>
            </w:pPr>
            <w:r>
              <w:rPr>
                <w:rFonts w:ascii="宋体" w:hAnsi="宋体" w:hint="eastAsia"/>
              </w:rPr>
              <w:t>287,752.98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950F99" w14:textId="77777777" w:rsidR="00C77D2D" w:rsidRDefault="00C77D2D">
            <w:pPr>
              <w:jc w:val="right"/>
            </w:pPr>
            <w:r>
              <w:rPr>
                <w:rFonts w:ascii="宋体" w:hAnsi="宋体" w:hint="eastAsia"/>
              </w:rPr>
              <w:t>777,057.64</w:t>
            </w:r>
          </w:p>
        </w:tc>
      </w:tr>
      <w:tr w:rsidR="00FF1735" w14:paraId="28292EA5" w14:textId="77777777">
        <w:trPr>
          <w:divId w:val="108422793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E71A5B" w14:textId="77777777" w:rsidR="00C77D2D" w:rsidRDefault="00C77D2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EAE89B" w14:textId="77777777" w:rsidR="00C77D2D" w:rsidRDefault="00C77D2D">
            <w:pPr>
              <w:jc w:val="right"/>
            </w:pPr>
            <w:r>
              <w:rPr>
                <w:rFonts w:ascii="宋体" w:hAnsi="宋体" w:hint="eastAsia"/>
              </w:rPr>
              <w:t>10,656,286.62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EA4A18" w14:textId="77777777" w:rsidR="00C77D2D" w:rsidRDefault="00C77D2D">
            <w:pPr>
              <w:jc w:val="right"/>
            </w:pPr>
            <w:r>
              <w:rPr>
                <w:rFonts w:ascii="宋体" w:hAnsi="宋体" w:hint="eastAsia"/>
              </w:rPr>
              <w:t>2,799,394.24</w:t>
            </w:r>
          </w:p>
        </w:tc>
      </w:tr>
      <w:tr w:rsidR="00FF1735" w14:paraId="328E2FBC" w14:textId="77777777">
        <w:trPr>
          <w:divId w:val="108422793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EF450F" w14:textId="77777777" w:rsidR="00C77D2D" w:rsidRDefault="00C77D2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39377A" w14:textId="77777777" w:rsidR="00C77D2D" w:rsidRDefault="00C77D2D">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1213CB" w14:textId="77777777" w:rsidR="00C77D2D" w:rsidRDefault="00C77D2D">
            <w:pPr>
              <w:jc w:val="right"/>
            </w:pPr>
            <w:r>
              <w:rPr>
                <w:rFonts w:ascii="宋体" w:hAnsi="宋体" w:hint="eastAsia"/>
              </w:rPr>
              <w:t>-</w:t>
            </w:r>
          </w:p>
        </w:tc>
      </w:tr>
      <w:tr w:rsidR="00FF1735" w14:paraId="1E7A64A9" w14:textId="77777777">
        <w:trPr>
          <w:divId w:val="108422793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CA02BC" w14:textId="77777777" w:rsidR="00C77D2D" w:rsidRDefault="00C77D2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D7AC0E" w14:textId="77777777" w:rsidR="00C77D2D" w:rsidRDefault="00C77D2D">
            <w:pPr>
              <w:jc w:val="right"/>
            </w:pPr>
            <w:r>
              <w:rPr>
                <w:rFonts w:ascii="宋体" w:hAnsi="宋体" w:hint="eastAsia"/>
              </w:rPr>
              <w:t>86,224,071.11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F0730C" w14:textId="77777777" w:rsidR="00C77D2D" w:rsidRDefault="00C77D2D">
            <w:pPr>
              <w:jc w:val="right"/>
            </w:pPr>
            <w:r>
              <w:rPr>
                <w:rFonts w:ascii="宋体" w:hAnsi="宋体" w:hint="eastAsia"/>
              </w:rPr>
              <w:t>38,231,607.07</w:t>
            </w:r>
          </w:p>
        </w:tc>
      </w:tr>
    </w:tbl>
    <w:p w14:paraId="58745DF1" w14:textId="77777777" w:rsidR="00C77D2D" w:rsidRDefault="00C77D2D">
      <w:pPr>
        <w:spacing w:line="360" w:lineRule="auto"/>
        <w:jc w:val="left"/>
        <w:divId w:val="1084227930"/>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0344C963" w14:textId="77777777" w:rsidR="00C77D2D" w:rsidRDefault="00C77D2D">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00EE7E7C" w14:textId="77777777" w:rsidR="00C77D2D" w:rsidRDefault="00C77D2D">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58771245" w14:textId="77777777" w:rsidR="00C77D2D" w:rsidRDefault="00C77D2D">
      <w:pPr>
        <w:wordWrap w:val="0"/>
        <w:spacing w:line="360" w:lineRule="auto"/>
        <w:jc w:val="right"/>
        <w:divId w:val="1699155844"/>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FF1735" w14:paraId="3F18F087" w14:textId="77777777">
        <w:trPr>
          <w:divId w:val="1699155844"/>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B04CCE1" w14:textId="77777777" w:rsidR="00C77D2D" w:rsidRDefault="00C77D2D">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34CF72" w14:textId="77777777" w:rsidR="00C77D2D" w:rsidRDefault="00C77D2D">
            <w:pPr>
              <w:jc w:val="center"/>
            </w:pPr>
            <w:r>
              <w:rPr>
                <w:rFonts w:ascii="宋体" w:hAnsi="宋体" w:hint="eastAsia"/>
                <w:lang w:eastAsia="zh-Hans"/>
              </w:rPr>
              <w:t>摩根安隆回报混合A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071E0F" w14:textId="77777777" w:rsidR="00C77D2D" w:rsidRDefault="00C77D2D">
            <w:pPr>
              <w:jc w:val="center"/>
            </w:pPr>
            <w:r>
              <w:rPr>
                <w:rFonts w:ascii="宋体" w:hAnsi="宋体" w:hint="eastAsia"/>
                <w:lang w:eastAsia="zh-Hans"/>
              </w:rPr>
              <w:t>摩根安隆回报混合C</w:t>
            </w:r>
            <w:r>
              <w:rPr>
                <w:rFonts w:ascii="宋体" w:hAnsi="宋体" w:hint="eastAsia"/>
                <w:color w:val="000000"/>
              </w:rPr>
              <w:t xml:space="preserve"> </w:t>
            </w:r>
          </w:p>
        </w:tc>
      </w:tr>
      <w:tr w:rsidR="00FF1735" w14:paraId="16EDC46C" w14:textId="77777777">
        <w:trPr>
          <w:divId w:val="169915584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D04508" w14:textId="77777777" w:rsidR="00C77D2D" w:rsidRDefault="00C77D2D">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F52383" w14:textId="77777777" w:rsidR="00C77D2D" w:rsidRDefault="00C77D2D">
            <w:pPr>
              <w:jc w:val="right"/>
            </w:pPr>
            <w:r>
              <w:rPr>
                <w:rFonts w:ascii="宋体" w:hAnsi="宋体" w:hint="eastAsia"/>
                <w:kern w:val="0"/>
                <w:szCs w:val="24"/>
                <w:lang w:eastAsia="zh-Hans"/>
              </w:rPr>
              <w:t>257,665.97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605019" w14:textId="77777777" w:rsidR="00C77D2D" w:rsidRDefault="00C77D2D">
            <w:pPr>
              <w:jc w:val="right"/>
            </w:pPr>
            <w:r>
              <w:rPr>
                <w:rFonts w:ascii="宋体" w:hAnsi="宋体" w:hint="eastAsia"/>
                <w:kern w:val="0"/>
                <w:szCs w:val="24"/>
                <w:lang w:eastAsia="zh-Hans"/>
              </w:rPr>
              <w:t>-</w:t>
            </w:r>
          </w:p>
        </w:tc>
      </w:tr>
      <w:tr w:rsidR="00FF1735" w14:paraId="31FF8C33" w14:textId="77777777">
        <w:trPr>
          <w:divId w:val="169915584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952818" w14:textId="77777777" w:rsidR="00C77D2D" w:rsidRDefault="00C77D2D">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2FF7CA" w14:textId="77777777" w:rsidR="00C77D2D" w:rsidRDefault="00C77D2D">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41B668" w14:textId="77777777" w:rsidR="00C77D2D" w:rsidRDefault="00C77D2D">
            <w:pPr>
              <w:jc w:val="right"/>
            </w:pPr>
            <w:r>
              <w:rPr>
                <w:rFonts w:ascii="宋体" w:hAnsi="宋体" w:hint="eastAsia"/>
                <w:szCs w:val="24"/>
                <w:lang w:eastAsia="zh-Hans"/>
              </w:rPr>
              <w:t>-</w:t>
            </w:r>
          </w:p>
        </w:tc>
      </w:tr>
      <w:tr w:rsidR="00FF1735" w14:paraId="3161EA7F" w14:textId="77777777">
        <w:trPr>
          <w:divId w:val="169915584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B240E4" w14:textId="77777777" w:rsidR="00C77D2D" w:rsidRDefault="00C77D2D">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7045CA" w14:textId="77777777" w:rsidR="00C77D2D" w:rsidRDefault="00C77D2D">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3243DA" w14:textId="77777777" w:rsidR="00C77D2D" w:rsidRDefault="00C77D2D">
            <w:pPr>
              <w:jc w:val="right"/>
            </w:pPr>
            <w:r>
              <w:rPr>
                <w:rFonts w:ascii="宋体" w:hAnsi="宋体" w:hint="eastAsia"/>
                <w:lang w:eastAsia="zh-Hans"/>
              </w:rPr>
              <w:t>-</w:t>
            </w:r>
          </w:p>
        </w:tc>
      </w:tr>
      <w:tr w:rsidR="00FF1735" w14:paraId="2DA2EF43" w14:textId="77777777">
        <w:trPr>
          <w:divId w:val="169915584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6DDDFC" w14:textId="77777777" w:rsidR="00C77D2D" w:rsidRDefault="00C77D2D">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E9C9D6" w14:textId="77777777" w:rsidR="00C77D2D" w:rsidRDefault="00C77D2D">
            <w:pPr>
              <w:jc w:val="right"/>
            </w:pPr>
            <w:r>
              <w:rPr>
                <w:rFonts w:ascii="宋体" w:hAnsi="宋体" w:hint="eastAsia"/>
                <w:lang w:eastAsia="zh-Hans"/>
              </w:rPr>
              <w:t>257,665.97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F106EA" w14:textId="77777777" w:rsidR="00C77D2D" w:rsidRDefault="00C77D2D">
            <w:pPr>
              <w:jc w:val="right"/>
            </w:pPr>
            <w:r>
              <w:rPr>
                <w:rFonts w:ascii="宋体" w:hAnsi="宋体" w:hint="eastAsia"/>
                <w:lang w:eastAsia="zh-Hans"/>
              </w:rPr>
              <w:t>-</w:t>
            </w:r>
          </w:p>
        </w:tc>
      </w:tr>
      <w:tr w:rsidR="00FF1735" w14:paraId="0267FD12" w14:textId="77777777">
        <w:trPr>
          <w:divId w:val="169915584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C1B647" w14:textId="77777777" w:rsidR="00C77D2D" w:rsidRDefault="00C77D2D">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7AB2EF" w14:textId="77777777" w:rsidR="00C77D2D" w:rsidRDefault="00C77D2D">
            <w:pPr>
              <w:jc w:val="right"/>
            </w:pPr>
            <w:r>
              <w:rPr>
                <w:rFonts w:ascii="宋体" w:hAnsi="宋体" w:hint="eastAsia"/>
                <w:lang w:eastAsia="zh-Hans"/>
              </w:rPr>
              <w:t>0.21</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2F5F4E" w14:textId="77777777" w:rsidR="00C77D2D" w:rsidRDefault="00C77D2D">
            <w:pPr>
              <w:jc w:val="right"/>
            </w:pPr>
            <w:r>
              <w:rPr>
                <w:rFonts w:ascii="宋体" w:hAnsi="宋体" w:hint="eastAsia"/>
                <w:lang w:eastAsia="zh-Hans"/>
              </w:rPr>
              <w:t>-</w:t>
            </w:r>
          </w:p>
        </w:tc>
      </w:tr>
    </w:tbl>
    <w:p w14:paraId="6A6444D3" w14:textId="77777777" w:rsidR="00C77D2D" w:rsidRDefault="00C77D2D">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23B12FB8" w14:textId="77777777" w:rsidR="00C77D2D" w:rsidRDefault="00C77D2D">
      <w:pPr>
        <w:spacing w:line="360" w:lineRule="auto"/>
        <w:ind w:firstLineChars="200" w:firstLine="420"/>
        <w:jc w:val="left"/>
        <w:divId w:val="1966884614"/>
      </w:pPr>
      <w:r>
        <w:rPr>
          <w:rFonts w:ascii="宋体" w:hAnsi="宋体" w:hint="eastAsia"/>
          <w:lang w:eastAsia="zh-Hans"/>
        </w:rPr>
        <w:t>无。</w:t>
      </w:r>
      <w:r>
        <w:rPr>
          <w:rFonts w:ascii="宋体" w:hAnsi="宋体" w:hint="eastAsia"/>
        </w:rPr>
        <w:t xml:space="preserve"> </w:t>
      </w:r>
    </w:p>
    <w:p w14:paraId="5F8060E3" w14:textId="77777777" w:rsidR="00C77D2D" w:rsidRDefault="00C77D2D">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5B11C366" w14:textId="77777777" w:rsidR="00C77D2D" w:rsidRDefault="00C77D2D">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1005"/>
        <w:gridCol w:w="1058"/>
        <w:gridCol w:w="1395"/>
        <w:gridCol w:w="1189"/>
        <w:gridCol w:w="1181"/>
        <w:gridCol w:w="1395"/>
        <w:gridCol w:w="1372"/>
      </w:tblGrid>
      <w:tr w:rsidR="00FF1735" w14:paraId="20DB4379" w14:textId="77777777">
        <w:trPr>
          <w:divId w:val="764619277"/>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81FF36" w14:textId="77777777" w:rsidR="00C77D2D" w:rsidRDefault="00C77D2D">
            <w:pPr>
              <w:jc w:val="center"/>
            </w:pPr>
            <w:bookmarkStart w:id="346" w:name="OLE_LINK42"/>
            <w:bookmarkStart w:id="347" w:name="OLE_LINK41"/>
            <w:bookmarkStart w:id="348" w:name="m13_01"/>
            <w:bookmarkStart w:id="349" w:name="m13_01_01"/>
            <w:bookmarkStart w:id="350" w:name="_Toc433036733"/>
            <w:bookmarkStart w:id="351" w:name="m12_01"/>
            <w:bookmarkEnd w:id="42"/>
            <w:bookmarkEnd w:id="43"/>
            <w:bookmarkEnd w:id="346"/>
            <w:bookmarkEnd w:id="347"/>
            <w:bookmarkEnd w:id="348"/>
            <w:bookmarkEnd w:id="349"/>
            <w:bookmarkEnd w:id="350"/>
            <w:bookmarkEnd w:id="351"/>
            <w:bookmarkEnd w:id="2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28AEAE" w14:textId="77777777" w:rsidR="00C77D2D" w:rsidRDefault="00C77D2D">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C230E9" w14:textId="77777777" w:rsidR="00C77D2D" w:rsidRDefault="00C77D2D">
            <w:pPr>
              <w:widowControl/>
              <w:jc w:val="center"/>
            </w:pPr>
            <w:r>
              <w:rPr>
                <w:rFonts w:ascii="宋体" w:hAnsi="宋体" w:hint="eastAsia"/>
                <w:color w:val="000000"/>
                <w:kern w:val="0"/>
              </w:rPr>
              <w:t xml:space="preserve">报告期末持有基金情况 </w:t>
            </w:r>
          </w:p>
        </w:tc>
      </w:tr>
      <w:tr w:rsidR="00FF1735" w14:paraId="3F434D05" w14:textId="77777777">
        <w:trPr>
          <w:divId w:val="76461927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B830DB" w14:textId="77777777" w:rsidR="00C77D2D" w:rsidRDefault="00C77D2D">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37085E" w14:textId="77777777" w:rsidR="00C77D2D" w:rsidRDefault="00C77D2D">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48CA93" w14:textId="77777777" w:rsidR="00C77D2D" w:rsidRDefault="00C77D2D">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904DBB" w14:textId="77777777" w:rsidR="00C77D2D" w:rsidRDefault="00C77D2D">
            <w:pPr>
              <w:widowControl/>
              <w:jc w:val="center"/>
            </w:pPr>
            <w:r>
              <w:rPr>
                <w:rFonts w:ascii="宋体" w:hAnsi="宋体" w:hint="eastAsia"/>
                <w:color w:val="000000"/>
                <w:kern w:val="0"/>
              </w:rPr>
              <w:t xml:space="preserve">期初 </w:t>
            </w:r>
          </w:p>
          <w:p w14:paraId="7B02E116" w14:textId="77777777" w:rsidR="00C77D2D" w:rsidRDefault="00C77D2D">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82073F" w14:textId="77777777" w:rsidR="00C77D2D" w:rsidRDefault="00C77D2D">
            <w:pPr>
              <w:widowControl/>
              <w:jc w:val="center"/>
            </w:pPr>
            <w:r>
              <w:rPr>
                <w:rFonts w:ascii="宋体" w:hAnsi="宋体" w:hint="eastAsia"/>
                <w:color w:val="000000"/>
                <w:kern w:val="0"/>
              </w:rPr>
              <w:t xml:space="preserve">申购 </w:t>
            </w:r>
          </w:p>
          <w:p w14:paraId="6F5CD845" w14:textId="77777777" w:rsidR="00C77D2D" w:rsidRDefault="00C77D2D">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E1CDD8" w14:textId="77777777" w:rsidR="00C77D2D" w:rsidRDefault="00C77D2D">
            <w:pPr>
              <w:widowControl/>
              <w:jc w:val="center"/>
            </w:pPr>
            <w:r>
              <w:rPr>
                <w:rFonts w:ascii="宋体" w:hAnsi="宋体" w:hint="eastAsia"/>
                <w:color w:val="000000"/>
                <w:kern w:val="0"/>
              </w:rPr>
              <w:t xml:space="preserve">赎回 </w:t>
            </w:r>
          </w:p>
          <w:p w14:paraId="0CA2BE33" w14:textId="77777777" w:rsidR="00C77D2D" w:rsidRDefault="00C77D2D">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675F20" w14:textId="77777777" w:rsidR="00C77D2D" w:rsidRDefault="00C77D2D">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B93C18" w14:textId="77777777" w:rsidR="00C77D2D" w:rsidRDefault="00C77D2D">
            <w:pPr>
              <w:widowControl/>
              <w:jc w:val="center"/>
            </w:pPr>
            <w:r>
              <w:rPr>
                <w:rFonts w:ascii="宋体" w:hAnsi="宋体" w:hint="eastAsia"/>
                <w:color w:val="000000"/>
                <w:kern w:val="0"/>
              </w:rPr>
              <w:t xml:space="preserve">份额占比 </w:t>
            </w:r>
          </w:p>
        </w:tc>
      </w:tr>
      <w:tr w:rsidR="00FF1735" w14:paraId="7A32F040" w14:textId="77777777">
        <w:trPr>
          <w:divId w:val="764619277"/>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EE8CAA" w14:textId="77777777" w:rsidR="00C77D2D" w:rsidRDefault="00C77D2D">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97130D" w14:textId="77777777" w:rsidR="00C77D2D" w:rsidRDefault="00C77D2D">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C2A387" w14:textId="77777777" w:rsidR="00C77D2D" w:rsidRDefault="00C77D2D">
            <w:pPr>
              <w:widowControl/>
              <w:jc w:val="center"/>
            </w:pPr>
            <w:r>
              <w:rPr>
                <w:rFonts w:ascii="宋体" w:hAnsi="宋体" w:hint="eastAsia"/>
                <w:color w:val="000000"/>
                <w:szCs w:val="21"/>
              </w:rPr>
              <w:t>20251001-20251231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0848A9" w14:textId="77777777" w:rsidR="00C77D2D" w:rsidRDefault="00C77D2D">
            <w:pPr>
              <w:widowControl/>
              <w:jc w:val="right"/>
            </w:pPr>
            <w:r>
              <w:rPr>
                <w:rFonts w:ascii="宋体" w:hAnsi="宋体" w:hint="eastAsia"/>
                <w:color w:val="000000"/>
                <w:szCs w:val="21"/>
              </w:rPr>
              <w:t>38,251,855.25</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D85456" w14:textId="77777777" w:rsidR="00C77D2D" w:rsidRDefault="00C77D2D">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283205" w14:textId="77777777" w:rsidR="00C77D2D" w:rsidRDefault="00C77D2D">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13CE4C" w14:textId="77777777" w:rsidR="00C77D2D" w:rsidRDefault="00C77D2D">
            <w:pPr>
              <w:widowControl/>
              <w:jc w:val="right"/>
            </w:pPr>
            <w:r>
              <w:rPr>
                <w:rFonts w:ascii="宋体" w:hAnsi="宋体" w:hint="eastAsia"/>
                <w:color w:val="000000"/>
                <w:szCs w:val="21"/>
              </w:rPr>
              <w:t>38,251,855.25</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E0356" w14:textId="77777777" w:rsidR="00C77D2D" w:rsidRDefault="00C77D2D">
            <w:pPr>
              <w:widowControl/>
              <w:jc w:val="right"/>
            </w:pPr>
            <w:r>
              <w:rPr>
                <w:rFonts w:ascii="宋体" w:hAnsi="宋体" w:hint="eastAsia"/>
                <w:color w:val="000000"/>
                <w:szCs w:val="21"/>
              </w:rPr>
              <w:t>30.74</w:t>
            </w:r>
            <w:r>
              <w:rPr>
                <w:szCs w:val="21"/>
              </w:rPr>
              <w:t>%</w:t>
            </w:r>
            <w:r>
              <w:t xml:space="preserve"> </w:t>
            </w:r>
          </w:p>
        </w:tc>
      </w:tr>
      <w:tr w:rsidR="00FF1735" w14:paraId="6A671966" w14:textId="77777777">
        <w:trPr>
          <w:divId w:val="764619277"/>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37CAAD" w14:textId="77777777" w:rsidR="00C77D2D" w:rsidRDefault="00C77D2D">
            <w:pPr>
              <w:widowControl/>
              <w:jc w:val="center"/>
            </w:pPr>
            <w:r>
              <w:rPr>
                <w:rFonts w:ascii="宋体" w:hAnsi="宋体" w:hint="eastAsia"/>
                <w:color w:val="000000"/>
                <w:kern w:val="0"/>
              </w:rPr>
              <w:t xml:space="preserve">产品特有风险 </w:t>
            </w:r>
          </w:p>
        </w:tc>
      </w:tr>
      <w:tr w:rsidR="00FF1735" w14:paraId="75110D5D" w14:textId="77777777">
        <w:trPr>
          <w:divId w:val="764619277"/>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4653FF" w14:textId="77777777" w:rsidR="00C77D2D" w:rsidRDefault="00C77D2D">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2A3A9DAD" w14:textId="77777777" w:rsidR="00C77D2D" w:rsidRDefault="00C77D2D">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38"/>
      <w:proofErr w:type="spellStart"/>
      <w:r>
        <w:rPr>
          <w:rFonts w:hAnsi="宋体" w:hint="eastAsia"/>
        </w:rPr>
        <w:t>备查文件目录</w:t>
      </w:r>
      <w:bookmarkEnd w:id="352"/>
      <w:bookmarkEnd w:id="353"/>
      <w:bookmarkEnd w:id="354"/>
      <w:bookmarkEnd w:id="355"/>
      <w:bookmarkEnd w:id="356"/>
      <w:bookmarkEnd w:id="357"/>
      <w:bookmarkEnd w:id="358"/>
      <w:bookmarkEnd w:id="359"/>
      <w:proofErr w:type="spellEnd"/>
      <w:r>
        <w:rPr>
          <w:rFonts w:hAnsi="宋体" w:hint="eastAsia"/>
        </w:rPr>
        <w:t xml:space="preserve"> </w:t>
      </w:r>
    </w:p>
    <w:p w14:paraId="25BFB71D" w14:textId="77777777" w:rsidR="00C77D2D" w:rsidRDefault="00C77D2D">
      <w:pPr>
        <w:pStyle w:val="XBRLTitle2"/>
        <w:spacing w:before="156" w:line="360" w:lineRule="auto"/>
        <w:ind w:left="454"/>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proofErr w:type="spellStart"/>
      <w:r>
        <w:rPr>
          <w:rFonts w:hAnsi="宋体" w:hint="eastAsia"/>
        </w:rPr>
        <w:t>备查文件目录</w:t>
      </w:r>
      <w:bookmarkEnd w:id="360"/>
      <w:bookmarkEnd w:id="361"/>
      <w:bookmarkEnd w:id="362"/>
      <w:bookmarkEnd w:id="363"/>
      <w:bookmarkEnd w:id="364"/>
      <w:bookmarkEnd w:id="365"/>
      <w:bookmarkEnd w:id="366"/>
      <w:bookmarkEnd w:id="367"/>
      <w:proofErr w:type="spellEnd"/>
      <w:r>
        <w:rPr>
          <w:rFonts w:hAnsi="宋体" w:hint="eastAsia"/>
        </w:rPr>
        <w:t xml:space="preserve"> </w:t>
      </w:r>
    </w:p>
    <w:p w14:paraId="46E08F07" w14:textId="77777777" w:rsidR="00C77D2D" w:rsidRDefault="00C77D2D">
      <w:pPr>
        <w:spacing w:line="360" w:lineRule="auto"/>
        <w:ind w:firstLineChars="200" w:firstLine="420"/>
        <w:jc w:val="left"/>
      </w:pPr>
      <w:r>
        <w:rPr>
          <w:rFonts w:ascii="宋体" w:hAnsi="宋体" w:cs="宋体" w:hint="eastAsia"/>
          <w:color w:val="000000"/>
          <w:kern w:val="0"/>
        </w:rPr>
        <w:t>1.中国证监会准予本基金募集注册的文件；</w:t>
      </w:r>
      <w:r>
        <w:rPr>
          <w:rFonts w:ascii="宋体" w:hAnsi="宋体" w:cs="宋体" w:hint="eastAsia"/>
          <w:color w:val="000000"/>
          <w:kern w:val="0"/>
        </w:rPr>
        <w:br/>
        <w:t xml:space="preserve">　　2.《摩根安隆回报混合型证券投资基金基金合同》；</w:t>
      </w:r>
      <w:r>
        <w:rPr>
          <w:rFonts w:ascii="宋体" w:hAnsi="宋体" w:cs="宋体" w:hint="eastAsia"/>
          <w:color w:val="000000"/>
          <w:kern w:val="0"/>
        </w:rPr>
        <w:br/>
        <w:t xml:space="preserve">　　3.《摩根安隆回报混合型证券投资基金托管协议》；</w:t>
      </w:r>
      <w:r>
        <w:rPr>
          <w:rFonts w:ascii="宋体" w:hAnsi="宋体" w:cs="宋体" w:hint="eastAsia"/>
          <w:color w:val="000000"/>
          <w:kern w:val="0"/>
        </w:rPr>
        <w:br/>
        <w:t xml:space="preserve">　　4.《摩根基金管理(中国)有限公司开放式基金业务规则》；</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6.基金托管人业务资格批件和营业执照。</w:t>
      </w:r>
    </w:p>
    <w:p w14:paraId="2FDBE1ED" w14:textId="77777777" w:rsidR="00C77D2D" w:rsidRDefault="00C77D2D">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proofErr w:type="spellStart"/>
      <w:r>
        <w:rPr>
          <w:rFonts w:hAnsi="宋体" w:hint="eastAsia"/>
        </w:rPr>
        <w:t>存放地点</w:t>
      </w:r>
      <w:bookmarkEnd w:id="369"/>
      <w:bookmarkEnd w:id="370"/>
      <w:bookmarkEnd w:id="371"/>
      <w:bookmarkEnd w:id="372"/>
      <w:bookmarkEnd w:id="373"/>
      <w:bookmarkEnd w:id="374"/>
      <w:bookmarkEnd w:id="375"/>
      <w:bookmarkEnd w:id="376"/>
      <w:proofErr w:type="spellEnd"/>
      <w:r>
        <w:rPr>
          <w:rFonts w:hAnsi="宋体" w:hint="eastAsia"/>
        </w:rPr>
        <w:t xml:space="preserve"> </w:t>
      </w:r>
    </w:p>
    <w:p w14:paraId="21770788" w14:textId="77777777" w:rsidR="00C77D2D" w:rsidRDefault="00C77D2D">
      <w:pPr>
        <w:spacing w:line="360" w:lineRule="auto"/>
        <w:ind w:firstLineChars="200" w:firstLine="420"/>
        <w:jc w:val="left"/>
      </w:pPr>
      <w:r>
        <w:rPr>
          <w:rFonts w:ascii="宋体" w:hAnsi="宋体" w:cs="宋体" w:hint="eastAsia"/>
          <w:color w:val="000000"/>
          <w:kern w:val="0"/>
        </w:rPr>
        <w:t>基金管理人或基金托管人住所。</w:t>
      </w:r>
    </w:p>
    <w:p w14:paraId="6E68BC5A" w14:textId="77777777" w:rsidR="00C77D2D" w:rsidRDefault="00C77D2D">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proofErr w:type="spellStart"/>
      <w:r>
        <w:rPr>
          <w:rFonts w:hAnsi="宋体" w:hint="eastAsia"/>
        </w:rPr>
        <w:t>查阅方式</w:t>
      </w:r>
      <w:bookmarkEnd w:id="378"/>
      <w:bookmarkEnd w:id="379"/>
      <w:bookmarkEnd w:id="380"/>
      <w:bookmarkEnd w:id="381"/>
      <w:bookmarkEnd w:id="382"/>
      <w:bookmarkEnd w:id="383"/>
      <w:bookmarkEnd w:id="384"/>
      <w:bookmarkEnd w:id="385"/>
      <w:proofErr w:type="spellEnd"/>
      <w:r>
        <w:rPr>
          <w:rFonts w:hAnsi="宋体" w:hint="eastAsia"/>
        </w:rPr>
        <w:t xml:space="preserve"> </w:t>
      </w:r>
    </w:p>
    <w:p w14:paraId="430EC1A1" w14:textId="77777777" w:rsidR="00C77D2D" w:rsidRDefault="00C77D2D">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6"/>
    <w:p w14:paraId="28271DEC" w14:textId="77777777" w:rsidR="00C77D2D" w:rsidRDefault="00C77D2D">
      <w:pPr>
        <w:spacing w:line="360" w:lineRule="auto"/>
        <w:ind w:firstLineChars="600" w:firstLine="1687"/>
        <w:jc w:val="left"/>
        <w:rPr>
          <w:rFonts w:ascii="宋体" w:hAnsi="宋体"/>
          <w:b/>
          <w:bCs/>
          <w:sz w:val="28"/>
          <w:szCs w:val="30"/>
        </w:rPr>
      </w:pPr>
      <w:r>
        <w:rPr>
          <w:rFonts w:ascii="宋体" w:hAnsi="宋体" w:hint="eastAsia"/>
          <w:b/>
          <w:bCs/>
          <w:sz w:val="28"/>
          <w:szCs w:val="30"/>
        </w:rPr>
        <w:t xml:space="preserve">　 </w:t>
      </w:r>
    </w:p>
    <w:p w14:paraId="2E457046" w14:textId="77777777" w:rsidR="00CD689E" w:rsidRDefault="00CD689E" w:rsidP="00CD689E">
      <w:pPr>
        <w:spacing w:line="360" w:lineRule="auto"/>
        <w:jc w:val="left"/>
        <w:rPr>
          <w:rFonts w:hint="eastAsia"/>
        </w:rPr>
      </w:pPr>
    </w:p>
    <w:p w14:paraId="7FB3B7CE" w14:textId="77777777" w:rsidR="00C77D2D" w:rsidRDefault="00C77D2D">
      <w:pPr>
        <w:spacing w:line="360" w:lineRule="auto"/>
        <w:ind w:firstLineChars="600" w:firstLine="1687"/>
        <w:jc w:val="left"/>
      </w:pPr>
      <w:r>
        <w:rPr>
          <w:rFonts w:ascii="宋体" w:hAnsi="宋体" w:hint="eastAsia"/>
          <w:b/>
          <w:bCs/>
          <w:sz w:val="28"/>
          <w:szCs w:val="30"/>
        </w:rPr>
        <w:t xml:space="preserve">　 </w:t>
      </w:r>
    </w:p>
    <w:p w14:paraId="2C9F4835" w14:textId="77777777" w:rsidR="00C77D2D" w:rsidRDefault="00C77D2D">
      <w:pPr>
        <w:spacing w:line="360" w:lineRule="auto"/>
        <w:ind w:firstLineChars="600" w:firstLine="1446"/>
        <w:jc w:val="right"/>
      </w:pPr>
      <w:r>
        <w:rPr>
          <w:rFonts w:ascii="宋体" w:hAnsi="宋体" w:hint="eastAsia"/>
          <w:b/>
          <w:bCs/>
          <w:sz w:val="24"/>
          <w:szCs w:val="24"/>
        </w:rPr>
        <w:t>摩根基金管理（中国）有限公司</w:t>
      </w:r>
    </w:p>
    <w:p w14:paraId="75A1E228" w14:textId="77777777" w:rsidR="00C77D2D" w:rsidRDefault="00C77D2D">
      <w:pPr>
        <w:spacing w:line="360" w:lineRule="auto"/>
        <w:ind w:firstLineChars="600" w:firstLine="1446"/>
        <w:jc w:val="right"/>
      </w:pPr>
      <w:r>
        <w:rPr>
          <w:rFonts w:ascii="宋体" w:hAnsi="宋体" w:hint="eastAsia"/>
          <w:b/>
          <w:bCs/>
          <w:sz w:val="24"/>
          <w:szCs w:val="24"/>
        </w:rPr>
        <w:t>2026年1月22日</w:t>
      </w:r>
      <w:bookmarkEnd w:id="23"/>
    </w:p>
    <w:sectPr w:rsidR="00C77D2D">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4707B" w14:textId="77777777" w:rsidR="00C77D2D" w:rsidRDefault="00C77D2D">
      <w:pPr>
        <w:rPr>
          <w:szCs w:val="21"/>
        </w:rPr>
      </w:pPr>
      <w:r>
        <w:rPr>
          <w:szCs w:val="21"/>
        </w:rPr>
        <w:separator/>
      </w:r>
      <w:r>
        <w:rPr>
          <w:szCs w:val="21"/>
        </w:rPr>
        <w:t xml:space="preserve"> </w:t>
      </w:r>
    </w:p>
  </w:endnote>
  <w:endnote w:type="continuationSeparator" w:id="0">
    <w:p w14:paraId="02F444C4" w14:textId="77777777" w:rsidR="00C77D2D" w:rsidRDefault="00C77D2D">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4A25" w14:textId="77777777" w:rsidR="00C77D2D" w:rsidRDefault="00C77D2D">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DA2B0" w14:textId="77777777" w:rsidR="00C77D2D" w:rsidRDefault="00C77D2D">
      <w:pPr>
        <w:rPr>
          <w:szCs w:val="21"/>
        </w:rPr>
      </w:pPr>
      <w:r>
        <w:rPr>
          <w:szCs w:val="21"/>
        </w:rPr>
        <w:separator/>
      </w:r>
      <w:r>
        <w:rPr>
          <w:szCs w:val="21"/>
        </w:rPr>
        <w:t xml:space="preserve"> </w:t>
      </w:r>
    </w:p>
  </w:footnote>
  <w:footnote w:type="continuationSeparator" w:id="0">
    <w:p w14:paraId="77560835" w14:textId="77777777" w:rsidR="00C77D2D" w:rsidRDefault="00C77D2D">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ABA00" w14:textId="77777777" w:rsidR="00C77D2D" w:rsidRDefault="00C77D2D">
    <w:pPr>
      <w:pStyle w:val="a8"/>
      <w:jc w:val="right"/>
    </w:pPr>
    <w:r>
      <w:rPr>
        <w:rFonts w:ascii="宋体" w:hAnsi="宋体" w:hint="eastAsia"/>
      </w:rPr>
      <w:t>摩根安隆回报混合型证券投资基金2025年第4季度报告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842349917">
    <w:abstractNumId w:val="0"/>
  </w:num>
  <w:num w:numId="2" w16cid:durableId="835269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D2D"/>
    <w:rsid w:val="00534E23"/>
    <w:rsid w:val="008F3AD8"/>
    <w:rsid w:val="00C77D2D"/>
    <w:rsid w:val="00CD689E"/>
    <w:rsid w:val="00FF1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06A4130"/>
  <w15:chartTrackingRefBased/>
  <w15:docId w15:val="{C4F849B9-BF4E-4BD9-BD29-09992E25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7370">
      <w:marLeft w:val="0"/>
      <w:marRight w:val="0"/>
      <w:marTop w:val="0"/>
      <w:marBottom w:val="0"/>
      <w:divBdr>
        <w:top w:val="none" w:sz="0" w:space="0" w:color="auto"/>
        <w:left w:val="none" w:sz="0" w:space="0" w:color="auto"/>
        <w:bottom w:val="none" w:sz="0" w:space="0" w:color="auto"/>
        <w:right w:val="none" w:sz="0" w:space="0" w:color="auto"/>
      </w:divBdr>
    </w:div>
    <w:div w:id="192153484">
      <w:marLeft w:val="0"/>
      <w:marRight w:val="0"/>
      <w:marTop w:val="0"/>
      <w:marBottom w:val="0"/>
      <w:divBdr>
        <w:top w:val="none" w:sz="0" w:space="0" w:color="auto"/>
        <w:left w:val="none" w:sz="0" w:space="0" w:color="auto"/>
        <w:bottom w:val="none" w:sz="0" w:space="0" w:color="auto"/>
        <w:right w:val="none" w:sz="0" w:space="0" w:color="auto"/>
      </w:divBdr>
      <w:divsChild>
        <w:div w:id="1766881125">
          <w:marLeft w:val="0"/>
          <w:marRight w:val="0"/>
          <w:marTop w:val="0"/>
          <w:marBottom w:val="0"/>
          <w:divBdr>
            <w:top w:val="none" w:sz="0" w:space="0" w:color="auto"/>
            <w:left w:val="none" w:sz="0" w:space="0" w:color="auto"/>
            <w:bottom w:val="none" w:sz="0" w:space="0" w:color="auto"/>
            <w:right w:val="none" w:sz="0" w:space="0" w:color="auto"/>
          </w:divBdr>
        </w:div>
      </w:divsChild>
    </w:div>
    <w:div w:id="315763667">
      <w:marLeft w:val="0"/>
      <w:marRight w:val="0"/>
      <w:marTop w:val="0"/>
      <w:marBottom w:val="0"/>
      <w:divBdr>
        <w:top w:val="none" w:sz="0" w:space="0" w:color="auto"/>
        <w:left w:val="none" w:sz="0" w:space="0" w:color="auto"/>
        <w:bottom w:val="none" w:sz="0" w:space="0" w:color="auto"/>
        <w:right w:val="none" w:sz="0" w:space="0" w:color="auto"/>
      </w:divBdr>
      <w:divsChild>
        <w:div w:id="2026789471">
          <w:marLeft w:val="0"/>
          <w:marRight w:val="0"/>
          <w:marTop w:val="0"/>
          <w:marBottom w:val="0"/>
          <w:divBdr>
            <w:top w:val="none" w:sz="0" w:space="0" w:color="auto"/>
            <w:left w:val="none" w:sz="0" w:space="0" w:color="auto"/>
            <w:bottom w:val="none" w:sz="0" w:space="0" w:color="auto"/>
            <w:right w:val="none" w:sz="0" w:space="0" w:color="auto"/>
          </w:divBdr>
        </w:div>
      </w:divsChild>
    </w:div>
    <w:div w:id="484248415">
      <w:marLeft w:val="0"/>
      <w:marRight w:val="0"/>
      <w:marTop w:val="0"/>
      <w:marBottom w:val="0"/>
      <w:divBdr>
        <w:top w:val="none" w:sz="0" w:space="0" w:color="auto"/>
        <w:left w:val="none" w:sz="0" w:space="0" w:color="auto"/>
        <w:bottom w:val="none" w:sz="0" w:space="0" w:color="auto"/>
        <w:right w:val="none" w:sz="0" w:space="0" w:color="auto"/>
      </w:divBdr>
      <w:divsChild>
        <w:div w:id="1208762105">
          <w:marLeft w:val="0"/>
          <w:marRight w:val="0"/>
          <w:marTop w:val="0"/>
          <w:marBottom w:val="0"/>
          <w:divBdr>
            <w:top w:val="none" w:sz="0" w:space="0" w:color="auto"/>
            <w:left w:val="none" w:sz="0" w:space="0" w:color="auto"/>
            <w:bottom w:val="none" w:sz="0" w:space="0" w:color="auto"/>
            <w:right w:val="none" w:sz="0" w:space="0" w:color="auto"/>
          </w:divBdr>
        </w:div>
        <w:div w:id="625041639">
          <w:marLeft w:val="0"/>
          <w:marRight w:val="0"/>
          <w:marTop w:val="0"/>
          <w:marBottom w:val="0"/>
          <w:divBdr>
            <w:top w:val="none" w:sz="0" w:space="0" w:color="auto"/>
            <w:left w:val="none" w:sz="0" w:space="0" w:color="auto"/>
            <w:bottom w:val="none" w:sz="0" w:space="0" w:color="auto"/>
            <w:right w:val="none" w:sz="0" w:space="0" w:color="auto"/>
          </w:divBdr>
        </w:div>
      </w:divsChild>
    </w:div>
    <w:div w:id="495848431">
      <w:marLeft w:val="0"/>
      <w:marRight w:val="0"/>
      <w:marTop w:val="0"/>
      <w:marBottom w:val="0"/>
      <w:divBdr>
        <w:top w:val="none" w:sz="0" w:space="0" w:color="auto"/>
        <w:left w:val="none" w:sz="0" w:space="0" w:color="auto"/>
        <w:bottom w:val="none" w:sz="0" w:space="0" w:color="auto"/>
        <w:right w:val="none" w:sz="0" w:space="0" w:color="auto"/>
      </w:divBdr>
    </w:div>
    <w:div w:id="516893293">
      <w:marLeft w:val="0"/>
      <w:marRight w:val="0"/>
      <w:marTop w:val="0"/>
      <w:marBottom w:val="0"/>
      <w:divBdr>
        <w:top w:val="none" w:sz="0" w:space="0" w:color="auto"/>
        <w:left w:val="none" w:sz="0" w:space="0" w:color="auto"/>
        <w:bottom w:val="none" w:sz="0" w:space="0" w:color="auto"/>
        <w:right w:val="none" w:sz="0" w:space="0" w:color="auto"/>
      </w:divBdr>
    </w:div>
    <w:div w:id="677078543">
      <w:marLeft w:val="0"/>
      <w:marRight w:val="0"/>
      <w:marTop w:val="0"/>
      <w:marBottom w:val="0"/>
      <w:divBdr>
        <w:top w:val="none" w:sz="0" w:space="0" w:color="auto"/>
        <w:left w:val="none" w:sz="0" w:space="0" w:color="auto"/>
        <w:bottom w:val="none" w:sz="0" w:space="0" w:color="auto"/>
        <w:right w:val="none" w:sz="0" w:space="0" w:color="auto"/>
      </w:divBdr>
      <w:divsChild>
        <w:div w:id="294023547">
          <w:marLeft w:val="0"/>
          <w:marRight w:val="0"/>
          <w:marTop w:val="0"/>
          <w:marBottom w:val="0"/>
          <w:divBdr>
            <w:top w:val="none" w:sz="0" w:space="0" w:color="auto"/>
            <w:left w:val="none" w:sz="0" w:space="0" w:color="auto"/>
            <w:bottom w:val="none" w:sz="0" w:space="0" w:color="auto"/>
            <w:right w:val="none" w:sz="0" w:space="0" w:color="auto"/>
          </w:divBdr>
        </w:div>
      </w:divsChild>
    </w:div>
    <w:div w:id="802817092">
      <w:marLeft w:val="0"/>
      <w:marRight w:val="0"/>
      <w:marTop w:val="0"/>
      <w:marBottom w:val="0"/>
      <w:divBdr>
        <w:top w:val="none" w:sz="0" w:space="0" w:color="auto"/>
        <w:left w:val="none" w:sz="0" w:space="0" w:color="auto"/>
        <w:bottom w:val="none" w:sz="0" w:space="0" w:color="auto"/>
        <w:right w:val="none" w:sz="0" w:space="0" w:color="auto"/>
      </w:divBdr>
    </w:div>
    <w:div w:id="892036010">
      <w:marLeft w:val="0"/>
      <w:marRight w:val="0"/>
      <w:marTop w:val="0"/>
      <w:marBottom w:val="0"/>
      <w:divBdr>
        <w:top w:val="none" w:sz="0" w:space="0" w:color="auto"/>
        <w:left w:val="none" w:sz="0" w:space="0" w:color="auto"/>
        <w:bottom w:val="none" w:sz="0" w:space="0" w:color="auto"/>
        <w:right w:val="none" w:sz="0" w:space="0" w:color="auto"/>
      </w:divBdr>
      <w:divsChild>
        <w:div w:id="862599617">
          <w:marLeft w:val="0"/>
          <w:marRight w:val="0"/>
          <w:marTop w:val="0"/>
          <w:marBottom w:val="0"/>
          <w:divBdr>
            <w:top w:val="none" w:sz="0" w:space="0" w:color="auto"/>
            <w:left w:val="none" w:sz="0" w:space="0" w:color="auto"/>
            <w:bottom w:val="none" w:sz="0" w:space="0" w:color="auto"/>
            <w:right w:val="none" w:sz="0" w:space="0" w:color="auto"/>
          </w:divBdr>
        </w:div>
      </w:divsChild>
    </w:div>
    <w:div w:id="916862439">
      <w:marLeft w:val="0"/>
      <w:marRight w:val="0"/>
      <w:marTop w:val="0"/>
      <w:marBottom w:val="0"/>
      <w:divBdr>
        <w:top w:val="none" w:sz="0" w:space="0" w:color="auto"/>
        <w:left w:val="none" w:sz="0" w:space="0" w:color="auto"/>
        <w:bottom w:val="none" w:sz="0" w:space="0" w:color="auto"/>
        <w:right w:val="none" w:sz="0" w:space="0" w:color="auto"/>
      </w:divBdr>
      <w:divsChild>
        <w:div w:id="376011919">
          <w:marLeft w:val="0"/>
          <w:marRight w:val="0"/>
          <w:marTop w:val="0"/>
          <w:marBottom w:val="0"/>
          <w:divBdr>
            <w:top w:val="none" w:sz="0" w:space="0" w:color="auto"/>
            <w:left w:val="none" w:sz="0" w:space="0" w:color="auto"/>
            <w:bottom w:val="none" w:sz="0" w:space="0" w:color="auto"/>
            <w:right w:val="none" w:sz="0" w:space="0" w:color="auto"/>
          </w:divBdr>
        </w:div>
      </w:divsChild>
    </w:div>
    <w:div w:id="943421680">
      <w:marLeft w:val="0"/>
      <w:marRight w:val="0"/>
      <w:marTop w:val="0"/>
      <w:marBottom w:val="0"/>
      <w:divBdr>
        <w:top w:val="none" w:sz="0" w:space="0" w:color="auto"/>
        <w:left w:val="none" w:sz="0" w:space="0" w:color="auto"/>
        <w:bottom w:val="none" w:sz="0" w:space="0" w:color="auto"/>
        <w:right w:val="none" w:sz="0" w:space="0" w:color="auto"/>
      </w:divBdr>
    </w:div>
    <w:div w:id="1084227930">
      <w:marLeft w:val="0"/>
      <w:marRight w:val="0"/>
      <w:marTop w:val="0"/>
      <w:marBottom w:val="0"/>
      <w:divBdr>
        <w:top w:val="none" w:sz="0" w:space="0" w:color="auto"/>
        <w:left w:val="none" w:sz="0" w:space="0" w:color="auto"/>
        <w:bottom w:val="none" w:sz="0" w:space="0" w:color="auto"/>
        <w:right w:val="none" w:sz="0" w:space="0" w:color="auto"/>
      </w:divBdr>
    </w:div>
    <w:div w:id="1192257989">
      <w:marLeft w:val="0"/>
      <w:marRight w:val="0"/>
      <w:marTop w:val="0"/>
      <w:marBottom w:val="0"/>
      <w:divBdr>
        <w:top w:val="none" w:sz="0" w:space="0" w:color="auto"/>
        <w:left w:val="none" w:sz="0" w:space="0" w:color="auto"/>
        <w:bottom w:val="none" w:sz="0" w:space="0" w:color="auto"/>
        <w:right w:val="none" w:sz="0" w:space="0" w:color="auto"/>
      </w:divBdr>
    </w:div>
    <w:div w:id="1240753289">
      <w:marLeft w:val="0"/>
      <w:marRight w:val="0"/>
      <w:marTop w:val="0"/>
      <w:marBottom w:val="0"/>
      <w:divBdr>
        <w:top w:val="none" w:sz="0" w:space="0" w:color="auto"/>
        <w:left w:val="none" w:sz="0" w:space="0" w:color="auto"/>
        <w:bottom w:val="none" w:sz="0" w:space="0" w:color="auto"/>
        <w:right w:val="none" w:sz="0" w:space="0" w:color="auto"/>
      </w:divBdr>
      <w:divsChild>
        <w:div w:id="764619277">
          <w:marLeft w:val="0"/>
          <w:marRight w:val="0"/>
          <w:marTop w:val="0"/>
          <w:marBottom w:val="0"/>
          <w:divBdr>
            <w:top w:val="none" w:sz="0" w:space="0" w:color="auto"/>
            <w:left w:val="none" w:sz="0" w:space="0" w:color="auto"/>
            <w:bottom w:val="none" w:sz="0" w:space="0" w:color="auto"/>
            <w:right w:val="none" w:sz="0" w:space="0" w:color="auto"/>
          </w:divBdr>
        </w:div>
      </w:divsChild>
    </w:div>
    <w:div w:id="1368064190">
      <w:marLeft w:val="0"/>
      <w:marRight w:val="0"/>
      <w:marTop w:val="0"/>
      <w:marBottom w:val="0"/>
      <w:divBdr>
        <w:top w:val="none" w:sz="0" w:space="0" w:color="auto"/>
        <w:left w:val="none" w:sz="0" w:space="0" w:color="auto"/>
        <w:bottom w:val="none" w:sz="0" w:space="0" w:color="auto"/>
        <w:right w:val="none" w:sz="0" w:space="0" w:color="auto"/>
      </w:divBdr>
      <w:divsChild>
        <w:div w:id="1699155844">
          <w:marLeft w:val="0"/>
          <w:marRight w:val="0"/>
          <w:marTop w:val="0"/>
          <w:marBottom w:val="0"/>
          <w:divBdr>
            <w:top w:val="none" w:sz="0" w:space="0" w:color="auto"/>
            <w:left w:val="none" w:sz="0" w:space="0" w:color="auto"/>
            <w:bottom w:val="none" w:sz="0" w:space="0" w:color="auto"/>
            <w:right w:val="none" w:sz="0" w:space="0" w:color="auto"/>
          </w:divBdr>
        </w:div>
      </w:divsChild>
    </w:div>
    <w:div w:id="1406803195">
      <w:marLeft w:val="0"/>
      <w:marRight w:val="0"/>
      <w:marTop w:val="0"/>
      <w:marBottom w:val="0"/>
      <w:divBdr>
        <w:top w:val="none" w:sz="0" w:space="0" w:color="auto"/>
        <w:left w:val="none" w:sz="0" w:space="0" w:color="auto"/>
        <w:bottom w:val="none" w:sz="0" w:space="0" w:color="auto"/>
        <w:right w:val="none" w:sz="0" w:space="0" w:color="auto"/>
      </w:divBdr>
    </w:div>
    <w:div w:id="1508907176">
      <w:marLeft w:val="0"/>
      <w:marRight w:val="0"/>
      <w:marTop w:val="0"/>
      <w:marBottom w:val="0"/>
      <w:divBdr>
        <w:top w:val="none" w:sz="0" w:space="0" w:color="auto"/>
        <w:left w:val="none" w:sz="0" w:space="0" w:color="auto"/>
        <w:bottom w:val="none" w:sz="0" w:space="0" w:color="auto"/>
        <w:right w:val="none" w:sz="0" w:space="0" w:color="auto"/>
      </w:divBdr>
    </w:div>
    <w:div w:id="1735395652">
      <w:marLeft w:val="0"/>
      <w:marRight w:val="0"/>
      <w:marTop w:val="0"/>
      <w:marBottom w:val="0"/>
      <w:divBdr>
        <w:top w:val="none" w:sz="0" w:space="0" w:color="auto"/>
        <w:left w:val="none" w:sz="0" w:space="0" w:color="auto"/>
        <w:bottom w:val="none" w:sz="0" w:space="0" w:color="auto"/>
        <w:right w:val="none" w:sz="0" w:space="0" w:color="auto"/>
      </w:divBdr>
    </w:div>
    <w:div w:id="1966884614">
      <w:marLeft w:val="0"/>
      <w:marRight w:val="0"/>
      <w:marTop w:val="0"/>
      <w:marBottom w:val="0"/>
      <w:divBdr>
        <w:top w:val="none" w:sz="0" w:space="0" w:color="auto"/>
        <w:left w:val="none" w:sz="0" w:space="0" w:color="auto"/>
        <w:bottom w:val="none" w:sz="0" w:space="0" w:color="auto"/>
        <w:right w:val="none" w:sz="0" w:space="0" w:color="auto"/>
      </w:divBdr>
    </w:div>
    <w:div w:id="1969505084">
      <w:marLeft w:val="0"/>
      <w:marRight w:val="0"/>
      <w:marTop w:val="0"/>
      <w:marBottom w:val="0"/>
      <w:divBdr>
        <w:top w:val="none" w:sz="0" w:space="0" w:color="auto"/>
        <w:left w:val="none" w:sz="0" w:space="0" w:color="auto"/>
        <w:bottom w:val="none" w:sz="0" w:space="0" w:color="auto"/>
        <w:right w:val="none" w:sz="0" w:space="0" w:color="auto"/>
      </w:divBdr>
    </w:div>
    <w:div w:id="2101363561">
      <w:marLeft w:val="0"/>
      <w:marRight w:val="0"/>
      <w:marTop w:val="0"/>
      <w:marBottom w:val="0"/>
      <w:divBdr>
        <w:top w:val="none" w:sz="0" w:space="0" w:color="auto"/>
        <w:left w:val="none" w:sz="0" w:space="0" w:color="auto"/>
        <w:bottom w:val="none" w:sz="0" w:space="0" w:color="auto"/>
        <w:right w:val="none" w:sz="0" w:space="0" w:color="auto"/>
      </w:divBdr>
    </w:div>
    <w:div w:id="211054394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7460</Words>
  <Characters>2744</Characters>
  <Application>Microsoft Office Word</Application>
  <DocSecurity>0</DocSecurity>
  <Lines>22</Lines>
  <Paragraphs>20</Paragraphs>
  <ScaleCrop>false</ScaleCrop>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Melody.Ling@FA</cp:lastModifiedBy>
  <cp:revision>3</cp:revision>
  <dcterms:created xsi:type="dcterms:W3CDTF">2026-01-14T13:52:00Z</dcterms:created>
  <dcterms:modified xsi:type="dcterms:W3CDTF">2026-01-21T06:28:00Z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