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摩根安隆回报混合型证券投资基金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基金托管人：杭州银行股份有限公司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基金托管人杭州银行股份有限公司根据本基金合同规定，于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摩根安隆回报混合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004738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302,477,359.01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334AFA" w:rsidRDefault="00A174E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334AFA" w:rsidRDefault="00A174E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334AFA" w:rsidRDefault="00A174E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334AFA" w:rsidRDefault="00A174E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w:t>
            </w:r>
            <w:r>
              <w:rPr>
                <w:rFonts w:eastAsiaTheme="minorEastAsia"/>
                <w:color w:val="000000" w:themeColor="text1"/>
                <w:kern w:val="0"/>
                <w:szCs w:val="21"/>
              </w:rPr>
              <w:t>短期债等多种投资策略，实施积极主动的组合管理，并根据对债券收益率曲线形态、息差变化的预测，对债券组合进行动态调整。</w:t>
            </w:r>
          </w:p>
          <w:p w:rsidR="00334AFA" w:rsidRDefault="00A174E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334AFA" w:rsidRDefault="00A174E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334AFA" w:rsidRDefault="00A174E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w:t>
            </w:r>
            <w:r>
              <w:rPr>
                <w:rFonts w:eastAsiaTheme="minorEastAsia"/>
                <w:color w:val="000000" w:themeColor="text1"/>
                <w:kern w:val="0"/>
                <w:szCs w:val="21"/>
              </w:rPr>
              <w:t>，预期风险和收益水平高于债券型基金和货币市场基金，低于股票型基金，属于中等风险收益水平的基金产品。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杭州银行股份有限公司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165,428,524.58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137,048,834.43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-13,215,949.33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-10,337,167.33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-4,477,073.60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-769,929.31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-0.0049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216,865,101.16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176,234,073.33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1.3109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1.2859</w:t>
            </w:r>
          </w:p>
        </w:tc>
      </w:tr>
    </w:tbl>
    <w:p w:rsidR="00334AFA" w:rsidRDefault="00A174E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摩根安隆回报混合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34AFA">
        <w:tc>
          <w:tcPr>
            <w:tcW w:w="1290" w:type="dxa"/>
            <w:vAlign w:val="center"/>
          </w:tcPr>
          <w:p w:rsidR="00334AFA" w:rsidRDefault="00A174EA">
            <w:pPr>
              <w:jc w:val="left"/>
            </w:pPr>
            <w:r>
              <w:rPr>
                <w:rFonts w:eastAsiaTheme="minorEastAsia"/>
                <w:color w:val="000000" w:themeColor="text1"/>
                <w:szCs w:val="21"/>
              </w:rPr>
              <w:t>过去三个月</w:t>
            </w:r>
          </w:p>
        </w:tc>
        <w:tc>
          <w:tcPr>
            <w:tcW w:w="1291" w:type="dxa"/>
            <w:vAlign w:val="center"/>
          </w:tcPr>
          <w:p w:rsidR="00334AFA" w:rsidRDefault="00A174EA">
            <w:pPr>
              <w:jc w:val="right"/>
            </w:pPr>
            <w:r>
              <w:rPr>
                <w:rFonts w:eastAsiaTheme="minorEastAsia"/>
                <w:color w:val="000000" w:themeColor="text1"/>
                <w:szCs w:val="21"/>
              </w:rPr>
              <w:t>0.38%</w:t>
            </w:r>
          </w:p>
        </w:tc>
        <w:tc>
          <w:tcPr>
            <w:tcW w:w="1291" w:type="dxa"/>
            <w:vAlign w:val="center"/>
          </w:tcPr>
          <w:p w:rsidR="00334AFA" w:rsidRDefault="00A174EA">
            <w:pPr>
              <w:jc w:val="right"/>
            </w:pPr>
            <w:r>
              <w:rPr>
                <w:rFonts w:eastAsiaTheme="minorEastAsia"/>
                <w:color w:val="000000" w:themeColor="text1"/>
                <w:szCs w:val="21"/>
              </w:rPr>
              <w:t>0.46%</w:t>
            </w:r>
          </w:p>
        </w:tc>
        <w:tc>
          <w:tcPr>
            <w:tcW w:w="1291" w:type="dxa"/>
            <w:vAlign w:val="center"/>
          </w:tcPr>
          <w:p w:rsidR="00334AFA" w:rsidRDefault="00A174EA">
            <w:pPr>
              <w:jc w:val="right"/>
            </w:pPr>
            <w:r>
              <w:rPr>
                <w:rFonts w:eastAsiaTheme="minorEastAsia"/>
                <w:color w:val="000000" w:themeColor="text1"/>
                <w:szCs w:val="21"/>
              </w:rPr>
              <w:t>2.29%</w:t>
            </w:r>
          </w:p>
        </w:tc>
        <w:tc>
          <w:tcPr>
            <w:tcW w:w="1291" w:type="dxa"/>
            <w:vAlign w:val="center"/>
          </w:tcPr>
          <w:p w:rsidR="00334AFA" w:rsidRDefault="00A174EA">
            <w:pPr>
              <w:jc w:val="right"/>
            </w:pPr>
            <w:r>
              <w:rPr>
                <w:rFonts w:eastAsiaTheme="minorEastAsia"/>
                <w:color w:val="000000" w:themeColor="text1"/>
                <w:szCs w:val="21"/>
              </w:rPr>
              <w:t>0.20%</w:t>
            </w:r>
          </w:p>
        </w:tc>
        <w:tc>
          <w:tcPr>
            <w:tcW w:w="1291" w:type="dxa"/>
            <w:vAlign w:val="center"/>
          </w:tcPr>
          <w:p w:rsidR="00334AFA" w:rsidRDefault="00A174EA">
            <w:pPr>
              <w:jc w:val="right"/>
            </w:pPr>
            <w:r>
              <w:rPr>
                <w:rFonts w:eastAsiaTheme="minorEastAsia"/>
                <w:color w:val="000000" w:themeColor="text1"/>
                <w:szCs w:val="21"/>
              </w:rPr>
              <w:t>-1.91%</w:t>
            </w:r>
          </w:p>
        </w:tc>
        <w:tc>
          <w:tcPr>
            <w:tcW w:w="1291" w:type="dxa"/>
            <w:vAlign w:val="center"/>
          </w:tcPr>
          <w:p w:rsidR="00334AFA" w:rsidRDefault="00A174EA">
            <w:pPr>
              <w:jc w:val="right"/>
            </w:pPr>
            <w:r>
              <w:rPr>
                <w:rFonts w:eastAsiaTheme="minorEastAsia"/>
                <w:color w:val="000000" w:themeColor="text1"/>
                <w:szCs w:val="21"/>
              </w:rPr>
              <w:t>0.26%</w:t>
            </w:r>
          </w:p>
        </w:tc>
      </w:tr>
      <w:tr w:rsidR="00334AFA">
        <w:tc>
          <w:tcPr>
            <w:tcW w:w="1290" w:type="dxa"/>
            <w:vAlign w:val="center"/>
          </w:tcPr>
          <w:p w:rsidR="00334AFA" w:rsidRDefault="00A174EA">
            <w:pPr>
              <w:jc w:val="left"/>
            </w:pPr>
            <w:r>
              <w:rPr>
                <w:rFonts w:eastAsiaTheme="minorEastAsia"/>
                <w:color w:val="000000" w:themeColor="text1"/>
                <w:szCs w:val="21"/>
              </w:rPr>
              <w:t>过去六个月</w:t>
            </w:r>
          </w:p>
        </w:tc>
        <w:tc>
          <w:tcPr>
            <w:tcW w:w="1291" w:type="dxa"/>
            <w:vAlign w:val="center"/>
          </w:tcPr>
          <w:p w:rsidR="00334AFA" w:rsidRDefault="00A174EA">
            <w:pPr>
              <w:jc w:val="right"/>
            </w:pPr>
            <w:r>
              <w:rPr>
                <w:rFonts w:eastAsiaTheme="minorEastAsia"/>
                <w:color w:val="000000" w:themeColor="text1"/>
                <w:szCs w:val="21"/>
              </w:rPr>
              <w:t>-1.11%</w:t>
            </w:r>
          </w:p>
        </w:tc>
        <w:tc>
          <w:tcPr>
            <w:tcW w:w="1291" w:type="dxa"/>
            <w:vAlign w:val="center"/>
          </w:tcPr>
          <w:p w:rsidR="00334AFA" w:rsidRDefault="00A174EA">
            <w:pPr>
              <w:jc w:val="right"/>
            </w:pPr>
            <w:r>
              <w:rPr>
                <w:rFonts w:eastAsiaTheme="minorEastAsia"/>
                <w:color w:val="000000" w:themeColor="text1"/>
                <w:szCs w:val="21"/>
              </w:rPr>
              <w:t>0.37%</w:t>
            </w:r>
          </w:p>
        </w:tc>
        <w:tc>
          <w:tcPr>
            <w:tcW w:w="1291" w:type="dxa"/>
            <w:vAlign w:val="center"/>
          </w:tcPr>
          <w:p w:rsidR="00334AFA" w:rsidRDefault="00A174EA">
            <w:pPr>
              <w:jc w:val="right"/>
            </w:pPr>
            <w:r>
              <w:rPr>
                <w:rFonts w:eastAsiaTheme="minorEastAsia"/>
                <w:color w:val="000000" w:themeColor="text1"/>
                <w:szCs w:val="21"/>
              </w:rPr>
              <w:t>1.93%</w:t>
            </w:r>
          </w:p>
        </w:tc>
        <w:tc>
          <w:tcPr>
            <w:tcW w:w="1291" w:type="dxa"/>
            <w:vAlign w:val="center"/>
          </w:tcPr>
          <w:p w:rsidR="00334AFA" w:rsidRDefault="00A174EA">
            <w:pPr>
              <w:jc w:val="right"/>
            </w:pPr>
            <w:r>
              <w:rPr>
                <w:rFonts w:eastAsiaTheme="minorEastAsia"/>
                <w:color w:val="000000" w:themeColor="text1"/>
                <w:szCs w:val="21"/>
              </w:rPr>
              <w:t>0.18%</w:t>
            </w:r>
          </w:p>
        </w:tc>
        <w:tc>
          <w:tcPr>
            <w:tcW w:w="1291" w:type="dxa"/>
            <w:vAlign w:val="center"/>
          </w:tcPr>
          <w:p w:rsidR="00334AFA" w:rsidRDefault="00A174EA">
            <w:pPr>
              <w:jc w:val="right"/>
            </w:pPr>
            <w:r>
              <w:rPr>
                <w:rFonts w:eastAsiaTheme="minorEastAsia"/>
                <w:color w:val="000000" w:themeColor="text1"/>
                <w:szCs w:val="21"/>
              </w:rPr>
              <w:t>-3.04%</w:t>
            </w:r>
          </w:p>
        </w:tc>
        <w:tc>
          <w:tcPr>
            <w:tcW w:w="1291" w:type="dxa"/>
            <w:vAlign w:val="center"/>
          </w:tcPr>
          <w:p w:rsidR="00334AFA" w:rsidRDefault="00A174EA">
            <w:pPr>
              <w:jc w:val="right"/>
            </w:pPr>
            <w:r>
              <w:rPr>
                <w:rFonts w:eastAsiaTheme="minorEastAsia"/>
                <w:color w:val="000000" w:themeColor="text1"/>
                <w:szCs w:val="21"/>
              </w:rPr>
              <w:t>0.19%</w:t>
            </w:r>
          </w:p>
        </w:tc>
      </w:tr>
      <w:tr w:rsidR="00334AFA">
        <w:tc>
          <w:tcPr>
            <w:tcW w:w="1290" w:type="dxa"/>
            <w:vAlign w:val="center"/>
          </w:tcPr>
          <w:p w:rsidR="00334AFA" w:rsidRDefault="00A174EA">
            <w:pPr>
              <w:jc w:val="left"/>
            </w:pPr>
            <w:r>
              <w:rPr>
                <w:rFonts w:eastAsiaTheme="minorEastAsia"/>
                <w:color w:val="000000" w:themeColor="text1"/>
                <w:szCs w:val="21"/>
              </w:rPr>
              <w:t>过去一年</w:t>
            </w:r>
          </w:p>
        </w:tc>
        <w:tc>
          <w:tcPr>
            <w:tcW w:w="1291" w:type="dxa"/>
            <w:vAlign w:val="center"/>
          </w:tcPr>
          <w:p w:rsidR="00334AFA" w:rsidRDefault="00A174EA">
            <w:pPr>
              <w:jc w:val="right"/>
            </w:pPr>
            <w:r>
              <w:rPr>
                <w:rFonts w:eastAsiaTheme="minorEastAsia"/>
                <w:color w:val="000000" w:themeColor="text1"/>
                <w:szCs w:val="21"/>
              </w:rPr>
              <w:t>-2.44%</w:t>
            </w:r>
          </w:p>
        </w:tc>
        <w:tc>
          <w:tcPr>
            <w:tcW w:w="1291" w:type="dxa"/>
            <w:vAlign w:val="center"/>
          </w:tcPr>
          <w:p w:rsidR="00334AFA" w:rsidRDefault="00A174EA">
            <w:pPr>
              <w:jc w:val="right"/>
            </w:pPr>
            <w:r>
              <w:rPr>
                <w:rFonts w:eastAsiaTheme="minorEastAsia"/>
                <w:color w:val="000000" w:themeColor="text1"/>
                <w:szCs w:val="21"/>
              </w:rPr>
              <w:t>0.30%</w:t>
            </w:r>
          </w:p>
        </w:tc>
        <w:tc>
          <w:tcPr>
            <w:tcW w:w="1291" w:type="dxa"/>
            <w:vAlign w:val="center"/>
          </w:tcPr>
          <w:p w:rsidR="00334AFA" w:rsidRDefault="00A174EA">
            <w:pPr>
              <w:jc w:val="right"/>
            </w:pPr>
            <w:r>
              <w:rPr>
                <w:rFonts w:eastAsiaTheme="minorEastAsia"/>
                <w:color w:val="000000" w:themeColor="text1"/>
                <w:szCs w:val="21"/>
              </w:rPr>
              <w:t>2.28%</w:t>
            </w:r>
          </w:p>
        </w:tc>
        <w:tc>
          <w:tcPr>
            <w:tcW w:w="1291" w:type="dxa"/>
            <w:vAlign w:val="center"/>
          </w:tcPr>
          <w:p w:rsidR="00334AFA" w:rsidRDefault="00A174EA">
            <w:pPr>
              <w:jc w:val="right"/>
            </w:pPr>
            <w:r>
              <w:rPr>
                <w:rFonts w:eastAsiaTheme="minorEastAsia"/>
                <w:color w:val="000000" w:themeColor="text1"/>
                <w:szCs w:val="21"/>
              </w:rPr>
              <w:t>0.17%</w:t>
            </w:r>
          </w:p>
        </w:tc>
        <w:tc>
          <w:tcPr>
            <w:tcW w:w="1291" w:type="dxa"/>
            <w:vAlign w:val="center"/>
          </w:tcPr>
          <w:p w:rsidR="00334AFA" w:rsidRDefault="00A174EA">
            <w:pPr>
              <w:jc w:val="right"/>
            </w:pPr>
            <w:r>
              <w:rPr>
                <w:rFonts w:eastAsiaTheme="minorEastAsia"/>
                <w:color w:val="000000" w:themeColor="text1"/>
                <w:szCs w:val="21"/>
              </w:rPr>
              <w:t>-4.72%</w:t>
            </w:r>
          </w:p>
        </w:tc>
        <w:tc>
          <w:tcPr>
            <w:tcW w:w="1291" w:type="dxa"/>
            <w:vAlign w:val="center"/>
          </w:tcPr>
          <w:p w:rsidR="00334AFA" w:rsidRDefault="00A174EA">
            <w:pPr>
              <w:jc w:val="right"/>
            </w:pPr>
            <w:r>
              <w:rPr>
                <w:rFonts w:eastAsiaTheme="minorEastAsia"/>
                <w:color w:val="000000" w:themeColor="text1"/>
                <w:szCs w:val="21"/>
              </w:rPr>
              <w:t>0.13%</w:t>
            </w:r>
          </w:p>
        </w:tc>
      </w:tr>
      <w:tr w:rsidR="00334AFA">
        <w:tc>
          <w:tcPr>
            <w:tcW w:w="1290" w:type="dxa"/>
            <w:vAlign w:val="center"/>
          </w:tcPr>
          <w:p w:rsidR="00334AFA" w:rsidRDefault="00A174EA">
            <w:pPr>
              <w:jc w:val="left"/>
            </w:pPr>
            <w:r>
              <w:rPr>
                <w:rFonts w:eastAsiaTheme="minorEastAsia"/>
                <w:color w:val="000000" w:themeColor="text1"/>
                <w:szCs w:val="21"/>
              </w:rPr>
              <w:t>过去三年</w:t>
            </w:r>
          </w:p>
        </w:tc>
        <w:tc>
          <w:tcPr>
            <w:tcW w:w="1291" w:type="dxa"/>
            <w:vAlign w:val="center"/>
          </w:tcPr>
          <w:p w:rsidR="00334AFA" w:rsidRDefault="00A174EA">
            <w:pPr>
              <w:jc w:val="right"/>
            </w:pPr>
            <w:r>
              <w:rPr>
                <w:rFonts w:eastAsiaTheme="minorEastAsia"/>
                <w:color w:val="000000" w:themeColor="text1"/>
                <w:szCs w:val="21"/>
              </w:rPr>
              <w:t>1.62%</w:t>
            </w:r>
          </w:p>
        </w:tc>
        <w:tc>
          <w:tcPr>
            <w:tcW w:w="1291" w:type="dxa"/>
            <w:vAlign w:val="center"/>
          </w:tcPr>
          <w:p w:rsidR="00334AFA" w:rsidRDefault="00A174EA">
            <w:pPr>
              <w:jc w:val="right"/>
            </w:pPr>
            <w:r>
              <w:rPr>
                <w:rFonts w:eastAsiaTheme="minorEastAsia"/>
                <w:color w:val="000000" w:themeColor="text1"/>
                <w:szCs w:val="21"/>
              </w:rPr>
              <w:t>0.26%</w:t>
            </w:r>
          </w:p>
        </w:tc>
        <w:tc>
          <w:tcPr>
            <w:tcW w:w="1291" w:type="dxa"/>
            <w:vAlign w:val="center"/>
          </w:tcPr>
          <w:p w:rsidR="00334AFA" w:rsidRDefault="00A174EA">
            <w:pPr>
              <w:jc w:val="right"/>
            </w:pPr>
            <w:r>
              <w:rPr>
                <w:rFonts w:eastAsiaTheme="minorEastAsia"/>
                <w:color w:val="000000" w:themeColor="text1"/>
                <w:szCs w:val="21"/>
              </w:rPr>
              <w:t>6.21%</w:t>
            </w:r>
          </w:p>
        </w:tc>
        <w:tc>
          <w:tcPr>
            <w:tcW w:w="1291" w:type="dxa"/>
            <w:vAlign w:val="center"/>
          </w:tcPr>
          <w:p w:rsidR="00334AFA" w:rsidRDefault="00A174EA">
            <w:pPr>
              <w:jc w:val="right"/>
            </w:pPr>
            <w:r>
              <w:rPr>
                <w:rFonts w:eastAsiaTheme="minorEastAsia"/>
                <w:color w:val="000000" w:themeColor="text1"/>
                <w:szCs w:val="21"/>
              </w:rPr>
              <w:t>0.21%</w:t>
            </w:r>
          </w:p>
        </w:tc>
        <w:tc>
          <w:tcPr>
            <w:tcW w:w="1291" w:type="dxa"/>
            <w:vAlign w:val="center"/>
          </w:tcPr>
          <w:p w:rsidR="00334AFA" w:rsidRDefault="00A174EA">
            <w:pPr>
              <w:jc w:val="right"/>
            </w:pPr>
            <w:r>
              <w:rPr>
                <w:rFonts w:eastAsiaTheme="minorEastAsia"/>
                <w:color w:val="000000" w:themeColor="text1"/>
                <w:szCs w:val="21"/>
              </w:rPr>
              <w:t>-4.59%</w:t>
            </w:r>
          </w:p>
        </w:tc>
        <w:tc>
          <w:tcPr>
            <w:tcW w:w="1291" w:type="dxa"/>
            <w:vAlign w:val="center"/>
          </w:tcPr>
          <w:p w:rsidR="00334AFA" w:rsidRDefault="00A174EA">
            <w:pPr>
              <w:jc w:val="right"/>
            </w:pPr>
            <w:r>
              <w:rPr>
                <w:rFonts w:eastAsiaTheme="minorEastAsia"/>
                <w:color w:val="000000" w:themeColor="text1"/>
                <w:szCs w:val="21"/>
              </w:rPr>
              <w:t>0.05%</w:t>
            </w:r>
          </w:p>
        </w:tc>
      </w:tr>
      <w:tr w:rsidR="00334AFA">
        <w:tc>
          <w:tcPr>
            <w:tcW w:w="1290" w:type="dxa"/>
            <w:vAlign w:val="center"/>
          </w:tcPr>
          <w:p w:rsidR="00334AFA" w:rsidRDefault="00A174EA">
            <w:pPr>
              <w:jc w:val="left"/>
            </w:pPr>
            <w:r>
              <w:rPr>
                <w:rFonts w:eastAsiaTheme="minorEastAsia"/>
                <w:color w:val="000000" w:themeColor="text1"/>
                <w:szCs w:val="21"/>
              </w:rPr>
              <w:lastRenderedPageBreak/>
              <w:t>过去五年</w:t>
            </w:r>
          </w:p>
        </w:tc>
        <w:tc>
          <w:tcPr>
            <w:tcW w:w="1291" w:type="dxa"/>
            <w:vAlign w:val="center"/>
          </w:tcPr>
          <w:p w:rsidR="00334AFA" w:rsidRDefault="00A174EA">
            <w:pPr>
              <w:jc w:val="right"/>
            </w:pPr>
            <w:r>
              <w:rPr>
                <w:rFonts w:eastAsiaTheme="minorEastAsia"/>
                <w:color w:val="000000" w:themeColor="text1"/>
                <w:szCs w:val="21"/>
              </w:rPr>
              <w:t>23.45%</w:t>
            </w:r>
          </w:p>
        </w:tc>
        <w:tc>
          <w:tcPr>
            <w:tcW w:w="1291" w:type="dxa"/>
            <w:vAlign w:val="center"/>
          </w:tcPr>
          <w:p w:rsidR="00334AFA" w:rsidRDefault="00A174EA">
            <w:pPr>
              <w:jc w:val="right"/>
            </w:pPr>
            <w:r>
              <w:rPr>
                <w:rFonts w:eastAsiaTheme="minorEastAsia"/>
                <w:color w:val="000000" w:themeColor="text1"/>
                <w:szCs w:val="21"/>
              </w:rPr>
              <w:t>0.26%</w:t>
            </w:r>
          </w:p>
        </w:tc>
        <w:tc>
          <w:tcPr>
            <w:tcW w:w="1291" w:type="dxa"/>
            <w:vAlign w:val="center"/>
          </w:tcPr>
          <w:p w:rsidR="00334AFA" w:rsidRDefault="00A174EA">
            <w:pPr>
              <w:jc w:val="right"/>
            </w:pPr>
            <w:r>
              <w:rPr>
                <w:rFonts w:eastAsiaTheme="minorEastAsia"/>
                <w:color w:val="000000" w:themeColor="text1"/>
                <w:szCs w:val="21"/>
              </w:rPr>
              <w:t>17.23%</w:t>
            </w:r>
          </w:p>
        </w:tc>
        <w:tc>
          <w:tcPr>
            <w:tcW w:w="1291" w:type="dxa"/>
            <w:vAlign w:val="center"/>
          </w:tcPr>
          <w:p w:rsidR="00334AFA" w:rsidRDefault="00A174EA">
            <w:pPr>
              <w:jc w:val="right"/>
            </w:pPr>
            <w:r>
              <w:rPr>
                <w:rFonts w:eastAsiaTheme="minorEastAsia"/>
                <w:color w:val="000000" w:themeColor="text1"/>
                <w:szCs w:val="21"/>
              </w:rPr>
              <w:t>0.23%</w:t>
            </w:r>
          </w:p>
        </w:tc>
        <w:tc>
          <w:tcPr>
            <w:tcW w:w="1291" w:type="dxa"/>
            <w:vAlign w:val="center"/>
          </w:tcPr>
          <w:p w:rsidR="00334AFA" w:rsidRDefault="00A174EA">
            <w:pPr>
              <w:jc w:val="right"/>
            </w:pPr>
            <w:r>
              <w:rPr>
                <w:rFonts w:eastAsiaTheme="minorEastAsia"/>
                <w:color w:val="000000" w:themeColor="text1"/>
                <w:szCs w:val="21"/>
              </w:rPr>
              <w:t>6.22%</w:t>
            </w:r>
          </w:p>
        </w:tc>
        <w:tc>
          <w:tcPr>
            <w:tcW w:w="1291" w:type="dxa"/>
            <w:vAlign w:val="center"/>
          </w:tcPr>
          <w:p w:rsidR="00334AFA" w:rsidRDefault="00A174EA">
            <w:pPr>
              <w:jc w:val="right"/>
            </w:pPr>
            <w:r>
              <w:rPr>
                <w:rFonts w:eastAsiaTheme="minorEastAsia"/>
                <w:color w:val="000000" w:themeColor="text1"/>
                <w:szCs w:val="21"/>
              </w:rPr>
              <w:t>0.03%</w:t>
            </w:r>
          </w:p>
        </w:tc>
      </w:tr>
      <w:tr w:rsidR="00334AFA">
        <w:tc>
          <w:tcPr>
            <w:tcW w:w="1290" w:type="dxa"/>
            <w:vAlign w:val="center"/>
          </w:tcPr>
          <w:p w:rsidR="00334AFA" w:rsidRDefault="00A174EA">
            <w:pPr>
              <w:jc w:val="left"/>
            </w:pPr>
            <w:r>
              <w:rPr>
                <w:rFonts w:eastAsiaTheme="minorEastAsia"/>
                <w:color w:val="000000" w:themeColor="text1"/>
                <w:szCs w:val="21"/>
              </w:rPr>
              <w:t>自基金合同生效起至今</w:t>
            </w:r>
          </w:p>
        </w:tc>
        <w:tc>
          <w:tcPr>
            <w:tcW w:w="1291" w:type="dxa"/>
            <w:vAlign w:val="center"/>
          </w:tcPr>
          <w:p w:rsidR="00334AFA" w:rsidRDefault="00A174EA">
            <w:pPr>
              <w:jc w:val="right"/>
            </w:pPr>
            <w:r>
              <w:rPr>
                <w:rFonts w:eastAsiaTheme="minorEastAsia"/>
                <w:color w:val="000000" w:themeColor="text1"/>
                <w:szCs w:val="21"/>
              </w:rPr>
              <w:t>31.09%</w:t>
            </w:r>
          </w:p>
        </w:tc>
        <w:tc>
          <w:tcPr>
            <w:tcW w:w="1291" w:type="dxa"/>
            <w:vAlign w:val="center"/>
          </w:tcPr>
          <w:p w:rsidR="00334AFA" w:rsidRDefault="00A174EA">
            <w:pPr>
              <w:jc w:val="right"/>
            </w:pPr>
            <w:r>
              <w:rPr>
                <w:rFonts w:eastAsiaTheme="minorEastAsia"/>
                <w:color w:val="000000" w:themeColor="text1"/>
                <w:szCs w:val="21"/>
              </w:rPr>
              <w:t>0.25%</w:t>
            </w:r>
          </w:p>
        </w:tc>
        <w:tc>
          <w:tcPr>
            <w:tcW w:w="1291" w:type="dxa"/>
            <w:vAlign w:val="center"/>
          </w:tcPr>
          <w:p w:rsidR="00334AFA" w:rsidRDefault="00A174EA">
            <w:pPr>
              <w:jc w:val="right"/>
            </w:pPr>
            <w:r>
              <w:rPr>
                <w:rFonts w:eastAsiaTheme="minorEastAsia"/>
                <w:color w:val="000000" w:themeColor="text1"/>
                <w:szCs w:val="21"/>
              </w:rPr>
              <w:t>25.33%</w:t>
            </w:r>
          </w:p>
        </w:tc>
        <w:tc>
          <w:tcPr>
            <w:tcW w:w="1291" w:type="dxa"/>
            <w:vAlign w:val="center"/>
          </w:tcPr>
          <w:p w:rsidR="00334AFA" w:rsidRDefault="00A174EA">
            <w:pPr>
              <w:jc w:val="right"/>
            </w:pPr>
            <w:r>
              <w:rPr>
                <w:rFonts w:eastAsiaTheme="minorEastAsia"/>
                <w:color w:val="000000" w:themeColor="text1"/>
                <w:szCs w:val="21"/>
              </w:rPr>
              <w:t>0.24%</w:t>
            </w:r>
          </w:p>
        </w:tc>
        <w:tc>
          <w:tcPr>
            <w:tcW w:w="1291" w:type="dxa"/>
            <w:vAlign w:val="center"/>
          </w:tcPr>
          <w:p w:rsidR="00334AFA" w:rsidRDefault="00A174EA">
            <w:pPr>
              <w:jc w:val="right"/>
            </w:pPr>
            <w:r>
              <w:rPr>
                <w:rFonts w:eastAsiaTheme="minorEastAsia"/>
                <w:color w:val="000000" w:themeColor="text1"/>
                <w:szCs w:val="21"/>
              </w:rPr>
              <w:t>5.76%</w:t>
            </w:r>
          </w:p>
        </w:tc>
        <w:tc>
          <w:tcPr>
            <w:tcW w:w="1291" w:type="dxa"/>
            <w:vAlign w:val="center"/>
          </w:tcPr>
          <w:p w:rsidR="00334AFA" w:rsidRDefault="00A174EA">
            <w:pPr>
              <w:jc w:val="right"/>
            </w:pPr>
            <w:r>
              <w:rPr>
                <w:rFonts w:eastAsiaTheme="minorEastAsia"/>
                <w:color w:val="000000" w:themeColor="text1"/>
                <w:szCs w:val="21"/>
              </w:rPr>
              <w:t>0.01%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摩根安隆回报混合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34AFA">
        <w:tc>
          <w:tcPr>
            <w:tcW w:w="1290" w:type="dxa"/>
            <w:vAlign w:val="center"/>
          </w:tcPr>
          <w:p w:rsidR="00334AFA" w:rsidRDefault="00A174EA">
            <w:pPr>
              <w:jc w:val="left"/>
            </w:pPr>
            <w:r>
              <w:rPr>
                <w:rFonts w:eastAsiaTheme="minorEastAsia"/>
                <w:color w:val="000000" w:themeColor="text1"/>
                <w:szCs w:val="21"/>
              </w:rPr>
              <w:t>过去三个月</w:t>
            </w:r>
          </w:p>
        </w:tc>
        <w:tc>
          <w:tcPr>
            <w:tcW w:w="1291" w:type="dxa"/>
            <w:vAlign w:val="center"/>
          </w:tcPr>
          <w:p w:rsidR="00334AFA" w:rsidRDefault="00A174EA">
            <w:pPr>
              <w:jc w:val="right"/>
            </w:pPr>
            <w:r>
              <w:rPr>
                <w:rFonts w:eastAsiaTheme="minorEastAsia"/>
                <w:color w:val="000000" w:themeColor="text1"/>
                <w:szCs w:val="21"/>
              </w:rPr>
              <w:t>0.30%</w:t>
            </w:r>
          </w:p>
        </w:tc>
        <w:tc>
          <w:tcPr>
            <w:tcW w:w="1291" w:type="dxa"/>
            <w:vAlign w:val="center"/>
          </w:tcPr>
          <w:p w:rsidR="00334AFA" w:rsidRDefault="00A174EA">
            <w:pPr>
              <w:jc w:val="right"/>
            </w:pPr>
            <w:r>
              <w:rPr>
                <w:rFonts w:eastAsiaTheme="minorEastAsia"/>
                <w:color w:val="000000" w:themeColor="text1"/>
                <w:szCs w:val="21"/>
              </w:rPr>
              <w:t>0.46%</w:t>
            </w:r>
          </w:p>
        </w:tc>
        <w:tc>
          <w:tcPr>
            <w:tcW w:w="1291" w:type="dxa"/>
            <w:vAlign w:val="center"/>
          </w:tcPr>
          <w:p w:rsidR="00334AFA" w:rsidRDefault="00A174EA">
            <w:pPr>
              <w:jc w:val="right"/>
            </w:pPr>
            <w:r>
              <w:rPr>
                <w:rFonts w:eastAsiaTheme="minorEastAsia"/>
                <w:color w:val="000000" w:themeColor="text1"/>
                <w:szCs w:val="21"/>
              </w:rPr>
              <w:t>2.29%</w:t>
            </w:r>
          </w:p>
        </w:tc>
        <w:tc>
          <w:tcPr>
            <w:tcW w:w="1291" w:type="dxa"/>
            <w:vAlign w:val="center"/>
          </w:tcPr>
          <w:p w:rsidR="00334AFA" w:rsidRDefault="00A174EA">
            <w:pPr>
              <w:jc w:val="right"/>
            </w:pPr>
            <w:r>
              <w:rPr>
                <w:rFonts w:eastAsiaTheme="minorEastAsia"/>
                <w:color w:val="000000" w:themeColor="text1"/>
                <w:szCs w:val="21"/>
              </w:rPr>
              <w:t>0.20%</w:t>
            </w:r>
          </w:p>
        </w:tc>
        <w:tc>
          <w:tcPr>
            <w:tcW w:w="1291" w:type="dxa"/>
            <w:vAlign w:val="center"/>
          </w:tcPr>
          <w:p w:rsidR="00334AFA" w:rsidRDefault="00A174EA">
            <w:pPr>
              <w:jc w:val="right"/>
            </w:pPr>
            <w:r>
              <w:rPr>
                <w:rFonts w:eastAsiaTheme="minorEastAsia"/>
                <w:color w:val="000000" w:themeColor="text1"/>
                <w:szCs w:val="21"/>
              </w:rPr>
              <w:t>-1.99%</w:t>
            </w:r>
          </w:p>
        </w:tc>
        <w:tc>
          <w:tcPr>
            <w:tcW w:w="1291" w:type="dxa"/>
            <w:vAlign w:val="center"/>
          </w:tcPr>
          <w:p w:rsidR="00334AFA" w:rsidRDefault="00A174EA">
            <w:pPr>
              <w:jc w:val="right"/>
            </w:pPr>
            <w:r>
              <w:rPr>
                <w:rFonts w:eastAsiaTheme="minorEastAsia"/>
                <w:color w:val="000000" w:themeColor="text1"/>
                <w:szCs w:val="21"/>
              </w:rPr>
              <w:t>0.26%</w:t>
            </w:r>
          </w:p>
        </w:tc>
      </w:tr>
      <w:tr w:rsidR="00334AFA">
        <w:tc>
          <w:tcPr>
            <w:tcW w:w="1290" w:type="dxa"/>
            <w:vAlign w:val="center"/>
          </w:tcPr>
          <w:p w:rsidR="00334AFA" w:rsidRDefault="00A174EA">
            <w:pPr>
              <w:jc w:val="left"/>
            </w:pPr>
            <w:r>
              <w:rPr>
                <w:rFonts w:eastAsiaTheme="minorEastAsia"/>
                <w:color w:val="000000" w:themeColor="text1"/>
                <w:szCs w:val="21"/>
              </w:rPr>
              <w:t>过去六个月</w:t>
            </w:r>
          </w:p>
        </w:tc>
        <w:tc>
          <w:tcPr>
            <w:tcW w:w="1291" w:type="dxa"/>
            <w:vAlign w:val="center"/>
          </w:tcPr>
          <w:p w:rsidR="00334AFA" w:rsidRDefault="00A174EA">
            <w:pPr>
              <w:jc w:val="right"/>
            </w:pPr>
            <w:r>
              <w:rPr>
                <w:rFonts w:eastAsiaTheme="minorEastAsia"/>
                <w:color w:val="000000" w:themeColor="text1"/>
                <w:szCs w:val="21"/>
              </w:rPr>
              <w:t>-1.25%</w:t>
            </w:r>
          </w:p>
        </w:tc>
        <w:tc>
          <w:tcPr>
            <w:tcW w:w="1291" w:type="dxa"/>
            <w:vAlign w:val="center"/>
          </w:tcPr>
          <w:p w:rsidR="00334AFA" w:rsidRDefault="00A174EA">
            <w:pPr>
              <w:jc w:val="right"/>
            </w:pPr>
            <w:r>
              <w:rPr>
                <w:rFonts w:eastAsiaTheme="minorEastAsia"/>
                <w:color w:val="000000" w:themeColor="text1"/>
                <w:szCs w:val="21"/>
              </w:rPr>
              <w:t>0.37%</w:t>
            </w:r>
          </w:p>
        </w:tc>
        <w:tc>
          <w:tcPr>
            <w:tcW w:w="1291" w:type="dxa"/>
            <w:vAlign w:val="center"/>
          </w:tcPr>
          <w:p w:rsidR="00334AFA" w:rsidRDefault="00A174EA">
            <w:pPr>
              <w:jc w:val="right"/>
            </w:pPr>
            <w:r>
              <w:rPr>
                <w:rFonts w:eastAsiaTheme="minorEastAsia"/>
                <w:color w:val="000000" w:themeColor="text1"/>
                <w:szCs w:val="21"/>
              </w:rPr>
              <w:t>1.93%</w:t>
            </w:r>
          </w:p>
        </w:tc>
        <w:tc>
          <w:tcPr>
            <w:tcW w:w="1291" w:type="dxa"/>
            <w:vAlign w:val="center"/>
          </w:tcPr>
          <w:p w:rsidR="00334AFA" w:rsidRDefault="00A174EA">
            <w:pPr>
              <w:jc w:val="right"/>
            </w:pPr>
            <w:r>
              <w:rPr>
                <w:rFonts w:eastAsiaTheme="minorEastAsia"/>
                <w:color w:val="000000" w:themeColor="text1"/>
                <w:szCs w:val="21"/>
              </w:rPr>
              <w:t>0.18%</w:t>
            </w:r>
          </w:p>
        </w:tc>
        <w:tc>
          <w:tcPr>
            <w:tcW w:w="1291" w:type="dxa"/>
            <w:vAlign w:val="center"/>
          </w:tcPr>
          <w:p w:rsidR="00334AFA" w:rsidRDefault="00A174EA">
            <w:pPr>
              <w:jc w:val="right"/>
            </w:pPr>
            <w:r>
              <w:rPr>
                <w:rFonts w:eastAsiaTheme="minorEastAsia"/>
                <w:color w:val="000000" w:themeColor="text1"/>
                <w:szCs w:val="21"/>
              </w:rPr>
              <w:t>-3.18%</w:t>
            </w:r>
          </w:p>
        </w:tc>
        <w:tc>
          <w:tcPr>
            <w:tcW w:w="1291" w:type="dxa"/>
            <w:vAlign w:val="center"/>
          </w:tcPr>
          <w:p w:rsidR="00334AFA" w:rsidRDefault="00A174EA">
            <w:pPr>
              <w:jc w:val="right"/>
            </w:pPr>
            <w:r>
              <w:rPr>
                <w:rFonts w:eastAsiaTheme="minorEastAsia"/>
                <w:color w:val="000000" w:themeColor="text1"/>
                <w:szCs w:val="21"/>
              </w:rPr>
              <w:t>0.19%</w:t>
            </w:r>
          </w:p>
        </w:tc>
      </w:tr>
      <w:tr w:rsidR="00334AFA">
        <w:tc>
          <w:tcPr>
            <w:tcW w:w="1290" w:type="dxa"/>
            <w:vAlign w:val="center"/>
          </w:tcPr>
          <w:p w:rsidR="00334AFA" w:rsidRDefault="00A174EA">
            <w:pPr>
              <w:jc w:val="left"/>
            </w:pPr>
            <w:r>
              <w:rPr>
                <w:rFonts w:eastAsiaTheme="minorEastAsia"/>
                <w:color w:val="000000" w:themeColor="text1"/>
                <w:szCs w:val="21"/>
              </w:rPr>
              <w:t>过去一年</w:t>
            </w:r>
          </w:p>
        </w:tc>
        <w:tc>
          <w:tcPr>
            <w:tcW w:w="1291" w:type="dxa"/>
            <w:vAlign w:val="center"/>
          </w:tcPr>
          <w:p w:rsidR="00334AFA" w:rsidRDefault="00A174EA">
            <w:pPr>
              <w:jc w:val="right"/>
            </w:pPr>
            <w:r>
              <w:rPr>
                <w:rFonts w:eastAsiaTheme="minorEastAsia"/>
                <w:color w:val="000000" w:themeColor="text1"/>
                <w:szCs w:val="21"/>
              </w:rPr>
              <w:t>-2.73%</w:t>
            </w:r>
          </w:p>
        </w:tc>
        <w:tc>
          <w:tcPr>
            <w:tcW w:w="1291" w:type="dxa"/>
            <w:vAlign w:val="center"/>
          </w:tcPr>
          <w:p w:rsidR="00334AFA" w:rsidRDefault="00A174EA">
            <w:pPr>
              <w:jc w:val="right"/>
            </w:pPr>
            <w:r>
              <w:rPr>
                <w:rFonts w:eastAsiaTheme="minorEastAsia"/>
                <w:color w:val="000000" w:themeColor="text1"/>
                <w:szCs w:val="21"/>
              </w:rPr>
              <w:t>0.30%</w:t>
            </w:r>
          </w:p>
        </w:tc>
        <w:tc>
          <w:tcPr>
            <w:tcW w:w="1291" w:type="dxa"/>
            <w:vAlign w:val="center"/>
          </w:tcPr>
          <w:p w:rsidR="00334AFA" w:rsidRDefault="00A174EA">
            <w:pPr>
              <w:jc w:val="right"/>
            </w:pPr>
            <w:r>
              <w:rPr>
                <w:rFonts w:eastAsiaTheme="minorEastAsia"/>
                <w:color w:val="000000" w:themeColor="text1"/>
                <w:szCs w:val="21"/>
              </w:rPr>
              <w:t>2.28%</w:t>
            </w:r>
          </w:p>
        </w:tc>
        <w:tc>
          <w:tcPr>
            <w:tcW w:w="1291" w:type="dxa"/>
            <w:vAlign w:val="center"/>
          </w:tcPr>
          <w:p w:rsidR="00334AFA" w:rsidRDefault="00A174EA">
            <w:pPr>
              <w:jc w:val="right"/>
            </w:pPr>
            <w:r>
              <w:rPr>
                <w:rFonts w:eastAsiaTheme="minorEastAsia"/>
                <w:color w:val="000000" w:themeColor="text1"/>
                <w:szCs w:val="21"/>
              </w:rPr>
              <w:t>0.17%</w:t>
            </w:r>
          </w:p>
        </w:tc>
        <w:tc>
          <w:tcPr>
            <w:tcW w:w="1291" w:type="dxa"/>
            <w:vAlign w:val="center"/>
          </w:tcPr>
          <w:p w:rsidR="00334AFA" w:rsidRDefault="00A174EA">
            <w:pPr>
              <w:jc w:val="right"/>
            </w:pPr>
            <w:r>
              <w:rPr>
                <w:rFonts w:eastAsiaTheme="minorEastAsia"/>
                <w:color w:val="000000" w:themeColor="text1"/>
                <w:szCs w:val="21"/>
              </w:rPr>
              <w:t>-5.01%</w:t>
            </w:r>
          </w:p>
        </w:tc>
        <w:tc>
          <w:tcPr>
            <w:tcW w:w="1291" w:type="dxa"/>
            <w:vAlign w:val="center"/>
          </w:tcPr>
          <w:p w:rsidR="00334AFA" w:rsidRDefault="00A174EA">
            <w:pPr>
              <w:jc w:val="right"/>
            </w:pPr>
            <w:r>
              <w:rPr>
                <w:rFonts w:eastAsiaTheme="minorEastAsia"/>
                <w:color w:val="000000" w:themeColor="text1"/>
                <w:szCs w:val="21"/>
              </w:rPr>
              <w:t>0.13%</w:t>
            </w:r>
          </w:p>
        </w:tc>
      </w:tr>
      <w:tr w:rsidR="00334AFA">
        <w:tc>
          <w:tcPr>
            <w:tcW w:w="1290" w:type="dxa"/>
            <w:vAlign w:val="center"/>
          </w:tcPr>
          <w:p w:rsidR="00334AFA" w:rsidRDefault="00A174EA">
            <w:pPr>
              <w:jc w:val="left"/>
            </w:pPr>
            <w:r>
              <w:rPr>
                <w:rFonts w:eastAsiaTheme="minorEastAsia"/>
                <w:color w:val="000000" w:themeColor="text1"/>
                <w:szCs w:val="21"/>
              </w:rPr>
              <w:t>过去三年</w:t>
            </w:r>
          </w:p>
        </w:tc>
        <w:tc>
          <w:tcPr>
            <w:tcW w:w="1291" w:type="dxa"/>
            <w:vAlign w:val="center"/>
          </w:tcPr>
          <w:p w:rsidR="00334AFA" w:rsidRDefault="00A174EA">
            <w:pPr>
              <w:jc w:val="right"/>
            </w:pPr>
            <w:r>
              <w:rPr>
                <w:rFonts w:eastAsiaTheme="minorEastAsia"/>
                <w:color w:val="000000" w:themeColor="text1"/>
                <w:szCs w:val="21"/>
              </w:rPr>
              <w:t>0.71%</w:t>
            </w:r>
          </w:p>
        </w:tc>
        <w:tc>
          <w:tcPr>
            <w:tcW w:w="1291" w:type="dxa"/>
            <w:vAlign w:val="center"/>
          </w:tcPr>
          <w:p w:rsidR="00334AFA" w:rsidRDefault="00A174EA">
            <w:pPr>
              <w:jc w:val="right"/>
            </w:pPr>
            <w:r>
              <w:rPr>
                <w:rFonts w:eastAsiaTheme="minorEastAsia"/>
                <w:color w:val="000000" w:themeColor="text1"/>
                <w:szCs w:val="21"/>
              </w:rPr>
              <w:t>0.26%</w:t>
            </w:r>
          </w:p>
        </w:tc>
        <w:tc>
          <w:tcPr>
            <w:tcW w:w="1291" w:type="dxa"/>
            <w:vAlign w:val="center"/>
          </w:tcPr>
          <w:p w:rsidR="00334AFA" w:rsidRDefault="00A174EA">
            <w:pPr>
              <w:jc w:val="right"/>
            </w:pPr>
            <w:r>
              <w:rPr>
                <w:rFonts w:eastAsiaTheme="minorEastAsia"/>
                <w:color w:val="000000" w:themeColor="text1"/>
                <w:szCs w:val="21"/>
              </w:rPr>
              <w:t>6.21%</w:t>
            </w:r>
          </w:p>
        </w:tc>
        <w:tc>
          <w:tcPr>
            <w:tcW w:w="1291" w:type="dxa"/>
            <w:vAlign w:val="center"/>
          </w:tcPr>
          <w:p w:rsidR="00334AFA" w:rsidRDefault="00A174EA">
            <w:pPr>
              <w:jc w:val="right"/>
            </w:pPr>
            <w:r>
              <w:rPr>
                <w:rFonts w:eastAsiaTheme="minorEastAsia"/>
                <w:color w:val="000000" w:themeColor="text1"/>
                <w:szCs w:val="21"/>
              </w:rPr>
              <w:t>0.21%</w:t>
            </w:r>
          </w:p>
        </w:tc>
        <w:tc>
          <w:tcPr>
            <w:tcW w:w="1291" w:type="dxa"/>
            <w:vAlign w:val="center"/>
          </w:tcPr>
          <w:p w:rsidR="00334AFA" w:rsidRDefault="00A174EA">
            <w:pPr>
              <w:jc w:val="right"/>
            </w:pPr>
            <w:r>
              <w:rPr>
                <w:rFonts w:eastAsiaTheme="minorEastAsia"/>
                <w:color w:val="000000" w:themeColor="text1"/>
                <w:szCs w:val="21"/>
              </w:rPr>
              <w:t>-5.50%</w:t>
            </w:r>
          </w:p>
        </w:tc>
        <w:tc>
          <w:tcPr>
            <w:tcW w:w="1291" w:type="dxa"/>
            <w:vAlign w:val="center"/>
          </w:tcPr>
          <w:p w:rsidR="00334AFA" w:rsidRDefault="00A174EA">
            <w:pPr>
              <w:jc w:val="right"/>
            </w:pPr>
            <w:r>
              <w:rPr>
                <w:rFonts w:eastAsiaTheme="minorEastAsia"/>
                <w:color w:val="000000" w:themeColor="text1"/>
                <w:szCs w:val="21"/>
              </w:rPr>
              <w:t>0.05%</w:t>
            </w:r>
          </w:p>
        </w:tc>
      </w:tr>
      <w:tr w:rsidR="00334AFA">
        <w:tc>
          <w:tcPr>
            <w:tcW w:w="1290" w:type="dxa"/>
            <w:vAlign w:val="center"/>
          </w:tcPr>
          <w:p w:rsidR="00334AFA" w:rsidRDefault="00A174EA">
            <w:pPr>
              <w:jc w:val="left"/>
            </w:pPr>
            <w:r>
              <w:rPr>
                <w:rFonts w:eastAsiaTheme="minorEastAsia"/>
                <w:color w:val="000000" w:themeColor="text1"/>
                <w:szCs w:val="21"/>
              </w:rPr>
              <w:t>过去五年</w:t>
            </w:r>
          </w:p>
        </w:tc>
        <w:tc>
          <w:tcPr>
            <w:tcW w:w="1291" w:type="dxa"/>
            <w:vAlign w:val="center"/>
          </w:tcPr>
          <w:p w:rsidR="00334AFA" w:rsidRDefault="00A174EA">
            <w:pPr>
              <w:jc w:val="right"/>
            </w:pPr>
            <w:r>
              <w:rPr>
                <w:rFonts w:eastAsiaTheme="minorEastAsia"/>
                <w:color w:val="000000" w:themeColor="text1"/>
                <w:szCs w:val="21"/>
              </w:rPr>
              <w:t>21.62%</w:t>
            </w:r>
          </w:p>
        </w:tc>
        <w:tc>
          <w:tcPr>
            <w:tcW w:w="1291" w:type="dxa"/>
            <w:vAlign w:val="center"/>
          </w:tcPr>
          <w:p w:rsidR="00334AFA" w:rsidRDefault="00A174EA">
            <w:pPr>
              <w:jc w:val="right"/>
            </w:pPr>
            <w:r>
              <w:rPr>
                <w:rFonts w:eastAsiaTheme="minorEastAsia"/>
                <w:color w:val="000000" w:themeColor="text1"/>
                <w:szCs w:val="21"/>
              </w:rPr>
              <w:t>0.26%</w:t>
            </w:r>
          </w:p>
        </w:tc>
        <w:tc>
          <w:tcPr>
            <w:tcW w:w="1291" w:type="dxa"/>
            <w:vAlign w:val="center"/>
          </w:tcPr>
          <w:p w:rsidR="00334AFA" w:rsidRDefault="00A174EA">
            <w:pPr>
              <w:jc w:val="right"/>
            </w:pPr>
            <w:r>
              <w:rPr>
                <w:rFonts w:eastAsiaTheme="minorEastAsia"/>
                <w:color w:val="000000" w:themeColor="text1"/>
                <w:szCs w:val="21"/>
              </w:rPr>
              <w:t>17.23%</w:t>
            </w:r>
          </w:p>
        </w:tc>
        <w:tc>
          <w:tcPr>
            <w:tcW w:w="1291" w:type="dxa"/>
            <w:vAlign w:val="center"/>
          </w:tcPr>
          <w:p w:rsidR="00334AFA" w:rsidRDefault="00A174EA">
            <w:pPr>
              <w:jc w:val="right"/>
            </w:pPr>
            <w:r>
              <w:rPr>
                <w:rFonts w:eastAsiaTheme="minorEastAsia"/>
                <w:color w:val="000000" w:themeColor="text1"/>
                <w:szCs w:val="21"/>
              </w:rPr>
              <w:t>0.23%</w:t>
            </w:r>
          </w:p>
        </w:tc>
        <w:tc>
          <w:tcPr>
            <w:tcW w:w="1291" w:type="dxa"/>
            <w:vAlign w:val="center"/>
          </w:tcPr>
          <w:p w:rsidR="00334AFA" w:rsidRDefault="00A174EA">
            <w:pPr>
              <w:jc w:val="right"/>
            </w:pPr>
            <w:r>
              <w:rPr>
                <w:rFonts w:eastAsiaTheme="minorEastAsia"/>
                <w:color w:val="000000" w:themeColor="text1"/>
                <w:szCs w:val="21"/>
              </w:rPr>
              <w:t>4.39%</w:t>
            </w:r>
          </w:p>
        </w:tc>
        <w:tc>
          <w:tcPr>
            <w:tcW w:w="1291" w:type="dxa"/>
            <w:vAlign w:val="center"/>
          </w:tcPr>
          <w:p w:rsidR="00334AFA" w:rsidRDefault="00A174EA">
            <w:pPr>
              <w:jc w:val="right"/>
            </w:pPr>
            <w:r>
              <w:rPr>
                <w:rFonts w:eastAsiaTheme="minorEastAsia"/>
                <w:color w:val="000000" w:themeColor="text1"/>
                <w:szCs w:val="21"/>
              </w:rPr>
              <w:t>0.03%</w:t>
            </w:r>
          </w:p>
        </w:tc>
      </w:tr>
      <w:tr w:rsidR="00334AFA">
        <w:tc>
          <w:tcPr>
            <w:tcW w:w="1290" w:type="dxa"/>
            <w:vAlign w:val="center"/>
          </w:tcPr>
          <w:p w:rsidR="00334AFA" w:rsidRDefault="00A174EA">
            <w:pPr>
              <w:jc w:val="left"/>
            </w:pPr>
            <w:r>
              <w:rPr>
                <w:rFonts w:eastAsiaTheme="minorEastAsia"/>
                <w:color w:val="000000" w:themeColor="text1"/>
                <w:szCs w:val="21"/>
              </w:rPr>
              <w:t>自基金合同生效起至今</w:t>
            </w:r>
          </w:p>
        </w:tc>
        <w:tc>
          <w:tcPr>
            <w:tcW w:w="1291" w:type="dxa"/>
            <w:vAlign w:val="center"/>
          </w:tcPr>
          <w:p w:rsidR="00334AFA" w:rsidRDefault="00A174EA">
            <w:pPr>
              <w:jc w:val="right"/>
            </w:pPr>
            <w:r>
              <w:rPr>
                <w:rFonts w:eastAsiaTheme="minorEastAsia"/>
                <w:color w:val="000000" w:themeColor="text1"/>
                <w:szCs w:val="21"/>
              </w:rPr>
              <w:t>28.59%</w:t>
            </w:r>
          </w:p>
        </w:tc>
        <w:tc>
          <w:tcPr>
            <w:tcW w:w="1291" w:type="dxa"/>
            <w:vAlign w:val="center"/>
          </w:tcPr>
          <w:p w:rsidR="00334AFA" w:rsidRDefault="00A174EA">
            <w:pPr>
              <w:jc w:val="right"/>
            </w:pPr>
            <w:r>
              <w:rPr>
                <w:rFonts w:eastAsiaTheme="minorEastAsia"/>
                <w:color w:val="000000" w:themeColor="text1"/>
                <w:szCs w:val="21"/>
              </w:rPr>
              <w:t>0.25%</w:t>
            </w:r>
          </w:p>
        </w:tc>
        <w:tc>
          <w:tcPr>
            <w:tcW w:w="1291" w:type="dxa"/>
            <w:vAlign w:val="center"/>
          </w:tcPr>
          <w:p w:rsidR="00334AFA" w:rsidRDefault="00A174EA">
            <w:pPr>
              <w:jc w:val="right"/>
            </w:pPr>
            <w:r>
              <w:rPr>
                <w:rFonts w:eastAsiaTheme="minorEastAsia"/>
                <w:color w:val="000000" w:themeColor="text1"/>
                <w:szCs w:val="21"/>
              </w:rPr>
              <w:t>25.33%</w:t>
            </w:r>
          </w:p>
        </w:tc>
        <w:tc>
          <w:tcPr>
            <w:tcW w:w="1291" w:type="dxa"/>
            <w:vAlign w:val="center"/>
          </w:tcPr>
          <w:p w:rsidR="00334AFA" w:rsidRDefault="00A174EA">
            <w:pPr>
              <w:jc w:val="right"/>
            </w:pPr>
            <w:r>
              <w:rPr>
                <w:rFonts w:eastAsiaTheme="minorEastAsia"/>
                <w:color w:val="000000" w:themeColor="text1"/>
                <w:szCs w:val="21"/>
              </w:rPr>
              <w:t>0.24%</w:t>
            </w:r>
          </w:p>
        </w:tc>
        <w:tc>
          <w:tcPr>
            <w:tcW w:w="1291" w:type="dxa"/>
            <w:vAlign w:val="center"/>
          </w:tcPr>
          <w:p w:rsidR="00334AFA" w:rsidRDefault="00A174EA">
            <w:pPr>
              <w:jc w:val="right"/>
            </w:pPr>
            <w:r>
              <w:rPr>
                <w:rFonts w:eastAsiaTheme="minorEastAsia"/>
                <w:color w:val="000000" w:themeColor="text1"/>
                <w:szCs w:val="21"/>
              </w:rPr>
              <w:t>3.26%</w:t>
            </w:r>
          </w:p>
        </w:tc>
        <w:tc>
          <w:tcPr>
            <w:tcW w:w="1291" w:type="dxa"/>
            <w:vAlign w:val="center"/>
          </w:tcPr>
          <w:p w:rsidR="00334AFA" w:rsidRDefault="00A174EA">
            <w:pPr>
              <w:jc w:val="right"/>
            </w:pPr>
            <w:r>
              <w:rPr>
                <w:rFonts w:eastAsiaTheme="minorEastAsia"/>
                <w:color w:val="000000" w:themeColor="text1"/>
                <w:szCs w:val="21"/>
              </w:rPr>
              <w:t>0.01%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摩根安隆回报混合型证券投资基金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．摩根安隆回报混合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．摩根安隆回报混合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34AFA">
        <w:tc>
          <w:tcPr>
            <w:tcW w:w="952" w:type="dxa"/>
            <w:vAlign w:val="center"/>
          </w:tcPr>
          <w:p w:rsidR="00334AFA" w:rsidRDefault="00A174EA">
            <w:pPr>
              <w:jc w:val="center"/>
            </w:pPr>
            <w:r>
              <w:rPr>
                <w:rFonts w:eastAsiaTheme="minorEastAsia"/>
                <w:color w:val="000000" w:themeColor="text1"/>
                <w:szCs w:val="21"/>
              </w:rPr>
              <w:t>陈圆明</w:t>
            </w:r>
          </w:p>
        </w:tc>
        <w:tc>
          <w:tcPr>
            <w:tcW w:w="930" w:type="dxa"/>
            <w:vAlign w:val="center"/>
          </w:tcPr>
          <w:p w:rsidR="00334AFA" w:rsidRDefault="00A174EA">
            <w:pPr>
              <w:jc w:val="center"/>
            </w:pPr>
            <w:r>
              <w:rPr>
                <w:rFonts w:eastAsiaTheme="minorEastAsia"/>
                <w:color w:val="000000" w:themeColor="text1"/>
                <w:szCs w:val="21"/>
              </w:rPr>
              <w:t>本基金基金经理、绝对收益投资部总监</w:t>
            </w:r>
          </w:p>
        </w:tc>
        <w:tc>
          <w:tcPr>
            <w:tcW w:w="1210" w:type="dxa"/>
            <w:vAlign w:val="center"/>
          </w:tcPr>
          <w:p w:rsidR="00334AFA" w:rsidRDefault="00A174EA">
            <w:pPr>
              <w:jc w:val="center"/>
            </w:pPr>
            <w:r>
              <w:rPr>
                <w:rFonts w:eastAsiaTheme="minorEastAsia"/>
                <w:color w:val="000000" w:themeColor="text1"/>
                <w:szCs w:val="21"/>
              </w:rPr>
              <w:t>2019-04-12</w:t>
            </w:r>
          </w:p>
        </w:tc>
        <w:tc>
          <w:tcPr>
            <w:tcW w:w="1309" w:type="dxa"/>
            <w:vAlign w:val="center"/>
          </w:tcPr>
          <w:p w:rsidR="00334AFA" w:rsidRDefault="00A174EA">
            <w:pPr>
              <w:jc w:val="center"/>
            </w:pPr>
            <w:r>
              <w:rPr>
                <w:rFonts w:eastAsiaTheme="minorEastAsia"/>
                <w:color w:val="000000" w:themeColor="text1"/>
                <w:szCs w:val="21"/>
              </w:rPr>
              <w:t>-</w:t>
            </w:r>
          </w:p>
        </w:tc>
        <w:tc>
          <w:tcPr>
            <w:tcW w:w="1254" w:type="dxa"/>
            <w:vAlign w:val="center"/>
          </w:tcPr>
          <w:p w:rsidR="00334AFA" w:rsidRDefault="00A174EA">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334AFA" w:rsidRDefault="00A174EA">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w:t>
            </w:r>
            <w:r>
              <w:rPr>
                <w:rFonts w:eastAsiaTheme="minorEastAsia"/>
                <w:color w:val="000000" w:themeColor="text1"/>
                <w:szCs w:val="21"/>
              </w:rPr>
              <w:lastRenderedPageBreak/>
              <w:t>上投摩根基金管理有限公司），现担任绝对收益投资部总监兼资深基金经理。</w:t>
            </w:r>
          </w:p>
        </w:tc>
      </w:tr>
      <w:tr w:rsidR="00334AFA">
        <w:tc>
          <w:tcPr>
            <w:tcW w:w="952" w:type="dxa"/>
            <w:vAlign w:val="center"/>
          </w:tcPr>
          <w:p w:rsidR="00334AFA" w:rsidRDefault="00A174EA">
            <w:pPr>
              <w:jc w:val="center"/>
            </w:pPr>
            <w:r>
              <w:rPr>
                <w:rFonts w:eastAsiaTheme="minorEastAsia"/>
                <w:color w:val="000000" w:themeColor="text1"/>
                <w:szCs w:val="21"/>
              </w:rPr>
              <w:lastRenderedPageBreak/>
              <w:t>王娟</w:t>
            </w:r>
          </w:p>
        </w:tc>
        <w:tc>
          <w:tcPr>
            <w:tcW w:w="930" w:type="dxa"/>
            <w:vAlign w:val="center"/>
          </w:tcPr>
          <w:p w:rsidR="00334AFA" w:rsidRDefault="00A174EA">
            <w:pPr>
              <w:jc w:val="center"/>
            </w:pPr>
            <w:r>
              <w:rPr>
                <w:rFonts w:eastAsiaTheme="minorEastAsia"/>
                <w:color w:val="000000" w:themeColor="text1"/>
                <w:szCs w:val="21"/>
              </w:rPr>
              <w:t>本基金基金经理</w:t>
            </w:r>
          </w:p>
        </w:tc>
        <w:tc>
          <w:tcPr>
            <w:tcW w:w="1210" w:type="dxa"/>
            <w:vAlign w:val="center"/>
          </w:tcPr>
          <w:p w:rsidR="00334AFA" w:rsidRDefault="00A174EA">
            <w:pPr>
              <w:jc w:val="center"/>
            </w:pPr>
            <w:r>
              <w:rPr>
                <w:rFonts w:eastAsiaTheme="minorEastAsia"/>
                <w:color w:val="000000" w:themeColor="text1"/>
                <w:szCs w:val="21"/>
              </w:rPr>
              <w:t>2022-11-25</w:t>
            </w:r>
          </w:p>
        </w:tc>
        <w:tc>
          <w:tcPr>
            <w:tcW w:w="1309" w:type="dxa"/>
            <w:vAlign w:val="center"/>
          </w:tcPr>
          <w:p w:rsidR="00334AFA" w:rsidRDefault="00A174EA">
            <w:pPr>
              <w:jc w:val="center"/>
            </w:pPr>
            <w:r>
              <w:rPr>
                <w:rFonts w:eastAsiaTheme="minorEastAsia"/>
                <w:color w:val="000000" w:themeColor="text1"/>
                <w:szCs w:val="21"/>
              </w:rPr>
              <w:t>-</w:t>
            </w:r>
          </w:p>
        </w:tc>
        <w:tc>
          <w:tcPr>
            <w:tcW w:w="1254" w:type="dxa"/>
            <w:vAlign w:val="center"/>
          </w:tcPr>
          <w:p w:rsidR="00334AFA" w:rsidRDefault="00A174EA">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334AFA" w:rsidRDefault="00A174EA">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334AFA">
        <w:tc>
          <w:tcPr>
            <w:tcW w:w="952" w:type="dxa"/>
            <w:vAlign w:val="center"/>
          </w:tcPr>
          <w:p w:rsidR="00334AFA" w:rsidRDefault="00A174EA">
            <w:pPr>
              <w:jc w:val="center"/>
            </w:pPr>
            <w:r>
              <w:rPr>
                <w:rFonts w:eastAsiaTheme="minorEastAsia"/>
                <w:color w:val="000000" w:themeColor="text1"/>
                <w:szCs w:val="21"/>
              </w:rPr>
              <w:t>杨鹏</w:t>
            </w:r>
          </w:p>
        </w:tc>
        <w:tc>
          <w:tcPr>
            <w:tcW w:w="930" w:type="dxa"/>
            <w:vAlign w:val="center"/>
          </w:tcPr>
          <w:p w:rsidR="00334AFA" w:rsidRDefault="00A174EA">
            <w:pPr>
              <w:jc w:val="center"/>
            </w:pPr>
            <w:r>
              <w:rPr>
                <w:rFonts w:eastAsiaTheme="minorEastAsia"/>
                <w:color w:val="000000" w:themeColor="text1"/>
                <w:szCs w:val="21"/>
              </w:rPr>
              <w:t>本基金基金经理</w:t>
            </w:r>
          </w:p>
        </w:tc>
        <w:tc>
          <w:tcPr>
            <w:tcW w:w="1210" w:type="dxa"/>
            <w:vAlign w:val="center"/>
          </w:tcPr>
          <w:p w:rsidR="00334AFA" w:rsidRDefault="00A174EA">
            <w:pPr>
              <w:jc w:val="center"/>
            </w:pPr>
            <w:r>
              <w:rPr>
                <w:rFonts w:eastAsiaTheme="minorEastAsia"/>
                <w:color w:val="000000" w:themeColor="text1"/>
                <w:szCs w:val="21"/>
              </w:rPr>
              <w:t>2023-09-15</w:t>
            </w:r>
          </w:p>
        </w:tc>
        <w:tc>
          <w:tcPr>
            <w:tcW w:w="1309" w:type="dxa"/>
            <w:vAlign w:val="center"/>
          </w:tcPr>
          <w:p w:rsidR="00334AFA" w:rsidRDefault="00A174EA">
            <w:pPr>
              <w:jc w:val="center"/>
            </w:pPr>
            <w:r>
              <w:rPr>
                <w:rFonts w:eastAsiaTheme="minorEastAsia"/>
                <w:color w:val="000000" w:themeColor="text1"/>
                <w:szCs w:val="21"/>
              </w:rPr>
              <w:t>-</w:t>
            </w:r>
          </w:p>
        </w:tc>
        <w:tc>
          <w:tcPr>
            <w:tcW w:w="1254" w:type="dxa"/>
            <w:vAlign w:val="center"/>
          </w:tcPr>
          <w:p w:rsidR="00334AFA" w:rsidRDefault="00A174EA">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334AFA" w:rsidRDefault="00A174EA">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rsidR="00334AFA" w:rsidRDefault="00A174E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从</w:t>
      </w:r>
      <w:r>
        <w:rPr>
          <w:rFonts w:eastAsiaTheme="minorEastAsia"/>
          <w:color w:val="000000" w:themeColor="text1"/>
          <w:szCs w:val="21"/>
        </w:rPr>
        <w:t>1-2</w:t>
      </w:r>
      <w:r>
        <w:rPr>
          <w:rFonts w:eastAsiaTheme="minorEastAsia"/>
          <w:color w:val="000000" w:themeColor="text1"/>
          <w:szCs w:val="21"/>
        </w:rPr>
        <w:t>月经济数据来看，结构性的变化值得关注。</w:t>
      </w:r>
      <w:r>
        <w:rPr>
          <w:rFonts w:eastAsiaTheme="minorEastAsia"/>
          <w:color w:val="000000" w:themeColor="text1"/>
          <w:szCs w:val="21"/>
        </w:rPr>
        <w:t>1-2</w:t>
      </w:r>
      <w:r>
        <w:rPr>
          <w:rFonts w:eastAsiaTheme="minorEastAsia"/>
          <w:color w:val="000000" w:themeColor="text1"/>
          <w:szCs w:val="21"/>
        </w:rPr>
        <w:t>月制造业投资增速</w:t>
      </w:r>
      <w:r>
        <w:rPr>
          <w:rFonts w:eastAsiaTheme="minorEastAsia"/>
          <w:color w:val="000000" w:themeColor="text1"/>
          <w:szCs w:val="21"/>
        </w:rPr>
        <w:t>9.4%</w:t>
      </w:r>
      <w:r>
        <w:rPr>
          <w:rFonts w:eastAsiaTheme="minorEastAsia"/>
          <w:color w:val="000000" w:themeColor="text1"/>
          <w:szCs w:val="21"/>
        </w:rPr>
        <w:t>，为近</w:t>
      </w:r>
      <w:r>
        <w:rPr>
          <w:rFonts w:eastAsiaTheme="minorEastAsia"/>
          <w:color w:val="000000" w:themeColor="text1"/>
          <w:szCs w:val="21"/>
        </w:rPr>
        <w:t>15</w:t>
      </w:r>
      <w:r>
        <w:rPr>
          <w:rFonts w:eastAsiaTheme="minorEastAsia"/>
          <w:color w:val="000000" w:themeColor="text1"/>
          <w:szCs w:val="21"/>
        </w:rPr>
        <w:t>个月以来的最高增速，带动了固定资产投资同比增长</w:t>
      </w:r>
      <w:r>
        <w:rPr>
          <w:rFonts w:eastAsiaTheme="minorEastAsia"/>
          <w:color w:val="000000" w:themeColor="text1"/>
          <w:szCs w:val="21"/>
        </w:rPr>
        <w:t>4.2%</w:t>
      </w:r>
      <w:r>
        <w:rPr>
          <w:rFonts w:eastAsiaTheme="minorEastAsia"/>
          <w:color w:val="000000" w:themeColor="text1"/>
          <w:szCs w:val="21"/>
        </w:rPr>
        <w:t>。受益于实施设备更新行动的政策利好，制造业投资增速反超基建投资增速。</w:t>
      </w:r>
      <w:r>
        <w:rPr>
          <w:rFonts w:eastAsiaTheme="minorEastAsia"/>
          <w:color w:val="000000" w:themeColor="text1"/>
          <w:szCs w:val="21"/>
        </w:rPr>
        <w:t>1-2</w:t>
      </w:r>
      <w:r>
        <w:rPr>
          <w:rFonts w:eastAsiaTheme="minorEastAsia"/>
          <w:color w:val="000000" w:themeColor="text1"/>
          <w:szCs w:val="21"/>
        </w:rPr>
        <w:t>月社零同比增长</w:t>
      </w:r>
      <w:r>
        <w:rPr>
          <w:rFonts w:eastAsiaTheme="minorEastAsia"/>
          <w:color w:val="000000" w:themeColor="text1"/>
          <w:szCs w:val="21"/>
        </w:rPr>
        <w:t>5.5%</w:t>
      </w:r>
      <w:r>
        <w:rPr>
          <w:rFonts w:eastAsiaTheme="minorEastAsia"/>
          <w:color w:val="000000" w:themeColor="text1"/>
          <w:szCs w:val="21"/>
        </w:rPr>
        <w:t>，符合趋势水平，结构上基本延续了</w:t>
      </w:r>
      <w:r>
        <w:rPr>
          <w:rFonts w:eastAsiaTheme="minorEastAsia"/>
          <w:color w:val="000000" w:themeColor="text1"/>
          <w:szCs w:val="21"/>
        </w:rPr>
        <w:t>“</w:t>
      </w:r>
      <w:r>
        <w:rPr>
          <w:rFonts w:eastAsiaTheme="minorEastAsia"/>
          <w:color w:val="000000" w:themeColor="text1"/>
          <w:szCs w:val="21"/>
        </w:rPr>
        <w:t>出行拉动，可选平淡，地产拖累</w:t>
      </w:r>
      <w:r>
        <w:rPr>
          <w:rFonts w:eastAsiaTheme="minorEastAsia"/>
          <w:color w:val="000000" w:themeColor="text1"/>
          <w:szCs w:val="21"/>
        </w:rPr>
        <w:t>”</w:t>
      </w:r>
      <w:r>
        <w:rPr>
          <w:rFonts w:eastAsiaTheme="minorEastAsia"/>
          <w:color w:val="000000" w:themeColor="text1"/>
          <w:szCs w:val="21"/>
        </w:rPr>
        <w:t>的格局。</w:t>
      </w:r>
      <w:r>
        <w:rPr>
          <w:rFonts w:eastAsiaTheme="minorEastAsia"/>
          <w:color w:val="000000" w:themeColor="text1"/>
          <w:szCs w:val="21"/>
        </w:rPr>
        <w:t xml:space="preserve"> </w:t>
      </w:r>
      <w:r>
        <w:rPr>
          <w:rFonts w:eastAsiaTheme="minorEastAsia"/>
          <w:color w:val="000000" w:themeColor="text1"/>
          <w:szCs w:val="21"/>
        </w:rPr>
        <w:t>房地产投资和销售仍未见明显起色。与基建投资相关的两种债券发行进度偏慢，其一，对比前五年</w:t>
      </w:r>
      <w:r>
        <w:rPr>
          <w:rFonts w:eastAsiaTheme="minorEastAsia"/>
          <w:color w:val="000000" w:themeColor="text1"/>
          <w:szCs w:val="21"/>
        </w:rPr>
        <w:t>1-2</w:t>
      </w:r>
      <w:r>
        <w:rPr>
          <w:rFonts w:eastAsiaTheme="minorEastAsia"/>
          <w:color w:val="000000" w:themeColor="text1"/>
          <w:szCs w:val="21"/>
        </w:rPr>
        <w:t>月地方新增专项债</w:t>
      </w:r>
      <w:r>
        <w:rPr>
          <w:rFonts w:eastAsiaTheme="minorEastAsia"/>
          <w:color w:val="000000" w:themeColor="text1"/>
          <w:szCs w:val="21"/>
        </w:rPr>
        <w:t>的发行情况来看，今年专项债的发行进度仅快于</w:t>
      </w:r>
      <w:r>
        <w:rPr>
          <w:rFonts w:eastAsiaTheme="minorEastAsia"/>
          <w:color w:val="000000" w:themeColor="text1"/>
          <w:szCs w:val="21"/>
        </w:rPr>
        <w:t>2021</w:t>
      </w:r>
      <w:r>
        <w:rPr>
          <w:rFonts w:eastAsiaTheme="minorEastAsia"/>
          <w:color w:val="000000" w:themeColor="text1"/>
          <w:szCs w:val="21"/>
        </w:rPr>
        <w:t>年同期；其二，化债背景之下，城投存量同比增速持续下滑。从物价数据来看，</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CPI</w:t>
      </w:r>
      <w:r>
        <w:rPr>
          <w:rFonts w:eastAsiaTheme="minorEastAsia"/>
          <w:color w:val="000000" w:themeColor="text1"/>
          <w:szCs w:val="21"/>
        </w:rPr>
        <w:t>同比转正，核心</w:t>
      </w:r>
      <w:r>
        <w:rPr>
          <w:rFonts w:eastAsiaTheme="minorEastAsia"/>
          <w:color w:val="000000" w:themeColor="text1"/>
          <w:szCs w:val="21"/>
        </w:rPr>
        <w:t>CPI</w:t>
      </w:r>
      <w:r>
        <w:rPr>
          <w:rFonts w:eastAsiaTheme="minorEastAsia"/>
          <w:color w:val="000000" w:themeColor="text1"/>
          <w:szCs w:val="21"/>
        </w:rPr>
        <w:t>同比创</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月以来新高；</w:t>
      </w:r>
      <w:r>
        <w:rPr>
          <w:rFonts w:eastAsiaTheme="minorEastAsia"/>
          <w:color w:val="000000" w:themeColor="text1"/>
          <w:szCs w:val="21"/>
        </w:rPr>
        <w:t>PPI</w:t>
      </w:r>
      <w:r>
        <w:rPr>
          <w:rFonts w:eastAsiaTheme="minorEastAsia"/>
          <w:color w:val="000000" w:themeColor="text1"/>
          <w:szCs w:val="21"/>
        </w:rPr>
        <w:t>保持低位。</w:t>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债券市场，资产荒逻辑继续演绎，</w:t>
      </w:r>
      <w:r>
        <w:rPr>
          <w:rFonts w:eastAsiaTheme="minorEastAsia"/>
          <w:color w:val="000000" w:themeColor="text1"/>
          <w:szCs w:val="21"/>
        </w:rPr>
        <w:t>10</w:t>
      </w:r>
      <w:r>
        <w:rPr>
          <w:rFonts w:eastAsiaTheme="minorEastAsia"/>
          <w:color w:val="000000" w:themeColor="text1"/>
          <w:szCs w:val="21"/>
        </w:rPr>
        <w:t>年期国债收益率一季度震荡下行至</w:t>
      </w:r>
      <w:r>
        <w:rPr>
          <w:rFonts w:eastAsiaTheme="minorEastAsia"/>
          <w:color w:val="000000" w:themeColor="text1"/>
          <w:szCs w:val="21"/>
        </w:rPr>
        <w:t>2.3%</w:t>
      </w:r>
      <w:r>
        <w:rPr>
          <w:rFonts w:eastAsiaTheme="minorEastAsia"/>
          <w:color w:val="000000" w:themeColor="text1"/>
          <w:szCs w:val="21"/>
        </w:rPr>
        <w:t>，</w:t>
      </w:r>
      <w:r>
        <w:rPr>
          <w:rFonts w:eastAsiaTheme="minorEastAsia"/>
          <w:color w:val="000000" w:themeColor="text1"/>
          <w:szCs w:val="21"/>
        </w:rPr>
        <w:t>30</w:t>
      </w:r>
      <w:r>
        <w:rPr>
          <w:rFonts w:eastAsiaTheme="minorEastAsia"/>
          <w:color w:val="000000" w:themeColor="text1"/>
          <w:szCs w:val="21"/>
        </w:rPr>
        <w:t>年期国债收益率下破</w:t>
      </w:r>
      <w:r>
        <w:rPr>
          <w:rFonts w:eastAsiaTheme="minorEastAsia"/>
          <w:color w:val="000000" w:themeColor="text1"/>
          <w:szCs w:val="21"/>
        </w:rPr>
        <w:t>2.5%</w:t>
      </w: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年期</w:t>
      </w:r>
      <w:r>
        <w:rPr>
          <w:rFonts w:eastAsiaTheme="minorEastAsia"/>
          <w:color w:val="000000" w:themeColor="text1"/>
          <w:szCs w:val="21"/>
        </w:rPr>
        <w:t>AAA</w:t>
      </w:r>
      <w:r>
        <w:rPr>
          <w:rFonts w:eastAsiaTheme="minorEastAsia"/>
          <w:color w:val="000000" w:themeColor="text1"/>
          <w:szCs w:val="21"/>
        </w:rPr>
        <w:t>同业存单收益率回落至</w:t>
      </w:r>
      <w:r>
        <w:rPr>
          <w:rFonts w:eastAsiaTheme="minorEastAsia"/>
          <w:color w:val="000000" w:themeColor="text1"/>
          <w:szCs w:val="21"/>
        </w:rPr>
        <w:t>2.25%</w:t>
      </w:r>
      <w:r>
        <w:rPr>
          <w:rFonts w:eastAsiaTheme="minorEastAsia"/>
          <w:color w:val="000000" w:themeColor="text1"/>
          <w:szCs w:val="21"/>
        </w:rPr>
        <w:t>附近。</w:t>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展望二季度，国内经济重点关注两条主线。其一，出口和制造业投资回升的持续性。时隔半年，</w:t>
      </w:r>
      <w:r>
        <w:rPr>
          <w:rFonts w:eastAsiaTheme="minorEastAsia"/>
          <w:color w:val="000000" w:themeColor="text1"/>
          <w:szCs w:val="21"/>
        </w:rPr>
        <w:t>3</w:t>
      </w:r>
      <w:r>
        <w:rPr>
          <w:rFonts w:eastAsiaTheme="minorEastAsia"/>
          <w:color w:val="000000" w:themeColor="text1"/>
          <w:szCs w:val="21"/>
        </w:rPr>
        <w:t>月制造业</w:t>
      </w:r>
      <w:r>
        <w:rPr>
          <w:rFonts w:eastAsiaTheme="minorEastAsia"/>
          <w:color w:val="000000" w:themeColor="text1"/>
          <w:szCs w:val="21"/>
        </w:rPr>
        <w:t>PMI</w:t>
      </w:r>
      <w:r>
        <w:rPr>
          <w:rFonts w:eastAsiaTheme="minorEastAsia"/>
          <w:color w:val="000000" w:themeColor="text1"/>
          <w:szCs w:val="21"/>
        </w:rPr>
        <w:t>再度回升至荣枯线之上，达到</w:t>
      </w:r>
      <w:r>
        <w:rPr>
          <w:rFonts w:eastAsiaTheme="minorEastAsia"/>
          <w:color w:val="000000" w:themeColor="text1"/>
          <w:szCs w:val="21"/>
        </w:rPr>
        <w:t>50.8%</w:t>
      </w:r>
      <w:r>
        <w:rPr>
          <w:rFonts w:eastAsiaTheme="minorEastAsia"/>
          <w:color w:val="000000" w:themeColor="text1"/>
          <w:szCs w:val="21"/>
        </w:rPr>
        <w:t>，新订单指数从</w:t>
      </w:r>
      <w:r>
        <w:rPr>
          <w:rFonts w:eastAsiaTheme="minorEastAsia"/>
          <w:color w:val="000000" w:themeColor="text1"/>
          <w:szCs w:val="21"/>
        </w:rPr>
        <w:t>2</w:t>
      </w:r>
      <w:r>
        <w:rPr>
          <w:rFonts w:eastAsiaTheme="minorEastAsia"/>
          <w:color w:val="000000" w:themeColor="text1"/>
          <w:szCs w:val="21"/>
        </w:rPr>
        <w:t>月的</w:t>
      </w:r>
      <w:r>
        <w:rPr>
          <w:rFonts w:eastAsiaTheme="minorEastAsia"/>
          <w:color w:val="000000" w:themeColor="text1"/>
          <w:szCs w:val="21"/>
        </w:rPr>
        <w:t>4</w:t>
      </w:r>
      <w:r>
        <w:rPr>
          <w:rFonts w:eastAsiaTheme="minorEastAsia"/>
          <w:color w:val="000000" w:themeColor="text1"/>
          <w:szCs w:val="21"/>
        </w:rPr>
        <w:t>9.0%</w:t>
      </w:r>
      <w:r>
        <w:rPr>
          <w:rFonts w:eastAsiaTheme="minorEastAsia"/>
          <w:color w:val="000000" w:themeColor="text1"/>
          <w:szCs w:val="21"/>
        </w:rPr>
        <w:t>回升至</w:t>
      </w:r>
      <w:r>
        <w:rPr>
          <w:rFonts w:eastAsiaTheme="minorEastAsia"/>
          <w:color w:val="000000" w:themeColor="text1"/>
          <w:szCs w:val="21"/>
        </w:rPr>
        <w:t>3</w:t>
      </w:r>
      <w:r>
        <w:rPr>
          <w:rFonts w:eastAsiaTheme="minorEastAsia"/>
          <w:color w:val="000000" w:themeColor="text1"/>
          <w:szCs w:val="21"/>
        </w:rPr>
        <w:t>月的</w:t>
      </w:r>
      <w:r>
        <w:rPr>
          <w:rFonts w:eastAsiaTheme="minorEastAsia"/>
          <w:color w:val="000000" w:themeColor="text1"/>
          <w:szCs w:val="21"/>
        </w:rPr>
        <w:t>53.0%</w:t>
      </w:r>
      <w:r>
        <w:rPr>
          <w:rFonts w:eastAsiaTheme="minorEastAsia"/>
          <w:color w:val="000000" w:themeColor="text1"/>
          <w:szCs w:val="21"/>
        </w:rPr>
        <w:t>，新出口订单指数环比回升</w:t>
      </w:r>
      <w:r>
        <w:rPr>
          <w:rFonts w:eastAsiaTheme="minorEastAsia"/>
          <w:color w:val="000000" w:themeColor="text1"/>
          <w:szCs w:val="21"/>
        </w:rPr>
        <w:t>5%</w:t>
      </w:r>
      <w:r>
        <w:rPr>
          <w:rFonts w:eastAsiaTheme="minorEastAsia"/>
          <w:color w:val="000000" w:themeColor="text1"/>
          <w:szCs w:val="21"/>
        </w:rPr>
        <w:t>至</w:t>
      </w:r>
      <w:r>
        <w:rPr>
          <w:rFonts w:eastAsiaTheme="minorEastAsia"/>
          <w:color w:val="000000" w:themeColor="text1"/>
          <w:szCs w:val="21"/>
        </w:rPr>
        <w:t>51.3%</w:t>
      </w:r>
      <w:r>
        <w:rPr>
          <w:rFonts w:eastAsiaTheme="minorEastAsia"/>
          <w:color w:val="000000" w:themeColor="text1"/>
          <w:szCs w:val="21"/>
        </w:rPr>
        <w:t>。其二，基建投资的发力情况，跟踪新增专项债的发行进度和</w:t>
      </w:r>
      <w:r>
        <w:rPr>
          <w:rFonts w:eastAsiaTheme="minorEastAsia"/>
          <w:color w:val="000000" w:themeColor="text1"/>
          <w:szCs w:val="21"/>
        </w:rPr>
        <w:t>2023</w:t>
      </w:r>
      <w:r>
        <w:rPr>
          <w:rFonts w:eastAsiaTheme="minorEastAsia"/>
          <w:color w:val="000000" w:themeColor="text1"/>
          <w:szCs w:val="21"/>
        </w:rPr>
        <w:t>年万亿增发国债的落地情况，跟踪城乡社区事务、农林水事务两项一般预算基建支出等。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权益方面，我们在根据市场变化优化持仓结构的同时，尽力寻找一些个股的阿尔法机会，争取为组合持续创造绝对收益。债券方面，短端或依旧具备不错的配置价值，我们将对短期限券种按性价比进行相应调整。</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本报告期摩根安隆回报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:0.38%</w:t>
      </w:r>
      <w:r>
        <w:rPr>
          <w:rFonts w:eastAsiaTheme="minorEastAsia"/>
          <w:color w:val="000000" w:themeColor="text1"/>
          <w:szCs w:val="21"/>
        </w:rPr>
        <w:t>，同期业绩比较基准收益率为</w:t>
      </w:r>
      <w:r>
        <w:rPr>
          <w:rFonts w:eastAsiaTheme="minorEastAsia"/>
          <w:color w:val="000000" w:themeColor="text1"/>
          <w:szCs w:val="21"/>
        </w:rPr>
        <w:t>:</w:t>
      </w:r>
      <w:r>
        <w:rPr>
          <w:rFonts w:eastAsiaTheme="minorEastAsia"/>
          <w:color w:val="000000" w:themeColor="text1"/>
          <w:szCs w:val="21"/>
        </w:rPr>
        <w:t>2.29%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摩根安隆回报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:0.30%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:2.29%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67,505,338.89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17.07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67,505,338.89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317,455,373.25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80.28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317,455,373.25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80.28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5,927,000.00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3,911,946.55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618,841.03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395,418,499.72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1,568,632.56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42,351,992.91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17,640,568.47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4,602,090.64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5,924.10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3,097.60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1,333,032.61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67,505,338.89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334AFA">
        <w:tc>
          <w:tcPr>
            <w:tcW w:w="817" w:type="dxa"/>
            <w:vAlign w:val="center"/>
          </w:tcPr>
          <w:p w:rsidR="00334AFA" w:rsidRDefault="00A174EA">
            <w:pPr>
              <w:jc w:val="center"/>
            </w:pPr>
            <w:r>
              <w:rPr>
                <w:rFonts w:eastAsiaTheme="minorEastAsia"/>
                <w:kern w:val="0"/>
                <w:szCs w:val="21"/>
              </w:rPr>
              <w:t>1</w:t>
            </w:r>
          </w:p>
        </w:tc>
        <w:tc>
          <w:tcPr>
            <w:tcW w:w="1276" w:type="dxa"/>
            <w:vAlign w:val="center"/>
          </w:tcPr>
          <w:p w:rsidR="00334AFA" w:rsidRDefault="00A174EA">
            <w:pPr>
              <w:jc w:val="center"/>
            </w:pPr>
            <w:r>
              <w:rPr>
                <w:rFonts w:eastAsiaTheme="minorEastAsia"/>
                <w:kern w:val="0"/>
                <w:szCs w:val="21"/>
              </w:rPr>
              <w:t>002557</w:t>
            </w:r>
          </w:p>
        </w:tc>
        <w:tc>
          <w:tcPr>
            <w:tcW w:w="1701" w:type="dxa"/>
            <w:vAlign w:val="center"/>
          </w:tcPr>
          <w:p w:rsidR="00334AFA" w:rsidRDefault="00A174EA">
            <w:pPr>
              <w:jc w:val="center"/>
            </w:pPr>
            <w:r>
              <w:rPr>
                <w:rFonts w:eastAsiaTheme="minorEastAsia"/>
                <w:kern w:val="0"/>
                <w:szCs w:val="21"/>
              </w:rPr>
              <w:t>洽洽食品</w:t>
            </w:r>
          </w:p>
        </w:tc>
        <w:tc>
          <w:tcPr>
            <w:tcW w:w="1276" w:type="dxa"/>
            <w:vAlign w:val="center"/>
          </w:tcPr>
          <w:p w:rsidR="00334AFA" w:rsidRDefault="00A174EA">
            <w:pPr>
              <w:jc w:val="right"/>
            </w:pPr>
            <w:r>
              <w:rPr>
                <w:rFonts w:eastAsiaTheme="minorEastAsia"/>
                <w:kern w:val="0"/>
                <w:szCs w:val="21"/>
              </w:rPr>
              <w:t>431,049.00</w:t>
            </w:r>
          </w:p>
        </w:tc>
        <w:tc>
          <w:tcPr>
            <w:tcW w:w="1842" w:type="dxa"/>
            <w:vAlign w:val="center"/>
          </w:tcPr>
          <w:p w:rsidR="00334AFA" w:rsidRDefault="00A174EA">
            <w:pPr>
              <w:jc w:val="right"/>
            </w:pPr>
            <w:r>
              <w:rPr>
                <w:rFonts w:eastAsiaTheme="minorEastAsia"/>
                <w:kern w:val="0"/>
                <w:szCs w:val="21"/>
              </w:rPr>
              <w:t>15,785,014.38</w:t>
            </w:r>
          </w:p>
        </w:tc>
        <w:tc>
          <w:tcPr>
            <w:tcW w:w="1616" w:type="dxa"/>
            <w:vAlign w:val="center"/>
          </w:tcPr>
          <w:p w:rsidR="00334AFA" w:rsidRDefault="00A174EA">
            <w:pPr>
              <w:jc w:val="right"/>
            </w:pPr>
            <w:r>
              <w:rPr>
                <w:rFonts w:eastAsiaTheme="minorEastAsia"/>
                <w:kern w:val="0"/>
                <w:szCs w:val="21"/>
              </w:rPr>
              <w:t>4.02</w:t>
            </w:r>
          </w:p>
        </w:tc>
      </w:tr>
      <w:tr w:rsidR="00334AFA">
        <w:tc>
          <w:tcPr>
            <w:tcW w:w="817" w:type="dxa"/>
            <w:vAlign w:val="center"/>
          </w:tcPr>
          <w:p w:rsidR="00334AFA" w:rsidRDefault="00A174EA">
            <w:pPr>
              <w:jc w:val="center"/>
            </w:pPr>
            <w:r>
              <w:rPr>
                <w:rFonts w:eastAsiaTheme="minorEastAsia"/>
                <w:kern w:val="0"/>
                <w:szCs w:val="21"/>
              </w:rPr>
              <w:t>2</w:t>
            </w:r>
          </w:p>
        </w:tc>
        <w:tc>
          <w:tcPr>
            <w:tcW w:w="1276" w:type="dxa"/>
            <w:vAlign w:val="center"/>
          </w:tcPr>
          <w:p w:rsidR="00334AFA" w:rsidRDefault="00A174EA">
            <w:pPr>
              <w:jc w:val="center"/>
            </w:pPr>
            <w:r>
              <w:rPr>
                <w:rFonts w:eastAsiaTheme="minorEastAsia"/>
                <w:kern w:val="0"/>
                <w:szCs w:val="21"/>
              </w:rPr>
              <w:t>000625</w:t>
            </w:r>
          </w:p>
        </w:tc>
        <w:tc>
          <w:tcPr>
            <w:tcW w:w="1701" w:type="dxa"/>
            <w:vAlign w:val="center"/>
          </w:tcPr>
          <w:p w:rsidR="00334AFA" w:rsidRDefault="00A174EA">
            <w:pPr>
              <w:jc w:val="center"/>
            </w:pPr>
            <w:r>
              <w:rPr>
                <w:rFonts w:eastAsiaTheme="minorEastAsia"/>
                <w:kern w:val="0"/>
                <w:szCs w:val="21"/>
              </w:rPr>
              <w:t>长安汽车</w:t>
            </w:r>
          </w:p>
        </w:tc>
        <w:tc>
          <w:tcPr>
            <w:tcW w:w="1276" w:type="dxa"/>
            <w:vAlign w:val="center"/>
          </w:tcPr>
          <w:p w:rsidR="00334AFA" w:rsidRDefault="00A174EA">
            <w:pPr>
              <w:jc w:val="right"/>
            </w:pPr>
            <w:r>
              <w:rPr>
                <w:rFonts w:eastAsiaTheme="minorEastAsia"/>
                <w:kern w:val="0"/>
                <w:szCs w:val="21"/>
              </w:rPr>
              <w:t>852,444.00</w:t>
            </w:r>
          </w:p>
        </w:tc>
        <w:tc>
          <w:tcPr>
            <w:tcW w:w="1842" w:type="dxa"/>
            <w:vAlign w:val="center"/>
          </w:tcPr>
          <w:p w:rsidR="00334AFA" w:rsidRDefault="00A174EA">
            <w:pPr>
              <w:jc w:val="right"/>
            </w:pPr>
            <w:r>
              <w:rPr>
                <w:rFonts w:eastAsiaTheme="minorEastAsia"/>
                <w:kern w:val="0"/>
                <w:szCs w:val="21"/>
              </w:rPr>
              <w:t>14,321,059.20</w:t>
            </w:r>
          </w:p>
        </w:tc>
        <w:tc>
          <w:tcPr>
            <w:tcW w:w="1616" w:type="dxa"/>
            <w:vAlign w:val="center"/>
          </w:tcPr>
          <w:p w:rsidR="00334AFA" w:rsidRDefault="00A174EA">
            <w:pPr>
              <w:jc w:val="right"/>
            </w:pPr>
            <w:r>
              <w:rPr>
                <w:rFonts w:eastAsiaTheme="minorEastAsia"/>
                <w:kern w:val="0"/>
                <w:szCs w:val="21"/>
              </w:rPr>
              <w:t>3.64</w:t>
            </w:r>
          </w:p>
        </w:tc>
      </w:tr>
      <w:tr w:rsidR="00334AFA">
        <w:tc>
          <w:tcPr>
            <w:tcW w:w="817" w:type="dxa"/>
            <w:vAlign w:val="center"/>
          </w:tcPr>
          <w:p w:rsidR="00334AFA" w:rsidRDefault="00A174EA">
            <w:pPr>
              <w:jc w:val="center"/>
            </w:pPr>
            <w:r>
              <w:rPr>
                <w:rFonts w:eastAsiaTheme="minorEastAsia"/>
                <w:kern w:val="0"/>
                <w:szCs w:val="21"/>
              </w:rPr>
              <w:t>3</w:t>
            </w:r>
          </w:p>
        </w:tc>
        <w:tc>
          <w:tcPr>
            <w:tcW w:w="1276" w:type="dxa"/>
            <w:vAlign w:val="center"/>
          </w:tcPr>
          <w:p w:rsidR="00334AFA" w:rsidRDefault="00A174EA">
            <w:pPr>
              <w:jc w:val="center"/>
            </w:pPr>
            <w:r>
              <w:rPr>
                <w:rFonts w:eastAsiaTheme="minorEastAsia"/>
                <w:kern w:val="0"/>
                <w:szCs w:val="21"/>
              </w:rPr>
              <w:t>600483</w:t>
            </w:r>
          </w:p>
        </w:tc>
        <w:tc>
          <w:tcPr>
            <w:tcW w:w="1701" w:type="dxa"/>
            <w:vAlign w:val="center"/>
          </w:tcPr>
          <w:p w:rsidR="00334AFA" w:rsidRDefault="00A174EA">
            <w:pPr>
              <w:jc w:val="center"/>
            </w:pPr>
            <w:r>
              <w:rPr>
                <w:rFonts w:eastAsiaTheme="minorEastAsia"/>
                <w:kern w:val="0"/>
                <w:szCs w:val="21"/>
              </w:rPr>
              <w:t>福能股份</w:t>
            </w:r>
          </w:p>
        </w:tc>
        <w:tc>
          <w:tcPr>
            <w:tcW w:w="1276" w:type="dxa"/>
            <w:vAlign w:val="center"/>
          </w:tcPr>
          <w:p w:rsidR="00334AFA" w:rsidRDefault="00A174EA">
            <w:pPr>
              <w:jc w:val="right"/>
            </w:pPr>
            <w:r>
              <w:rPr>
                <w:rFonts w:eastAsiaTheme="minorEastAsia"/>
                <w:kern w:val="0"/>
                <w:szCs w:val="21"/>
              </w:rPr>
              <w:t>822,659.00</w:t>
            </w:r>
          </w:p>
        </w:tc>
        <w:tc>
          <w:tcPr>
            <w:tcW w:w="1842" w:type="dxa"/>
            <w:vAlign w:val="center"/>
          </w:tcPr>
          <w:p w:rsidR="00334AFA" w:rsidRDefault="00A174EA">
            <w:pPr>
              <w:jc w:val="right"/>
            </w:pPr>
            <w:r>
              <w:rPr>
                <w:rFonts w:eastAsiaTheme="minorEastAsia"/>
                <w:kern w:val="0"/>
                <w:szCs w:val="21"/>
              </w:rPr>
              <w:t>8,662,599.27</w:t>
            </w:r>
          </w:p>
        </w:tc>
        <w:tc>
          <w:tcPr>
            <w:tcW w:w="1616" w:type="dxa"/>
            <w:vAlign w:val="center"/>
          </w:tcPr>
          <w:p w:rsidR="00334AFA" w:rsidRDefault="00A174EA">
            <w:pPr>
              <w:jc w:val="right"/>
            </w:pPr>
            <w:r>
              <w:rPr>
                <w:rFonts w:eastAsiaTheme="minorEastAsia"/>
                <w:kern w:val="0"/>
                <w:szCs w:val="21"/>
              </w:rPr>
              <w:t>2.20</w:t>
            </w:r>
          </w:p>
        </w:tc>
      </w:tr>
      <w:tr w:rsidR="00334AFA">
        <w:tc>
          <w:tcPr>
            <w:tcW w:w="817" w:type="dxa"/>
            <w:vAlign w:val="center"/>
          </w:tcPr>
          <w:p w:rsidR="00334AFA" w:rsidRDefault="00A174EA">
            <w:pPr>
              <w:jc w:val="center"/>
            </w:pPr>
            <w:r>
              <w:rPr>
                <w:rFonts w:eastAsiaTheme="minorEastAsia"/>
                <w:kern w:val="0"/>
                <w:szCs w:val="21"/>
              </w:rPr>
              <w:t>4</w:t>
            </w:r>
          </w:p>
        </w:tc>
        <w:tc>
          <w:tcPr>
            <w:tcW w:w="1276" w:type="dxa"/>
            <w:vAlign w:val="center"/>
          </w:tcPr>
          <w:p w:rsidR="00334AFA" w:rsidRDefault="00A174EA">
            <w:pPr>
              <w:jc w:val="center"/>
            </w:pPr>
            <w:r>
              <w:rPr>
                <w:rFonts w:eastAsiaTheme="minorEastAsia"/>
                <w:kern w:val="0"/>
                <w:szCs w:val="21"/>
              </w:rPr>
              <w:t>600008</w:t>
            </w:r>
          </w:p>
        </w:tc>
        <w:tc>
          <w:tcPr>
            <w:tcW w:w="1701" w:type="dxa"/>
            <w:vAlign w:val="center"/>
          </w:tcPr>
          <w:p w:rsidR="00334AFA" w:rsidRDefault="00A174EA">
            <w:pPr>
              <w:jc w:val="center"/>
            </w:pPr>
            <w:r>
              <w:rPr>
                <w:rFonts w:eastAsiaTheme="minorEastAsia"/>
                <w:kern w:val="0"/>
                <w:szCs w:val="21"/>
              </w:rPr>
              <w:t>首创环保</w:t>
            </w:r>
          </w:p>
        </w:tc>
        <w:tc>
          <w:tcPr>
            <w:tcW w:w="1276" w:type="dxa"/>
            <w:vAlign w:val="center"/>
          </w:tcPr>
          <w:p w:rsidR="00334AFA" w:rsidRDefault="00A174EA">
            <w:pPr>
              <w:jc w:val="right"/>
            </w:pPr>
            <w:r>
              <w:rPr>
                <w:rFonts w:eastAsiaTheme="minorEastAsia"/>
                <w:kern w:val="0"/>
                <w:szCs w:val="21"/>
              </w:rPr>
              <w:t>2,027,680.00</w:t>
            </w:r>
          </w:p>
        </w:tc>
        <w:tc>
          <w:tcPr>
            <w:tcW w:w="1842" w:type="dxa"/>
            <w:vAlign w:val="center"/>
          </w:tcPr>
          <w:p w:rsidR="00334AFA" w:rsidRDefault="00A174EA">
            <w:pPr>
              <w:jc w:val="right"/>
            </w:pPr>
            <w:r>
              <w:rPr>
                <w:rFonts w:eastAsiaTheme="minorEastAsia"/>
                <w:kern w:val="0"/>
                <w:szCs w:val="21"/>
              </w:rPr>
              <w:t>5,636,950.40</w:t>
            </w:r>
          </w:p>
        </w:tc>
        <w:tc>
          <w:tcPr>
            <w:tcW w:w="1616" w:type="dxa"/>
            <w:vAlign w:val="center"/>
          </w:tcPr>
          <w:p w:rsidR="00334AFA" w:rsidRDefault="00A174EA">
            <w:pPr>
              <w:jc w:val="right"/>
            </w:pPr>
            <w:r>
              <w:rPr>
                <w:rFonts w:eastAsiaTheme="minorEastAsia"/>
                <w:kern w:val="0"/>
                <w:szCs w:val="21"/>
              </w:rPr>
              <w:t>1.43</w:t>
            </w:r>
          </w:p>
        </w:tc>
      </w:tr>
      <w:tr w:rsidR="00334AFA">
        <w:tc>
          <w:tcPr>
            <w:tcW w:w="817" w:type="dxa"/>
            <w:vAlign w:val="center"/>
          </w:tcPr>
          <w:p w:rsidR="00334AFA" w:rsidRDefault="00A174EA">
            <w:pPr>
              <w:jc w:val="center"/>
            </w:pPr>
            <w:r>
              <w:rPr>
                <w:rFonts w:eastAsiaTheme="minorEastAsia"/>
                <w:kern w:val="0"/>
                <w:szCs w:val="21"/>
              </w:rPr>
              <w:t>5</w:t>
            </w:r>
          </w:p>
        </w:tc>
        <w:tc>
          <w:tcPr>
            <w:tcW w:w="1276" w:type="dxa"/>
            <w:vAlign w:val="center"/>
          </w:tcPr>
          <w:p w:rsidR="00334AFA" w:rsidRDefault="00A174EA">
            <w:pPr>
              <w:jc w:val="center"/>
            </w:pPr>
            <w:r>
              <w:rPr>
                <w:rFonts w:eastAsiaTheme="minorEastAsia"/>
                <w:kern w:val="0"/>
                <w:szCs w:val="21"/>
              </w:rPr>
              <w:t>603713</w:t>
            </w:r>
          </w:p>
        </w:tc>
        <w:tc>
          <w:tcPr>
            <w:tcW w:w="1701" w:type="dxa"/>
            <w:vAlign w:val="center"/>
          </w:tcPr>
          <w:p w:rsidR="00334AFA" w:rsidRDefault="00A174EA">
            <w:pPr>
              <w:jc w:val="center"/>
            </w:pPr>
            <w:r>
              <w:rPr>
                <w:rFonts w:eastAsiaTheme="minorEastAsia"/>
                <w:kern w:val="0"/>
                <w:szCs w:val="21"/>
              </w:rPr>
              <w:t>密尔克卫</w:t>
            </w:r>
          </w:p>
        </w:tc>
        <w:tc>
          <w:tcPr>
            <w:tcW w:w="1276" w:type="dxa"/>
            <w:vAlign w:val="center"/>
          </w:tcPr>
          <w:p w:rsidR="00334AFA" w:rsidRDefault="00A174EA">
            <w:pPr>
              <w:jc w:val="right"/>
            </w:pPr>
            <w:r>
              <w:rPr>
                <w:rFonts w:eastAsiaTheme="minorEastAsia"/>
                <w:kern w:val="0"/>
                <w:szCs w:val="21"/>
              </w:rPr>
              <w:t>95,006.00</w:t>
            </w:r>
          </w:p>
        </w:tc>
        <w:tc>
          <w:tcPr>
            <w:tcW w:w="1842" w:type="dxa"/>
            <w:vAlign w:val="center"/>
          </w:tcPr>
          <w:p w:rsidR="00334AFA" w:rsidRDefault="00A174EA">
            <w:pPr>
              <w:jc w:val="right"/>
            </w:pPr>
            <w:r>
              <w:rPr>
                <w:rFonts w:eastAsiaTheme="minorEastAsia"/>
                <w:kern w:val="0"/>
                <w:szCs w:val="21"/>
              </w:rPr>
              <w:t>4,602,090.64</w:t>
            </w:r>
          </w:p>
        </w:tc>
        <w:tc>
          <w:tcPr>
            <w:tcW w:w="1616" w:type="dxa"/>
            <w:vAlign w:val="center"/>
          </w:tcPr>
          <w:p w:rsidR="00334AFA" w:rsidRDefault="00A174EA">
            <w:pPr>
              <w:jc w:val="right"/>
            </w:pPr>
            <w:r>
              <w:rPr>
                <w:rFonts w:eastAsiaTheme="minorEastAsia"/>
                <w:kern w:val="0"/>
                <w:szCs w:val="21"/>
              </w:rPr>
              <w:t>1.17</w:t>
            </w:r>
          </w:p>
        </w:tc>
      </w:tr>
      <w:tr w:rsidR="00334AFA">
        <w:tc>
          <w:tcPr>
            <w:tcW w:w="817" w:type="dxa"/>
            <w:vAlign w:val="center"/>
          </w:tcPr>
          <w:p w:rsidR="00334AFA" w:rsidRDefault="00A174EA">
            <w:pPr>
              <w:jc w:val="center"/>
            </w:pPr>
            <w:r>
              <w:rPr>
                <w:rFonts w:eastAsiaTheme="minorEastAsia"/>
                <w:kern w:val="0"/>
                <w:szCs w:val="21"/>
              </w:rPr>
              <w:lastRenderedPageBreak/>
              <w:t>6</w:t>
            </w:r>
          </w:p>
        </w:tc>
        <w:tc>
          <w:tcPr>
            <w:tcW w:w="1276" w:type="dxa"/>
            <w:vAlign w:val="center"/>
          </w:tcPr>
          <w:p w:rsidR="00334AFA" w:rsidRDefault="00A174EA">
            <w:pPr>
              <w:jc w:val="center"/>
            </w:pPr>
            <w:r>
              <w:rPr>
                <w:rFonts w:eastAsiaTheme="minorEastAsia"/>
                <w:kern w:val="0"/>
                <w:szCs w:val="21"/>
              </w:rPr>
              <w:t>002541</w:t>
            </w:r>
          </w:p>
        </w:tc>
        <w:tc>
          <w:tcPr>
            <w:tcW w:w="1701" w:type="dxa"/>
            <w:vAlign w:val="center"/>
          </w:tcPr>
          <w:p w:rsidR="00334AFA" w:rsidRDefault="00A174EA">
            <w:pPr>
              <w:jc w:val="center"/>
            </w:pPr>
            <w:r>
              <w:rPr>
                <w:rFonts w:eastAsiaTheme="minorEastAsia"/>
                <w:kern w:val="0"/>
                <w:szCs w:val="21"/>
              </w:rPr>
              <w:t>鸿路钢构</w:t>
            </w:r>
          </w:p>
        </w:tc>
        <w:tc>
          <w:tcPr>
            <w:tcW w:w="1276" w:type="dxa"/>
            <w:vAlign w:val="center"/>
          </w:tcPr>
          <w:p w:rsidR="00334AFA" w:rsidRDefault="00A174EA">
            <w:pPr>
              <w:jc w:val="right"/>
            </w:pPr>
            <w:r>
              <w:rPr>
                <w:rFonts w:eastAsiaTheme="minorEastAsia"/>
                <w:kern w:val="0"/>
                <w:szCs w:val="21"/>
              </w:rPr>
              <w:t>252,573.00</w:t>
            </w:r>
          </w:p>
        </w:tc>
        <w:tc>
          <w:tcPr>
            <w:tcW w:w="1842" w:type="dxa"/>
            <w:vAlign w:val="center"/>
          </w:tcPr>
          <w:p w:rsidR="00334AFA" w:rsidRDefault="00A174EA">
            <w:pPr>
              <w:jc w:val="right"/>
            </w:pPr>
            <w:r>
              <w:rPr>
                <w:rFonts w:eastAsiaTheme="minorEastAsia"/>
                <w:kern w:val="0"/>
                <w:szCs w:val="21"/>
              </w:rPr>
              <w:t>3,775,966.35</w:t>
            </w:r>
          </w:p>
        </w:tc>
        <w:tc>
          <w:tcPr>
            <w:tcW w:w="1616" w:type="dxa"/>
            <w:vAlign w:val="center"/>
          </w:tcPr>
          <w:p w:rsidR="00334AFA" w:rsidRDefault="00A174EA">
            <w:pPr>
              <w:jc w:val="right"/>
            </w:pPr>
            <w:r>
              <w:rPr>
                <w:rFonts w:eastAsiaTheme="minorEastAsia"/>
                <w:kern w:val="0"/>
                <w:szCs w:val="21"/>
              </w:rPr>
              <w:t>0.96</w:t>
            </w:r>
          </w:p>
        </w:tc>
      </w:tr>
      <w:tr w:rsidR="00334AFA">
        <w:tc>
          <w:tcPr>
            <w:tcW w:w="817" w:type="dxa"/>
            <w:vAlign w:val="center"/>
          </w:tcPr>
          <w:p w:rsidR="00334AFA" w:rsidRDefault="00A174EA">
            <w:pPr>
              <w:jc w:val="center"/>
            </w:pPr>
            <w:r>
              <w:rPr>
                <w:rFonts w:eastAsiaTheme="minorEastAsia"/>
                <w:kern w:val="0"/>
                <w:szCs w:val="21"/>
              </w:rPr>
              <w:t>7</w:t>
            </w:r>
          </w:p>
        </w:tc>
        <w:tc>
          <w:tcPr>
            <w:tcW w:w="1276" w:type="dxa"/>
            <w:vAlign w:val="center"/>
          </w:tcPr>
          <w:p w:rsidR="00334AFA" w:rsidRDefault="00A174EA">
            <w:pPr>
              <w:jc w:val="center"/>
            </w:pPr>
            <w:r>
              <w:rPr>
                <w:rFonts w:eastAsiaTheme="minorEastAsia"/>
                <w:kern w:val="0"/>
                <w:szCs w:val="21"/>
              </w:rPr>
              <w:t>600021</w:t>
            </w:r>
          </w:p>
        </w:tc>
        <w:tc>
          <w:tcPr>
            <w:tcW w:w="1701" w:type="dxa"/>
            <w:vAlign w:val="center"/>
          </w:tcPr>
          <w:p w:rsidR="00334AFA" w:rsidRDefault="00A174EA">
            <w:pPr>
              <w:jc w:val="center"/>
            </w:pPr>
            <w:r>
              <w:rPr>
                <w:rFonts w:eastAsiaTheme="minorEastAsia"/>
                <w:kern w:val="0"/>
                <w:szCs w:val="21"/>
              </w:rPr>
              <w:t>上海电力</w:t>
            </w:r>
          </w:p>
        </w:tc>
        <w:tc>
          <w:tcPr>
            <w:tcW w:w="1276" w:type="dxa"/>
            <w:vAlign w:val="center"/>
          </w:tcPr>
          <w:p w:rsidR="00334AFA" w:rsidRDefault="00A174EA">
            <w:pPr>
              <w:jc w:val="right"/>
            </w:pPr>
            <w:r>
              <w:rPr>
                <w:rFonts w:eastAsiaTheme="minorEastAsia"/>
                <w:kern w:val="0"/>
                <w:szCs w:val="21"/>
              </w:rPr>
              <w:t>384,910.00</w:t>
            </w:r>
          </w:p>
        </w:tc>
        <w:tc>
          <w:tcPr>
            <w:tcW w:w="1842" w:type="dxa"/>
            <w:vAlign w:val="center"/>
          </w:tcPr>
          <w:p w:rsidR="00334AFA" w:rsidRDefault="00A174EA">
            <w:pPr>
              <w:jc w:val="right"/>
            </w:pPr>
            <w:r>
              <w:rPr>
                <w:rFonts w:eastAsiaTheme="minorEastAsia"/>
                <w:kern w:val="0"/>
                <w:szCs w:val="21"/>
              </w:rPr>
              <w:t>3,341,018.80</w:t>
            </w:r>
          </w:p>
        </w:tc>
        <w:tc>
          <w:tcPr>
            <w:tcW w:w="1616" w:type="dxa"/>
            <w:vAlign w:val="center"/>
          </w:tcPr>
          <w:p w:rsidR="00334AFA" w:rsidRDefault="00A174EA">
            <w:pPr>
              <w:jc w:val="right"/>
            </w:pPr>
            <w:r>
              <w:rPr>
                <w:rFonts w:eastAsiaTheme="minorEastAsia"/>
                <w:kern w:val="0"/>
                <w:szCs w:val="21"/>
              </w:rPr>
              <w:t>0.85</w:t>
            </w:r>
          </w:p>
        </w:tc>
      </w:tr>
      <w:tr w:rsidR="00334AFA">
        <w:tc>
          <w:tcPr>
            <w:tcW w:w="817" w:type="dxa"/>
            <w:vAlign w:val="center"/>
          </w:tcPr>
          <w:p w:rsidR="00334AFA" w:rsidRDefault="00A174EA">
            <w:pPr>
              <w:jc w:val="center"/>
            </w:pPr>
            <w:r>
              <w:rPr>
                <w:rFonts w:eastAsiaTheme="minorEastAsia"/>
                <w:kern w:val="0"/>
                <w:szCs w:val="21"/>
              </w:rPr>
              <w:t>8</w:t>
            </w:r>
          </w:p>
        </w:tc>
        <w:tc>
          <w:tcPr>
            <w:tcW w:w="1276" w:type="dxa"/>
            <w:vAlign w:val="center"/>
          </w:tcPr>
          <w:p w:rsidR="00334AFA" w:rsidRDefault="00A174EA">
            <w:pPr>
              <w:jc w:val="center"/>
            </w:pPr>
            <w:r>
              <w:rPr>
                <w:rFonts w:eastAsiaTheme="minorEastAsia"/>
                <w:kern w:val="0"/>
                <w:szCs w:val="21"/>
              </w:rPr>
              <w:t>600426</w:t>
            </w:r>
          </w:p>
        </w:tc>
        <w:tc>
          <w:tcPr>
            <w:tcW w:w="1701" w:type="dxa"/>
            <w:vAlign w:val="center"/>
          </w:tcPr>
          <w:p w:rsidR="00334AFA" w:rsidRDefault="00A174EA">
            <w:pPr>
              <w:jc w:val="center"/>
            </w:pPr>
            <w:r>
              <w:rPr>
                <w:rFonts w:eastAsiaTheme="minorEastAsia"/>
                <w:kern w:val="0"/>
                <w:szCs w:val="21"/>
              </w:rPr>
              <w:t>华鲁恒升</w:t>
            </w:r>
          </w:p>
        </w:tc>
        <w:tc>
          <w:tcPr>
            <w:tcW w:w="1276" w:type="dxa"/>
            <w:vAlign w:val="center"/>
          </w:tcPr>
          <w:p w:rsidR="00334AFA" w:rsidRDefault="00A174EA">
            <w:pPr>
              <w:jc w:val="right"/>
            </w:pPr>
            <w:r>
              <w:rPr>
                <w:rFonts w:eastAsiaTheme="minorEastAsia"/>
                <w:kern w:val="0"/>
                <w:szCs w:val="21"/>
              </w:rPr>
              <w:t>107,158.00</w:t>
            </w:r>
          </w:p>
        </w:tc>
        <w:tc>
          <w:tcPr>
            <w:tcW w:w="1842" w:type="dxa"/>
            <w:vAlign w:val="center"/>
          </w:tcPr>
          <w:p w:rsidR="00334AFA" w:rsidRDefault="00A174EA">
            <w:pPr>
              <w:jc w:val="right"/>
            </w:pPr>
            <w:r>
              <w:rPr>
                <w:rFonts w:eastAsiaTheme="minorEastAsia"/>
                <w:kern w:val="0"/>
                <w:szCs w:val="21"/>
              </w:rPr>
              <w:t>2,803,253.28</w:t>
            </w:r>
          </w:p>
        </w:tc>
        <w:tc>
          <w:tcPr>
            <w:tcW w:w="1616" w:type="dxa"/>
            <w:vAlign w:val="center"/>
          </w:tcPr>
          <w:p w:rsidR="00334AFA" w:rsidRDefault="00A174EA">
            <w:pPr>
              <w:jc w:val="right"/>
            </w:pPr>
            <w:r>
              <w:rPr>
                <w:rFonts w:eastAsiaTheme="minorEastAsia"/>
                <w:kern w:val="0"/>
                <w:szCs w:val="21"/>
              </w:rPr>
              <w:t>0.71</w:t>
            </w:r>
          </w:p>
        </w:tc>
      </w:tr>
      <w:tr w:rsidR="00334AFA">
        <w:tc>
          <w:tcPr>
            <w:tcW w:w="817" w:type="dxa"/>
            <w:vAlign w:val="center"/>
          </w:tcPr>
          <w:p w:rsidR="00334AFA" w:rsidRDefault="00A174EA">
            <w:pPr>
              <w:jc w:val="center"/>
            </w:pPr>
            <w:r>
              <w:rPr>
                <w:rFonts w:eastAsiaTheme="minorEastAsia"/>
                <w:kern w:val="0"/>
                <w:szCs w:val="21"/>
              </w:rPr>
              <w:t>9</w:t>
            </w:r>
          </w:p>
        </w:tc>
        <w:tc>
          <w:tcPr>
            <w:tcW w:w="1276" w:type="dxa"/>
            <w:vAlign w:val="center"/>
          </w:tcPr>
          <w:p w:rsidR="00334AFA" w:rsidRDefault="00A174EA">
            <w:pPr>
              <w:jc w:val="center"/>
            </w:pPr>
            <w:r>
              <w:rPr>
                <w:rFonts w:eastAsiaTheme="minorEastAsia"/>
                <w:kern w:val="0"/>
                <w:szCs w:val="21"/>
              </w:rPr>
              <w:t>002567</w:t>
            </w:r>
          </w:p>
        </w:tc>
        <w:tc>
          <w:tcPr>
            <w:tcW w:w="1701" w:type="dxa"/>
            <w:vAlign w:val="center"/>
          </w:tcPr>
          <w:p w:rsidR="00334AFA" w:rsidRDefault="00A174EA">
            <w:pPr>
              <w:jc w:val="center"/>
            </w:pPr>
            <w:r>
              <w:rPr>
                <w:rFonts w:eastAsiaTheme="minorEastAsia"/>
                <w:kern w:val="0"/>
                <w:szCs w:val="21"/>
              </w:rPr>
              <w:t>唐人神</w:t>
            </w:r>
          </w:p>
        </w:tc>
        <w:tc>
          <w:tcPr>
            <w:tcW w:w="1276" w:type="dxa"/>
            <w:vAlign w:val="center"/>
          </w:tcPr>
          <w:p w:rsidR="00334AFA" w:rsidRDefault="00A174EA">
            <w:pPr>
              <w:jc w:val="right"/>
            </w:pPr>
            <w:r>
              <w:rPr>
                <w:rFonts w:eastAsiaTheme="minorEastAsia"/>
                <w:kern w:val="0"/>
                <w:szCs w:val="21"/>
              </w:rPr>
              <w:t>367,580.00</w:t>
            </w:r>
          </w:p>
        </w:tc>
        <w:tc>
          <w:tcPr>
            <w:tcW w:w="1842" w:type="dxa"/>
            <w:vAlign w:val="center"/>
          </w:tcPr>
          <w:p w:rsidR="00334AFA" w:rsidRDefault="00A174EA">
            <w:pPr>
              <w:jc w:val="right"/>
            </w:pPr>
            <w:r>
              <w:rPr>
                <w:rFonts w:eastAsiaTheme="minorEastAsia"/>
                <w:kern w:val="0"/>
                <w:szCs w:val="21"/>
              </w:rPr>
              <w:t>2,304,726.60</w:t>
            </w:r>
          </w:p>
        </w:tc>
        <w:tc>
          <w:tcPr>
            <w:tcW w:w="1616" w:type="dxa"/>
            <w:vAlign w:val="center"/>
          </w:tcPr>
          <w:p w:rsidR="00334AFA" w:rsidRDefault="00A174EA">
            <w:pPr>
              <w:jc w:val="right"/>
            </w:pPr>
            <w:r>
              <w:rPr>
                <w:rFonts w:eastAsiaTheme="minorEastAsia"/>
                <w:kern w:val="0"/>
                <w:szCs w:val="21"/>
              </w:rPr>
              <w:t>0.59</w:t>
            </w:r>
          </w:p>
        </w:tc>
      </w:tr>
      <w:tr w:rsidR="00334AFA">
        <w:tc>
          <w:tcPr>
            <w:tcW w:w="817" w:type="dxa"/>
            <w:vAlign w:val="center"/>
          </w:tcPr>
          <w:p w:rsidR="00334AFA" w:rsidRDefault="00A174EA">
            <w:pPr>
              <w:jc w:val="center"/>
            </w:pPr>
            <w:r>
              <w:rPr>
                <w:rFonts w:eastAsiaTheme="minorEastAsia"/>
                <w:kern w:val="0"/>
                <w:szCs w:val="21"/>
              </w:rPr>
              <w:t>10</w:t>
            </w:r>
          </w:p>
        </w:tc>
        <w:tc>
          <w:tcPr>
            <w:tcW w:w="1276" w:type="dxa"/>
            <w:vAlign w:val="center"/>
          </w:tcPr>
          <w:p w:rsidR="00334AFA" w:rsidRDefault="00A174EA">
            <w:pPr>
              <w:jc w:val="center"/>
            </w:pPr>
            <w:r>
              <w:rPr>
                <w:rFonts w:eastAsiaTheme="minorEastAsia"/>
                <w:kern w:val="0"/>
                <w:szCs w:val="21"/>
              </w:rPr>
              <w:t>600887</w:t>
            </w:r>
          </w:p>
        </w:tc>
        <w:tc>
          <w:tcPr>
            <w:tcW w:w="1701" w:type="dxa"/>
            <w:vAlign w:val="center"/>
          </w:tcPr>
          <w:p w:rsidR="00334AFA" w:rsidRDefault="00A174EA">
            <w:pPr>
              <w:jc w:val="center"/>
            </w:pPr>
            <w:r>
              <w:rPr>
                <w:rFonts w:eastAsiaTheme="minorEastAsia"/>
                <w:kern w:val="0"/>
                <w:szCs w:val="21"/>
              </w:rPr>
              <w:t>伊利股份</w:t>
            </w:r>
          </w:p>
        </w:tc>
        <w:tc>
          <w:tcPr>
            <w:tcW w:w="1276" w:type="dxa"/>
            <w:vAlign w:val="center"/>
          </w:tcPr>
          <w:p w:rsidR="00334AFA" w:rsidRDefault="00A174EA">
            <w:pPr>
              <w:jc w:val="right"/>
            </w:pPr>
            <w:r>
              <w:rPr>
                <w:rFonts w:eastAsiaTheme="minorEastAsia"/>
                <w:kern w:val="0"/>
                <w:szCs w:val="21"/>
              </w:rPr>
              <w:t>57,943.00</w:t>
            </w:r>
          </w:p>
        </w:tc>
        <w:tc>
          <w:tcPr>
            <w:tcW w:w="1842" w:type="dxa"/>
            <w:vAlign w:val="center"/>
          </w:tcPr>
          <w:p w:rsidR="00334AFA" w:rsidRDefault="00A174EA">
            <w:pPr>
              <w:jc w:val="right"/>
            </w:pPr>
            <w:r>
              <w:rPr>
                <w:rFonts w:eastAsiaTheme="minorEastAsia"/>
                <w:kern w:val="0"/>
                <w:szCs w:val="21"/>
              </w:rPr>
              <w:t>1,616,609.70</w:t>
            </w:r>
          </w:p>
        </w:tc>
        <w:tc>
          <w:tcPr>
            <w:tcW w:w="1616" w:type="dxa"/>
            <w:vAlign w:val="center"/>
          </w:tcPr>
          <w:p w:rsidR="00334AFA" w:rsidRDefault="00A174EA">
            <w:pPr>
              <w:jc w:val="right"/>
            </w:pPr>
            <w:r>
              <w:rPr>
                <w:rFonts w:eastAsiaTheme="minorEastAsia"/>
                <w:kern w:val="0"/>
                <w:szCs w:val="21"/>
              </w:rPr>
              <w:t>0.41</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14,394,195.63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10,188,606.56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2.59</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10,188,606.56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118,626,385.87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79,096,451.81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40,961,948.09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54,187,785.29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317,455,373.25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80.76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334AFA">
        <w:tc>
          <w:tcPr>
            <w:tcW w:w="1504" w:type="dxa"/>
            <w:vAlign w:val="center"/>
          </w:tcPr>
          <w:p w:rsidR="00334AFA" w:rsidRDefault="00A174EA">
            <w:pPr>
              <w:jc w:val="center"/>
            </w:pPr>
            <w:r>
              <w:rPr>
                <w:rFonts w:eastAsiaTheme="minorEastAsia"/>
                <w:color w:val="000000" w:themeColor="text1"/>
                <w:szCs w:val="21"/>
              </w:rPr>
              <w:t>1</w:t>
            </w:r>
          </w:p>
        </w:tc>
        <w:tc>
          <w:tcPr>
            <w:tcW w:w="1504" w:type="dxa"/>
            <w:vAlign w:val="center"/>
          </w:tcPr>
          <w:p w:rsidR="00334AFA" w:rsidRDefault="00A174EA">
            <w:pPr>
              <w:jc w:val="center"/>
            </w:pPr>
            <w:r>
              <w:rPr>
                <w:rFonts w:eastAsiaTheme="minorEastAsia"/>
                <w:color w:val="000000" w:themeColor="text1"/>
                <w:szCs w:val="21"/>
              </w:rPr>
              <w:t>042380333</w:t>
            </w:r>
          </w:p>
        </w:tc>
        <w:tc>
          <w:tcPr>
            <w:tcW w:w="1504" w:type="dxa"/>
            <w:vAlign w:val="center"/>
          </w:tcPr>
          <w:p w:rsidR="00334AFA" w:rsidRDefault="00A174EA">
            <w:pPr>
              <w:jc w:val="center"/>
            </w:pPr>
            <w:r>
              <w:rPr>
                <w:rFonts w:eastAsiaTheme="minorEastAsia"/>
                <w:color w:val="000000" w:themeColor="text1"/>
                <w:szCs w:val="21"/>
              </w:rPr>
              <w:t>23</w:t>
            </w:r>
            <w:r>
              <w:rPr>
                <w:rFonts w:eastAsiaTheme="minorEastAsia"/>
                <w:color w:val="000000" w:themeColor="text1"/>
                <w:szCs w:val="21"/>
              </w:rPr>
              <w:t>电网</w:t>
            </w:r>
            <w:r>
              <w:rPr>
                <w:rFonts w:eastAsiaTheme="minorEastAsia"/>
                <w:color w:val="000000" w:themeColor="text1"/>
                <w:szCs w:val="21"/>
              </w:rPr>
              <w:t>CP001</w:t>
            </w:r>
          </w:p>
        </w:tc>
        <w:tc>
          <w:tcPr>
            <w:tcW w:w="1503" w:type="dxa"/>
            <w:vAlign w:val="center"/>
          </w:tcPr>
          <w:p w:rsidR="00334AFA" w:rsidRDefault="00A174EA">
            <w:pPr>
              <w:jc w:val="right"/>
            </w:pPr>
            <w:r>
              <w:rPr>
                <w:rFonts w:eastAsiaTheme="minorEastAsia"/>
                <w:color w:val="000000" w:themeColor="text1"/>
                <w:szCs w:val="21"/>
              </w:rPr>
              <w:t>350,000</w:t>
            </w:r>
          </w:p>
        </w:tc>
        <w:tc>
          <w:tcPr>
            <w:tcW w:w="1503" w:type="dxa"/>
            <w:vAlign w:val="center"/>
          </w:tcPr>
          <w:p w:rsidR="00334AFA" w:rsidRDefault="00A174EA">
            <w:pPr>
              <w:jc w:val="right"/>
            </w:pPr>
            <w:r>
              <w:rPr>
                <w:rFonts w:eastAsiaTheme="minorEastAsia"/>
                <w:color w:val="000000" w:themeColor="text1"/>
                <w:szCs w:val="21"/>
              </w:rPr>
              <w:t>35,563,599.45</w:t>
            </w:r>
          </w:p>
        </w:tc>
        <w:tc>
          <w:tcPr>
            <w:tcW w:w="1503" w:type="dxa"/>
            <w:vAlign w:val="center"/>
          </w:tcPr>
          <w:p w:rsidR="00334AFA" w:rsidRDefault="00A174EA">
            <w:pPr>
              <w:jc w:val="right"/>
            </w:pPr>
            <w:r>
              <w:rPr>
                <w:rFonts w:eastAsiaTheme="minorEastAsia"/>
                <w:color w:val="000000" w:themeColor="text1"/>
                <w:szCs w:val="21"/>
              </w:rPr>
              <w:t>9.05</w:t>
            </w:r>
          </w:p>
        </w:tc>
      </w:tr>
      <w:tr w:rsidR="00334AFA">
        <w:tc>
          <w:tcPr>
            <w:tcW w:w="1504" w:type="dxa"/>
            <w:vAlign w:val="center"/>
          </w:tcPr>
          <w:p w:rsidR="00334AFA" w:rsidRDefault="00A174EA">
            <w:pPr>
              <w:jc w:val="center"/>
            </w:pPr>
            <w:r>
              <w:rPr>
                <w:rFonts w:eastAsiaTheme="minorEastAsia"/>
                <w:color w:val="000000" w:themeColor="text1"/>
                <w:szCs w:val="21"/>
              </w:rPr>
              <w:t>2</w:t>
            </w:r>
          </w:p>
        </w:tc>
        <w:tc>
          <w:tcPr>
            <w:tcW w:w="1504" w:type="dxa"/>
            <w:vAlign w:val="center"/>
          </w:tcPr>
          <w:p w:rsidR="00334AFA" w:rsidRDefault="00A174EA">
            <w:pPr>
              <w:jc w:val="center"/>
            </w:pPr>
            <w:r>
              <w:rPr>
                <w:rFonts w:eastAsiaTheme="minorEastAsia"/>
                <w:color w:val="000000" w:themeColor="text1"/>
                <w:szCs w:val="21"/>
              </w:rPr>
              <w:t>188139</w:t>
            </w:r>
          </w:p>
        </w:tc>
        <w:tc>
          <w:tcPr>
            <w:tcW w:w="1504" w:type="dxa"/>
            <w:vAlign w:val="center"/>
          </w:tcPr>
          <w:p w:rsidR="00334AFA" w:rsidRDefault="00A174EA">
            <w:pPr>
              <w:jc w:val="center"/>
            </w:pPr>
            <w:r>
              <w:rPr>
                <w:rFonts w:eastAsiaTheme="minorEastAsia"/>
                <w:color w:val="000000" w:themeColor="text1"/>
                <w:szCs w:val="21"/>
              </w:rPr>
              <w:t>21</w:t>
            </w:r>
            <w:r>
              <w:rPr>
                <w:rFonts w:eastAsiaTheme="minorEastAsia"/>
                <w:color w:val="000000" w:themeColor="text1"/>
                <w:szCs w:val="21"/>
              </w:rPr>
              <w:t>国电</w:t>
            </w:r>
            <w:r>
              <w:rPr>
                <w:rFonts w:eastAsiaTheme="minorEastAsia"/>
                <w:color w:val="000000" w:themeColor="text1"/>
                <w:szCs w:val="21"/>
              </w:rPr>
              <w:t>01</w:t>
            </w:r>
          </w:p>
        </w:tc>
        <w:tc>
          <w:tcPr>
            <w:tcW w:w="1503" w:type="dxa"/>
            <w:vAlign w:val="center"/>
          </w:tcPr>
          <w:p w:rsidR="00334AFA" w:rsidRDefault="00A174EA">
            <w:pPr>
              <w:jc w:val="right"/>
            </w:pPr>
            <w:r>
              <w:rPr>
                <w:rFonts w:eastAsiaTheme="minorEastAsia"/>
                <w:color w:val="000000" w:themeColor="text1"/>
                <w:szCs w:val="21"/>
              </w:rPr>
              <w:t>220,000</w:t>
            </w:r>
          </w:p>
        </w:tc>
        <w:tc>
          <w:tcPr>
            <w:tcW w:w="1503" w:type="dxa"/>
            <w:vAlign w:val="center"/>
          </w:tcPr>
          <w:p w:rsidR="00334AFA" w:rsidRDefault="00A174EA">
            <w:pPr>
              <w:jc w:val="right"/>
            </w:pPr>
            <w:r>
              <w:rPr>
                <w:rFonts w:eastAsiaTheme="minorEastAsia"/>
                <w:color w:val="000000" w:themeColor="text1"/>
                <w:szCs w:val="21"/>
              </w:rPr>
              <w:t>22,534,786.85</w:t>
            </w:r>
          </w:p>
        </w:tc>
        <w:tc>
          <w:tcPr>
            <w:tcW w:w="1503" w:type="dxa"/>
            <w:vAlign w:val="center"/>
          </w:tcPr>
          <w:p w:rsidR="00334AFA" w:rsidRDefault="00A174EA">
            <w:pPr>
              <w:jc w:val="right"/>
            </w:pPr>
            <w:r>
              <w:rPr>
                <w:rFonts w:eastAsiaTheme="minorEastAsia"/>
                <w:color w:val="000000" w:themeColor="text1"/>
                <w:szCs w:val="21"/>
              </w:rPr>
              <w:t>5.73</w:t>
            </w:r>
          </w:p>
        </w:tc>
      </w:tr>
      <w:tr w:rsidR="00334AFA">
        <w:tc>
          <w:tcPr>
            <w:tcW w:w="1504" w:type="dxa"/>
            <w:vAlign w:val="center"/>
          </w:tcPr>
          <w:p w:rsidR="00334AFA" w:rsidRDefault="00A174EA">
            <w:pPr>
              <w:jc w:val="center"/>
            </w:pPr>
            <w:r>
              <w:rPr>
                <w:rFonts w:eastAsiaTheme="minorEastAsia"/>
                <w:color w:val="000000" w:themeColor="text1"/>
                <w:szCs w:val="21"/>
              </w:rPr>
              <w:t>3</w:t>
            </w:r>
          </w:p>
        </w:tc>
        <w:tc>
          <w:tcPr>
            <w:tcW w:w="1504" w:type="dxa"/>
            <w:vAlign w:val="center"/>
          </w:tcPr>
          <w:p w:rsidR="00334AFA" w:rsidRDefault="00A174EA">
            <w:pPr>
              <w:jc w:val="center"/>
            </w:pPr>
            <w:r>
              <w:rPr>
                <w:rFonts w:eastAsiaTheme="minorEastAsia"/>
                <w:color w:val="000000" w:themeColor="text1"/>
                <w:szCs w:val="21"/>
              </w:rPr>
              <w:t>155525</w:t>
            </w:r>
          </w:p>
        </w:tc>
        <w:tc>
          <w:tcPr>
            <w:tcW w:w="1504" w:type="dxa"/>
            <w:vAlign w:val="center"/>
          </w:tcPr>
          <w:p w:rsidR="00334AFA" w:rsidRDefault="00A174EA">
            <w:pPr>
              <w:jc w:val="center"/>
            </w:pPr>
            <w:r>
              <w:rPr>
                <w:rFonts w:eastAsiaTheme="minorEastAsia"/>
                <w:color w:val="000000" w:themeColor="text1"/>
                <w:szCs w:val="21"/>
              </w:rPr>
              <w:t>19</w:t>
            </w:r>
            <w:r>
              <w:rPr>
                <w:rFonts w:eastAsiaTheme="minorEastAsia"/>
                <w:color w:val="000000" w:themeColor="text1"/>
                <w:szCs w:val="21"/>
              </w:rPr>
              <w:t>中证</w:t>
            </w:r>
            <w:r>
              <w:rPr>
                <w:rFonts w:eastAsiaTheme="minorEastAsia"/>
                <w:color w:val="000000" w:themeColor="text1"/>
                <w:szCs w:val="21"/>
              </w:rPr>
              <w:t>G2</w:t>
            </w:r>
          </w:p>
        </w:tc>
        <w:tc>
          <w:tcPr>
            <w:tcW w:w="1503" w:type="dxa"/>
            <w:vAlign w:val="center"/>
          </w:tcPr>
          <w:p w:rsidR="00334AFA" w:rsidRDefault="00A174EA">
            <w:pPr>
              <w:jc w:val="right"/>
            </w:pPr>
            <w:r>
              <w:rPr>
                <w:rFonts w:eastAsiaTheme="minorEastAsia"/>
                <w:color w:val="000000" w:themeColor="text1"/>
                <w:szCs w:val="21"/>
              </w:rPr>
              <w:t>200,000</w:t>
            </w:r>
          </w:p>
        </w:tc>
        <w:tc>
          <w:tcPr>
            <w:tcW w:w="1503" w:type="dxa"/>
            <w:vAlign w:val="center"/>
          </w:tcPr>
          <w:p w:rsidR="00334AFA" w:rsidRDefault="00A174EA">
            <w:pPr>
              <w:jc w:val="right"/>
            </w:pPr>
            <w:r>
              <w:rPr>
                <w:rFonts w:eastAsiaTheme="minorEastAsia"/>
                <w:color w:val="000000" w:themeColor="text1"/>
                <w:szCs w:val="21"/>
              </w:rPr>
              <w:t>20,466,368.22</w:t>
            </w:r>
          </w:p>
        </w:tc>
        <w:tc>
          <w:tcPr>
            <w:tcW w:w="1503" w:type="dxa"/>
            <w:vAlign w:val="center"/>
          </w:tcPr>
          <w:p w:rsidR="00334AFA" w:rsidRDefault="00A174EA">
            <w:pPr>
              <w:jc w:val="right"/>
            </w:pPr>
            <w:r>
              <w:rPr>
                <w:rFonts w:eastAsiaTheme="minorEastAsia"/>
                <w:color w:val="000000" w:themeColor="text1"/>
                <w:szCs w:val="21"/>
              </w:rPr>
              <w:t>5.21</w:t>
            </w:r>
          </w:p>
        </w:tc>
      </w:tr>
      <w:tr w:rsidR="00334AFA">
        <w:tc>
          <w:tcPr>
            <w:tcW w:w="1504" w:type="dxa"/>
            <w:vAlign w:val="center"/>
          </w:tcPr>
          <w:p w:rsidR="00334AFA" w:rsidRDefault="00A174EA">
            <w:pPr>
              <w:jc w:val="center"/>
            </w:pPr>
            <w:r>
              <w:rPr>
                <w:rFonts w:eastAsiaTheme="minorEastAsia"/>
                <w:color w:val="000000" w:themeColor="text1"/>
                <w:szCs w:val="21"/>
              </w:rPr>
              <w:t>4</w:t>
            </w:r>
          </w:p>
        </w:tc>
        <w:tc>
          <w:tcPr>
            <w:tcW w:w="1504" w:type="dxa"/>
            <w:vAlign w:val="center"/>
          </w:tcPr>
          <w:p w:rsidR="00334AFA" w:rsidRDefault="00A174EA">
            <w:pPr>
              <w:jc w:val="center"/>
            </w:pPr>
            <w:r>
              <w:rPr>
                <w:rFonts w:eastAsiaTheme="minorEastAsia"/>
                <w:color w:val="000000" w:themeColor="text1"/>
                <w:szCs w:val="21"/>
              </w:rPr>
              <w:t>012382788</w:t>
            </w:r>
          </w:p>
        </w:tc>
        <w:tc>
          <w:tcPr>
            <w:tcW w:w="1504" w:type="dxa"/>
            <w:vAlign w:val="center"/>
          </w:tcPr>
          <w:p w:rsidR="00334AFA" w:rsidRDefault="00A174EA">
            <w:pPr>
              <w:jc w:val="center"/>
            </w:pPr>
            <w:r>
              <w:rPr>
                <w:rFonts w:eastAsiaTheme="minorEastAsia"/>
                <w:color w:val="000000" w:themeColor="text1"/>
                <w:szCs w:val="21"/>
              </w:rPr>
              <w:t>23</w:t>
            </w:r>
            <w:r>
              <w:rPr>
                <w:rFonts w:eastAsiaTheme="minorEastAsia"/>
                <w:color w:val="000000" w:themeColor="text1"/>
                <w:szCs w:val="21"/>
              </w:rPr>
              <w:t>南电</w:t>
            </w:r>
            <w:r>
              <w:rPr>
                <w:rFonts w:eastAsiaTheme="minorEastAsia"/>
                <w:color w:val="000000" w:themeColor="text1"/>
                <w:szCs w:val="21"/>
              </w:rPr>
              <w:t>SCP013</w:t>
            </w:r>
          </w:p>
        </w:tc>
        <w:tc>
          <w:tcPr>
            <w:tcW w:w="1503" w:type="dxa"/>
            <w:vAlign w:val="center"/>
          </w:tcPr>
          <w:p w:rsidR="00334AFA" w:rsidRDefault="00A174EA">
            <w:pPr>
              <w:jc w:val="right"/>
            </w:pPr>
            <w:r>
              <w:rPr>
                <w:rFonts w:eastAsiaTheme="minorEastAsia"/>
                <w:color w:val="000000" w:themeColor="text1"/>
                <w:szCs w:val="21"/>
              </w:rPr>
              <w:t>200,000</w:t>
            </w:r>
          </w:p>
        </w:tc>
        <w:tc>
          <w:tcPr>
            <w:tcW w:w="1503" w:type="dxa"/>
            <w:vAlign w:val="center"/>
          </w:tcPr>
          <w:p w:rsidR="00334AFA" w:rsidRDefault="00A174EA">
            <w:pPr>
              <w:jc w:val="right"/>
            </w:pPr>
            <w:r>
              <w:rPr>
                <w:rFonts w:eastAsiaTheme="minorEastAsia"/>
                <w:color w:val="000000" w:themeColor="text1"/>
                <w:szCs w:val="21"/>
              </w:rPr>
              <w:t>20,286,786.89</w:t>
            </w:r>
          </w:p>
        </w:tc>
        <w:tc>
          <w:tcPr>
            <w:tcW w:w="1503" w:type="dxa"/>
            <w:vAlign w:val="center"/>
          </w:tcPr>
          <w:p w:rsidR="00334AFA" w:rsidRDefault="00A174EA">
            <w:pPr>
              <w:jc w:val="right"/>
            </w:pPr>
            <w:r>
              <w:rPr>
                <w:rFonts w:eastAsiaTheme="minorEastAsia"/>
                <w:color w:val="000000" w:themeColor="text1"/>
                <w:szCs w:val="21"/>
              </w:rPr>
              <w:t>5.16</w:t>
            </w:r>
          </w:p>
        </w:tc>
      </w:tr>
      <w:tr w:rsidR="00334AFA">
        <w:tc>
          <w:tcPr>
            <w:tcW w:w="1504" w:type="dxa"/>
            <w:vAlign w:val="center"/>
          </w:tcPr>
          <w:p w:rsidR="00334AFA" w:rsidRDefault="00A174EA">
            <w:pPr>
              <w:jc w:val="center"/>
            </w:pPr>
            <w:r>
              <w:rPr>
                <w:rFonts w:eastAsiaTheme="minorEastAsia"/>
                <w:color w:val="000000" w:themeColor="text1"/>
                <w:szCs w:val="21"/>
              </w:rPr>
              <w:t>5</w:t>
            </w:r>
          </w:p>
        </w:tc>
        <w:tc>
          <w:tcPr>
            <w:tcW w:w="1504" w:type="dxa"/>
            <w:vAlign w:val="center"/>
          </w:tcPr>
          <w:p w:rsidR="00334AFA" w:rsidRDefault="00A174EA">
            <w:pPr>
              <w:jc w:val="center"/>
            </w:pPr>
            <w:r>
              <w:rPr>
                <w:rFonts w:eastAsiaTheme="minorEastAsia"/>
                <w:color w:val="000000" w:themeColor="text1"/>
                <w:szCs w:val="21"/>
              </w:rPr>
              <w:t>188134</w:t>
            </w:r>
          </w:p>
        </w:tc>
        <w:tc>
          <w:tcPr>
            <w:tcW w:w="1504" w:type="dxa"/>
            <w:vAlign w:val="center"/>
          </w:tcPr>
          <w:p w:rsidR="00334AFA" w:rsidRDefault="00A174EA">
            <w:pPr>
              <w:jc w:val="center"/>
            </w:pPr>
            <w:r>
              <w:rPr>
                <w:rFonts w:eastAsiaTheme="minorEastAsia"/>
                <w:color w:val="000000" w:themeColor="text1"/>
                <w:szCs w:val="21"/>
              </w:rPr>
              <w:t>21</w:t>
            </w:r>
            <w:r>
              <w:rPr>
                <w:rFonts w:eastAsiaTheme="minorEastAsia"/>
                <w:color w:val="000000" w:themeColor="text1"/>
                <w:szCs w:val="21"/>
              </w:rPr>
              <w:t>华泰</w:t>
            </w:r>
            <w:r>
              <w:rPr>
                <w:rFonts w:eastAsiaTheme="minorEastAsia"/>
                <w:color w:val="000000" w:themeColor="text1"/>
                <w:szCs w:val="21"/>
              </w:rPr>
              <w:t>G5</w:t>
            </w:r>
          </w:p>
        </w:tc>
        <w:tc>
          <w:tcPr>
            <w:tcW w:w="1503" w:type="dxa"/>
            <w:vAlign w:val="center"/>
          </w:tcPr>
          <w:p w:rsidR="00334AFA" w:rsidRDefault="00A174EA">
            <w:pPr>
              <w:jc w:val="right"/>
            </w:pPr>
            <w:r>
              <w:rPr>
                <w:rFonts w:eastAsiaTheme="minorEastAsia"/>
                <w:color w:val="000000" w:themeColor="text1"/>
                <w:szCs w:val="21"/>
              </w:rPr>
              <w:t>170,000</w:t>
            </w:r>
          </w:p>
        </w:tc>
        <w:tc>
          <w:tcPr>
            <w:tcW w:w="1503" w:type="dxa"/>
            <w:vAlign w:val="center"/>
          </w:tcPr>
          <w:p w:rsidR="00334AFA" w:rsidRDefault="00A174EA">
            <w:pPr>
              <w:jc w:val="right"/>
            </w:pPr>
            <w:r>
              <w:rPr>
                <w:rFonts w:eastAsiaTheme="minorEastAsia"/>
                <w:color w:val="000000" w:themeColor="text1"/>
                <w:szCs w:val="21"/>
              </w:rPr>
              <w:t>17,405,106.74</w:t>
            </w:r>
          </w:p>
        </w:tc>
        <w:tc>
          <w:tcPr>
            <w:tcW w:w="1503" w:type="dxa"/>
            <w:vAlign w:val="center"/>
          </w:tcPr>
          <w:p w:rsidR="00334AFA" w:rsidRDefault="00A174EA">
            <w:pPr>
              <w:jc w:val="right"/>
            </w:pPr>
            <w:r>
              <w:rPr>
                <w:rFonts w:eastAsiaTheme="minorEastAsia"/>
                <w:color w:val="000000" w:themeColor="text1"/>
                <w:szCs w:val="21"/>
              </w:rPr>
              <w:t>4.43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274,977.78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316,924.67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26,938.58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618,841.03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lastRenderedPageBreak/>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290,158,624.34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178,696,770.82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497,403.60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2,803,138.08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125,227,503.36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44,451,074.47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165,428,524.58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137,048,834.43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90,402.20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90,402.20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《摩根安隆回报混合型证券投资基金基金合同》；</w:t>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《摩根安隆回报混合型证券投资基金托管协议》；</w:t>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334AFA" w:rsidRDefault="00A174EA">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174E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174EA">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174EA">
      <w:rPr>
        <w:rStyle w:val="af6"/>
        <w:noProof/>
      </w:rPr>
      <w:t>11</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摩根安隆回报混合型证券投资基金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4AFA"/>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4EA"/>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04D20-3CD2-40CF-85AD-30CF72BC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1280</Words>
  <Characters>7298</Characters>
  <Application>Microsoft Office Word</Application>
  <DocSecurity>0</DocSecurity>
  <Lines>60</Lines>
  <Paragraphs>17</Paragraphs>
  <ScaleCrop>false</ScaleCrop>
  <Company>TRT. Ltd. Co.</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2024-04-19T02:24:00Z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