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上投摩根安隆回报混合型证券投资基金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上投摩根安隆回报混合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1,717,631,886.18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87D4C" w:rsidRDefault="003302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87D4C" w:rsidRDefault="003302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287D4C" w:rsidRDefault="003302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287D4C" w:rsidRDefault="003302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w:t>
            </w:r>
            <w:r>
              <w:rPr>
                <w:rFonts w:eastAsiaTheme="minorEastAsia"/>
                <w:color w:val="000000" w:themeColor="text1"/>
                <w:kern w:val="0"/>
                <w:szCs w:val="21"/>
              </w:rPr>
              <w:t>司短期债等多种投资策略，实施积极主动的组合管理，并根据对债券收益率曲线形态、息差变化的预测，对债券组合进行动态调整。</w:t>
            </w:r>
          </w:p>
          <w:p w:rsidR="00287D4C" w:rsidRDefault="003302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287D4C" w:rsidRDefault="003302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87D4C" w:rsidRDefault="003302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w:t>
            </w:r>
            <w:r>
              <w:rPr>
                <w:rFonts w:eastAsiaTheme="minorEastAsia"/>
                <w:color w:val="000000" w:themeColor="text1"/>
                <w:kern w:val="0"/>
                <w:szCs w:val="21"/>
              </w:rPr>
              <w:t>品，预期风险和收益水平高于债券型基金和货币市场基金，低于股票型基金，属于中等风险收益水平的基金产品。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1,189,481,999.76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528,149,886.42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9,911,870.56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4,209,691.88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-11,501,317.17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-4,938,520.46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1,572,650,962.40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688,062,029.27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1.3028</w:t>
            </w:r>
          </w:p>
        </w:tc>
      </w:tr>
    </w:tbl>
    <w:p w:rsidR="00287D4C" w:rsidRDefault="003302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87D4C">
        <w:tc>
          <w:tcPr>
            <w:tcW w:w="1290" w:type="dxa"/>
            <w:vAlign w:val="center"/>
          </w:tcPr>
          <w:p w:rsidR="00287D4C" w:rsidRDefault="00330258">
            <w:pPr>
              <w:jc w:val="left"/>
            </w:pPr>
            <w:r>
              <w:rPr>
                <w:rFonts w:eastAsiaTheme="minorEastAsia"/>
                <w:color w:val="000000" w:themeColor="text1"/>
                <w:szCs w:val="21"/>
              </w:rPr>
              <w:t>过去三个月</w:t>
            </w:r>
          </w:p>
        </w:tc>
        <w:tc>
          <w:tcPr>
            <w:tcW w:w="1291" w:type="dxa"/>
            <w:vAlign w:val="center"/>
          </w:tcPr>
          <w:p w:rsidR="00287D4C" w:rsidRDefault="00330258">
            <w:pPr>
              <w:jc w:val="right"/>
            </w:pPr>
            <w:r>
              <w:rPr>
                <w:rFonts w:eastAsiaTheme="minorEastAsia"/>
                <w:color w:val="000000" w:themeColor="text1"/>
                <w:szCs w:val="21"/>
              </w:rPr>
              <w:t>-0.68%</w:t>
            </w:r>
          </w:p>
        </w:tc>
        <w:tc>
          <w:tcPr>
            <w:tcW w:w="1291" w:type="dxa"/>
            <w:vAlign w:val="center"/>
          </w:tcPr>
          <w:p w:rsidR="00287D4C" w:rsidRDefault="00330258">
            <w:pPr>
              <w:jc w:val="right"/>
            </w:pPr>
            <w:r>
              <w:rPr>
                <w:rFonts w:eastAsiaTheme="minorEastAsia"/>
                <w:color w:val="000000" w:themeColor="text1"/>
                <w:szCs w:val="21"/>
              </w:rPr>
              <w:t>0.21%</w:t>
            </w:r>
          </w:p>
        </w:tc>
        <w:tc>
          <w:tcPr>
            <w:tcW w:w="1291" w:type="dxa"/>
            <w:vAlign w:val="center"/>
          </w:tcPr>
          <w:p w:rsidR="00287D4C" w:rsidRDefault="00330258">
            <w:pPr>
              <w:jc w:val="right"/>
            </w:pPr>
            <w:r>
              <w:rPr>
                <w:rFonts w:eastAsiaTheme="minorEastAsia"/>
                <w:color w:val="000000" w:themeColor="text1"/>
                <w:szCs w:val="21"/>
              </w:rPr>
              <w:t>-1.82%</w:t>
            </w:r>
          </w:p>
        </w:tc>
        <w:tc>
          <w:tcPr>
            <w:tcW w:w="1291" w:type="dxa"/>
            <w:vAlign w:val="center"/>
          </w:tcPr>
          <w:p w:rsidR="00287D4C" w:rsidRDefault="00330258">
            <w:pPr>
              <w:jc w:val="right"/>
            </w:pPr>
            <w:r>
              <w:rPr>
                <w:rFonts w:eastAsiaTheme="minorEastAsia"/>
                <w:color w:val="000000" w:themeColor="text1"/>
                <w:szCs w:val="21"/>
              </w:rPr>
              <w:t>0.18%</w:t>
            </w:r>
          </w:p>
        </w:tc>
        <w:tc>
          <w:tcPr>
            <w:tcW w:w="1291" w:type="dxa"/>
            <w:vAlign w:val="center"/>
          </w:tcPr>
          <w:p w:rsidR="00287D4C" w:rsidRDefault="00330258">
            <w:pPr>
              <w:jc w:val="right"/>
            </w:pPr>
            <w:r>
              <w:rPr>
                <w:rFonts w:eastAsiaTheme="minorEastAsia"/>
                <w:color w:val="000000" w:themeColor="text1"/>
                <w:szCs w:val="21"/>
              </w:rPr>
              <w:t>1.14%</w:t>
            </w:r>
          </w:p>
        </w:tc>
        <w:tc>
          <w:tcPr>
            <w:tcW w:w="1291" w:type="dxa"/>
            <w:vAlign w:val="center"/>
          </w:tcPr>
          <w:p w:rsidR="00287D4C" w:rsidRDefault="00330258">
            <w:pPr>
              <w:jc w:val="right"/>
            </w:pPr>
            <w:r>
              <w:rPr>
                <w:rFonts w:eastAsiaTheme="minorEastAsia"/>
                <w:color w:val="000000" w:themeColor="text1"/>
                <w:szCs w:val="21"/>
              </w:rPr>
              <w:t>0.03%</w:t>
            </w:r>
          </w:p>
        </w:tc>
      </w:tr>
      <w:tr w:rsidR="00287D4C">
        <w:tc>
          <w:tcPr>
            <w:tcW w:w="1290" w:type="dxa"/>
            <w:vAlign w:val="center"/>
          </w:tcPr>
          <w:p w:rsidR="00287D4C" w:rsidRDefault="00330258">
            <w:pPr>
              <w:jc w:val="left"/>
            </w:pPr>
            <w:r>
              <w:rPr>
                <w:rFonts w:eastAsiaTheme="minorEastAsia"/>
                <w:color w:val="000000" w:themeColor="text1"/>
                <w:szCs w:val="21"/>
              </w:rPr>
              <w:t>过去六个月</w:t>
            </w:r>
          </w:p>
        </w:tc>
        <w:tc>
          <w:tcPr>
            <w:tcW w:w="1291" w:type="dxa"/>
            <w:vAlign w:val="center"/>
          </w:tcPr>
          <w:p w:rsidR="00287D4C" w:rsidRDefault="00330258">
            <w:pPr>
              <w:jc w:val="right"/>
            </w:pPr>
            <w:r>
              <w:rPr>
                <w:rFonts w:eastAsiaTheme="minorEastAsia"/>
                <w:color w:val="000000" w:themeColor="text1"/>
                <w:szCs w:val="21"/>
              </w:rPr>
              <w:t>1.01%</w:t>
            </w:r>
          </w:p>
        </w:tc>
        <w:tc>
          <w:tcPr>
            <w:tcW w:w="1291" w:type="dxa"/>
            <w:vAlign w:val="center"/>
          </w:tcPr>
          <w:p w:rsidR="00287D4C" w:rsidRDefault="00330258">
            <w:pPr>
              <w:jc w:val="right"/>
            </w:pPr>
            <w:r>
              <w:rPr>
                <w:rFonts w:eastAsiaTheme="minorEastAsia"/>
                <w:color w:val="000000" w:themeColor="text1"/>
                <w:szCs w:val="21"/>
              </w:rPr>
              <w:t>0.29%</w:t>
            </w:r>
          </w:p>
        </w:tc>
        <w:tc>
          <w:tcPr>
            <w:tcW w:w="1291" w:type="dxa"/>
            <w:vAlign w:val="center"/>
          </w:tcPr>
          <w:p w:rsidR="00287D4C" w:rsidRDefault="00330258">
            <w:pPr>
              <w:jc w:val="right"/>
            </w:pPr>
            <w:r>
              <w:rPr>
                <w:rFonts w:eastAsiaTheme="minorEastAsia"/>
                <w:color w:val="000000" w:themeColor="text1"/>
                <w:szCs w:val="21"/>
              </w:rPr>
              <w:t>0.09%</w:t>
            </w:r>
          </w:p>
        </w:tc>
        <w:tc>
          <w:tcPr>
            <w:tcW w:w="1291" w:type="dxa"/>
            <w:vAlign w:val="center"/>
          </w:tcPr>
          <w:p w:rsidR="00287D4C" w:rsidRDefault="00330258">
            <w:pPr>
              <w:jc w:val="right"/>
            </w:pPr>
            <w:r>
              <w:rPr>
                <w:rFonts w:eastAsiaTheme="minorEastAsia"/>
                <w:color w:val="000000" w:themeColor="text1"/>
                <w:szCs w:val="21"/>
              </w:rPr>
              <w:t>0.23%</w:t>
            </w:r>
          </w:p>
        </w:tc>
        <w:tc>
          <w:tcPr>
            <w:tcW w:w="1291" w:type="dxa"/>
            <w:vAlign w:val="center"/>
          </w:tcPr>
          <w:p w:rsidR="00287D4C" w:rsidRDefault="00330258">
            <w:pPr>
              <w:jc w:val="right"/>
            </w:pPr>
            <w:r>
              <w:rPr>
                <w:rFonts w:eastAsiaTheme="minorEastAsia"/>
                <w:color w:val="000000" w:themeColor="text1"/>
                <w:szCs w:val="21"/>
              </w:rPr>
              <w:t>0.92%</w:t>
            </w:r>
          </w:p>
        </w:tc>
        <w:tc>
          <w:tcPr>
            <w:tcW w:w="1291" w:type="dxa"/>
            <w:vAlign w:val="center"/>
          </w:tcPr>
          <w:p w:rsidR="00287D4C" w:rsidRDefault="00330258">
            <w:pPr>
              <w:jc w:val="right"/>
            </w:pPr>
            <w:r>
              <w:rPr>
                <w:rFonts w:eastAsiaTheme="minorEastAsia"/>
                <w:color w:val="000000" w:themeColor="text1"/>
                <w:szCs w:val="21"/>
              </w:rPr>
              <w:t>0.06%</w:t>
            </w:r>
          </w:p>
        </w:tc>
      </w:tr>
      <w:tr w:rsidR="00287D4C">
        <w:tc>
          <w:tcPr>
            <w:tcW w:w="1290" w:type="dxa"/>
            <w:vAlign w:val="center"/>
          </w:tcPr>
          <w:p w:rsidR="00287D4C" w:rsidRDefault="00330258">
            <w:pPr>
              <w:jc w:val="left"/>
            </w:pPr>
            <w:r>
              <w:rPr>
                <w:rFonts w:eastAsiaTheme="minorEastAsia"/>
                <w:color w:val="000000" w:themeColor="text1"/>
                <w:szCs w:val="21"/>
              </w:rPr>
              <w:lastRenderedPageBreak/>
              <w:t>过去一年</w:t>
            </w:r>
          </w:p>
        </w:tc>
        <w:tc>
          <w:tcPr>
            <w:tcW w:w="1291" w:type="dxa"/>
            <w:vAlign w:val="center"/>
          </w:tcPr>
          <w:p w:rsidR="00287D4C" w:rsidRDefault="00330258">
            <w:pPr>
              <w:jc w:val="right"/>
            </w:pPr>
            <w:r>
              <w:rPr>
                <w:rFonts w:eastAsiaTheme="minorEastAsia"/>
                <w:color w:val="000000" w:themeColor="text1"/>
                <w:szCs w:val="21"/>
              </w:rPr>
              <w:t>0.46%</w:t>
            </w:r>
          </w:p>
        </w:tc>
        <w:tc>
          <w:tcPr>
            <w:tcW w:w="1291" w:type="dxa"/>
            <w:vAlign w:val="center"/>
          </w:tcPr>
          <w:p w:rsidR="00287D4C" w:rsidRDefault="00330258">
            <w:pPr>
              <w:jc w:val="right"/>
            </w:pPr>
            <w:r>
              <w:rPr>
                <w:rFonts w:eastAsiaTheme="minorEastAsia"/>
                <w:color w:val="000000" w:themeColor="text1"/>
                <w:szCs w:val="21"/>
              </w:rPr>
              <w:t>0.27%</w:t>
            </w:r>
          </w:p>
        </w:tc>
        <w:tc>
          <w:tcPr>
            <w:tcW w:w="1291" w:type="dxa"/>
            <w:vAlign w:val="center"/>
          </w:tcPr>
          <w:p w:rsidR="00287D4C" w:rsidRDefault="00330258">
            <w:pPr>
              <w:jc w:val="right"/>
            </w:pPr>
            <w:r>
              <w:rPr>
                <w:rFonts w:eastAsiaTheme="minorEastAsia"/>
                <w:color w:val="000000" w:themeColor="text1"/>
                <w:szCs w:val="21"/>
              </w:rPr>
              <w:t>-0.64%</w:t>
            </w:r>
          </w:p>
        </w:tc>
        <w:tc>
          <w:tcPr>
            <w:tcW w:w="1291" w:type="dxa"/>
            <w:vAlign w:val="center"/>
          </w:tcPr>
          <w:p w:rsidR="00287D4C" w:rsidRDefault="00330258">
            <w:pPr>
              <w:jc w:val="right"/>
            </w:pPr>
            <w:r>
              <w:rPr>
                <w:rFonts w:eastAsiaTheme="minorEastAsia"/>
                <w:color w:val="000000" w:themeColor="text1"/>
                <w:szCs w:val="21"/>
              </w:rPr>
              <w:t>0.24%</w:t>
            </w:r>
          </w:p>
        </w:tc>
        <w:tc>
          <w:tcPr>
            <w:tcW w:w="1291" w:type="dxa"/>
            <w:vAlign w:val="center"/>
          </w:tcPr>
          <w:p w:rsidR="00287D4C" w:rsidRDefault="00330258">
            <w:pPr>
              <w:jc w:val="right"/>
            </w:pPr>
            <w:r>
              <w:rPr>
                <w:rFonts w:eastAsiaTheme="minorEastAsia"/>
                <w:color w:val="000000" w:themeColor="text1"/>
                <w:szCs w:val="21"/>
              </w:rPr>
              <w:t>1.10%</w:t>
            </w:r>
          </w:p>
        </w:tc>
        <w:tc>
          <w:tcPr>
            <w:tcW w:w="1291" w:type="dxa"/>
            <w:vAlign w:val="center"/>
          </w:tcPr>
          <w:p w:rsidR="00287D4C" w:rsidRDefault="00330258">
            <w:pPr>
              <w:jc w:val="right"/>
            </w:pPr>
            <w:r>
              <w:rPr>
                <w:rFonts w:eastAsiaTheme="minorEastAsia"/>
                <w:color w:val="000000" w:themeColor="text1"/>
                <w:szCs w:val="21"/>
              </w:rPr>
              <w:t>0.03%</w:t>
            </w:r>
          </w:p>
        </w:tc>
      </w:tr>
      <w:tr w:rsidR="00287D4C">
        <w:tc>
          <w:tcPr>
            <w:tcW w:w="1290" w:type="dxa"/>
            <w:vAlign w:val="center"/>
          </w:tcPr>
          <w:p w:rsidR="00287D4C" w:rsidRDefault="00330258">
            <w:pPr>
              <w:jc w:val="left"/>
            </w:pPr>
            <w:r>
              <w:rPr>
                <w:rFonts w:eastAsiaTheme="minorEastAsia"/>
                <w:color w:val="000000" w:themeColor="text1"/>
                <w:szCs w:val="21"/>
              </w:rPr>
              <w:t>过去三年</w:t>
            </w:r>
          </w:p>
        </w:tc>
        <w:tc>
          <w:tcPr>
            <w:tcW w:w="1291" w:type="dxa"/>
            <w:vAlign w:val="center"/>
          </w:tcPr>
          <w:p w:rsidR="00287D4C" w:rsidRDefault="00330258">
            <w:pPr>
              <w:jc w:val="right"/>
            </w:pPr>
            <w:r>
              <w:rPr>
                <w:rFonts w:eastAsiaTheme="minorEastAsia"/>
                <w:color w:val="000000" w:themeColor="text1"/>
                <w:szCs w:val="21"/>
              </w:rPr>
              <w:t>23.19%</w:t>
            </w:r>
          </w:p>
        </w:tc>
        <w:tc>
          <w:tcPr>
            <w:tcW w:w="1291" w:type="dxa"/>
            <w:vAlign w:val="center"/>
          </w:tcPr>
          <w:p w:rsidR="00287D4C" w:rsidRDefault="00330258">
            <w:pPr>
              <w:jc w:val="right"/>
            </w:pPr>
            <w:r>
              <w:rPr>
                <w:rFonts w:eastAsiaTheme="minorEastAsia"/>
                <w:color w:val="000000" w:themeColor="text1"/>
                <w:szCs w:val="21"/>
              </w:rPr>
              <w:t>0.24%</w:t>
            </w:r>
          </w:p>
        </w:tc>
        <w:tc>
          <w:tcPr>
            <w:tcW w:w="1291" w:type="dxa"/>
            <w:vAlign w:val="center"/>
          </w:tcPr>
          <w:p w:rsidR="00287D4C" w:rsidRDefault="00330258">
            <w:pPr>
              <w:jc w:val="right"/>
            </w:pPr>
            <w:r>
              <w:rPr>
                <w:rFonts w:eastAsiaTheme="minorEastAsia"/>
                <w:color w:val="000000" w:themeColor="text1"/>
                <w:szCs w:val="21"/>
              </w:rPr>
              <w:t>10.63%</w:t>
            </w:r>
          </w:p>
        </w:tc>
        <w:tc>
          <w:tcPr>
            <w:tcW w:w="1291" w:type="dxa"/>
            <w:vAlign w:val="center"/>
          </w:tcPr>
          <w:p w:rsidR="00287D4C" w:rsidRDefault="00330258">
            <w:pPr>
              <w:jc w:val="right"/>
            </w:pPr>
            <w:r>
              <w:rPr>
                <w:rFonts w:eastAsiaTheme="minorEastAsia"/>
                <w:color w:val="000000" w:themeColor="text1"/>
                <w:szCs w:val="21"/>
              </w:rPr>
              <w:t>0.25%</w:t>
            </w:r>
          </w:p>
        </w:tc>
        <w:tc>
          <w:tcPr>
            <w:tcW w:w="1291" w:type="dxa"/>
            <w:vAlign w:val="center"/>
          </w:tcPr>
          <w:p w:rsidR="00287D4C" w:rsidRDefault="00330258">
            <w:pPr>
              <w:jc w:val="right"/>
            </w:pPr>
            <w:r>
              <w:rPr>
                <w:rFonts w:eastAsiaTheme="minorEastAsia"/>
                <w:color w:val="000000" w:themeColor="text1"/>
                <w:szCs w:val="21"/>
              </w:rPr>
              <w:t>12.56%</w:t>
            </w:r>
          </w:p>
        </w:tc>
        <w:tc>
          <w:tcPr>
            <w:tcW w:w="1291" w:type="dxa"/>
            <w:vAlign w:val="center"/>
          </w:tcPr>
          <w:p w:rsidR="00287D4C" w:rsidRDefault="00330258">
            <w:pPr>
              <w:jc w:val="right"/>
            </w:pPr>
            <w:r>
              <w:rPr>
                <w:rFonts w:eastAsiaTheme="minorEastAsia"/>
                <w:color w:val="000000" w:themeColor="text1"/>
                <w:szCs w:val="21"/>
              </w:rPr>
              <w:t>-0.01%</w:t>
            </w:r>
          </w:p>
        </w:tc>
      </w:tr>
      <w:tr w:rsidR="00287D4C">
        <w:tc>
          <w:tcPr>
            <w:tcW w:w="1290" w:type="dxa"/>
            <w:vAlign w:val="center"/>
          </w:tcPr>
          <w:p w:rsidR="00287D4C" w:rsidRDefault="00330258">
            <w:pPr>
              <w:jc w:val="left"/>
            </w:pPr>
            <w:r>
              <w:rPr>
                <w:rFonts w:eastAsiaTheme="minorEastAsia"/>
                <w:color w:val="000000" w:themeColor="text1"/>
                <w:szCs w:val="21"/>
              </w:rPr>
              <w:t>过去五年</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r>
      <w:tr w:rsidR="00287D4C">
        <w:tc>
          <w:tcPr>
            <w:tcW w:w="1290" w:type="dxa"/>
            <w:vAlign w:val="center"/>
          </w:tcPr>
          <w:p w:rsidR="00287D4C" w:rsidRDefault="00330258">
            <w:pPr>
              <w:jc w:val="left"/>
            </w:pPr>
            <w:r>
              <w:rPr>
                <w:rFonts w:eastAsiaTheme="minorEastAsia"/>
                <w:color w:val="000000" w:themeColor="text1"/>
                <w:szCs w:val="21"/>
              </w:rPr>
              <w:t>自基金合同生效起至今</w:t>
            </w:r>
          </w:p>
        </w:tc>
        <w:tc>
          <w:tcPr>
            <w:tcW w:w="1291" w:type="dxa"/>
            <w:vAlign w:val="center"/>
          </w:tcPr>
          <w:p w:rsidR="00287D4C" w:rsidRDefault="00330258">
            <w:pPr>
              <w:jc w:val="right"/>
            </w:pPr>
            <w:r>
              <w:rPr>
                <w:rFonts w:eastAsiaTheme="minorEastAsia"/>
                <w:color w:val="000000" w:themeColor="text1"/>
                <w:szCs w:val="21"/>
              </w:rPr>
              <w:t>32.21%</w:t>
            </w:r>
          </w:p>
        </w:tc>
        <w:tc>
          <w:tcPr>
            <w:tcW w:w="1291" w:type="dxa"/>
            <w:vAlign w:val="center"/>
          </w:tcPr>
          <w:p w:rsidR="00287D4C" w:rsidRDefault="00330258">
            <w:pPr>
              <w:jc w:val="right"/>
            </w:pPr>
            <w:r>
              <w:rPr>
                <w:rFonts w:eastAsiaTheme="minorEastAsia"/>
                <w:color w:val="000000" w:themeColor="text1"/>
                <w:szCs w:val="21"/>
              </w:rPr>
              <w:t>0.24%</w:t>
            </w:r>
          </w:p>
        </w:tc>
        <w:tc>
          <w:tcPr>
            <w:tcW w:w="1291" w:type="dxa"/>
            <w:vAlign w:val="center"/>
          </w:tcPr>
          <w:p w:rsidR="00287D4C" w:rsidRDefault="00330258">
            <w:pPr>
              <w:jc w:val="right"/>
            </w:pPr>
            <w:r>
              <w:rPr>
                <w:rFonts w:eastAsiaTheme="minorEastAsia"/>
                <w:color w:val="000000" w:themeColor="text1"/>
                <w:szCs w:val="21"/>
              </w:rPr>
              <w:t>19.64%</w:t>
            </w:r>
          </w:p>
        </w:tc>
        <w:tc>
          <w:tcPr>
            <w:tcW w:w="1291" w:type="dxa"/>
            <w:vAlign w:val="center"/>
          </w:tcPr>
          <w:p w:rsidR="00287D4C" w:rsidRDefault="00330258">
            <w:pPr>
              <w:jc w:val="right"/>
            </w:pPr>
            <w:r>
              <w:rPr>
                <w:rFonts w:eastAsiaTheme="minorEastAsia"/>
                <w:color w:val="000000" w:themeColor="text1"/>
                <w:szCs w:val="21"/>
              </w:rPr>
              <w:t>0.26%</w:t>
            </w:r>
          </w:p>
        </w:tc>
        <w:tc>
          <w:tcPr>
            <w:tcW w:w="1291" w:type="dxa"/>
            <w:vAlign w:val="center"/>
          </w:tcPr>
          <w:p w:rsidR="00287D4C" w:rsidRDefault="00330258">
            <w:pPr>
              <w:jc w:val="right"/>
            </w:pPr>
            <w:r>
              <w:rPr>
                <w:rFonts w:eastAsiaTheme="minorEastAsia"/>
                <w:color w:val="000000" w:themeColor="text1"/>
                <w:szCs w:val="21"/>
              </w:rPr>
              <w:t>12.57%</w:t>
            </w:r>
          </w:p>
        </w:tc>
        <w:tc>
          <w:tcPr>
            <w:tcW w:w="1291" w:type="dxa"/>
            <w:vAlign w:val="center"/>
          </w:tcPr>
          <w:p w:rsidR="00287D4C" w:rsidRDefault="00330258">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87D4C">
        <w:tc>
          <w:tcPr>
            <w:tcW w:w="1290" w:type="dxa"/>
            <w:vAlign w:val="center"/>
          </w:tcPr>
          <w:p w:rsidR="00287D4C" w:rsidRDefault="00330258">
            <w:pPr>
              <w:jc w:val="left"/>
            </w:pPr>
            <w:r>
              <w:rPr>
                <w:rFonts w:eastAsiaTheme="minorEastAsia"/>
                <w:color w:val="000000" w:themeColor="text1"/>
                <w:szCs w:val="21"/>
              </w:rPr>
              <w:t>过去三个月</w:t>
            </w:r>
          </w:p>
        </w:tc>
        <w:tc>
          <w:tcPr>
            <w:tcW w:w="1291" w:type="dxa"/>
            <w:vAlign w:val="center"/>
          </w:tcPr>
          <w:p w:rsidR="00287D4C" w:rsidRDefault="00330258">
            <w:pPr>
              <w:jc w:val="right"/>
            </w:pPr>
            <w:r>
              <w:rPr>
                <w:rFonts w:eastAsiaTheme="minorEastAsia"/>
                <w:color w:val="000000" w:themeColor="text1"/>
                <w:szCs w:val="21"/>
              </w:rPr>
              <w:t>-0.75%</w:t>
            </w:r>
          </w:p>
        </w:tc>
        <w:tc>
          <w:tcPr>
            <w:tcW w:w="1291" w:type="dxa"/>
            <w:vAlign w:val="center"/>
          </w:tcPr>
          <w:p w:rsidR="00287D4C" w:rsidRDefault="00330258">
            <w:pPr>
              <w:jc w:val="right"/>
            </w:pPr>
            <w:r>
              <w:rPr>
                <w:rFonts w:eastAsiaTheme="minorEastAsia"/>
                <w:color w:val="000000" w:themeColor="text1"/>
                <w:szCs w:val="21"/>
              </w:rPr>
              <w:t>0.21%</w:t>
            </w:r>
          </w:p>
        </w:tc>
        <w:tc>
          <w:tcPr>
            <w:tcW w:w="1291" w:type="dxa"/>
            <w:vAlign w:val="center"/>
          </w:tcPr>
          <w:p w:rsidR="00287D4C" w:rsidRDefault="00330258">
            <w:pPr>
              <w:jc w:val="right"/>
            </w:pPr>
            <w:r>
              <w:rPr>
                <w:rFonts w:eastAsiaTheme="minorEastAsia"/>
                <w:color w:val="000000" w:themeColor="text1"/>
                <w:szCs w:val="21"/>
              </w:rPr>
              <w:t>-1.82%</w:t>
            </w:r>
          </w:p>
        </w:tc>
        <w:tc>
          <w:tcPr>
            <w:tcW w:w="1291" w:type="dxa"/>
            <w:vAlign w:val="center"/>
          </w:tcPr>
          <w:p w:rsidR="00287D4C" w:rsidRDefault="00330258">
            <w:pPr>
              <w:jc w:val="right"/>
            </w:pPr>
            <w:r>
              <w:rPr>
                <w:rFonts w:eastAsiaTheme="minorEastAsia"/>
                <w:color w:val="000000" w:themeColor="text1"/>
                <w:szCs w:val="21"/>
              </w:rPr>
              <w:t>0.18%</w:t>
            </w:r>
          </w:p>
        </w:tc>
        <w:tc>
          <w:tcPr>
            <w:tcW w:w="1291" w:type="dxa"/>
            <w:vAlign w:val="center"/>
          </w:tcPr>
          <w:p w:rsidR="00287D4C" w:rsidRDefault="00330258">
            <w:pPr>
              <w:jc w:val="right"/>
            </w:pPr>
            <w:r>
              <w:rPr>
                <w:rFonts w:eastAsiaTheme="minorEastAsia"/>
                <w:color w:val="000000" w:themeColor="text1"/>
                <w:szCs w:val="21"/>
              </w:rPr>
              <w:t>1.07%</w:t>
            </w:r>
          </w:p>
        </w:tc>
        <w:tc>
          <w:tcPr>
            <w:tcW w:w="1291" w:type="dxa"/>
            <w:vAlign w:val="center"/>
          </w:tcPr>
          <w:p w:rsidR="00287D4C" w:rsidRDefault="00330258">
            <w:pPr>
              <w:jc w:val="right"/>
            </w:pPr>
            <w:r>
              <w:rPr>
                <w:rFonts w:eastAsiaTheme="minorEastAsia"/>
                <w:color w:val="000000" w:themeColor="text1"/>
                <w:szCs w:val="21"/>
              </w:rPr>
              <w:t>0.03%</w:t>
            </w:r>
          </w:p>
        </w:tc>
      </w:tr>
      <w:tr w:rsidR="00287D4C">
        <w:tc>
          <w:tcPr>
            <w:tcW w:w="1290" w:type="dxa"/>
            <w:vAlign w:val="center"/>
          </w:tcPr>
          <w:p w:rsidR="00287D4C" w:rsidRDefault="00330258">
            <w:pPr>
              <w:jc w:val="left"/>
            </w:pPr>
            <w:r>
              <w:rPr>
                <w:rFonts w:eastAsiaTheme="minorEastAsia"/>
                <w:color w:val="000000" w:themeColor="text1"/>
                <w:szCs w:val="21"/>
              </w:rPr>
              <w:t>过去六个月</w:t>
            </w:r>
          </w:p>
        </w:tc>
        <w:tc>
          <w:tcPr>
            <w:tcW w:w="1291" w:type="dxa"/>
            <w:vAlign w:val="center"/>
          </w:tcPr>
          <w:p w:rsidR="00287D4C" w:rsidRDefault="00330258">
            <w:pPr>
              <w:jc w:val="right"/>
            </w:pPr>
            <w:r>
              <w:rPr>
                <w:rFonts w:eastAsiaTheme="minorEastAsia"/>
                <w:color w:val="000000" w:themeColor="text1"/>
                <w:szCs w:val="21"/>
              </w:rPr>
              <w:t>0.87%</w:t>
            </w:r>
          </w:p>
        </w:tc>
        <w:tc>
          <w:tcPr>
            <w:tcW w:w="1291" w:type="dxa"/>
            <w:vAlign w:val="center"/>
          </w:tcPr>
          <w:p w:rsidR="00287D4C" w:rsidRDefault="00330258">
            <w:pPr>
              <w:jc w:val="right"/>
            </w:pPr>
            <w:r>
              <w:rPr>
                <w:rFonts w:eastAsiaTheme="minorEastAsia"/>
                <w:color w:val="000000" w:themeColor="text1"/>
                <w:szCs w:val="21"/>
              </w:rPr>
              <w:t>0.29%</w:t>
            </w:r>
          </w:p>
        </w:tc>
        <w:tc>
          <w:tcPr>
            <w:tcW w:w="1291" w:type="dxa"/>
            <w:vAlign w:val="center"/>
          </w:tcPr>
          <w:p w:rsidR="00287D4C" w:rsidRDefault="00330258">
            <w:pPr>
              <w:jc w:val="right"/>
            </w:pPr>
            <w:r>
              <w:rPr>
                <w:rFonts w:eastAsiaTheme="minorEastAsia"/>
                <w:color w:val="000000" w:themeColor="text1"/>
                <w:szCs w:val="21"/>
              </w:rPr>
              <w:t>0.09%</w:t>
            </w:r>
          </w:p>
        </w:tc>
        <w:tc>
          <w:tcPr>
            <w:tcW w:w="1291" w:type="dxa"/>
            <w:vAlign w:val="center"/>
          </w:tcPr>
          <w:p w:rsidR="00287D4C" w:rsidRDefault="00330258">
            <w:pPr>
              <w:jc w:val="right"/>
            </w:pPr>
            <w:r>
              <w:rPr>
                <w:rFonts w:eastAsiaTheme="minorEastAsia"/>
                <w:color w:val="000000" w:themeColor="text1"/>
                <w:szCs w:val="21"/>
              </w:rPr>
              <w:t>0.23%</w:t>
            </w:r>
          </w:p>
        </w:tc>
        <w:tc>
          <w:tcPr>
            <w:tcW w:w="1291" w:type="dxa"/>
            <w:vAlign w:val="center"/>
          </w:tcPr>
          <w:p w:rsidR="00287D4C" w:rsidRDefault="00330258">
            <w:pPr>
              <w:jc w:val="right"/>
            </w:pPr>
            <w:r>
              <w:rPr>
                <w:rFonts w:eastAsiaTheme="minorEastAsia"/>
                <w:color w:val="000000" w:themeColor="text1"/>
                <w:szCs w:val="21"/>
              </w:rPr>
              <w:t>0.78%</w:t>
            </w:r>
          </w:p>
        </w:tc>
        <w:tc>
          <w:tcPr>
            <w:tcW w:w="1291" w:type="dxa"/>
            <w:vAlign w:val="center"/>
          </w:tcPr>
          <w:p w:rsidR="00287D4C" w:rsidRDefault="00330258">
            <w:pPr>
              <w:jc w:val="right"/>
            </w:pPr>
            <w:r>
              <w:rPr>
                <w:rFonts w:eastAsiaTheme="minorEastAsia"/>
                <w:color w:val="000000" w:themeColor="text1"/>
                <w:szCs w:val="21"/>
              </w:rPr>
              <w:t>0.06%</w:t>
            </w:r>
          </w:p>
        </w:tc>
      </w:tr>
      <w:tr w:rsidR="00287D4C">
        <w:tc>
          <w:tcPr>
            <w:tcW w:w="1290" w:type="dxa"/>
            <w:vAlign w:val="center"/>
          </w:tcPr>
          <w:p w:rsidR="00287D4C" w:rsidRDefault="00330258">
            <w:pPr>
              <w:jc w:val="left"/>
            </w:pPr>
            <w:r>
              <w:rPr>
                <w:rFonts w:eastAsiaTheme="minorEastAsia"/>
                <w:color w:val="000000" w:themeColor="text1"/>
                <w:szCs w:val="21"/>
              </w:rPr>
              <w:t>过去一年</w:t>
            </w:r>
          </w:p>
        </w:tc>
        <w:tc>
          <w:tcPr>
            <w:tcW w:w="1291" w:type="dxa"/>
            <w:vAlign w:val="center"/>
          </w:tcPr>
          <w:p w:rsidR="00287D4C" w:rsidRDefault="00330258">
            <w:pPr>
              <w:jc w:val="right"/>
            </w:pPr>
            <w:r>
              <w:rPr>
                <w:rFonts w:eastAsiaTheme="minorEastAsia"/>
                <w:color w:val="000000" w:themeColor="text1"/>
                <w:szCs w:val="21"/>
              </w:rPr>
              <w:t>0.16%</w:t>
            </w:r>
          </w:p>
        </w:tc>
        <w:tc>
          <w:tcPr>
            <w:tcW w:w="1291" w:type="dxa"/>
            <w:vAlign w:val="center"/>
          </w:tcPr>
          <w:p w:rsidR="00287D4C" w:rsidRDefault="00330258">
            <w:pPr>
              <w:jc w:val="right"/>
            </w:pPr>
            <w:r>
              <w:rPr>
                <w:rFonts w:eastAsiaTheme="minorEastAsia"/>
                <w:color w:val="000000" w:themeColor="text1"/>
                <w:szCs w:val="21"/>
              </w:rPr>
              <w:t>0.27%</w:t>
            </w:r>
          </w:p>
        </w:tc>
        <w:tc>
          <w:tcPr>
            <w:tcW w:w="1291" w:type="dxa"/>
            <w:vAlign w:val="center"/>
          </w:tcPr>
          <w:p w:rsidR="00287D4C" w:rsidRDefault="00330258">
            <w:pPr>
              <w:jc w:val="right"/>
            </w:pPr>
            <w:r>
              <w:rPr>
                <w:rFonts w:eastAsiaTheme="minorEastAsia"/>
                <w:color w:val="000000" w:themeColor="text1"/>
                <w:szCs w:val="21"/>
              </w:rPr>
              <w:t>-0.64%</w:t>
            </w:r>
          </w:p>
        </w:tc>
        <w:tc>
          <w:tcPr>
            <w:tcW w:w="1291" w:type="dxa"/>
            <w:vAlign w:val="center"/>
          </w:tcPr>
          <w:p w:rsidR="00287D4C" w:rsidRDefault="00330258">
            <w:pPr>
              <w:jc w:val="right"/>
            </w:pPr>
            <w:r>
              <w:rPr>
                <w:rFonts w:eastAsiaTheme="minorEastAsia"/>
                <w:color w:val="000000" w:themeColor="text1"/>
                <w:szCs w:val="21"/>
              </w:rPr>
              <w:t>0.24%</w:t>
            </w:r>
          </w:p>
        </w:tc>
        <w:tc>
          <w:tcPr>
            <w:tcW w:w="1291" w:type="dxa"/>
            <w:vAlign w:val="center"/>
          </w:tcPr>
          <w:p w:rsidR="00287D4C" w:rsidRDefault="00330258">
            <w:pPr>
              <w:jc w:val="right"/>
            </w:pPr>
            <w:r>
              <w:rPr>
                <w:rFonts w:eastAsiaTheme="minorEastAsia"/>
                <w:color w:val="000000" w:themeColor="text1"/>
                <w:szCs w:val="21"/>
              </w:rPr>
              <w:t>0.80%</w:t>
            </w:r>
          </w:p>
        </w:tc>
        <w:tc>
          <w:tcPr>
            <w:tcW w:w="1291" w:type="dxa"/>
            <w:vAlign w:val="center"/>
          </w:tcPr>
          <w:p w:rsidR="00287D4C" w:rsidRDefault="00330258">
            <w:pPr>
              <w:jc w:val="right"/>
            </w:pPr>
            <w:r>
              <w:rPr>
                <w:rFonts w:eastAsiaTheme="minorEastAsia"/>
                <w:color w:val="000000" w:themeColor="text1"/>
                <w:szCs w:val="21"/>
              </w:rPr>
              <w:t>0.03%</w:t>
            </w:r>
          </w:p>
        </w:tc>
      </w:tr>
      <w:tr w:rsidR="00287D4C">
        <w:tc>
          <w:tcPr>
            <w:tcW w:w="1290" w:type="dxa"/>
            <w:vAlign w:val="center"/>
          </w:tcPr>
          <w:p w:rsidR="00287D4C" w:rsidRDefault="00330258">
            <w:pPr>
              <w:jc w:val="left"/>
            </w:pPr>
            <w:r>
              <w:rPr>
                <w:rFonts w:eastAsiaTheme="minorEastAsia"/>
                <w:color w:val="000000" w:themeColor="text1"/>
                <w:szCs w:val="21"/>
              </w:rPr>
              <w:t>过去三年</w:t>
            </w:r>
          </w:p>
        </w:tc>
        <w:tc>
          <w:tcPr>
            <w:tcW w:w="1291" w:type="dxa"/>
            <w:vAlign w:val="center"/>
          </w:tcPr>
          <w:p w:rsidR="00287D4C" w:rsidRDefault="00330258">
            <w:pPr>
              <w:jc w:val="right"/>
            </w:pPr>
            <w:r>
              <w:rPr>
                <w:rFonts w:eastAsiaTheme="minorEastAsia"/>
                <w:color w:val="000000" w:themeColor="text1"/>
                <w:szCs w:val="21"/>
              </w:rPr>
              <w:t>22.09%</w:t>
            </w:r>
          </w:p>
        </w:tc>
        <w:tc>
          <w:tcPr>
            <w:tcW w:w="1291" w:type="dxa"/>
            <w:vAlign w:val="center"/>
          </w:tcPr>
          <w:p w:rsidR="00287D4C" w:rsidRDefault="00330258">
            <w:pPr>
              <w:jc w:val="right"/>
            </w:pPr>
            <w:r>
              <w:rPr>
                <w:rFonts w:eastAsiaTheme="minorEastAsia"/>
                <w:color w:val="000000" w:themeColor="text1"/>
                <w:szCs w:val="21"/>
              </w:rPr>
              <w:t>0.24%</w:t>
            </w:r>
          </w:p>
        </w:tc>
        <w:tc>
          <w:tcPr>
            <w:tcW w:w="1291" w:type="dxa"/>
            <w:vAlign w:val="center"/>
          </w:tcPr>
          <w:p w:rsidR="00287D4C" w:rsidRDefault="00330258">
            <w:pPr>
              <w:jc w:val="right"/>
            </w:pPr>
            <w:r>
              <w:rPr>
                <w:rFonts w:eastAsiaTheme="minorEastAsia"/>
                <w:color w:val="000000" w:themeColor="text1"/>
                <w:szCs w:val="21"/>
              </w:rPr>
              <w:t>10.63%</w:t>
            </w:r>
          </w:p>
        </w:tc>
        <w:tc>
          <w:tcPr>
            <w:tcW w:w="1291" w:type="dxa"/>
            <w:vAlign w:val="center"/>
          </w:tcPr>
          <w:p w:rsidR="00287D4C" w:rsidRDefault="00330258">
            <w:pPr>
              <w:jc w:val="right"/>
            </w:pPr>
            <w:r>
              <w:rPr>
                <w:rFonts w:eastAsiaTheme="minorEastAsia"/>
                <w:color w:val="000000" w:themeColor="text1"/>
                <w:szCs w:val="21"/>
              </w:rPr>
              <w:t>0.25%</w:t>
            </w:r>
          </w:p>
        </w:tc>
        <w:tc>
          <w:tcPr>
            <w:tcW w:w="1291" w:type="dxa"/>
            <w:vAlign w:val="center"/>
          </w:tcPr>
          <w:p w:rsidR="00287D4C" w:rsidRDefault="00330258">
            <w:pPr>
              <w:jc w:val="right"/>
            </w:pPr>
            <w:r>
              <w:rPr>
                <w:rFonts w:eastAsiaTheme="minorEastAsia"/>
                <w:color w:val="000000" w:themeColor="text1"/>
                <w:szCs w:val="21"/>
              </w:rPr>
              <w:t>11.46%</w:t>
            </w:r>
          </w:p>
        </w:tc>
        <w:tc>
          <w:tcPr>
            <w:tcW w:w="1291" w:type="dxa"/>
            <w:vAlign w:val="center"/>
          </w:tcPr>
          <w:p w:rsidR="00287D4C" w:rsidRDefault="00330258">
            <w:pPr>
              <w:jc w:val="right"/>
            </w:pPr>
            <w:r>
              <w:rPr>
                <w:rFonts w:eastAsiaTheme="minorEastAsia"/>
                <w:color w:val="000000" w:themeColor="text1"/>
                <w:szCs w:val="21"/>
              </w:rPr>
              <w:t>-0.01%</w:t>
            </w:r>
          </w:p>
        </w:tc>
      </w:tr>
      <w:tr w:rsidR="00287D4C">
        <w:tc>
          <w:tcPr>
            <w:tcW w:w="1290" w:type="dxa"/>
            <w:vAlign w:val="center"/>
          </w:tcPr>
          <w:p w:rsidR="00287D4C" w:rsidRDefault="00330258">
            <w:pPr>
              <w:jc w:val="left"/>
            </w:pPr>
            <w:r>
              <w:rPr>
                <w:rFonts w:eastAsiaTheme="minorEastAsia"/>
                <w:color w:val="000000" w:themeColor="text1"/>
                <w:szCs w:val="21"/>
              </w:rPr>
              <w:t>过去五年</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c>
          <w:tcPr>
            <w:tcW w:w="1291" w:type="dxa"/>
            <w:vAlign w:val="center"/>
          </w:tcPr>
          <w:p w:rsidR="00287D4C" w:rsidRDefault="00330258">
            <w:pPr>
              <w:jc w:val="right"/>
            </w:pPr>
            <w:r>
              <w:rPr>
                <w:rFonts w:eastAsiaTheme="minorEastAsia"/>
                <w:color w:val="000000" w:themeColor="text1"/>
                <w:szCs w:val="21"/>
              </w:rPr>
              <w:t>-</w:t>
            </w:r>
          </w:p>
        </w:tc>
      </w:tr>
      <w:tr w:rsidR="00287D4C">
        <w:tc>
          <w:tcPr>
            <w:tcW w:w="1290" w:type="dxa"/>
            <w:vAlign w:val="center"/>
          </w:tcPr>
          <w:p w:rsidR="00287D4C" w:rsidRDefault="00330258">
            <w:pPr>
              <w:jc w:val="left"/>
            </w:pPr>
            <w:r>
              <w:rPr>
                <w:rFonts w:eastAsiaTheme="minorEastAsia"/>
                <w:color w:val="000000" w:themeColor="text1"/>
                <w:szCs w:val="21"/>
              </w:rPr>
              <w:t>自基金合同生效起至今</w:t>
            </w:r>
          </w:p>
        </w:tc>
        <w:tc>
          <w:tcPr>
            <w:tcW w:w="1291" w:type="dxa"/>
            <w:vAlign w:val="center"/>
          </w:tcPr>
          <w:p w:rsidR="00287D4C" w:rsidRDefault="00330258">
            <w:pPr>
              <w:jc w:val="right"/>
            </w:pPr>
            <w:r>
              <w:rPr>
                <w:rFonts w:eastAsiaTheme="minorEastAsia"/>
                <w:color w:val="000000" w:themeColor="text1"/>
                <w:szCs w:val="21"/>
              </w:rPr>
              <w:t>30.28%</w:t>
            </w:r>
          </w:p>
        </w:tc>
        <w:tc>
          <w:tcPr>
            <w:tcW w:w="1291" w:type="dxa"/>
            <w:vAlign w:val="center"/>
          </w:tcPr>
          <w:p w:rsidR="00287D4C" w:rsidRDefault="00330258">
            <w:pPr>
              <w:jc w:val="right"/>
            </w:pPr>
            <w:r>
              <w:rPr>
                <w:rFonts w:eastAsiaTheme="minorEastAsia"/>
                <w:color w:val="000000" w:themeColor="text1"/>
                <w:szCs w:val="21"/>
              </w:rPr>
              <w:t>0.24%</w:t>
            </w:r>
          </w:p>
        </w:tc>
        <w:tc>
          <w:tcPr>
            <w:tcW w:w="1291" w:type="dxa"/>
            <w:vAlign w:val="center"/>
          </w:tcPr>
          <w:p w:rsidR="00287D4C" w:rsidRDefault="00330258">
            <w:pPr>
              <w:jc w:val="right"/>
            </w:pPr>
            <w:r>
              <w:rPr>
                <w:rFonts w:eastAsiaTheme="minorEastAsia"/>
                <w:color w:val="000000" w:themeColor="text1"/>
                <w:szCs w:val="21"/>
              </w:rPr>
              <w:t>19.64%</w:t>
            </w:r>
          </w:p>
        </w:tc>
        <w:tc>
          <w:tcPr>
            <w:tcW w:w="1291" w:type="dxa"/>
            <w:vAlign w:val="center"/>
          </w:tcPr>
          <w:p w:rsidR="00287D4C" w:rsidRDefault="00330258">
            <w:pPr>
              <w:jc w:val="right"/>
            </w:pPr>
            <w:r>
              <w:rPr>
                <w:rFonts w:eastAsiaTheme="minorEastAsia"/>
                <w:color w:val="000000" w:themeColor="text1"/>
                <w:szCs w:val="21"/>
              </w:rPr>
              <w:t>0.26%</w:t>
            </w:r>
          </w:p>
        </w:tc>
        <w:tc>
          <w:tcPr>
            <w:tcW w:w="1291" w:type="dxa"/>
            <w:vAlign w:val="center"/>
          </w:tcPr>
          <w:p w:rsidR="00287D4C" w:rsidRDefault="00330258">
            <w:pPr>
              <w:jc w:val="right"/>
            </w:pPr>
            <w:r>
              <w:rPr>
                <w:rFonts w:eastAsiaTheme="minorEastAsia"/>
                <w:color w:val="000000" w:themeColor="text1"/>
                <w:szCs w:val="21"/>
              </w:rPr>
              <w:t>10.64%</w:t>
            </w:r>
          </w:p>
        </w:tc>
        <w:tc>
          <w:tcPr>
            <w:tcW w:w="1291" w:type="dxa"/>
            <w:vAlign w:val="center"/>
          </w:tcPr>
          <w:p w:rsidR="00287D4C" w:rsidRDefault="00330258">
            <w:pPr>
              <w:jc w:val="right"/>
            </w:pPr>
            <w:r>
              <w:rPr>
                <w:rFonts w:eastAsiaTheme="minorEastAsia"/>
                <w:color w:val="000000" w:themeColor="text1"/>
                <w:szCs w:val="21"/>
              </w:rPr>
              <w:t>-0.02%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上投摩根安隆回报混合型证券投资基金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87D4C">
        <w:tc>
          <w:tcPr>
            <w:tcW w:w="952" w:type="dxa"/>
            <w:vAlign w:val="center"/>
          </w:tcPr>
          <w:p w:rsidR="00287D4C" w:rsidRDefault="00330258">
            <w:pPr>
              <w:jc w:val="center"/>
            </w:pPr>
            <w:r>
              <w:rPr>
                <w:rFonts w:eastAsiaTheme="minorEastAsia"/>
                <w:color w:val="000000" w:themeColor="text1"/>
                <w:szCs w:val="21"/>
              </w:rPr>
              <w:t>唐瑭</w:t>
            </w:r>
          </w:p>
        </w:tc>
        <w:tc>
          <w:tcPr>
            <w:tcW w:w="930" w:type="dxa"/>
            <w:vAlign w:val="center"/>
          </w:tcPr>
          <w:p w:rsidR="00287D4C" w:rsidRDefault="00330258">
            <w:pPr>
              <w:jc w:val="center"/>
            </w:pPr>
            <w:r>
              <w:rPr>
                <w:rFonts w:eastAsiaTheme="minorEastAsia"/>
                <w:color w:val="000000" w:themeColor="text1"/>
                <w:szCs w:val="21"/>
              </w:rPr>
              <w:t>本基金基金经理</w:t>
            </w:r>
          </w:p>
        </w:tc>
        <w:tc>
          <w:tcPr>
            <w:tcW w:w="1210" w:type="dxa"/>
            <w:vAlign w:val="center"/>
          </w:tcPr>
          <w:p w:rsidR="00287D4C" w:rsidRDefault="00330258">
            <w:pPr>
              <w:jc w:val="center"/>
            </w:pPr>
            <w:r>
              <w:rPr>
                <w:rFonts w:eastAsiaTheme="minorEastAsia"/>
                <w:color w:val="000000" w:themeColor="text1"/>
                <w:szCs w:val="21"/>
              </w:rPr>
              <w:t>2021-04-16</w:t>
            </w:r>
          </w:p>
        </w:tc>
        <w:tc>
          <w:tcPr>
            <w:tcW w:w="1309" w:type="dxa"/>
            <w:vAlign w:val="center"/>
          </w:tcPr>
          <w:p w:rsidR="00287D4C" w:rsidRDefault="00330258">
            <w:pPr>
              <w:jc w:val="center"/>
            </w:pPr>
            <w:r>
              <w:rPr>
                <w:rFonts w:eastAsiaTheme="minorEastAsia"/>
                <w:color w:val="000000" w:themeColor="text1"/>
                <w:szCs w:val="21"/>
              </w:rPr>
              <w:t>-</w:t>
            </w:r>
          </w:p>
        </w:tc>
        <w:tc>
          <w:tcPr>
            <w:tcW w:w="1254" w:type="dxa"/>
            <w:vAlign w:val="center"/>
          </w:tcPr>
          <w:p w:rsidR="00287D4C" w:rsidRDefault="00330258">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287D4C" w:rsidRDefault="00330258">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lastRenderedPageBreak/>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w:t>
            </w:r>
            <w:r>
              <w:rPr>
                <w:rFonts w:eastAsiaTheme="minorEastAsia"/>
                <w:color w:val="000000" w:themeColor="text1"/>
                <w:szCs w:val="21"/>
              </w:rPr>
              <w:t>同时担任上投摩根双债增</w:t>
            </w:r>
            <w:r>
              <w:rPr>
                <w:rFonts w:eastAsiaTheme="minorEastAsia"/>
                <w:color w:val="000000" w:themeColor="text1"/>
                <w:szCs w:val="21"/>
              </w:rPr>
              <w:lastRenderedPageBreak/>
              <w:t>利债券型证券投资基金基金经理，自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月起同时担任上投摩根安荣回报混合型证券投资基金基金经理。</w:t>
            </w:r>
          </w:p>
        </w:tc>
      </w:tr>
      <w:tr w:rsidR="00287D4C">
        <w:tc>
          <w:tcPr>
            <w:tcW w:w="952" w:type="dxa"/>
            <w:vAlign w:val="center"/>
          </w:tcPr>
          <w:p w:rsidR="00287D4C" w:rsidRDefault="00330258">
            <w:pPr>
              <w:jc w:val="center"/>
            </w:pPr>
            <w:r>
              <w:rPr>
                <w:rFonts w:eastAsiaTheme="minorEastAsia"/>
                <w:color w:val="000000" w:themeColor="text1"/>
                <w:szCs w:val="21"/>
              </w:rPr>
              <w:lastRenderedPageBreak/>
              <w:t>陈圆明</w:t>
            </w:r>
          </w:p>
        </w:tc>
        <w:tc>
          <w:tcPr>
            <w:tcW w:w="930" w:type="dxa"/>
            <w:vAlign w:val="center"/>
          </w:tcPr>
          <w:p w:rsidR="00287D4C" w:rsidRDefault="00330258">
            <w:pPr>
              <w:jc w:val="center"/>
            </w:pPr>
            <w:r>
              <w:rPr>
                <w:rFonts w:eastAsiaTheme="minorEastAsia"/>
                <w:color w:val="000000" w:themeColor="text1"/>
                <w:szCs w:val="21"/>
              </w:rPr>
              <w:t>本基金基金经理、绝对收益投资部总监</w:t>
            </w:r>
          </w:p>
        </w:tc>
        <w:tc>
          <w:tcPr>
            <w:tcW w:w="1210" w:type="dxa"/>
            <w:vAlign w:val="center"/>
          </w:tcPr>
          <w:p w:rsidR="00287D4C" w:rsidRDefault="00330258">
            <w:pPr>
              <w:jc w:val="center"/>
            </w:pPr>
            <w:r>
              <w:rPr>
                <w:rFonts w:eastAsiaTheme="minorEastAsia"/>
                <w:color w:val="000000" w:themeColor="text1"/>
                <w:szCs w:val="21"/>
              </w:rPr>
              <w:t>2019-04-12</w:t>
            </w:r>
          </w:p>
        </w:tc>
        <w:tc>
          <w:tcPr>
            <w:tcW w:w="1309" w:type="dxa"/>
            <w:vAlign w:val="center"/>
          </w:tcPr>
          <w:p w:rsidR="00287D4C" w:rsidRDefault="00330258">
            <w:pPr>
              <w:jc w:val="center"/>
            </w:pPr>
            <w:r>
              <w:rPr>
                <w:rFonts w:eastAsiaTheme="minorEastAsia"/>
                <w:color w:val="000000" w:themeColor="text1"/>
                <w:szCs w:val="21"/>
              </w:rPr>
              <w:t>-</w:t>
            </w:r>
          </w:p>
        </w:tc>
        <w:tc>
          <w:tcPr>
            <w:tcW w:w="1254" w:type="dxa"/>
            <w:vAlign w:val="center"/>
          </w:tcPr>
          <w:p w:rsidR="00287D4C" w:rsidRDefault="00330258">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287D4C" w:rsidRDefault="00330258">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w:t>
            </w:r>
            <w:r>
              <w:rPr>
                <w:rFonts w:eastAsiaTheme="minorEastAsia"/>
                <w:color w:val="000000" w:themeColor="text1"/>
                <w:szCs w:val="21"/>
              </w:rPr>
              <w:t>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bl>
    <w:p w:rsidR="00287D4C" w:rsidRDefault="003302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隆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国内宏观经济较二季度有明显改善，但改善的持续性和力度受到挑战。基建方面，受资本金、项目、疫情、天气等影响，实物工作量复工力度较弱；地产方面，销售和土地成交数据在短暂回暖以后继续疲弱；消费方面，受疫情影响，线下消费整体动能不足。但同时我们看到针对性的稳经济措施不断出台，专项基建基金，</w:t>
      </w:r>
      <w:r>
        <w:rPr>
          <w:rFonts w:eastAsiaTheme="minorEastAsia"/>
          <w:color w:val="000000" w:themeColor="text1"/>
          <w:szCs w:val="21"/>
        </w:rPr>
        <w:t>“</w:t>
      </w:r>
      <w:r>
        <w:rPr>
          <w:rFonts w:eastAsiaTheme="minorEastAsia"/>
          <w:color w:val="000000" w:themeColor="text1"/>
          <w:szCs w:val="21"/>
        </w:rPr>
        <w:t>保交楼、稳民生</w:t>
      </w:r>
      <w:r>
        <w:rPr>
          <w:rFonts w:eastAsiaTheme="minorEastAsia"/>
          <w:color w:val="000000" w:themeColor="text1"/>
          <w:szCs w:val="21"/>
        </w:rPr>
        <w:t>”</w:t>
      </w:r>
      <w:r>
        <w:rPr>
          <w:rFonts w:eastAsiaTheme="minorEastAsia"/>
          <w:color w:val="000000" w:themeColor="text1"/>
          <w:szCs w:val="21"/>
        </w:rPr>
        <w:t>专项借款，消费补贴券，汽车购置税减免等政策措施精准发力，都将</w:t>
      </w:r>
      <w:r>
        <w:rPr>
          <w:rFonts w:eastAsiaTheme="minorEastAsia"/>
          <w:color w:val="000000" w:themeColor="text1"/>
          <w:szCs w:val="21"/>
        </w:rPr>
        <w:t>成为未来经济增长动力的正拉动方向，从而带来相关行业的投资机会。货币政策方面，</w:t>
      </w:r>
      <w:r>
        <w:rPr>
          <w:rFonts w:eastAsiaTheme="minorEastAsia"/>
          <w:color w:val="000000" w:themeColor="text1"/>
          <w:szCs w:val="21"/>
        </w:rPr>
        <w:t>MLF</w:t>
      </w:r>
      <w:r>
        <w:rPr>
          <w:rFonts w:eastAsiaTheme="minorEastAsia"/>
          <w:color w:val="000000" w:themeColor="text1"/>
          <w:szCs w:val="21"/>
        </w:rPr>
        <w:t>和</w:t>
      </w:r>
      <w:r>
        <w:rPr>
          <w:rFonts w:eastAsiaTheme="minorEastAsia"/>
          <w:color w:val="000000" w:themeColor="text1"/>
          <w:szCs w:val="21"/>
        </w:rPr>
        <w:t>LPR</w:t>
      </w:r>
      <w:r>
        <w:rPr>
          <w:rFonts w:eastAsiaTheme="minorEastAsia"/>
          <w:color w:val="000000" w:themeColor="text1"/>
          <w:szCs w:val="21"/>
        </w:rPr>
        <w:t>调降也体现了对于经济的呵护。后续需要观察货币财政政策和产业政策叠加作用于经济的效果。海外方面，俄乌冲突继续发酵，叠加极端天气，能源供需状况整体偏紧，其中天然气的供需结构最为紧张。尽管欧洲库存已经累积至较高水平，但俄罗</w:t>
      </w:r>
      <w:r>
        <w:rPr>
          <w:rFonts w:eastAsiaTheme="minorEastAsia"/>
          <w:color w:val="000000" w:themeColor="text1"/>
          <w:szCs w:val="21"/>
        </w:rPr>
        <w:lastRenderedPageBreak/>
        <w:t>斯管道气的</w:t>
      </w:r>
      <w:r>
        <w:rPr>
          <w:rFonts w:eastAsiaTheme="minorEastAsia"/>
          <w:color w:val="000000" w:themeColor="text1"/>
          <w:szCs w:val="21"/>
        </w:rPr>
        <w:t>“</w:t>
      </w:r>
      <w:r>
        <w:rPr>
          <w:rFonts w:eastAsiaTheme="minorEastAsia"/>
          <w:color w:val="000000" w:themeColor="text1"/>
          <w:szCs w:val="21"/>
        </w:rPr>
        <w:t>断供</w:t>
      </w:r>
      <w:r>
        <w:rPr>
          <w:rFonts w:eastAsiaTheme="minorEastAsia"/>
          <w:color w:val="000000" w:themeColor="text1"/>
          <w:szCs w:val="21"/>
        </w:rPr>
        <w:t>”</w:t>
      </w:r>
      <w:r>
        <w:rPr>
          <w:rFonts w:eastAsiaTheme="minorEastAsia"/>
          <w:color w:val="000000" w:themeColor="text1"/>
          <w:szCs w:val="21"/>
        </w:rPr>
        <w:t>将使得欧洲天然气供给在较长时间里都处于偏紧的状态。能源相关的行业也仍将是我们关注的主线。债券市场方面，由于信用扩张迟迟没有明显的改善，货币政策不断加码，资金面异常宽松，债券利率水平在三季度</w:t>
      </w:r>
      <w:r>
        <w:rPr>
          <w:rFonts w:eastAsiaTheme="minorEastAsia"/>
          <w:color w:val="000000" w:themeColor="text1"/>
          <w:szCs w:val="21"/>
        </w:rPr>
        <w:t>整体继续下行，但下行幅度有限，收益率和期限利差已经压缩到历史低位附近。随着政策效力逐步发挥作用，长端利率将面临易上难下的风险。</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三季度保持了较短的债券久期，以获取票息收入为主。权益方面依然以政策发力方向和能源电力主线为主要配置方向，逐步降低了前期涨幅较大的新经济方向的标的，并贮备了基建和消费发力相关的标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我们认为稳增长将继续发力，随着二十大的召开，经济发力的方向将更加明确，同时疫情平复后补偿性增长将得到释放。我们将继续寻找受益于经济复苏和信用扩张的标的，债券方面保持短久期和适度的流动性，以获取稳定的票息收益为主。</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本报告期上投摩根安隆回报混合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:-0.68%</w:t>
      </w:r>
      <w:r>
        <w:rPr>
          <w:rFonts w:eastAsiaTheme="minorEastAsia"/>
          <w:color w:val="000000" w:themeColor="text1"/>
          <w:szCs w:val="21"/>
        </w:rPr>
        <w:t>，同期业绩比较基准收益率为</w:t>
      </w:r>
      <w:r>
        <w:rPr>
          <w:rFonts w:eastAsiaTheme="minorEastAsia"/>
          <w:color w:val="000000" w:themeColor="text1"/>
          <w:szCs w:val="21"/>
        </w:rPr>
        <w:t>:-1.82%,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:-0.75%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:-1.82%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377,200,140.35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377,200,140.35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1,931,131,610.39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1,931,131,610.39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35,843,023.50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12,752,832.51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2,842,907.31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2,359,770,514.06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23,711,585.24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133,330,181.99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124,808,025.93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17,010,449.35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10,548,509.82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25,021,033.92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42,770,354.10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377,200,140.35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87D4C">
        <w:tc>
          <w:tcPr>
            <w:tcW w:w="817" w:type="dxa"/>
            <w:vAlign w:val="center"/>
          </w:tcPr>
          <w:p w:rsidR="00287D4C" w:rsidRDefault="00330258">
            <w:pPr>
              <w:jc w:val="center"/>
            </w:pPr>
            <w:r>
              <w:rPr>
                <w:rFonts w:eastAsiaTheme="minorEastAsia"/>
                <w:kern w:val="0"/>
                <w:szCs w:val="21"/>
              </w:rPr>
              <w:t>1</w:t>
            </w:r>
          </w:p>
        </w:tc>
        <w:tc>
          <w:tcPr>
            <w:tcW w:w="1276" w:type="dxa"/>
            <w:vAlign w:val="center"/>
          </w:tcPr>
          <w:p w:rsidR="00287D4C" w:rsidRDefault="00330258">
            <w:pPr>
              <w:jc w:val="center"/>
            </w:pPr>
            <w:r>
              <w:rPr>
                <w:rFonts w:eastAsiaTheme="minorEastAsia"/>
                <w:kern w:val="0"/>
                <w:szCs w:val="21"/>
              </w:rPr>
              <w:t>003816</w:t>
            </w:r>
          </w:p>
        </w:tc>
        <w:tc>
          <w:tcPr>
            <w:tcW w:w="1701" w:type="dxa"/>
            <w:vAlign w:val="center"/>
          </w:tcPr>
          <w:p w:rsidR="00287D4C" w:rsidRDefault="00330258">
            <w:pPr>
              <w:jc w:val="center"/>
            </w:pPr>
            <w:r>
              <w:rPr>
                <w:rFonts w:eastAsiaTheme="minorEastAsia"/>
                <w:kern w:val="0"/>
                <w:szCs w:val="21"/>
              </w:rPr>
              <w:t>中国广核</w:t>
            </w:r>
          </w:p>
        </w:tc>
        <w:tc>
          <w:tcPr>
            <w:tcW w:w="1276" w:type="dxa"/>
            <w:vAlign w:val="center"/>
          </w:tcPr>
          <w:p w:rsidR="00287D4C" w:rsidRDefault="00330258">
            <w:pPr>
              <w:jc w:val="right"/>
            </w:pPr>
            <w:r>
              <w:rPr>
                <w:rFonts w:eastAsiaTheme="minorEastAsia"/>
                <w:kern w:val="0"/>
                <w:szCs w:val="21"/>
              </w:rPr>
              <w:t>32,003,851.00</w:t>
            </w:r>
          </w:p>
        </w:tc>
        <w:tc>
          <w:tcPr>
            <w:tcW w:w="1842" w:type="dxa"/>
            <w:vAlign w:val="center"/>
          </w:tcPr>
          <w:p w:rsidR="00287D4C" w:rsidRDefault="00330258">
            <w:pPr>
              <w:jc w:val="right"/>
            </w:pPr>
            <w:r>
              <w:rPr>
                <w:rFonts w:eastAsiaTheme="minorEastAsia"/>
                <w:kern w:val="0"/>
                <w:szCs w:val="21"/>
              </w:rPr>
              <w:t>84,490,166.64</w:t>
            </w:r>
          </w:p>
        </w:tc>
        <w:tc>
          <w:tcPr>
            <w:tcW w:w="1616" w:type="dxa"/>
            <w:vAlign w:val="center"/>
          </w:tcPr>
          <w:p w:rsidR="00287D4C" w:rsidRDefault="00330258">
            <w:pPr>
              <w:jc w:val="right"/>
            </w:pPr>
            <w:r>
              <w:rPr>
                <w:rFonts w:eastAsiaTheme="minorEastAsia"/>
                <w:kern w:val="0"/>
                <w:szCs w:val="21"/>
              </w:rPr>
              <w:t>3.74</w:t>
            </w:r>
          </w:p>
        </w:tc>
      </w:tr>
      <w:tr w:rsidR="00287D4C">
        <w:tc>
          <w:tcPr>
            <w:tcW w:w="817" w:type="dxa"/>
            <w:vAlign w:val="center"/>
          </w:tcPr>
          <w:p w:rsidR="00287D4C" w:rsidRDefault="00330258">
            <w:pPr>
              <w:jc w:val="center"/>
            </w:pPr>
            <w:r>
              <w:rPr>
                <w:rFonts w:eastAsiaTheme="minorEastAsia"/>
                <w:kern w:val="0"/>
                <w:szCs w:val="21"/>
              </w:rPr>
              <w:t>2</w:t>
            </w:r>
          </w:p>
        </w:tc>
        <w:tc>
          <w:tcPr>
            <w:tcW w:w="1276" w:type="dxa"/>
            <w:vAlign w:val="center"/>
          </w:tcPr>
          <w:p w:rsidR="00287D4C" w:rsidRDefault="00330258">
            <w:pPr>
              <w:jc w:val="center"/>
            </w:pPr>
            <w:r>
              <w:rPr>
                <w:rFonts w:eastAsiaTheme="minorEastAsia"/>
                <w:kern w:val="0"/>
                <w:szCs w:val="21"/>
              </w:rPr>
              <w:t>600674</w:t>
            </w:r>
          </w:p>
        </w:tc>
        <w:tc>
          <w:tcPr>
            <w:tcW w:w="1701" w:type="dxa"/>
            <w:vAlign w:val="center"/>
          </w:tcPr>
          <w:p w:rsidR="00287D4C" w:rsidRDefault="00330258">
            <w:pPr>
              <w:jc w:val="center"/>
            </w:pPr>
            <w:r>
              <w:rPr>
                <w:rFonts w:eastAsiaTheme="minorEastAsia"/>
                <w:kern w:val="0"/>
                <w:szCs w:val="21"/>
              </w:rPr>
              <w:t>川投能源</w:t>
            </w:r>
          </w:p>
        </w:tc>
        <w:tc>
          <w:tcPr>
            <w:tcW w:w="1276" w:type="dxa"/>
            <w:vAlign w:val="center"/>
          </w:tcPr>
          <w:p w:rsidR="00287D4C" w:rsidRDefault="00330258">
            <w:pPr>
              <w:jc w:val="right"/>
            </w:pPr>
            <w:r>
              <w:rPr>
                <w:rFonts w:eastAsiaTheme="minorEastAsia"/>
                <w:kern w:val="0"/>
                <w:szCs w:val="21"/>
              </w:rPr>
              <w:t>3,351,443.00</w:t>
            </w:r>
          </w:p>
        </w:tc>
        <w:tc>
          <w:tcPr>
            <w:tcW w:w="1842" w:type="dxa"/>
            <w:vAlign w:val="center"/>
          </w:tcPr>
          <w:p w:rsidR="00287D4C" w:rsidRDefault="00330258">
            <w:pPr>
              <w:jc w:val="right"/>
            </w:pPr>
            <w:r>
              <w:rPr>
                <w:rFonts w:eastAsiaTheme="minorEastAsia"/>
                <w:kern w:val="0"/>
                <w:szCs w:val="21"/>
              </w:rPr>
              <w:t>40,317,859.29</w:t>
            </w:r>
          </w:p>
        </w:tc>
        <w:tc>
          <w:tcPr>
            <w:tcW w:w="1616" w:type="dxa"/>
            <w:vAlign w:val="center"/>
          </w:tcPr>
          <w:p w:rsidR="00287D4C" w:rsidRDefault="00330258">
            <w:pPr>
              <w:jc w:val="right"/>
            </w:pPr>
            <w:r>
              <w:rPr>
                <w:rFonts w:eastAsiaTheme="minorEastAsia"/>
                <w:kern w:val="0"/>
                <w:szCs w:val="21"/>
              </w:rPr>
              <w:t>1.78</w:t>
            </w:r>
          </w:p>
        </w:tc>
      </w:tr>
      <w:tr w:rsidR="00287D4C">
        <w:tc>
          <w:tcPr>
            <w:tcW w:w="817" w:type="dxa"/>
            <w:vAlign w:val="center"/>
          </w:tcPr>
          <w:p w:rsidR="00287D4C" w:rsidRDefault="00330258">
            <w:pPr>
              <w:jc w:val="center"/>
            </w:pPr>
            <w:r>
              <w:rPr>
                <w:rFonts w:eastAsiaTheme="minorEastAsia"/>
                <w:kern w:val="0"/>
                <w:szCs w:val="21"/>
              </w:rPr>
              <w:t>3</w:t>
            </w:r>
          </w:p>
        </w:tc>
        <w:tc>
          <w:tcPr>
            <w:tcW w:w="1276" w:type="dxa"/>
            <w:vAlign w:val="center"/>
          </w:tcPr>
          <w:p w:rsidR="00287D4C" w:rsidRDefault="00330258">
            <w:pPr>
              <w:jc w:val="center"/>
            </w:pPr>
            <w:r>
              <w:rPr>
                <w:rFonts w:eastAsiaTheme="minorEastAsia"/>
                <w:kern w:val="0"/>
                <w:szCs w:val="21"/>
              </w:rPr>
              <w:t>603588</w:t>
            </w:r>
          </w:p>
        </w:tc>
        <w:tc>
          <w:tcPr>
            <w:tcW w:w="1701" w:type="dxa"/>
            <w:vAlign w:val="center"/>
          </w:tcPr>
          <w:p w:rsidR="00287D4C" w:rsidRDefault="00330258">
            <w:pPr>
              <w:jc w:val="center"/>
            </w:pPr>
            <w:r>
              <w:rPr>
                <w:rFonts w:eastAsiaTheme="minorEastAsia"/>
                <w:kern w:val="0"/>
                <w:szCs w:val="21"/>
              </w:rPr>
              <w:t>高能环境</w:t>
            </w:r>
          </w:p>
        </w:tc>
        <w:tc>
          <w:tcPr>
            <w:tcW w:w="1276" w:type="dxa"/>
            <w:vAlign w:val="center"/>
          </w:tcPr>
          <w:p w:rsidR="00287D4C" w:rsidRDefault="00330258">
            <w:pPr>
              <w:jc w:val="right"/>
            </w:pPr>
            <w:r>
              <w:rPr>
                <w:rFonts w:eastAsiaTheme="minorEastAsia"/>
                <w:kern w:val="0"/>
                <w:szCs w:val="21"/>
              </w:rPr>
              <w:t>3,413,976.00</w:t>
            </w:r>
          </w:p>
        </w:tc>
        <w:tc>
          <w:tcPr>
            <w:tcW w:w="1842" w:type="dxa"/>
            <w:vAlign w:val="center"/>
          </w:tcPr>
          <w:p w:rsidR="00287D4C" w:rsidRDefault="00330258">
            <w:pPr>
              <w:jc w:val="right"/>
            </w:pPr>
            <w:r>
              <w:rPr>
                <w:rFonts w:eastAsiaTheme="minorEastAsia"/>
                <w:kern w:val="0"/>
                <w:szCs w:val="21"/>
              </w:rPr>
              <w:t>36,188,145.60</w:t>
            </w:r>
          </w:p>
        </w:tc>
        <w:tc>
          <w:tcPr>
            <w:tcW w:w="1616" w:type="dxa"/>
            <w:vAlign w:val="center"/>
          </w:tcPr>
          <w:p w:rsidR="00287D4C" w:rsidRDefault="00330258">
            <w:pPr>
              <w:jc w:val="right"/>
            </w:pPr>
            <w:r>
              <w:rPr>
                <w:rFonts w:eastAsiaTheme="minorEastAsia"/>
                <w:kern w:val="0"/>
                <w:szCs w:val="21"/>
              </w:rPr>
              <w:t>1.60</w:t>
            </w:r>
          </w:p>
        </w:tc>
      </w:tr>
      <w:tr w:rsidR="00287D4C">
        <w:tc>
          <w:tcPr>
            <w:tcW w:w="817" w:type="dxa"/>
            <w:vAlign w:val="center"/>
          </w:tcPr>
          <w:p w:rsidR="00287D4C" w:rsidRDefault="00330258">
            <w:pPr>
              <w:jc w:val="center"/>
            </w:pPr>
            <w:r>
              <w:rPr>
                <w:rFonts w:eastAsiaTheme="minorEastAsia"/>
                <w:kern w:val="0"/>
                <w:szCs w:val="21"/>
              </w:rPr>
              <w:t>4</w:t>
            </w:r>
          </w:p>
        </w:tc>
        <w:tc>
          <w:tcPr>
            <w:tcW w:w="1276" w:type="dxa"/>
            <w:vAlign w:val="center"/>
          </w:tcPr>
          <w:p w:rsidR="00287D4C" w:rsidRDefault="00330258">
            <w:pPr>
              <w:jc w:val="center"/>
            </w:pPr>
            <w:r>
              <w:rPr>
                <w:rFonts w:eastAsiaTheme="minorEastAsia"/>
                <w:kern w:val="0"/>
                <w:szCs w:val="21"/>
              </w:rPr>
              <w:t>600496</w:t>
            </w:r>
          </w:p>
        </w:tc>
        <w:tc>
          <w:tcPr>
            <w:tcW w:w="1701" w:type="dxa"/>
            <w:vAlign w:val="center"/>
          </w:tcPr>
          <w:p w:rsidR="00287D4C" w:rsidRDefault="00330258">
            <w:pPr>
              <w:jc w:val="center"/>
            </w:pPr>
            <w:r>
              <w:rPr>
                <w:rFonts w:eastAsiaTheme="minorEastAsia"/>
                <w:kern w:val="0"/>
                <w:szCs w:val="21"/>
              </w:rPr>
              <w:t>精工钢构</w:t>
            </w:r>
          </w:p>
        </w:tc>
        <w:tc>
          <w:tcPr>
            <w:tcW w:w="1276" w:type="dxa"/>
            <w:vAlign w:val="center"/>
          </w:tcPr>
          <w:p w:rsidR="00287D4C" w:rsidRDefault="00330258">
            <w:pPr>
              <w:jc w:val="right"/>
            </w:pPr>
            <w:r>
              <w:rPr>
                <w:rFonts w:eastAsiaTheme="minorEastAsia"/>
                <w:kern w:val="0"/>
                <w:szCs w:val="21"/>
              </w:rPr>
              <w:t>7,116,227.00</w:t>
            </w:r>
          </w:p>
        </w:tc>
        <w:tc>
          <w:tcPr>
            <w:tcW w:w="1842" w:type="dxa"/>
            <w:vAlign w:val="center"/>
          </w:tcPr>
          <w:p w:rsidR="00287D4C" w:rsidRDefault="00330258">
            <w:pPr>
              <w:jc w:val="right"/>
            </w:pPr>
            <w:r>
              <w:rPr>
                <w:rFonts w:eastAsiaTheme="minorEastAsia"/>
                <w:kern w:val="0"/>
                <w:szCs w:val="21"/>
              </w:rPr>
              <w:t>28,464,908.00</w:t>
            </w:r>
          </w:p>
        </w:tc>
        <w:tc>
          <w:tcPr>
            <w:tcW w:w="1616" w:type="dxa"/>
            <w:vAlign w:val="center"/>
          </w:tcPr>
          <w:p w:rsidR="00287D4C" w:rsidRDefault="00330258">
            <w:pPr>
              <w:jc w:val="right"/>
            </w:pPr>
            <w:r>
              <w:rPr>
                <w:rFonts w:eastAsiaTheme="minorEastAsia"/>
                <w:kern w:val="0"/>
                <w:szCs w:val="21"/>
              </w:rPr>
              <w:t>1.26</w:t>
            </w:r>
          </w:p>
        </w:tc>
      </w:tr>
      <w:tr w:rsidR="00287D4C">
        <w:tc>
          <w:tcPr>
            <w:tcW w:w="817" w:type="dxa"/>
            <w:vAlign w:val="center"/>
          </w:tcPr>
          <w:p w:rsidR="00287D4C" w:rsidRDefault="00330258">
            <w:pPr>
              <w:jc w:val="center"/>
            </w:pPr>
            <w:r>
              <w:rPr>
                <w:rFonts w:eastAsiaTheme="minorEastAsia"/>
                <w:kern w:val="0"/>
                <w:szCs w:val="21"/>
              </w:rPr>
              <w:t>5</w:t>
            </w:r>
          </w:p>
        </w:tc>
        <w:tc>
          <w:tcPr>
            <w:tcW w:w="1276" w:type="dxa"/>
            <w:vAlign w:val="center"/>
          </w:tcPr>
          <w:p w:rsidR="00287D4C" w:rsidRDefault="00330258">
            <w:pPr>
              <w:jc w:val="center"/>
            </w:pPr>
            <w:r>
              <w:rPr>
                <w:rFonts w:eastAsiaTheme="minorEastAsia"/>
                <w:kern w:val="0"/>
                <w:szCs w:val="21"/>
              </w:rPr>
              <w:t>002027</w:t>
            </w:r>
          </w:p>
        </w:tc>
        <w:tc>
          <w:tcPr>
            <w:tcW w:w="1701" w:type="dxa"/>
            <w:vAlign w:val="center"/>
          </w:tcPr>
          <w:p w:rsidR="00287D4C" w:rsidRDefault="00330258">
            <w:pPr>
              <w:jc w:val="center"/>
            </w:pPr>
            <w:r>
              <w:rPr>
                <w:rFonts w:eastAsiaTheme="minorEastAsia"/>
                <w:kern w:val="0"/>
                <w:szCs w:val="21"/>
              </w:rPr>
              <w:t>分众传媒</w:t>
            </w:r>
          </w:p>
        </w:tc>
        <w:tc>
          <w:tcPr>
            <w:tcW w:w="1276" w:type="dxa"/>
            <w:vAlign w:val="center"/>
          </w:tcPr>
          <w:p w:rsidR="00287D4C" w:rsidRDefault="00330258">
            <w:pPr>
              <w:jc w:val="right"/>
            </w:pPr>
            <w:r>
              <w:rPr>
                <w:rFonts w:eastAsiaTheme="minorEastAsia"/>
                <w:kern w:val="0"/>
                <w:szCs w:val="21"/>
              </w:rPr>
              <w:t>4,532,796.00</w:t>
            </w:r>
          </w:p>
        </w:tc>
        <w:tc>
          <w:tcPr>
            <w:tcW w:w="1842" w:type="dxa"/>
            <w:vAlign w:val="center"/>
          </w:tcPr>
          <w:p w:rsidR="00287D4C" w:rsidRDefault="00330258">
            <w:pPr>
              <w:jc w:val="right"/>
            </w:pPr>
            <w:r>
              <w:rPr>
                <w:rFonts w:eastAsiaTheme="minorEastAsia"/>
                <w:kern w:val="0"/>
                <w:szCs w:val="21"/>
              </w:rPr>
              <w:t>25,021,033.92</w:t>
            </w:r>
          </w:p>
        </w:tc>
        <w:tc>
          <w:tcPr>
            <w:tcW w:w="1616" w:type="dxa"/>
            <w:vAlign w:val="center"/>
          </w:tcPr>
          <w:p w:rsidR="00287D4C" w:rsidRDefault="00330258">
            <w:pPr>
              <w:jc w:val="right"/>
            </w:pPr>
            <w:r>
              <w:rPr>
                <w:rFonts w:eastAsiaTheme="minorEastAsia"/>
                <w:kern w:val="0"/>
                <w:szCs w:val="21"/>
              </w:rPr>
              <w:t>1.11</w:t>
            </w:r>
          </w:p>
        </w:tc>
      </w:tr>
      <w:tr w:rsidR="00287D4C">
        <w:tc>
          <w:tcPr>
            <w:tcW w:w="817" w:type="dxa"/>
            <w:vAlign w:val="center"/>
          </w:tcPr>
          <w:p w:rsidR="00287D4C" w:rsidRDefault="00330258">
            <w:pPr>
              <w:jc w:val="center"/>
            </w:pPr>
            <w:r>
              <w:rPr>
                <w:rFonts w:eastAsiaTheme="minorEastAsia"/>
                <w:kern w:val="0"/>
                <w:szCs w:val="21"/>
              </w:rPr>
              <w:t>6</w:t>
            </w:r>
          </w:p>
        </w:tc>
        <w:tc>
          <w:tcPr>
            <w:tcW w:w="1276" w:type="dxa"/>
            <w:vAlign w:val="center"/>
          </w:tcPr>
          <w:p w:rsidR="00287D4C" w:rsidRDefault="00330258">
            <w:pPr>
              <w:jc w:val="center"/>
            </w:pPr>
            <w:r>
              <w:rPr>
                <w:rFonts w:eastAsiaTheme="minorEastAsia"/>
                <w:kern w:val="0"/>
                <w:szCs w:val="21"/>
              </w:rPr>
              <w:t>600491</w:t>
            </w:r>
          </w:p>
        </w:tc>
        <w:tc>
          <w:tcPr>
            <w:tcW w:w="1701" w:type="dxa"/>
            <w:vAlign w:val="center"/>
          </w:tcPr>
          <w:p w:rsidR="00287D4C" w:rsidRDefault="00330258">
            <w:pPr>
              <w:jc w:val="center"/>
            </w:pPr>
            <w:r>
              <w:rPr>
                <w:rFonts w:eastAsiaTheme="minorEastAsia"/>
                <w:kern w:val="0"/>
                <w:szCs w:val="21"/>
              </w:rPr>
              <w:t>龙元建设</w:t>
            </w:r>
          </w:p>
        </w:tc>
        <w:tc>
          <w:tcPr>
            <w:tcW w:w="1276" w:type="dxa"/>
            <w:vAlign w:val="center"/>
          </w:tcPr>
          <w:p w:rsidR="00287D4C" w:rsidRDefault="00330258">
            <w:pPr>
              <w:jc w:val="right"/>
            </w:pPr>
            <w:r>
              <w:rPr>
                <w:rFonts w:eastAsiaTheme="minorEastAsia"/>
                <w:kern w:val="0"/>
                <w:szCs w:val="21"/>
              </w:rPr>
              <w:t>3,010,699.00</w:t>
            </w:r>
          </w:p>
        </w:tc>
        <w:tc>
          <w:tcPr>
            <w:tcW w:w="1842" w:type="dxa"/>
            <w:vAlign w:val="center"/>
          </w:tcPr>
          <w:p w:rsidR="00287D4C" w:rsidRDefault="00330258">
            <w:pPr>
              <w:jc w:val="right"/>
            </w:pPr>
            <w:r>
              <w:rPr>
                <w:rFonts w:eastAsiaTheme="minorEastAsia"/>
                <w:kern w:val="0"/>
                <w:szCs w:val="21"/>
              </w:rPr>
              <w:t>17,010,449.35</w:t>
            </w:r>
          </w:p>
        </w:tc>
        <w:tc>
          <w:tcPr>
            <w:tcW w:w="1616" w:type="dxa"/>
            <w:vAlign w:val="center"/>
          </w:tcPr>
          <w:p w:rsidR="00287D4C" w:rsidRDefault="00330258">
            <w:pPr>
              <w:jc w:val="right"/>
            </w:pPr>
            <w:r>
              <w:rPr>
                <w:rFonts w:eastAsiaTheme="minorEastAsia"/>
                <w:kern w:val="0"/>
                <w:szCs w:val="21"/>
              </w:rPr>
              <w:t>0.75</w:t>
            </w:r>
          </w:p>
        </w:tc>
      </w:tr>
      <w:tr w:rsidR="00287D4C">
        <w:tc>
          <w:tcPr>
            <w:tcW w:w="817" w:type="dxa"/>
            <w:vAlign w:val="center"/>
          </w:tcPr>
          <w:p w:rsidR="00287D4C" w:rsidRDefault="00330258">
            <w:pPr>
              <w:jc w:val="center"/>
            </w:pPr>
            <w:r>
              <w:rPr>
                <w:rFonts w:eastAsiaTheme="minorEastAsia"/>
                <w:kern w:val="0"/>
                <w:szCs w:val="21"/>
              </w:rPr>
              <w:t>7</w:t>
            </w:r>
          </w:p>
        </w:tc>
        <w:tc>
          <w:tcPr>
            <w:tcW w:w="1276" w:type="dxa"/>
            <w:vAlign w:val="center"/>
          </w:tcPr>
          <w:p w:rsidR="00287D4C" w:rsidRDefault="00330258">
            <w:pPr>
              <w:jc w:val="center"/>
            </w:pPr>
            <w:r>
              <w:rPr>
                <w:rFonts w:eastAsiaTheme="minorEastAsia"/>
                <w:kern w:val="0"/>
                <w:szCs w:val="21"/>
              </w:rPr>
              <w:t>601677</w:t>
            </w:r>
          </w:p>
        </w:tc>
        <w:tc>
          <w:tcPr>
            <w:tcW w:w="1701" w:type="dxa"/>
            <w:vAlign w:val="center"/>
          </w:tcPr>
          <w:p w:rsidR="00287D4C" w:rsidRDefault="00330258">
            <w:pPr>
              <w:jc w:val="center"/>
            </w:pPr>
            <w:r>
              <w:rPr>
                <w:rFonts w:eastAsiaTheme="minorEastAsia"/>
                <w:kern w:val="0"/>
                <w:szCs w:val="21"/>
              </w:rPr>
              <w:t>明泰铝业</w:t>
            </w:r>
          </w:p>
        </w:tc>
        <w:tc>
          <w:tcPr>
            <w:tcW w:w="1276" w:type="dxa"/>
            <w:vAlign w:val="center"/>
          </w:tcPr>
          <w:p w:rsidR="00287D4C" w:rsidRDefault="00330258">
            <w:pPr>
              <w:jc w:val="right"/>
            </w:pPr>
            <w:r>
              <w:rPr>
                <w:rFonts w:eastAsiaTheme="minorEastAsia"/>
                <w:kern w:val="0"/>
                <w:szCs w:val="21"/>
              </w:rPr>
              <w:t>832,553.00</w:t>
            </w:r>
          </w:p>
        </w:tc>
        <w:tc>
          <w:tcPr>
            <w:tcW w:w="1842" w:type="dxa"/>
            <w:vAlign w:val="center"/>
          </w:tcPr>
          <w:p w:rsidR="00287D4C" w:rsidRDefault="00330258">
            <w:pPr>
              <w:jc w:val="right"/>
            </w:pPr>
            <w:r>
              <w:rPr>
                <w:rFonts w:eastAsiaTheme="minorEastAsia"/>
                <w:kern w:val="0"/>
                <w:szCs w:val="21"/>
              </w:rPr>
              <w:t>15,135,813.54</w:t>
            </w:r>
          </w:p>
        </w:tc>
        <w:tc>
          <w:tcPr>
            <w:tcW w:w="1616" w:type="dxa"/>
            <w:vAlign w:val="center"/>
          </w:tcPr>
          <w:p w:rsidR="00287D4C" w:rsidRDefault="00330258">
            <w:pPr>
              <w:jc w:val="right"/>
            </w:pPr>
            <w:r>
              <w:rPr>
                <w:rFonts w:eastAsiaTheme="minorEastAsia"/>
                <w:kern w:val="0"/>
                <w:szCs w:val="21"/>
              </w:rPr>
              <w:t>0.67</w:t>
            </w:r>
          </w:p>
        </w:tc>
      </w:tr>
      <w:tr w:rsidR="00287D4C">
        <w:tc>
          <w:tcPr>
            <w:tcW w:w="817" w:type="dxa"/>
            <w:vAlign w:val="center"/>
          </w:tcPr>
          <w:p w:rsidR="00287D4C" w:rsidRDefault="00330258">
            <w:pPr>
              <w:jc w:val="center"/>
            </w:pPr>
            <w:r>
              <w:rPr>
                <w:rFonts w:eastAsiaTheme="minorEastAsia"/>
                <w:kern w:val="0"/>
                <w:szCs w:val="21"/>
              </w:rPr>
              <w:t>8</w:t>
            </w:r>
          </w:p>
        </w:tc>
        <w:tc>
          <w:tcPr>
            <w:tcW w:w="1276" w:type="dxa"/>
            <w:vAlign w:val="center"/>
          </w:tcPr>
          <w:p w:rsidR="00287D4C" w:rsidRDefault="00330258">
            <w:pPr>
              <w:jc w:val="center"/>
            </w:pPr>
            <w:r>
              <w:rPr>
                <w:rFonts w:eastAsiaTheme="minorEastAsia"/>
                <w:kern w:val="0"/>
                <w:szCs w:val="21"/>
              </w:rPr>
              <w:t>002158</w:t>
            </w:r>
          </w:p>
        </w:tc>
        <w:tc>
          <w:tcPr>
            <w:tcW w:w="1701" w:type="dxa"/>
            <w:vAlign w:val="center"/>
          </w:tcPr>
          <w:p w:rsidR="00287D4C" w:rsidRDefault="00330258">
            <w:pPr>
              <w:jc w:val="center"/>
            </w:pPr>
            <w:r>
              <w:rPr>
                <w:rFonts w:eastAsiaTheme="minorEastAsia"/>
                <w:kern w:val="0"/>
                <w:szCs w:val="21"/>
              </w:rPr>
              <w:t>汉钟精机</w:t>
            </w:r>
          </w:p>
        </w:tc>
        <w:tc>
          <w:tcPr>
            <w:tcW w:w="1276" w:type="dxa"/>
            <w:vAlign w:val="center"/>
          </w:tcPr>
          <w:p w:rsidR="00287D4C" w:rsidRDefault="00330258">
            <w:pPr>
              <w:jc w:val="right"/>
            </w:pPr>
            <w:r>
              <w:rPr>
                <w:rFonts w:eastAsiaTheme="minorEastAsia"/>
                <w:kern w:val="0"/>
                <w:szCs w:val="21"/>
              </w:rPr>
              <w:t>584,141.00</w:t>
            </w:r>
          </w:p>
        </w:tc>
        <w:tc>
          <w:tcPr>
            <w:tcW w:w="1842" w:type="dxa"/>
            <w:vAlign w:val="center"/>
          </w:tcPr>
          <w:p w:rsidR="00287D4C" w:rsidRDefault="00330258">
            <w:pPr>
              <w:jc w:val="right"/>
            </w:pPr>
            <w:r>
              <w:rPr>
                <w:rFonts w:eastAsiaTheme="minorEastAsia"/>
                <w:kern w:val="0"/>
                <w:szCs w:val="21"/>
              </w:rPr>
              <w:t>13,353,463.26</w:t>
            </w:r>
          </w:p>
        </w:tc>
        <w:tc>
          <w:tcPr>
            <w:tcW w:w="1616" w:type="dxa"/>
            <w:vAlign w:val="center"/>
          </w:tcPr>
          <w:p w:rsidR="00287D4C" w:rsidRDefault="00330258">
            <w:pPr>
              <w:jc w:val="right"/>
            </w:pPr>
            <w:r>
              <w:rPr>
                <w:rFonts w:eastAsiaTheme="minorEastAsia"/>
                <w:kern w:val="0"/>
                <w:szCs w:val="21"/>
              </w:rPr>
              <w:t>0.59</w:t>
            </w:r>
          </w:p>
        </w:tc>
      </w:tr>
      <w:tr w:rsidR="00287D4C">
        <w:tc>
          <w:tcPr>
            <w:tcW w:w="817" w:type="dxa"/>
            <w:vAlign w:val="center"/>
          </w:tcPr>
          <w:p w:rsidR="00287D4C" w:rsidRDefault="00330258">
            <w:pPr>
              <w:jc w:val="center"/>
            </w:pPr>
            <w:r>
              <w:rPr>
                <w:rFonts w:eastAsiaTheme="minorEastAsia"/>
                <w:kern w:val="0"/>
                <w:szCs w:val="21"/>
              </w:rPr>
              <w:t>9</w:t>
            </w:r>
          </w:p>
        </w:tc>
        <w:tc>
          <w:tcPr>
            <w:tcW w:w="1276" w:type="dxa"/>
            <w:vAlign w:val="center"/>
          </w:tcPr>
          <w:p w:rsidR="00287D4C" w:rsidRDefault="00330258">
            <w:pPr>
              <w:jc w:val="center"/>
            </w:pPr>
            <w:r>
              <w:rPr>
                <w:rFonts w:eastAsiaTheme="minorEastAsia"/>
                <w:kern w:val="0"/>
                <w:szCs w:val="21"/>
              </w:rPr>
              <w:t>600988</w:t>
            </w:r>
          </w:p>
        </w:tc>
        <w:tc>
          <w:tcPr>
            <w:tcW w:w="1701" w:type="dxa"/>
            <w:vAlign w:val="center"/>
          </w:tcPr>
          <w:p w:rsidR="00287D4C" w:rsidRDefault="00330258">
            <w:pPr>
              <w:jc w:val="center"/>
            </w:pPr>
            <w:r>
              <w:rPr>
                <w:rFonts w:eastAsiaTheme="minorEastAsia"/>
                <w:kern w:val="0"/>
                <w:szCs w:val="21"/>
              </w:rPr>
              <w:t>赤峰黄金</w:t>
            </w:r>
          </w:p>
        </w:tc>
        <w:tc>
          <w:tcPr>
            <w:tcW w:w="1276" w:type="dxa"/>
            <w:vAlign w:val="center"/>
          </w:tcPr>
          <w:p w:rsidR="00287D4C" w:rsidRDefault="00330258">
            <w:pPr>
              <w:jc w:val="right"/>
            </w:pPr>
            <w:r>
              <w:rPr>
                <w:rFonts w:eastAsiaTheme="minorEastAsia"/>
                <w:kern w:val="0"/>
                <w:szCs w:val="21"/>
              </w:rPr>
              <w:t>577,774.00</w:t>
            </w:r>
          </w:p>
        </w:tc>
        <w:tc>
          <w:tcPr>
            <w:tcW w:w="1842" w:type="dxa"/>
            <w:vAlign w:val="center"/>
          </w:tcPr>
          <w:p w:rsidR="00287D4C" w:rsidRDefault="00330258">
            <w:pPr>
              <w:jc w:val="right"/>
            </w:pPr>
            <w:r>
              <w:rPr>
                <w:rFonts w:eastAsiaTheme="minorEastAsia"/>
                <w:kern w:val="0"/>
                <w:szCs w:val="21"/>
              </w:rPr>
              <w:t>11,717,256.72</w:t>
            </w:r>
          </w:p>
        </w:tc>
        <w:tc>
          <w:tcPr>
            <w:tcW w:w="1616" w:type="dxa"/>
            <w:vAlign w:val="center"/>
          </w:tcPr>
          <w:p w:rsidR="00287D4C" w:rsidRDefault="00330258">
            <w:pPr>
              <w:jc w:val="right"/>
            </w:pPr>
            <w:r>
              <w:rPr>
                <w:rFonts w:eastAsiaTheme="minorEastAsia"/>
                <w:kern w:val="0"/>
                <w:szCs w:val="21"/>
              </w:rPr>
              <w:t>0.52</w:t>
            </w:r>
          </w:p>
        </w:tc>
      </w:tr>
      <w:tr w:rsidR="00287D4C">
        <w:tc>
          <w:tcPr>
            <w:tcW w:w="817" w:type="dxa"/>
            <w:vAlign w:val="center"/>
          </w:tcPr>
          <w:p w:rsidR="00287D4C" w:rsidRDefault="00330258">
            <w:pPr>
              <w:jc w:val="center"/>
            </w:pPr>
            <w:r>
              <w:rPr>
                <w:rFonts w:eastAsiaTheme="minorEastAsia"/>
                <w:kern w:val="0"/>
                <w:szCs w:val="21"/>
              </w:rPr>
              <w:t>10</w:t>
            </w:r>
          </w:p>
        </w:tc>
        <w:tc>
          <w:tcPr>
            <w:tcW w:w="1276" w:type="dxa"/>
            <w:vAlign w:val="center"/>
          </w:tcPr>
          <w:p w:rsidR="00287D4C" w:rsidRDefault="00330258">
            <w:pPr>
              <w:jc w:val="center"/>
            </w:pPr>
            <w:r>
              <w:rPr>
                <w:rFonts w:eastAsiaTheme="minorEastAsia"/>
                <w:kern w:val="0"/>
                <w:szCs w:val="21"/>
              </w:rPr>
              <w:t>600256</w:t>
            </w:r>
          </w:p>
        </w:tc>
        <w:tc>
          <w:tcPr>
            <w:tcW w:w="1701" w:type="dxa"/>
            <w:vAlign w:val="center"/>
          </w:tcPr>
          <w:p w:rsidR="00287D4C" w:rsidRDefault="00330258">
            <w:pPr>
              <w:jc w:val="center"/>
            </w:pPr>
            <w:r>
              <w:rPr>
                <w:rFonts w:eastAsiaTheme="minorEastAsia"/>
                <w:kern w:val="0"/>
                <w:szCs w:val="21"/>
              </w:rPr>
              <w:t>广汇能源</w:t>
            </w:r>
          </w:p>
        </w:tc>
        <w:tc>
          <w:tcPr>
            <w:tcW w:w="1276" w:type="dxa"/>
            <w:vAlign w:val="center"/>
          </w:tcPr>
          <w:p w:rsidR="00287D4C" w:rsidRDefault="00330258">
            <w:pPr>
              <w:jc w:val="right"/>
            </w:pPr>
            <w:r>
              <w:rPr>
                <w:rFonts w:eastAsiaTheme="minorEastAsia"/>
                <w:kern w:val="0"/>
                <w:szCs w:val="21"/>
              </w:rPr>
              <w:t>871,253.00</w:t>
            </w:r>
          </w:p>
        </w:tc>
        <w:tc>
          <w:tcPr>
            <w:tcW w:w="1842" w:type="dxa"/>
            <w:vAlign w:val="center"/>
          </w:tcPr>
          <w:p w:rsidR="00287D4C" w:rsidRDefault="00330258">
            <w:pPr>
              <w:jc w:val="right"/>
            </w:pPr>
            <w:r>
              <w:rPr>
                <w:rFonts w:eastAsiaTheme="minorEastAsia"/>
                <w:kern w:val="0"/>
                <w:szCs w:val="21"/>
              </w:rPr>
              <w:t>10,698,986.84</w:t>
            </w:r>
          </w:p>
        </w:tc>
        <w:tc>
          <w:tcPr>
            <w:tcW w:w="1616" w:type="dxa"/>
            <w:vAlign w:val="center"/>
          </w:tcPr>
          <w:p w:rsidR="00287D4C" w:rsidRDefault="00330258">
            <w:pPr>
              <w:jc w:val="right"/>
            </w:pPr>
            <w:r>
              <w:rPr>
                <w:rFonts w:eastAsiaTheme="minorEastAsia"/>
                <w:kern w:val="0"/>
                <w:szCs w:val="21"/>
              </w:rPr>
              <w:t>0.47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478,834,197.39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145,646,295.89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104,292,542.47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239,206,648.94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329,030,961.14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150,537,666.57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199,589,157.48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388,286,682.98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1,931,131,610.39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85.42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87D4C">
        <w:tc>
          <w:tcPr>
            <w:tcW w:w="1504" w:type="dxa"/>
            <w:vAlign w:val="center"/>
          </w:tcPr>
          <w:p w:rsidR="00287D4C" w:rsidRDefault="00330258">
            <w:pPr>
              <w:jc w:val="center"/>
            </w:pPr>
            <w:r>
              <w:rPr>
                <w:rFonts w:eastAsiaTheme="minorEastAsia"/>
                <w:color w:val="000000" w:themeColor="text1"/>
                <w:szCs w:val="21"/>
              </w:rPr>
              <w:t>1</w:t>
            </w:r>
          </w:p>
        </w:tc>
        <w:tc>
          <w:tcPr>
            <w:tcW w:w="1504" w:type="dxa"/>
            <w:vAlign w:val="center"/>
          </w:tcPr>
          <w:p w:rsidR="00287D4C" w:rsidRDefault="00330258">
            <w:pPr>
              <w:jc w:val="center"/>
            </w:pPr>
            <w:r>
              <w:rPr>
                <w:rFonts w:eastAsiaTheme="minorEastAsia"/>
                <w:color w:val="000000" w:themeColor="text1"/>
                <w:szCs w:val="21"/>
              </w:rPr>
              <w:t>210004</w:t>
            </w:r>
          </w:p>
        </w:tc>
        <w:tc>
          <w:tcPr>
            <w:tcW w:w="1504" w:type="dxa"/>
            <w:vAlign w:val="center"/>
          </w:tcPr>
          <w:p w:rsidR="00287D4C" w:rsidRDefault="00330258">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287D4C" w:rsidRDefault="00330258">
            <w:pPr>
              <w:jc w:val="right"/>
            </w:pPr>
            <w:r>
              <w:rPr>
                <w:rFonts w:eastAsiaTheme="minorEastAsia"/>
                <w:color w:val="000000" w:themeColor="text1"/>
                <w:szCs w:val="21"/>
              </w:rPr>
              <w:t>2,190,000</w:t>
            </w:r>
          </w:p>
        </w:tc>
        <w:tc>
          <w:tcPr>
            <w:tcW w:w="1503" w:type="dxa"/>
            <w:vAlign w:val="center"/>
          </w:tcPr>
          <w:p w:rsidR="00287D4C" w:rsidRDefault="00330258">
            <w:pPr>
              <w:jc w:val="right"/>
            </w:pPr>
            <w:r>
              <w:rPr>
                <w:rFonts w:eastAsiaTheme="minorEastAsia"/>
                <w:color w:val="000000" w:themeColor="text1"/>
                <w:szCs w:val="21"/>
              </w:rPr>
              <w:t>224,605,140.00</w:t>
            </w:r>
          </w:p>
        </w:tc>
        <w:tc>
          <w:tcPr>
            <w:tcW w:w="1503" w:type="dxa"/>
            <w:vAlign w:val="center"/>
          </w:tcPr>
          <w:p w:rsidR="00287D4C" w:rsidRDefault="00330258">
            <w:pPr>
              <w:jc w:val="right"/>
            </w:pPr>
            <w:r>
              <w:rPr>
                <w:rFonts w:eastAsiaTheme="minorEastAsia"/>
                <w:color w:val="000000" w:themeColor="text1"/>
                <w:szCs w:val="21"/>
              </w:rPr>
              <w:t>9.94</w:t>
            </w:r>
          </w:p>
        </w:tc>
      </w:tr>
      <w:tr w:rsidR="00287D4C">
        <w:tc>
          <w:tcPr>
            <w:tcW w:w="1504" w:type="dxa"/>
            <w:vAlign w:val="center"/>
          </w:tcPr>
          <w:p w:rsidR="00287D4C" w:rsidRDefault="00330258">
            <w:pPr>
              <w:jc w:val="center"/>
            </w:pPr>
            <w:r>
              <w:rPr>
                <w:rFonts w:eastAsiaTheme="minorEastAsia"/>
                <w:color w:val="000000" w:themeColor="text1"/>
                <w:szCs w:val="21"/>
              </w:rPr>
              <w:t>2</w:t>
            </w:r>
          </w:p>
        </w:tc>
        <w:tc>
          <w:tcPr>
            <w:tcW w:w="1504" w:type="dxa"/>
            <w:vAlign w:val="center"/>
          </w:tcPr>
          <w:p w:rsidR="00287D4C" w:rsidRDefault="00330258">
            <w:pPr>
              <w:jc w:val="center"/>
            </w:pPr>
            <w:r>
              <w:rPr>
                <w:rFonts w:eastAsiaTheme="minorEastAsia"/>
                <w:color w:val="000000" w:themeColor="text1"/>
                <w:szCs w:val="21"/>
              </w:rPr>
              <w:t>132015</w:t>
            </w:r>
          </w:p>
        </w:tc>
        <w:tc>
          <w:tcPr>
            <w:tcW w:w="1504" w:type="dxa"/>
            <w:vAlign w:val="center"/>
          </w:tcPr>
          <w:p w:rsidR="00287D4C" w:rsidRDefault="00330258">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287D4C" w:rsidRDefault="00330258">
            <w:pPr>
              <w:jc w:val="right"/>
            </w:pPr>
            <w:r>
              <w:rPr>
                <w:rFonts w:eastAsiaTheme="minorEastAsia"/>
                <w:color w:val="000000" w:themeColor="text1"/>
                <w:szCs w:val="21"/>
              </w:rPr>
              <w:t>1,362,580</w:t>
            </w:r>
          </w:p>
        </w:tc>
        <w:tc>
          <w:tcPr>
            <w:tcW w:w="1503" w:type="dxa"/>
            <w:vAlign w:val="center"/>
          </w:tcPr>
          <w:p w:rsidR="00287D4C" w:rsidRDefault="00330258">
            <w:pPr>
              <w:jc w:val="right"/>
            </w:pPr>
            <w:r>
              <w:rPr>
                <w:rFonts w:eastAsiaTheme="minorEastAsia"/>
                <w:color w:val="000000" w:themeColor="text1"/>
                <w:szCs w:val="21"/>
              </w:rPr>
              <w:t>143,742,073.31</w:t>
            </w:r>
          </w:p>
        </w:tc>
        <w:tc>
          <w:tcPr>
            <w:tcW w:w="1503" w:type="dxa"/>
            <w:vAlign w:val="center"/>
          </w:tcPr>
          <w:p w:rsidR="00287D4C" w:rsidRDefault="00330258">
            <w:pPr>
              <w:jc w:val="right"/>
            </w:pPr>
            <w:r>
              <w:rPr>
                <w:rFonts w:eastAsiaTheme="minorEastAsia"/>
                <w:color w:val="000000" w:themeColor="text1"/>
                <w:szCs w:val="21"/>
              </w:rPr>
              <w:t>6.36</w:t>
            </w:r>
          </w:p>
        </w:tc>
      </w:tr>
      <w:tr w:rsidR="00287D4C">
        <w:tc>
          <w:tcPr>
            <w:tcW w:w="1504" w:type="dxa"/>
            <w:vAlign w:val="center"/>
          </w:tcPr>
          <w:p w:rsidR="00287D4C" w:rsidRDefault="00330258">
            <w:pPr>
              <w:jc w:val="center"/>
            </w:pPr>
            <w:r>
              <w:rPr>
                <w:rFonts w:eastAsiaTheme="minorEastAsia"/>
                <w:color w:val="000000" w:themeColor="text1"/>
                <w:szCs w:val="21"/>
              </w:rPr>
              <w:t>3</w:t>
            </w:r>
          </w:p>
        </w:tc>
        <w:tc>
          <w:tcPr>
            <w:tcW w:w="1504" w:type="dxa"/>
            <w:vAlign w:val="center"/>
          </w:tcPr>
          <w:p w:rsidR="00287D4C" w:rsidRDefault="00330258">
            <w:pPr>
              <w:jc w:val="center"/>
            </w:pPr>
            <w:r>
              <w:rPr>
                <w:rFonts w:eastAsiaTheme="minorEastAsia"/>
                <w:color w:val="000000" w:themeColor="text1"/>
                <w:szCs w:val="21"/>
              </w:rPr>
              <w:t>112211001</w:t>
            </w:r>
          </w:p>
        </w:tc>
        <w:tc>
          <w:tcPr>
            <w:tcW w:w="1504" w:type="dxa"/>
            <w:vAlign w:val="center"/>
          </w:tcPr>
          <w:p w:rsidR="00287D4C" w:rsidRDefault="00330258">
            <w:pPr>
              <w:jc w:val="center"/>
            </w:pPr>
            <w:r>
              <w:rPr>
                <w:rFonts w:eastAsiaTheme="minorEastAsia"/>
                <w:color w:val="000000" w:themeColor="text1"/>
                <w:szCs w:val="21"/>
              </w:rPr>
              <w:t>22</w:t>
            </w:r>
            <w:r>
              <w:rPr>
                <w:rFonts w:eastAsiaTheme="minorEastAsia"/>
                <w:color w:val="000000" w:themeColor="text1"/>
                <w:szCs w:val="21"/>
              </w:rPr>
              <w:t>平安银行</w:t>
            </w:r>
            <w:r>
              <w:rPr>
                <w:rFonts w:eastAsiaTheme="minorEastAsia"/>
                <w:color w:val="000000" w:themeColor="text1"/>
                <w:szCs w:val="21"/>
              </w:rPr>
              <w:t>CD001</w:t>
            </w:r>
          </w:p>
        </w:tc>
        <w:tc>
          <w:tcPr>
            <w:tcW w:w="1503" w:type="dxa"/>
            <w:vAlign w:val="center"/>
          </w:tcPr>
          <w:p w:rsidR="00287D4C" w:rsidRDefault="00330258">
            <w:pPr>
              <w:jc w:val="right"/>
            </w:pPr>
            <w:r>
              <w:rPr>
                <w:rFonts w:eastAsiaTheme="minorEastAsia"/>
                <w:color w:val="000000" w:themeColor="text1"/>
                <w:szCs w:val="21"/>
              </w:rPr>
              <w:t>1,200,000</w:t>
            </w:r>
          </w:p>
        </w:tc>
        <w:tc>
          <w:tcPr>
            <w:tcW w:w="1503" w:type="dxa"/>
            <w:vAlign w:val="center"/>
          </w:tcPr>
          <w:p w:rsidR="00287D4C" w:rsidRDefault="00330258">
            <w:pPr>
              <w:jc w:val="right"/>
            </w:pPr>
            <w:r>
              <w:rPr>
                <w:rFonts w:eastAsiaTheme="minorEastAsia"/>
                <w:color w:val="000000" w:themeColor="text1"/>
                <w:szCs w:val="21"/>
              </w:rPr>
              <w:t>119,451,124.60</w:t>
            </w:r>
          </w:p>
        </w:tc>
        <w:tc>
          <w:tcPr>
            <w:tcW w:w="1503" w:type="dxa"/>
            <w:vAlign w:val="center"/>
          </w:tcPr>
          <w:p w:rsidR="00287D4C" w:rsidRDefault="00330258">
            <w:pPr>
              <w:jc w:val="right"/>
            </w:pPr>
            <w:r>
              <w:rPr>
                <w:rFonts w:eastAsiaTheme="minorEastAsia"/>
                <w:color w:val="000000" w:themeColor="text1"/>
                <w:szCs w:val="21"/>
              </w:rPr>
              <w:t>5.28</w:t>
            </w:r>
          </w:p>
        </w:tc>
      </w:tr>
      <w:tr w:rsidR="00287D4C">
        <w:tc>
          <w:tcPr>
            <w:tcW w:w="1504" w:type="dxa"/>
            <w:vAlign w:val="center"/>
          </w:tcPr>
          <w:p w:rsidR="00287D4C" w:rsidRDefault="00330258">
            <w:pPr>
              <w:jc w:val="center"/>
            </w:pPr>
            <w:r>
              <w:rPr>
                <w:rFonts w:eastAsiaTheme="minorEastAsia"/>
                <w:color w:val="000000" w:themeColor="text1"/>
                <w:szCs w:val="21"/>
              </w:rPr>
              <w:t>4</w:t>
            </w:r>
          </w:p>
        </w:tc>
        <w:tc>
          <w:tcPr>
            <w:tcW w:w="1504" w:type="dxa"/>
            <w:vAlign w:val="center"/>
          </w:tcPr>
          <w:p w:rsidR="00287D4C" w:rsidRDefault="00330258">
            <w:pPr>
              <w:jc w:val="center"/>
            </w:pPr>
            <w:r>
              <w:rPr>
                <w:rFonts w:eastAsiaTheme="minorEastAsia"/>
                <w:color w:val="000000" w:themeColor="text1"/>
                <w:szCs w:val="21"/>
              </w:rPr>
              <w:t>200014</w:t>
            </w:r>
          </w:p>
        </w:tc>
        <w:tc>
          <w:tcPr>
            <w:tcW w:w="1504" w:type="dxa"/>
            <w:vAlign w:val="center"/>
          </w:tcPr>
          <w:p w:rsidR="00287D4C" w:rsidRDefault="00330258">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14</w:t>
            </w:r>
          </w:p>
        </w:tc>
        <w:tc>
          <w:tcPr>
            <w:tcW w:w="1503" w:type="dxa"/>
            <w:vAlign w:val="center"/>
          </w:tcPr>
          <w:p w:rsidR="00287D4C" w:rsidRDefault="00330258">
            <w:pPr>
              <w:jc w:val="right"/>
            </w:pPr>
            <w:r>
              <w:rPr>
                <w:rFonts w:eastAsiaTheme="minorEastAsia"/>
                <w:color w:val="000000" w:themeColor="text1"/>
                <w:szCs w:val="21"/>
              </w:rPr>
              <w:t>1,040,000</w:t>
            </w:r>
          </w:p>
        </w:tc>
        <w:tc>
          <w:tcPr>
            <w:tcW w:w="1503" w:type="dxa"/>
            <w:vAlign w:val="center"/>
          </w:tcPr>
          <w:p w:rsidR="00287D4C" w:rsidRDefault="00330258">
            <w:pPr>
              <w:jc w:val="right"/>
            </w:pPr>
            <w:r>
              <w:rPr>
                <w:rFonts w:eastAsiaTheme="minorEastAsia"/>
                <w:color w:val="000000" w:themeColor="text1"/>
                <w:szCs w:val="21"/>
              </w:rPr>
              <w:t>107,779,189.04</w:t>
            </w:r>
          </w:p>
        </w:tc>
        <w:tc>
          <w:tcPr>
            <w:tcW w:w="1503" w:type="dxa"/>
            <w:vAlign w:val="center"/>
          </w:tcPr>
          <w:p w:rsidR="00287D4C" w:rsidRDefault="00330258">
            <w:pPr>
              <w:jc w:val="right"/>
            </w:pPr>
            <w:r>
              <w:rPr>
                <w:rFonts w:eastAsiaTheme="minorEastAsia"/>
                <w:color w:val="000000" w:themeColor="text1"/>
                <w:szCs w:val="21"/>
              </w:rPr>
              <w:t>4.77</w:t>
            </w:r>
          </w:p>
        </w:tc>
      </w:tr>
      <w:tr w:rsidR="00287D4C">
        <w:tc>
          <w:tcPr>
            <w:tcW w:w="1504" w:type="dxa"/>
            <w:vAlign w:val="center"/>
          </w:tcPr>
          <w:p w:rsidR="00287D4C" w:rsidRDefault="00330258">
            <w:pPr>
              <w:jc w:val="center"/>
            </w:pPr>
            <w:r>
              <w:rPr>
                <w:rFonts w:eastAsiaTheme="minorEastAsia"/>
                <w:color w:val="000000" w:themeColor="text1"/>
                <w:szCs w:val="21"/>
              </w:rPr>
              <w:t>5</w:t>
            </w:r>
          </w:p>
        </w:tc>
        <w:tc>
          <w:tcPr>
            <w:tcW w:w="1504" w:type="dxa"/>
            <w:vAlign w:val="center"/>
          </w:tcPr>
          <w:p w:rsidR="00287D4C" w:rsidRDefault="00330258">
            <w:pPr>
              <w:jc w:val="center"/>
            </w:pPr>
            <w:r>
              <w:rPr>
                <w:rFonts w:eastAsiaTheme="minorEastAsia"/>
                <w:color w:val="000000" w:themeColor="text1"/>
                <w:szCs w:val="21"/>
              </w:rPr>
              <w:t>200009</w:t>
            </w:r>
          </w:p>
        </w:tc>
        <w:tc>
          <w:tcPr>
            <w:tcW w:w="1504" w:type="dxa"/>
            <w:vAlign w:val="center"/>
          </w:tcPr>
          <w:p w:rsidR="00287D4C" w:rsidRDefault="00330258">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09</w:t>
            </w:r>
          </w:p>
        </w:tc>
        <w:tc>
          <w:tcPr>
            <w:tcW w:w="1503" w:type="dxa"/>
            <w:vAlign w:val="center"/>
          </w:tcPr>
          <w:p w:rsidR="00287D4C" w:rsidRDefault="00330258">
            <w:pPr>
              <w:jc w:val="right"/>
            </w:pPr>
            <w:r>
              <w:rPr>
                <w:rFonts w:eastAsiaTheme="minorEastAsia"/>
                <w:color w:val="000000" w:themeColor="text1"/>
                <w:szCs w:val="21"/>
              </w:rPr>
              <w:t>1,000,000</w:t>
            </w:r>
          </w:p>
        </w:tc>
        <w:tc>
          <w:tcPr>
            <w:tcW w:w="1503" w:type="dxa"/>
            <w:vAlign w:val="center"/>
          </w:tcPr>
          <w:p w:rsidR="00287D4C" w:rsidRDefault="00330258">
            <w:pPr>
              <w:jc w:val="right"/>
            </w:pPr>
            <w:r>
              <w:rPr>
                <w:rFonts w:eastAsiaTheme="minorEastAsia"/>
                <w:color w:val="000000" w:themeColor="text1"/>
                <w:szCs w:val="21"/>
              </w:rPr>
              <w:t>100,958,383.56</w:t>
            </w:r>
          </w:p>
        </w:tc>
        <w:tc>
          <w:tcPr>
            <w:tcW w:w="1503" w:type="dxa"/>
            <w:vAlign w:val="center"/>
          </w:tcPr>
          <w:p w:rsidR="00287D4C" w:rsidRDefault="00330258">
            <w:pPr>
              <w:jc w:val="right"/>
            </w:pPr>
            <w:r>
              <w:rPr>
                <w:rFonts w:eastAsiaTheme="minorEastAsia"/>
                <w:color w:val="000000" w:themeColor="text1"/>
                <w:szCs w:val="21"/>
              </w:rPr>
              <w:t>4.47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548,085.79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2,015,823.53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278,997.99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2,842,907.31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287D4C">
        <w:tc>
          <w:tcPr>
            <w:tcW w:w="1181" w:type="dxa"/>
            <w:vAlign w:val="center"/>
          </w:tcPr>
          <w:p w:rsidR="00287D4C" w:rsidRDefault="00330258">
            <w:pPr>
              <w:jc w:val="center"/>
            </w:pPr>
            <w:r>
              <w:rPr>
                <w:rFonts w:eastAsiaTheme="minorEastAsia"/>
                <w:color w:val="000000" w:themeColor="text1"/>
                <w:szCs w:val="21"/>
              </w:rPr>
              <w:t>1</w:t>
            </w:r>
          </w:p>
        </w:tc>
        <w:tc>
          <w:tcPr>
            <w:tcW w:w="2497" w:type="dxa"/>
            <w:vAlign w:val="center"/>
          </w:tcPr>
          <w:p w:rsidR="00287D4C" w:rsidRDefault="00330258">
            <w:pPr>
              <w:jc w:val="center"/>
            </w:pPr>
            <w:r>
              <w:rPr>
                <w:rFonts w:eastAsiaTheme="minorEastAsia"/>
                <w:color w:val="000000" w:themeColor="text1"/>
                <w:szCs w:val="21"/>
              </w:rPr>
              <w:t>132015</w:t>
            </w:r>
          </w:p>
        </w:tc>
        <w:tc>
          <w:tcPr>
            <w:tcW w:w="1746" w:type="dxa"/>
            <w:vAlign w:val="center"/>
          </w:tcPr>
          <w:p w:rsidR="00287D4C" w:rsidRDefault="00330258">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287D4C" w:rsidRDefault="00330258">
            <w:pPr>
              <w:jc w:val="right"/>
            </w:pPr>
            <w:r>
              <w:rPr>
                <w:rFonts w:eastAsiaTheme="minorEastAsia"/>
                <w:color w:val="000000" w:themeColor="text1"/>
                <w:szCs w:val="21"/>
              </w:rPr>
              <w:t>143,742,073.31</w:t>
            </w:r>
          </w:p>
        </w:tc>
        <w:tc>
          <w:tcPr>
            <w:tcW w:w="1679" w:type="dxa"/>
            <w:vAlign w:val="center"/>
          </w:tcPr>
          <w:p w:rsidR="00287D4C" w:rsidRDefault="00330258">
            <w:pPr>
              <w:jc w:val="right"/>
            </w:pPr>
            <w:r>
              <w:rPr>
                <w:rFonts w:eastAsiaTheme="minorEastAsia"/>
                <w:color w:val="000000" w:themeColor="text1"/>
                <w:szCs w:val="21"/>
              </w:rPr>
              <w:t>6.36</w:t>
            </w:r>
          </w:p>
        </w:tc>
      </w:tr>
      <w:tr w:rsidR="00287D4C">
        <w:tc>
          <w:tcPr>
            <w:tcW w:w="1181" w:type="dxa"/>
            <w:vAlign w:val="center"/>
          </w:tcPr>
          <w:p w:rsidR="00287D4C" w:rsidRDefault="00330258">
            <w:pPr>
              <w:jc w:val="center"/>
            </w:pPr>
            <w:r>
              <w:rPr>
                <w:rFonts w:eastAsiaTheme="minorEastAsia"/>
                <w:color w:val="000000" w:themeColor="text1"/>
                <w:szCs w:val="21"/>
              </w:rPr>
              <w:t>2</w:t>
            </w:r>
          </w:p>
        </w:tc>
        <w:tc>
          <w:tcPr>
            <w:tcW w:w="2497" w:type="dxa"/>
            <w:vAlign w:val="center"/>
          </w:tcPr>
          <w:p w:rsidR="00287D4C" w:rsidRDefault="00330258">
            <w:pPr>
              <w:jc w:val="center"/>
            </w:pPr>
            <w:r>
              <w:rPr>
                <w:rFonts w:eastAsiaTheme="minorEastAsia"/>
                <w:color w:val="000000" w:themeColor="text1"/>
                <w:szCs w:val="21"/>
              </w:rPr>
              <w:t>113044</w:t>
            </w:r>
          </w:p>
        </w:tc>
        <w:tc>
          <w:tcPr>
            <w:tcW w:w="1746" w:type="dxa"/>
            <w:vAlign w:val="center"/>
          </w:tcPr>
          <w:p w:rsidR="00287D4C" w:rsidRDefault="00330258">
            <w:pPr>
              <w:jc w:val="center"/>
            </w:pPr>
            <w:r>
              <w:rPr>
                <w:rFonts w:eastAsiaTheme="minorEastAsia"/>
                <w:color w:val="000000" w:themeColor="text1"/>
                <w:szCs w:val="21"/>
              </w:rPr>
              <w:t>大秦转债</w:t>
            </w:r>
          </w:p>
        </w:tc>
        <w:tc>
          <w:tcPr>
            <w:tcW w:w="1825" w:type="dxa"/>
            <w:vAlign w:val="center"/>
          </w:tcPr>
          <w:p w:rsidR="00287D4C" w:rsidRDefault="00330258">
            <w:pPr>
              <w:jc w:val="right"/>
            </w:pPr>
            <w:r>
              <w:rPr>
                <w:rFonts w:eastAsiaTheme="minorEastAsia"/>
                <w:color w:val="000000" w:themeColor="text1"/>
                <w:szCs w:val="21"/>
              </w:rPr>
              <w:t>48,250,657.56</w:t>
            </w:r>
          </w:p>
        </w:tc>
        <w:tc>
          <w:tcPr>
            <w:tcW w:w="1679" w:type="dxa"/>
            <w:vAlign w:val="center"/>
          </w:tcPr>
          <w:p w:rsidR="00287D4C" w:rsidRDefault="00330258">
            <w:pPr>
              <w:jc w:val="right"/>
            </w:pPr>
            <w:r>
              <w:rPr>
                <w:rFonts w:eastAsiaTheme="minorEastAsia"/>
                <w:color w:val="000000" w:themeColor="text1"/>
                <w:szCs w:val="21"/>
              </w:rPr>
              <w:t>2.13</w:t>
            </w:r>
          </w:p>
        </w:tc>
      </w:tr>
      <w:tr w:rsidR="00287D4C">
        <w:tc>
          <w:tcPr>
            <w:tcW w:w="1181" w:type="dxa"/>
            <w:vAlign w:val="center"/>
          </w:tcPr>
          <w:p w:rsidR="00287D4C" w:rsidRDefault="00330258">
            <w:pPr>
              <w:jc w:val="center"/>
            </w:pPr>
            <w:r>
              <w:rPr>
                <w:rFonts w:eastAsiaTheme="minorEastAsia"/>
                <w:color w:val="000000" w:themeColor="text1"/>
                <w:szCs w:val="21"/>
              </w:rPr>
              <w:t>3</w:t>
            </w:r>
          </w:p>
        </w:tc>
        <w:tc>
          <w:tcPr>
            <w:tcW w:w="2497" w:type="dxa"/>
            <w:vAlign w:val="center"/>
          </w:tcPr>
          <w:p w:rsidR="00287D4C" w:rsidRDefault="00330258">
            <w:pPr>
              <w:jc w:val="center"/>
            </w:pPr>
            <w:r>
              <w:rPr>
                <w:rFonts w:eastAsiaTheme="minorEastAsia"/>
                <w:color w:val="000000" w:themeColor="text1"/>
                <w:szCs w:val="21"/>
              </w:rPr>
              <w:t>110061</w:t>
            </w:r>
          </w:p>
        </w:tc>
        <w:tc>
          <w:tcPr>
            <w:tcW w:w="1746" w:type="dxa"/>
            <w:vAlign w:val="center"/>
          </w:tcPr>
          <w:p w:rsidR="00287D4C" w:rsidRDefault="00330258">
            <w:pPr>
              <w:jc w:val="center"/>
            </w:pPr>
            <w:r>
              <w:rPr>
                <w:rFonts w:eastAsiaTheme="minorEastAsia"/>
                <w:color w:val="000000" w:themeColor="text1"/>
                <w:szCs w:val="21"/>
              </w:rPr>
              <w:t>川投转债</w:t>
            </w:r>
          </w:p>
        </w:tc>
        <w:tc>
          <w:tcPr>
            <w:tcW w:w="1825" w:type="dxa"/>
            <w:vAlign w:val="center"/>
          </w:tcPr>
          <w:p w:rsidR="00287D4C" w:rsidRDefault="00330258">
            <w:pPr>
              <w:jc w:val="right"/>
            </w:pPr>
            <w:r>
              <w:rPr>
                <w:rFonts w:eastAsiaTheme="minorEastAsia"/>
                <w:color w:val="000000" w:themeColor="text1"/>
                <w:szCs w:val="21"/>
              </w:rPr>
              <w:t>7,596,426.61</w:t>
            </w:r>
          </w:p>
        </w:tc>
        <w:tc>
          <w:tcPr>
            <w:tcW w:w="1679" w:type="dxa"/>
            <w:vAlign w:val="center"/>
          </w:tcPr>
          <w:p w:rsidR="00287D4C" w:rsidRDefault="00330258">
            <w:pPr>
              <w:jc w:val="right"/>
            </w:pPr>
            <w:r>
              <w:rPr>
                <w:rFonts w:eastAsiaTheme="minorEastAsia"/>
                <w:color w:val="000000" w:themeColor="text1"/>
                <w:szCs w:val="21"/>
              </w:rPr>
              <w:t>0.34</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1,137,315,763.17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583,830,761.27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246,783,358.47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37,987,141.69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194,617,121.88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93,668,016.54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1,189,481,999.76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528,149,886.42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中国证监会准予上投摩根安隆回报混合型证券投资基金募集注册的文件；</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《上投摩根安隆回报混合型证券投资基金基金合同》；</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《上投摩根安隆回报混合型证券投资基金托管协议》；</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287D4C" w:rsidRDefault="0033025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3025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30258">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3025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上投摩根安隆回报混合型证券投资基金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87D4C"/>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258"/>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35724-9D68-404E-A574-5C3D3B85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16</Pages>
  <Words>1415</Words>
  <Characters>8071</Characters>
  <Application>Microsoft Office Word</Application>
  <DocSecurity>0</DocSecurity>
  <Lines>67</Lines>
  <Paragraphs>18</Paragraphs>
  <ScaleCrop>false</ScaleCrop>
  <Company>TRT. Ltd. Co.</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2022-10-25T05:28:00Z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