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上投摩根安隆回报混合型证券投资基金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2020年第4季度报告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2020年12月31日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杭州银行股份有限公司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二〇二一年一月二十二日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基金托管人杭州银行股份有限公司根据本基金合同规定，于2021年1月21日复核了本报告中的财务指标、净值表现和投资组合报告等内容，保证复核内容不存在虚假记载、误导性陈述或者重大遗漏。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本报告期自2020年10月1日起至12月31日止。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上投摩根安隆回报混合</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004738</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2018年2月8日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2,774,670,974.69</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以追求稳健收益作为基金的投资目标，通过严格的风险控制，力争实现基金资产的稳健增值。</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1、资产配置策略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2、债券投资策略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3、股票投资策略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本基金将采用自下而上的分析方法，根据上市公司财务分析、盈利预期、治理结构等因素，结合股票的价值评估，以及对公司经营有实质性影响的事件，精选个股，构建投资组合。</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4、股指期货投资策略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本基金在进行股指期货投资时，将通过对证券市场和期货市场运行趋势的研究，并结合股指期货的定价模型寻求其合理的估值水平。</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5、股票期权投资策略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本基金将基于对证券市场的预判，并结合股指期权定价模型，选择估值合理的期权合约。</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6、资产支持证券投资策略</w:t>
            </w:r>
          </w:p>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沪深300指数收益率×20%+中证综合债券指数收益率×80%</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本基金属于混合型基金产品，预期风险和收益水平高于债券型基金和货币市场基金，低于股票型基金，属于中等风险收益水平的基金产品。</w:t>
            </w:r>
          </w:p>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杭州银行股份有限公司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上投摩根安隆回报混合A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上投摩根安隆回报混合C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004738</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004739</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1,482,137,983.32</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1,292,532,991.37</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2020年10月1日-</w:t>
            </w:r>
            <w:proofErr w:type="spellStart"/>
            <w:r>
              <w:rPr>
                <w:rFonts w:eastAsiaTheme="minorEastAsia"/>
                <w:color w:themeColor="text1" w:val="000000"/>
                <w:szCs w:val="21"/>
              </w:rPr>
              <w:t/>
            </w:r>
            <w:proofErr w:type="spellEnd"/>
            <w:r>
              <w:rPr>
                <w:rFonts w:eastAsiaTheme="minorEastAsia"/>
                <w:color w:themeColor="text1" w:val="000000"/>
                <w:szCs w:val="21"/>
              </w:rPr>
              <w:t>2020年12月31日)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上投摩根安隆回报混合C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26,714,736.02</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19,759,779.20</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49,652,823.50</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36,530,184.83</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0.0393</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0.0392</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1,895,934,753.29</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1,637,757,007.21</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1.2792</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1.2671</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上投摩根安隆回报混合A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3.29%</w:t>
            </w:r>
          </w:p>
        </w:tc>
        <w:tc>
          <w:tcPr>
            <w:vAlign w:val="center"/>
          </w:tcPr>
          <w:p>
            <w:pPr>
              <w:jc w:val="right"/>
            </w:pPr>
            <w:r>
              <w:rPr>
                <w:rFonts w:eastAsiaTheme="minorEastAsia"/>
                <w:color w:themeColor="text1" w:val="000000"/>
                <w:szCs w:val="21"/>
              </w:rPr>
              <w:t>0.14%</w:t>
            </w:r>
          </w:p>
        </w:tc>
        <w:tc>
          <w:tcPr>
            <w:vAlign w:val="center"/>
          </w:tcPr>
          <w:p>
            <w:pPr>
              <w:jc w:val="right"/>
            </w:pPr>
            <w:r>
              <w:rPr>
                <w:rFonts w:eastAsiaTheme="minorEastAsia"/>
                <w:color w:themeColor="text1" w:val="000000"/>
                <w:szCs w:val="21"/>
              </w:rPr>
              <w:t>3.69%</w:t>
            </w:r>
          </w:p>
        </w:tc>
        <w:tc>
          <w:tcPr>
            <w:vAlign w:val="center"/>
          </w:tcPr>
          <w:p>
            <w:pPr>
              <w:jc w:val="right"/>
            </w:pPr>
            <w:r>
              <w:rPr>
                <w:rFonts w:eastAsiaTheme="minorEastAsia"/>
                <w:color w:themeColor="text1" w:val="000000"/>
                <w:szCs w:val="21"/>
              </w:rPr>
              <w:t>0.20%</w:t>
            </w:r>
          </w:p>
        </w:tc>
        <w:tc>
          <w:tcPr>
            <w:vAlign w:val="center"/>
          </w:tcPr>
          <w:p>
            <w:pPr>
              <w:jc w:val="right"/>
            </w:pPr>
            <w:r>
              <w:rPr>
                <w:rFonts w:eastAsiaTheme="minorEastAsia"/>
                <w:color w:themeColor="text1" w:val="000000"/>
                <w:szCs w:val="21"/>
              </w:rPr>
              <w:t>-0.40%</w:t>
            </w:r>
          </w:p>
        </w:tc>
        <w:tc>
          <w:tcPr>
            <w:vAlign w:val="center"/>
          </w:tcPr>
          <w:p>
            <w:pPr>
              <w:jc w:val="right"/>
            </w:pPr>
            <w:r>
              <w:rPr>
                <w:rFonts w:eastAsiaTheme="minorEastAsia"/>
                <w:color w:themeColor="text1" w:val="000000"/>
                <w:szCs w:val="21"/>
              </w:rPr>
              <w:t>-0.06%</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7.59%</w:t>
            </w:r>
          </w:p>
        </w:tc>
        <w:tc>
          <w:tcPr>
            <w:vAlign w:val="center"/>
          </w:tcPr>
          <w:p>
            <w:pPr>
              <w:jc w:val="right"/>
            </w:pPr>
            <w:r>
              <w:rPr>
                <w:rFonts w:eastAsiaTheme="minorEastAsia"/>
                <w:color w:themeColor="text1" w:val="000000"/>
                <w:szCs w:val="21"/>
              </w:rPr>
              <w:t>0.22%</w:t>
            </w:r>
          </w:p>
        </w:tc>
        <w:tc>
          <w:tcPr>
            <w:vAlign w:val="center"/>
          </w:tcPr>
          <w:p>
            <w:pPr>
              <w:jc w:val="right"/>
            </w:pPr>
            <w:r>
              <w:rPr>
                <w:rFonts w:eastAsiaTheme="minorEastAsia"/>
                <w:color w:themeColor="text1" w:val="000000"/>
                <w:szCs w:val="21"/>
              </w:rPr>
              <w:t>5.53%</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2.06%</w:t>
            </w:r>
          </w:p>
        </w:tc>
        <w:tc>
          <w:tcPr>
            <w:vAlign w:val="center"/>
          </w:tcPr>
          <w:p>
            <w:pPr>
              <w:jc w:val="right"/>
            </w:pPr>
            <w:r>
              <w:rPr>
                <w:rFonts w:eastAsiaTheme="minorEastAsia"/>
                <w:color w:themeColor="text1" w:val="000000"/>
                <w:szCs w:val="21"/>
              </w:rPr>
              <w:t>-0.04%</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14.40%</w:t>
            </w:r>
          </w:p>
        </w:tc>
        <w:tc>
          <w:tcPr>
            <w:vAlign w:val="center"/>
          </w:tcPr>
          <w:p>
            <w:pPr>
              <w:jc w:val="right"/>
            </w:pPr>
            <w:r>
              <w:rPr>
                <w:rFonts w:eastAsiaTheme="minorEastAsia"/>
                <w:color w:themeColor="text1" w:val="000000"/>
                <w:szCs w:val="21"/>
              </w:rPr>
              <w:t>0.25%</w:t>
            </w:r>
          </w:p>
        </w:tc>
        <w:tc>
          <w:tcPr>
            <w:vAlign w:val="center"/>
          </w:tcPr>
          <w:p>
            <w:pPr>
              <w:jc w:val="right"/>
            </w:pPr>
            <w:r>
              <w:rPr>
                <w:rFonts w:eastAsiaTheme="minorEastAsia"/>
                <w:color w:themeColor="text1" w:val="000000"/>
                <w:szCs w:val="21"/>
              </w:rPr>
              <w:t>7.81%</w:t>
            </w:r>
          </w:p>
        </w:tc>
        <w:tc>
          <w:tcPr>
            <w:vAlign w:val="center"/>
          </w:tcPr>
          <w:p>
            <w:pPr>
              <w:jc w:val="right"/>
            </w:pPr>
            <w:r>
              <w:rPr>
                <w:rFonts w:eastAsiaTheme="minorEastAsia"/>
                <w:color w:themeColor="text1" w:val="000000"/>
                <w:szCs w:val="21"/>
              </w:rPr>
              <w:t>0.27%</w:t>
            </w:r>
          </w:p>
        </w:tc>
        <w:tc>
          <w:tcPr>
            <w:vAlign w:val="center"/>
          </w:tcPr>
          <w:p>
            <w:pPr>
              <w:jc w:val="right"/>
            </w:pPr>
            <w:r>
              <w:rPr>
                <w:rFonts w:eastAsiaTheme="minorEastAsia"/>
                <w:color w:themeColor="text1" w:val="000000"/>
                <w:szCs w:val="21"/>
              </w:rPr>
              <w:t>6.59%</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27.92%</w:t>
            </w:r>
          </w:p>
        </w:tc>
        <w:tc>
          <w:tcPr>
            <w:vAlign w:val="center"/>
          </w:tcPr>
          <w:p>
            <w:pPr>
              <w:jc w:val="right"/>
            </w:pPr>
            <w:r>
              <w:rPr>
                <w:rFonts w:eastAsiaTheme="minorEastAsia"/>
                <w:color w:themeColor="text1" w:val="000000"/>
                <w:szCs w:val="21"/>
              </w:rPr>
              <w:t>0.24%</w:t>
            </w:r>
          </w:p>
        </w:tc>
        <w:tc>
          <w:tcPr>
            <w:vAlign w:val="center"/>
          </w:tcPr>
          <w:p>
            <w:pPr>
              <w:jc w:val="right"/>
            </w:pPr>
            <w:r>
              <w:rPr>
                <w:rFonts w:eastAsiaTheme="minorEastAsia"/>
                <w:color w:themeColor="text1" w:val="000000"/>
                <w:szCs w:val="21"/>
              </w:rPr>
              <w:t>18.45%</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9.47%</w:t>
            </w:r>
          </w:p>
        </w:tc>
        <w:tc>
          <w:tcPr>
            <w:vAlign w:val="center"/>
          </w:tcPr>
          <w:p>
            <w:pPr>
              <w:jc w:val="right"/>
            </w:pPr>
            <w:r>
              <w:rPr>
                <w:rFonts w:eastAsiaTheme="minorEastAsia"/>
                <w:color w:themeColor="text1" w:val="000000"/>
                <w:szCs w:val="21"/>
              </w:rPr>
              <w:t>-0.02%</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上投摩根安隆回报混合C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3.22%</w:t>
            </w:r>
          </w:p>
        </w:tc>
        <w:tc>
          <w:tcPr>
            <w:vAlign w:val="center"/>
          </w:tcPr>
          <w:p>
            <w:pPr>
              <w:jc w:val="right"/>
            </w:pPr>
            <w:r>
              <w:rPr>
                <w:rFonts w:eastAsiaTheme="minorEastAsia"/>
                <w:color w:themeColor="text1" w:val="000000"/>
                <w:szCs w:val="21"/>
              </w:rPr>
              <w:t>0.14%</w:t>
            </w:r>
          </w:p>
        </w:tc>
        <w:tc>
          <w:tcPr>
            <w:vAlign w:val="center"/>
          </w:tcPr>
          <w:p>
            <w:pPr>
              <w:jc w:val="right"/>
            </w:pPr>
            <w:r>
              <w:rPr>
                <w:rFonts w:eastAsiaTheme="minorEastAsia"/>
                <w:color w:themeColor="text1" w:val="000000"/>
                <w:szCs w:val="21"/>
              </w:rPr>
              <w:t>3.69%</w:t>
            </w:r>
          </w:p>
        </w:tc>
        <w:tc>
          <w:tcPr>
            <w:vAlign w:val="center"/>
          </w:tcPr>
          <w:p>
            <w:pPr>
              <w:jc w:val="right"/>
            </w:pPr>
            <w:r>
              <w:rPr>
                <w:rFonts w:eastAsiaTheme="minorEastAsia"/>
                <w:color w:themeColor="text1" w:val="000000"/>
                <w:szCs w:val="21"/>
              </w:rPr>
              <w:t>0.20%</w:t>
            </w:r>
          </w:p>
        </w:tc>
        <w:tc>
          <w:tcPr>
            <w:vAlign w:val="center"/>
          </w:tcPr>
          <w:p>
            <w:pPr>
              <w:jc w:val="right"/>
            </w:pPr>
            <w:r>
              <w:rPr>
                <w:rFonts w:eastAsiaTheme="minorEastAsia"/>
                <w:color w:themeColor="text1" w:val="000000"/>
                <w:szCs w:val="21"/>
              </w:rPr>
              <w:t>-0.47%</w:t>
            </w:r>
          </w:p>
        </w:tc>
        <w:tc>
          <w:tcPr>
            <w:vAlign w:val="center"/>
          </w:tcPr>
          <w:p>
            <w:pPr>
              <w:jc w:val="right"/>
            </w:pPr>
            <w:r>
              <w:rPr>
                <w:rFonts w:eastAsiaTheme="minorEastAsia"/>
                <w:color w:themeColor="text1" w:val="000000"/>
                <w:szCs w:val="21"/>
              </w:rPr>
              <w:t>-0.06%</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7.43%</w:t>
            </w:r>
          </w:p>
        </w:tc>
        <w:tc>
          <w:tcPr>
            <w:vAlign w:val="center"/>
          </w:tcPr>
          <w:p>
            <w:pPr>
              <w:jc w:val="right"/>
            </w:pPr>
            <w:r>
              <w:rPr>
                <w:rFonts w:eastAsiaTheme="minorEastAsia"/>
                <w:color w:themeColor="text1" w:val="000000"/>
                <w:szCs w:val="21"/>
              </w:rPr>
              <w:t>0.22%</w:t>
            </w:r>
          </w:p>
        </w:tc>
        <w:tc>
          <w:tcPr>
            <w:vAlign w:val="center"/>
          </w:tcPr>
          <w:p>
            <w:pPr>
              <w:jc w:val="right"/>
            </w:pPr>
            <w:r>
              <w:rPr>
                <w:rFonts w:eastAsiaTheme="minorEastAsia"/>
                <w:color w:themeColor="text1" w:val="000000"/>
                <w:szCs w:val="21"/>
              </w:rPr>
              <w:t>5.53%</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1.90%</w:t>
            </w:r>
          </w:p>
        </w:tc>
        <w:tc>
          <w:tcPr>
            <w:vAlign w:val="center"/>
          </w:tcPr>
          <w:p>
            <w:pPr>
              <w:jc w:val="right"/>
            </w:pPr>
            <w:r>
              <w:rPr>
                <w:rFonts w:eastAsiaTheme="minorEastAsia"/>
                <w:color w:themeColor="text1" w:val="000000"/>
                <w:szCs w:val="21"/>
              </w:rPr>
              <w:t>-0.04%</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14.06%</w:t>
            </w:r>
          </w:p>
        </w:tc>
        <w:tc>
          <w:tcPr>
            <w:vAlign w:val="center"/>
          </w:tcPr>
          <w:p>
            <w:pPr>
              <w:jc w:val="right"/>
            </w:pPr>
            <w:r>
              <w:rPr>
                <w:rFonts w:eastAsiaTheme="minorEastAsia"/>
                <w:color w:themeColor="text1" w:val="000000"/>
                <w:szCs w:val="21"/>
              </w:rPr>
              <w:t>0.25%</w:t>
            </w:r>
          </w:p>
        </w:tc>
        <w:tc>
          <w:tcPr>
            <w:vAlign w:val="center"/>
          </w:tcPr>
          <w:p>
            <w:pPr>
              <w:jc w:val="right"/>
            </w:pPr>
            <w:r>
              <w:rPr>
                <w:rFonts w:eastAsiaTheme="minorEastAsia"/>
                <w:color w:themeColor="text1" w:val="000000"/>
                <w:szCs w:val="21"/>
              </w:rPr>
              <w:t>7.81%</w:t>
            </w:r>
          </w:p>
        </w:tc>
        <w:tc>
          <w:tcPr>
            <w:vAlign w:val="center"/>
          </w:tcPr>
          <w:p>
            <w:pPr>
              <w:jc w:val="right"/>
            </w:pPr>
            <w:r>
              <w:rPr>
                <w:rFonts w:eastAsiaTheme="minorEastAsia"/>
                <w:color w:themeColor="text1" w:val="000000"/>
                <w:szCs w:val="21"/>
              </w:rPr>
              <w:t>0.27%</w:t>
            </w:r>
          </w:p>
        </w:tc>
        <w:tc>
          <w:tcPr>
            <w:vAlign w:val="center"/>
          </w:tcPr>
          <w:p>
            <w:pPr>
              <w:jc w:val="right"/>
            </w:pPr>
            <w:r>
              <w:rPr>
                <w:rFonts w:eastAsiaTheme="minorEastAsia"/>
                <w:color w:themeColor="text1" w:val="000000"/>
                <w:szCs w:val="21"/>
              </w:rPr>
              <w:t>6.25%</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26.71%</w:t>
            </w:r>
          </w:p>
        </w:tc>
        <w:tc>
          <w:tcPr>
            <w:vAlign w:val="center"/>
          </w:tcPr>
          <w:p>
            <w:pPr>
              <w:jc w:val="right"/>
            </w:pPr>
            <w:r>
              <w:rPr>
                <w:rFonts w:eastAsiaTheme="minorEastAsia"/>
                <w:color w:themeColor="text1" w:val="000000"/>
                <w:szCs w:val="21"/>
              </w:rPr>
              <w:t>0.24%</w:t>
            </w:r>
          </w:p>
        </w:tc>
        <w:tc>
          <w:tcPr>
            <w:vAlign w:val="center"/>
          </w:tcPr>
          <w:p>
            <w:pPr>
              <w:jc w:val="right"/>
            </w:pPr>
            <w:r>
              <w:rPr>
                <w:rFonts w:eastAsiaTheme="minorEastAsia"/>
                <w:color w:themeColor="text1" w:val="000000"/>
                <w:szCs w:val="21"/>
              </w:rPr>
              <w:t>18.45%</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8.26%</w:t>
            </w:r>
          </w:p>
        </w:tc>
        <w:tc>
          <w:tcPr>
            <w:vAlign w:val="center"/>
          </w:tcPr>
          <w:p>
            <w:pPr>
              <w:jc w:val="right"/>
            </w:pPr>
            <w:r>
              <w:rPr>
                <w:rFonts w:eastAsiaTheme="minorEastAsia"/>
                <w:color w:themeColor="text1" w:val="000000"/>
                <w:szCs w:val="21"/>
              </w:rPr>
              <w:t>-0.02%</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2018年2月8日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2020年12月31日)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注：本基金合同生效日为2018年2月8日，图示的时间段为2018年2月8日至2020年12月31日。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本基金建仓期自2018年2月8日至2018年8月7日，建仓期结束时资产配置比例符合本基金基金合同规定。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上投摩根安隆回报混合C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注：本基金合同生效日为2018年2月8日，图示的时间段为2018年2月8日至2020年12月31日。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本基金建仓期自2018年2月8日至2018年8月7日，建仓期结束时资产配置比例符合本基金基金合同规定。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陈圆明</w:t>
            </w:r>
          </w:p>
        </w:tc>
        <w:tc>
          <w:tcPr>
            <w:vAlign w:val="center"/>
          </w:tcPr>
          <w:p>
            <w:pPr>
              <w:jc w:val="center"/>
            </w:pPr>
            <w:r>
              <w:rPr>
                <w:rFonts w:eastAsiaTheme="minorEastAsia"/>
                <w:color w:themeColor="text1" w:val="000000"/>
                <w:szCs w:val="21"/>
              </w:rPr>
              <w:t>本基金基金经理、绝对收益投资部总监</w:t>
            </w:r>
          </w:p>
        </w:tc>
        <w:tc>
          <w:tcPr>
            <w:vAlign w:val="center"/>
          </w:tcPr>
          <w:p>
            <w:pPr>
              <w:jc w:val="center"/>
            </w:pPr>
            <w:r>
              <w:rPr>
                <w:rFonts w:eastAsiaTheme="minorEastAsia"/>
                <w:color w:themeColor="text1" w:val="000000"/>
                <w:szCs w:val="21"/>
              </w:rPr>
              <w:t>2019-04-12</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12年</w:t>
            </w:r>
          </w:p>
        </w:tc>
        <w:tc>
          <w:tcPr>
            <w:vAlign w:val="center"/>
          </w:tcPr>
          <w:p>
            <w:pPr>
              <w:jc w:val="both"/>
            </w:pPr>
            <w:r>
              <w:rPr>
                <w:rFonts w:eastAsiaTheme="minorEastAsia"/>
                <w:color w:themeColor="text1" w:val="000000"/>
                <w:szCs w:val="21"/>
              </w:rPr>
              <w:t>陈圆明先生，自2009年7月至2010年6月在东海证券有限责任公司任研究员；2010年7月至2011年8月在国联安基金管理有限公司任研究员；2011年8月至2014年9月在国投瑞银基金管理有限公司任研究员、投资经理；2014年9月至2019年2月在鹏华基金管理有限公司任投资经理、绝对收益副总监；2019年2月起加入上投摩根基金管理有限公司，现担任绝对收益投资部总监兼基金经理；自2019年4月起同时担任上投摩根安裕回报混合型证券投资基金和上投摩根安隆回报混合型证券投资基金基金经理，自2019年11月起同时担任上投摩根强化回报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2.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2020年四季度，市场的波动率开始上升，海外大选一波三折对于美国的财政刺激力度预期有所波动，国内的信用风险陆续暴露，市场一度担忧紧信用。进入12月中旬，随着国外流动性逐步好转，国内政策表态“不急转弯”，市场波动率开始回落。</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债市在四季度收益率下行，目前依然有配置价值。不过随着疫情反复期过去后，经济还会有一段复苏的趋势，故而债市暂且难现系统性的大机会。股票整体来看，估值在历史较高的水平，受益于未来居民资产配置偏好的提升，阶段性、结构性的机会依然较多。不过站在中期角度，指数系统性估值继续抬升的可能性不大。总体而言，股债两市，在本轮波动率回落后的平静后，后续还会转向上升，机会与风险共存。</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展望未来，后续波动率的上升，对于股市、债市的投资者都会有一定的考验。组合将尽可能在此期间，平衡好潜在的收益和风险，争取提供平稳的客户体验。</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本报告期上投摩根安隆回报混合A份额净值增长率为:3.29%，同期业绩比较基准收益率为:3.69%,</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上投摩根安隆回报混合C份额净值增长率为:3.22%，同期业绩比较基准收益率为:3.69%。</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337,285,903.28</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9.49</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337,285,903.28</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9.49</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2,239,533,256.04</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63.01</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2,239,533,256.04</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63.01</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829,600,619.80</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23.34</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70,645,750.25</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1.99</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77,248,330.15</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2.17</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3,554,313,859.52</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1ECAE379" w14:textId="77777777" w:rsidR="005E6DF3">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0AC96F6A"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代码</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CC3FEDC"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3615377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FD4EF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占基金资产净值比例（％）</w:t>
            </w:r>
          </w:p>
        </w:tc>
      </w:tr>
      <w:tr w14:paraId="6590882E"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8563F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058A7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1A64B2"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15,894,020.00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95D170"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0.45</w:t>
            </w:r>
          </w:p>
        </w:tc>
      </w:tr>
      <w:tr w14:paraId="78374162"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4C54C6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0105F96"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1F2FCD7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07E93AA0" w14:textId="77777777" w:rsidR="005E6DF3" w:rsidRDefault="005E6DF3">
            <w:pPr>
              <w:jc w:val="right"/>
              <w:rPr>
                <w:rFonts w:eastAsiaTheme="minorEastAsia"/>
                <w:color w:themeColor="text1" w:val="000000"/>
                <w:szCs w:val="21"/>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97AC60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160C7D7F" w14:textId="77777777" w:rsidR="005E6DF3" w:rsidRDefault="005E6DF3">
            <w:pPr>
              <w:jc w:val="right"/>
              <w:rPr>
                <w:rFonts w:eastAsiaTheme="minorEastAsia"/>
                <w:color w:themeColor="text1" w:val="000000"/>
                <w:szCs w:val="21"/>
              </w:rPr>
            </w:pPr>
          </w:p>
        </w:tc>
      </w:tr>
      <w:tr w14:paraId="75458CB8"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AD43B0B"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AEA0B4F"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3FC0A8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161,131,841.90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071F3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4.56</w:t>
            </w:r>
          </w:p>
        </w:tc>
      </w:tr>
      <w:tr w14:paraId="4409511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83465D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D3360F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171AB8BF"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72E3DE4"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51906F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4796D9F"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16F4D6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F9E7D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F4051D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327CAE1"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D01770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3F321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705B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16,322.72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46CF60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60915CC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9EED2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3FC119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683A7D7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ECAC0E"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32E073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A1AB1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2C846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E0BD2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2C5A1E4"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3DC29D8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AAC80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lastRenderedPageBreak/>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DC7F275"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1AAD446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170,559.09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425EB5A" w14:textId="77777777" w:rsidR="005E6DF3" w:rsidRDefault="005C671B">
            <w:pPr>
              <w:jc w:val="right"/>
              <w:rPr>
                <w:rFonts w:eastAsiaTheme="minorEastAsia"/>
                <w:color w:themeColor="text1" w:val="000000"/>
                <w:szCs w:val="21"/>
              </w:rPr>
            </w:pPr>
            <w:r>
              <w:rPr>
                <w:rFonts w:eastAsiaTheme="minorEastAsia"/>
                <w:color w:themeColor="text1" w:val="000000"/>
                <w:szCs w:val="21"/>
              </w:rPr>
              <w:t>0.00</w:t>
            </w:r>
          </w:p>
        </w:tc>
      </w:tr>
      <w:tr w14:paraId="227F68A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E2343D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9EDDD6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548E7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133,362,403.80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EA4C56"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3.77</w:t>
            </w:r>
          </w:p>
        </w:tc>
      </w:tr>
      <w:tr w14:paraId="070935FD"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CDF3168"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977089E"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16928B3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7,098,589.00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F2789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0.20</w:t>
            </w:r>
          </w:p>
        </w:tc>
      </w:tr>
      <w:tr w14:paraId="259E14B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768EB6D"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F1C7722"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213389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6E6ED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5343ADB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8E046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4ACACA"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3528125"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15,649.20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1598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6808911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6CF98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DACE5D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6CFB2FDE"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15,081.10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B6836BB" w14:textId="77777777" w:rsidR="005E6DF3" w:rsidRDefault="005C671B">
            <w:pPr>
              <w:jc w:val="right"/>
              <w:rPr>
                <w:rFonts w:eastAsiaTheme="minorEastAsia"/>
                <w:color w:themeColor="text1" w:val="000000"/>
                <w:szCs w:val="21"/>
              </w:rPr>
            </w:pPr>
            <w:r>
              <w:rPr>
                <w:rFonts w:eastAsiaTheme="minorEastAsia"/>
                <w:color w:themeColor="text1" w:val="000000"/>
                <w:szCs w:val="21"/>
              </w:rPr>
              <w:t>0.00</w:t>
            </w:r>
          </w:p>
        </w:tc>
      </w:tr>
      <w:tr w14:paraId="29DA128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BB38550"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0E130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3FB9EA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70304C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4AD531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E061B57"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539EF7"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120632B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2D446D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D8DAA0"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5A1FD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483ECF1"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0425CD1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19,533,175.20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39C8CB"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0.55</w:t>
            </w:r>
          </w:p>
        </w:tc>
      </w:tr>
      <w:tr w14:paraId="14DA41B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24825E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4E22F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40AC1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48,261.27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01731B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w:t>
            </w:r>
          </w:p>
        </w:tc>
      </w:tr>
      <w:tr w14:paraId="75E36F96"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4190C3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FF55FB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2366457F"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584E21E"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21DEFFE9"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13CD3C4" w14:textId="77777777" w:rsidR="005E6DF3" w:rsidRDefault="005E6DF3">
            <w:pPr>
              <w:adjustRightInd w:val="0"/>
              <w:snapToGrid w:val="0"/>
              <w:spacing w:line="400" w:lineRule="exact"/>
              <w:jc w:val="center"/>
              <w:rPr>
                <w:rFonts w:eastAsiaTheme="minorEastAsia"/>
                <w:color w:themeColor="text1" w:val="000000"/>
                <w:szCs w:val="21"/>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0594CCD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3883F8C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337,285,903.28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EBB08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9.54</w:t>
            </w:r>
          </w:p>
        </w:tc>
      </w:tr>
    </w:tbl>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1276"/>
        <w:gridCol w:w="1701"/>
        <w:gridCol w:w="1276"/>
        <w:gridCol w:w="1842"/>
        <w:gridCol w:w="1616"/>
      </w:tblGrid>
      <w:tr w14:paraId="0ED22E2B" w14:textId="77777777" w:rsidR="005E6DF3">
        <w:tc>
          <w:tcPr>
            <w:tcW w:type="dxa" w:w="817"/>
            <w:vAlign w:val="center"/>
          </w:tcPr>
          <w:p w14:paraId="4F43E9C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1276"/>
            <w:vAlign w:val="center"/>
          </w:tcPr>
          <w:p w14:paraId="7B6D212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股票代码</w:t>
            </w:r>
          </w:p>
        </w:tc>
        <w:tc>
          <w:tcPr>
            <w:tcW w:type="dxa" w:w="1701"/>
            <w:vAlign w:val="center"/>
          </w:tcPr>
          <w:p w14:paraId="249CF00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股票名称</w:t>
            </w:r>
          </w:p>
        </w:tc>
        <w:tc>
          <w:tcPr>
            <w:tcW w:type="dxa" w:w="1276"/>
            <w:vAlign w:val="center"/>
          </w:tcPr>
          <w:p w14:paraId="33B09B3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数量</w:t>
            </w:r>
            <w:r>
              <w:rPr>
                <w:rFonts w:eastAsiaTheme="minorEastAsia"/>
                <w:color w:themeColor="text1" w:val="000000"/>
                <w:szCs w:val="21"/>
              </w:rPr>
              <w:t>(</w:t>
            </w:r>
            <w:r>
              <w:rPr>
                <w:rFonts w:eastAsiaTheme="minorEastAsia"/>
                <w:color w:themeColor="text1" w:val="000000"/>
                <w:szCs w:val="21"/>
              </w:rPr>
              <w:t>股</w:t>
            </w:r>
            <w:r>
              <w:rPr>
                <w:rFonts w:eastAsiaTheme="minorEastAsia"/>
                <w:color w:themeColor="text1" w:val="000000"/>
                <w:szCs w:val="21"/>
              </w:rPr>
              <w:t>)</w:t>
            </w:r>
          </w:p>
        </w:tc>
        <w:tc>
          <w:tcPr>
            <w:tcW w:type="dxa" w:w="1842"/>
            <w:vAlign w:val="center"/>
          </w:tcPr>
          <w:p w14:paraId="193ED3E3" w14:textId="77777777" w:rsidR="005E6DF3" w:rsidRDefault="005C671B">
            <w:pPr>
              <w:autoSpaceDE w:val="0"/>
              <w:autoSpaceDN w:val="0"/>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1A53759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601318</w:t>
            </w:r>
          </w:p>
        </w:tc>
        <w:tc>
          <w:tcPr>
            <w:vAlign w:val="center"/>
          </w:tcPr>
          <w:p>
            <w:pPr>
              <w:jc w:val="center"/>
            </w:pPr>
            <w:r>
              <w:rPr>
                <w:rFonts w:eastAsiaTheme="minorEastAsia"/>
                <w:color w:themeColor="text1" w:val="000000"/>
                <w:szCs w:val="21"/>
              </w:rPr>
              <w:t>中国平安</w:t>
            </w:r>
          </w:p>
        </w:tc>
        <w:tc>
          <w:tcPr>
            <w:vAlign w:val="center"/>
          </w:tcPr>
          <w:p>
            <w:pPr>
              <w:jc w:val="right"/>
            </w:pPr>
            <w:r>
              <w:rPr>
                <w:rFonts w:eastAsiaTheme="minorEastAsia"/>
                <w:color w:themeColor="text1" w:val="000000"/>
                <w:szCs w:val="21"/>
              </w:rPr>
              <w:t>979,021.00</w:t>
            </w:r>
          </w:p>
        </w:tc>
        <w:tc>
          <w:tcPr>
            <w:vAlign w:val="center"/>
          </w:tcPr>
          <w:p>
            <w:pPr>
              <w:jc w:val="right"/>
            </w:pPr>
            <w:r>
              <w:rPr>
                <w:rFonts w:eastAsiaTheme="minorEastAsia"/>
                <w:color w:themeColor="text1" w:val="000000"/>
                <w:szCs w:val="21"/>
              </w:rPr>
              <w:t>85,155,246.58</w:t>
            </w:r>
          </w:p>
        </w:tc>
        <w:tc>
          <w:tcPr>
            <w:vAlign w:val="center"/>
          </w:tcPr>
          <w:p>
            <w:pPr>
              <w:jc w:val="right"/>
            </w:pPr>
            <w:r>
              <w:rPr>
                <w:rFonts w:eastAsiaTheme="minorEastAsia"/>
                <w:color w:themeColor="text1" w:val="000000"/>
                <w:szCs w:val="21"/>
              </w:rPr>
              <w:t>2.41</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002001</w:t>
            </w:r>
          </w:p>
        </w:tc>
        <w:tc>
          <w:tcPr>
            <w:vAlign w:val="center"/>
          </w:tcPr>
          <w:p>
            <w:pPr>
              <w:jc w:val="center"/>
            </w:pPr>
            <w:r>
              <w:rPr>
                <w:rFonts w:eastAsiaTheme="minorEastAsia"/>
                <w:color w:themeColor="text1" w:val="000000"/>
                <w:szCs w:val="21"/>
              </w:rPr>
              <w:t>新和成</w:t>
            </w:r>
          </w:p>
        </w:tc>
        <w:tc>
          <w:tcPr>
            <w:vAlign w:val="center"/>
          </w:tcPr>
          <w:p>
            <w:pPr>
              <w:jc w:val="right"/>
            </w:pPr>
            <w:r>
              <w:rPr>
                <w:rFonts w:eastAsiaTheme="minorEastAsia"/>
                <w:color w:themeColor="text1" w:val="000000"/>
                <w:szCs w:val="21"/>
              </w:rPr>
              <w:t>1,641,379.00</w:t>
            </w:r>
          </w:p>
        </w:tc>
        <w:tc>
          <w:tcPr>
            <w:vAlign w:val="center"/>
          </w:tcPr>
          <w:p>
            <w:pPr>
              <w:jc w:val="right"/>
            </w:pPr>
            <w:r>
              <w:rPr>
                <w:rFonts w:eastAsiaTheme="minorEastAsia"/>
                <w:color w:themeColor="text1" w:val="000000"/>
                <w:szCs w:val="21"/>
              </w:rPr>
              <w:t>55,281,644.72</w:t>
            </w:r>
          </w:p>
        </w:tc>
        <w:tc>
          <w:tcPr>
            <w:vAlign w:val="center"/>
          </w:tcPr>
          <w:p>
            <w:pPr>
              <w:jc w:val="right"/>
            </w:pPr>
            <w:r>
              <w:rPr>
                <w:rFonts w:eastAsiaTheme="minorEastAsia"/>
                <w:color w:themeColor="text1" w:val="000000"/>
                <w:szCs w:val="21"/>
              </w:rPr>
              <w:t>1.56</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000636</w:t>
            </w:r>
          </w:p>
        </w:tc>
        <w:tc>
          <w:tcPr>
            <w:vAlign w:val="center"/>
          </w:tcPr>
          <w:p>
            <w:pPr>
              <w:jc w:val="center"/>
            </w:pPr>
            <w:r>
              <w:rPr>
                <w:rFonts w:eastAsiaTheme="minorEastAsia"/>
                <w:color w:themeColor="text1" w:val="000000"/>
                <w:szCs w:val="21"/>
              </w:rPr>
              <w:t>风华高科</w:t>
            </w:r>
          </w:p>
        </w:tc>
        <w:tc>
          <w:tcPr>
            <w:vAlign w:val="center"/>
          </w:tcPr>
          <w:p>
            <w:pPr>
              <w:jc w:val="right"/>
            </w:pPr>
            <w:r>
              <w:rPr>
                <w:rFonts w:eastAsiaTheme="minorEastAsia"/>
                <w:color w:themeColor="text1" w:val="000000"/>
                <w:szCs w:val="21"/>
              </w:rPr>
              <w:t>1,070,096.00</w:t>
            </w:r>
          </w:p>
        </w:tc>
        <w:tc>
          <w:tcPr>
            <w:vAlign w:val="center"/>
          </w:tcPr>
          <w:p>
            <w:pPr>
              <w:jc w:val="right"/>
            </w:pPr>
            <w:r>
              <w:rPr>
                <w:rFonts w:eastAsiaTheme="minorEastAsia"/>
                <w:color w:themeColor="text1" w:val="000000"/>
                <w:szCs w:val="21"/>
              </w:rPr>
              <w:t>36,062,235.20</w:t>
            </w:r>
          </w:p>
        </w:tc>
        <w:tc>
          <w:tcPr>
            <w:vAlign w:val="center"/>
          </w:tcPr>
          <w:p>
            <w:pPr>
              <w:jc w:val="right"/>
            </w:pPr>
            <w:r>
              <w:rPr>
                <w:rFonts w:eastAsiaTheme="minorEastAsia"/>
                <w:color w:themeColor="text1" w:val="000000"/>
                <w:szCs w:val="21"/>
              </w:rPr>
              <w:t>1.02</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000538</w:t>
            </w:r>
          </w:p>
        </w:tc>
        <w:tc>
          <w:tcPr>
            <w:vAlign w:val="center"/>
          </w:tcPr>
          <w:p>
            <w:pPr>
              <w:jc w:val="center"/>
            </w:pPr>
            <w:r>
              <w:rPr>
                <w:rFonts w:eastAsiaTheme="minorEastAsia"/>
                <w:color w:themeColor="text1" w:val="000000"/>
                <w:szCs w:val="21"/>
              </w:rPr>
              <w:t>云南白药</w:t>
            </w:r>
          </w:p>
        </w:tc>
        <w:tc>
          <w:tcPr>
            <w:vAlign w:val="center"/>
          </w:tcPr>
          <w:p>
            <w:pPr>
              <w:jc w:val="right"/>
            </w:pPr>
            <w:r>
              <w:rPr>
                <w:rFonts w:eastAsiaTheme="minorEastAsia"/>
                <w:color w:themeColor="text1" w:val="000000"/>
                <w:szCs w:val="21"/>
              </w:rPr>
              <w:t>299,726.00</w:t>
            </w:r>
          </w:p>
        </w:tc>
        <w:tc>
          <w:tcPr>
            <w:vAlign w:val="center"/>
          </w:tcPr>
          <w:p>
            <w:pPr>
              <w:jc w:val="right"/>
            </w:pPr>
            <w:r>
              <w:rPr>
                <w:rFonts w:eastAsiaTheme="minorEastAsia"/>
                <w:color w:themeColor="text1" w:val="000000"/>
                <w:szCs w:val="21"/>
              </w:rPr>
              <w:t>34,048,873.60</w:t>
            </w:r>
          </w:p>
        </w:tc>
        <w:tc>
          <w:tcPr>
            <w:vAlign w:val="center"/>
          </w:tcPr>
          <w:p>
            <w:pPr>
              <w:jc w:val="right"/>
            </w:pPr>
            <w:r>
              <w:rPr>
                <w:rFonts w:eastAsiaTheme="minorEastAsia"/>
                <w:color w:themeColor="text1" w:val="000000"/>
                <w:szCs w:val="21"/>
              </w:rPr>
              <w:t>0.96</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000001</w:t>
            </w:r>
          </w:p>
        </w:tc>
        <w:tc>
          <w:tcPr>
            <w:vAlign w:val="center"/>
          </w:tcPr>
          <w:p>
            <w:pPr>
              <w:jc w:val="center"/>
            </w:pPr>
            <w:r>
              <w:rPr>
                <w:rFonts w:eastAsiaTheme="minorEastAsia"/>
                <w:color w:themeColor="text1" w:val="000000"/>
                <w:szCs w:val="21"/>
              </w:rPr>
              <w:t>平安银行</w:t>
            </w:r>
          </w:p>
        </w:tc>
        <w:tc>
          <w:tcPr>
            <w:vAlign w:val="center"/>
          </w:tcPr>
          <w:p>
            <w:pPr>
              <w:jc w:val="right"/>
            </w:pPr>
            <w:r>
              <w:rPr>
                <w:rFonts w:eastAsiaTheme="minorEastAsia"/>
                <w:color w:themeColor="text1" w:val="000000"/>
                <w:szCs w:val="21"/>
              </w:rPr>
              <w:t>1,294,099.00</w:t>
            </w:r>
          </w:p>
        </w:tc>
        <w:tc>
          <w:tcPr>
            <w:vAlign w:val="center"/>
          </w:tcPr>
          <w:p>
            <w:pPr>
              <w:jc w:val="right"/>
            </w:pPr>
            <w:r>
              <w:rPr>
                <w:rFonts w:eastAsiaTheme="minorEastAsia"/>
                <w:color w:themeColor="text1" w:val="000000"/>
                <w:szCs w:val="21"/>
              </w:rPr>
              <w:t>25,027,874.66</w:t>
            </w:r>
          </w:p>
        </w:tc>
        <w:tc>
          <w:tcPr>
            <w:vAlign w:val="center"/>
          </w:tcPr>
          <w:p>
            <w:pPr>
              <w:jc w:val="right"/>
            </w:pPr>
            <w:r>
              <w:rPr>
                <w:rFonts w:eastAsiaTheme="minorEastAsia"/>
                <w:color w:themeColor="text1" w:val="000000"/>
                <w:szCs w:val="21"/>
              </w:rPr>
              <w:t>0.71</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600887</w:t>
            </w:r>
          </w:p>
        </w:tc>
        <w:tc>
          <w:tcPr>
            <w:vAlign w:val="center"/>
          </w:tcPr>
          <w:p>
            <w:pPr>
              <w:jc w:val="center"/>
            </w:pPr>
            <w:r>
              <w:rPr>
                <w:rFonts w:eastAsiaTheme="minorEastAsia"/>
                <w:color w:themeColor="text1" w:val="000000"/>
                <w:szCs w:val="21"/>
              </w:rPr>
              <w:t>伊利股份</w:t>
            </w:r>
          </w:p>
        </w:tc>
        <w:tc>
          <w:tcPr>
            <w:vAlign w:val="center"/>
          </w:tcPr>
          <w:p>
            <w:pPr>
              <w:jc w:val="right"/>
            </w:pPr>
            <w:r>
              <w:rPr>
                <w:rFonts w:eastAsiaTheme="minorEastAsia"/>
                <w:color w:themeColor="text1" w:val="000000"/>
                <w:szCs w:val="21"/>
              </w:rPr>
              <w:t>519,959.00</w:t>
            </w:r>
          </w:p>
        </w:tc>
        <w:tc>
          <w:tcPr>
            <w:vAlign w:val="center"/>
          </w:tcPr>
          <w:p>
            <w:pPr>
              <w:jc w:val="right"/>
            </w:pPr>
            <w:r>
              <w:rPr>
                <w:rFonts w:eastAsiaTheme="minorEastAsia"/>
                <w:color w:themeColor="text1" w:val="000000"/>
                <w:szCs w:val="21"/>
              </w:rPr>
              <w:t>23,070,580.83</w:t>
            </w:r>
          </w:p>
        </w:tc>
        <w:tc>
          <w:tcPr>
            <w:vAlign w:val="center"/>
          </w:tcPr>
          <w:p>
            <w:pPr>
              <w:jc w:val="right"/>
            </w:pPr>
            <w:r>
              <w:rPr>
                <w:rFonts w:eastAsiaTheme="minorEastAsia"/>
                <w:color w:themeColor="text1" w:val="000000"/>
                <w:szCs w:val="21"/>
              </w:rPr>
              <w:t>0.65</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601166</w:t>
            </w:r>
          </w:p>
        </w:tc>
        <w:tc>
          <w:tcPr>
            <w:vAlign w:val="center"/>
          </w:tcPr>
          <w:p>
            <w:pPr>
              <w:jc w:val="center"/>
            </w:pPr>
            <w:r>
              <w:rPr>
                <w:rFonts w:eastAsiaTheme="minorEastAsia"/>
                <w:color w:themeColor="text1" w:val="000000"/>
                <w:szCs w:val="21"/>
              </w:rPr>
              <w:t>兴业银行</w:t>
            </w:r>
          </w:p>
        </w:tc>
        <w:tc>
          <w:tcPr>
            <w:vAlign w:val="center"/>
          </w:tcPr>
          <w:p>
            <w:pPr>
              <w:jc w:val="right"/>
            </w:pPr>
            <w:r>
              <w:rPr>
                <w:rFonts w:eastAsiaTheme="minorEastAsia"/>
                <w:color w:themeColor="text1" w:val="000000"/>
                <w:szCs w:val="21"/>
              </w:rPr>
              <w:t>1,028,505.00</w:t>
            </w:r>
          </w:p>
        </w:tc>
        <w:tc>
          <w:tcPr>
            <w:vAlign w:val="center"/>
          </w:tcPr>
          <w:p>
            <w:pPr>
              <w:jc w:val="right"/>
            </w:pPr>
            <w:r>
              <w:rPr>
                <w:rFonts w:eastAsiaTheme="minorEastAsia"/>
                <w:color w:themeColor="text1" w:val="000000"/>
                <w:szCs w:val="21"/>
              </w:rPr>
              <w:t>21,464,899.35</w:t>
            </w:r>
          </w:p>
        </w:tc>
        <w:tc>
          <w:tcPr>
            <w:vAlign w:val="center"/>
          </w:tcPr>
          <w:p>
            <w:pPr>
              <w:jc w:val="right"/>
            </w:pPr>
            <w:r>
              <w:rPr>
                <w:rFonts w:eastAsiaTheme="minorEastAsia"/>
                <w:color w:themeColor="text1" w:val="000000"/>
                <w:szCs w:val="21"/>
              </w:rPr>
              <w:t>0.61</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603882</w:t>
            </w:r>
          </w:p>
        </w:tc>
        <w:tc>
          <w:tcPr>
            <w:vAlign w:val="center"/>
          </w:tcPr>
          <w:p>
            <w:pPr>
              <w:jc w:val="center"/>
            </w:pPr>
            <w:r>
              <w:rPr>
                <w:rFonts w:eastAsiaTheme="minorEastAsia"/>
                <w:color w:themeColor="text1" w:val="000000"/>
                <w:szCs w:val="21"/>
              </w:rPr>
              <w:t>金域医学</w:t>
            </w:r>
          </w:p>
        </w:tc>
        <w:tc>
          <w:tcPr>
            <w:vAlign w:val="center"/>
          </w:tcPr>
          <w:p>
            <w:pPr>
              <w:jc w:val="right"/>
            </w:pPr>
            <w:r>
              <w:rPr>
                <w:rFonts w:eastAsiaTheme="minorEastAsia"/>
                <w:color w:themeColor="text1" w:val="000000"/>
                <w:szCs w:val="21"/>
              </w:rPr>
              <w:t>152,460.00</w:t>
            </w:r>
          </w:p>
        </w:tc>
        <w:tc>
          <w:tcPr>
            <w:vAlign w:val="center"/>
          </w:tcPr>
          <w:p>
            <w:pPr>
              <w:jc w:val="right"/>
            </w:pPr>
            <w:r>
              <w:rPr>
                <w:rFonts w:eastAsiaTheme="minorEastAsia"/>
                <w:color w:themeColor="text1" w:val="000000"/>
                <w:szCs w:val="21"/>
              </w:rPr>
              <w:t>19,533,175.20</w:t>
            </w:r>
          </w:p>
        </w:tc>
        <w:tc>
          <w:tcPr>
            <w:vAlign w:val="center"/>
          </w:tcPr>
          <w:p>
            <w:pPr>
              <w:jc w:val="right"/>
            </w:pPr>
            <w:r>
              <w:rPr>
                <w:rFonts w:eastAsiaTheme="minorEastAsia"/>
                <w:color w:themeColor="text1" w:val="000000"/>
                <w:szCs w:val="21"/>
              </w:rPr>
              <w:t>0.55</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002982</w:t>
            </w:r>
          </w:p>
        </w:tc>
        <w:tc>
          <w:tcPr>
            <w:vAlign w:val="center"/>
          </w:tcPr>
          <w:p>
            <w:pPr>
              <w:jc w:val="center"/>
            </w:pPr>
            <w:r>
              <w:rPr>
                <w:rFonts w:eastAsiaTheme="minorEastAsia"/>
                <w:color w:themeColor="text1" w:val="000000"/>
                <w:szCs w:val="21"/>
              </w:rPr>
              <w:t>湘佳股份</w:t>
            </w:r>
          </w:p>
        </w:tc>
        <w:tc>
          <w:tcPr>
            <w:vAlign w:val="center"/>
          </w:tcPr>
          <w:p>
            <w:pPr>
              <w:jc w:val="right"/>
            </w:pPr>
            <w:r>
              <w:rPr>
                <w:rFonts w:eastAsiaTheme="minorEastAsia"/>
                <w:color w:themeColor="text1" w:val="000000"/>
                <w:szCs w:val="21"/>
              </w:rPr>
              <w:t>243,400.00</w:t>
            </w:r>
          </w:p>
        </w:tc>
        <w:tc>
          <w:tcPr>
            <w:vAlign w:val="center"/>
          </w:tcPr>
          <w:p>
            <w:pPr>
              <w:jc w:val="right"/>
            </w:pPr>
            <w:r>
              <w:rPr>
                <w:rFonts w:eastAsiaTheme="minorEastAsia"/>
                <w:color w:themeColor="text1" w:val="000000"/>
                <w:szCs w:val="21"/>
              </w:rPr>
              <w:t>15,894,020.00</w:t>
            </w:r>
          </w:p>
        </w:tc>
        <w:tc>
          <w:tcPr>
            <w:vAlign w:val="center"/>
          </w:tcPr>
          <w:p>
            <w:pPr>
              <w:jc w:val="right"/>
            </w:pPr>
            <w:r>
              <w:rPr>
                <w:rFonts w:eastAsiaTheme="minorEastAsia"/>
                <w:color w:themeColor="text1" w:val="000000"/>
                <w:szCs w:val="21"/>
              </w:rPr>
              <w:t>0.45</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002035</w:t>
            </w:r>
          </w:p>
        </w:tc>
        <w:tc>
          <w:tcPr>
            <w:vAlign w:val="center"/>
          </w:tcPr>
          <w:p>
            <w:pPr>
              <w:jc w:val="center"/>
            </w:pPr>
            <w:r>
              <w:rPr>
                <w:rFonts w:eastAsiaTheme="minorEastAsia"/>
                <w:color w:themeColor="text1" w:val="000000"/>
                <w:szCs w:val="21"/>
              </w:rPr>
              <w:t>华帝股份</w:t>
            </w:r>
          </w:p>
        </w:tc>
        <w:tc>
          <w:tcPr>
            <w:vAlign w:val="center"/>
          </w:tcPr>
          <w:p>
            <w:pPr>
              <w:jc w:val="right"/>
            </w:pPr>
            <w:r>
              <w:rPr>
                <w:rFonts w:eastAsiaTheme="minorEastAsia"/>
                <w:color w:themeColor="text1" w:val="000000"/>
                <w:szCs w:val="21"/>
              </w:rPr>
              <w:t>554,300.00</w:t>
            </w:r>
          </w:p>
        </w:tc>
        <w:tc>
          <w:tcPr>
            <w:vAlign w:val="center"/>
          </w:tcPr>
          <w:p>
            <w:pPr>
              <w:jc w:val="right"/>
            </w:pPr>
            <w:r>
              <w:rPr>
                <w:rFonts w:eastAsiaTheme="minorEastAsia"/>
                <w:color w:themeColor="text1" w:val="000000"/>
                <w:szCs w:val="21"/>
              </w:rPr>
              <w:t>4,894,469.00</w:t>
            </w:r>
          </w:p>
        </w:tc>
        <w:tc>
          <w:tcPr>
            <w:vAlign w:val="center"/>
          </w:tcPr>
          <w:p>
            <w:pPr>
              <w:jc w:val="right"/>
            </w:pPr>
            <w:r>
              <w:rPr>
                <w:rFonts w:eastAsiaTheme="minorEastAsia"/>
                <w:color w:themeColor="text1" w:val="000000"/>
                <w:szCs w:val="21"/>
              </w:rPr>
              <w:t>0.14</w:t>
            </w:r>
          </w:p>
        </w:tc>
      </w:tr>
    </w:tbl>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1,436,749,444.20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40.66</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80,090,000.00</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2.27</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80,090,000.00</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2.27</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77,787,280.30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2.20</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176,069,500.00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4.98</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468,837,031.54</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13.27</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2,239,533,256.04</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63.38</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200008</w:t>
            </w:r>
          </w:p>
        </w:tc>
        <w:tc>
          <w:tcPr>
            <w:vAlign w:val="center"/>
          </w:tcPr>
          <w:p>
            <w:pPr>
              <w:jc w:val="center"/>
            </w:pPr>
            <w:r>
              <w:rPr>
                <w:rFonts w:eastAsiaTheme="minorEastAsia"/>
                <w:color w:themeColor="text1" w:val="000000"/>
                <w:szCs w:val="21"/>
              </w:rPr>
              <w:t>20附息国债08</w:t>
            </w:r>
          </w:p>
        </w:tc>
        <w:tc>
          <w:tcPr>
            <w:vAlign w:val="center"/>
          </w:tcPr>
          <w:p>
            <w:pPr>
              <w:jc w:val="right"/>
            </w:pPr>
            <w:r>
              <w:rPr>
                <w:rFonts w:eastAsiaTheme="minorEastAsia"/>
                <w:color w:themeColor="text1" w:val="000000"/>
                <w:szCs w:val="21"/>
              </w:rPr>
              <w:t>3,750,000</w:t>
            </w:r>
          </w:p>
        </w:tc>
        <w:tc>
          <w:tcPr>
            <w:vAlign w:val="center"/>
          </w:tcPr>
          <w:p>
            <w:pPr>
              <w:jc w:val="right"/>
            </w:pPr>
            <w:r>
              <w:rPr>
                <w:rFonts w:eastAsiaTheme="minorEastAsia"/>
                <w:color w:themeColor="text1" w:val="000000"/>
                <w:szCs w:val="21"/>
              </w:rPr>
              <w:t>368,062,500.00</w:t>
            </w:r>
          </w:p>
        </w:tc>
        <w:tc>
          <w:tcPr>
            <w:vAlign w:val="center"/>
          </w:tcPr>
          <w:p>
            <w:pPr>
              <w:jc w:val="right"/>
            </w:pPr>
            <w:r>
              <w:rPr>
                <w:rFonts w:eastAsiaTheme="minorEastAsia"/>
                <w:color w:themeColor="text1" w:val="000000"/>
                <w:szCs w:val="21"/>
              </w:rPr>
              <w:t>10.42</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200012</w:t>
            </w:r>
          </w:p>
        </w:tc>
        <w:tc>
          <w:tcPr>
            <w:vAlign w:val="center"/>
          </w:tcPr>
          <w:p>
            <w:pPr>
              <w:jc w:val="center"/>
            </w:pPr>
            <w:r>
              <w:rPr>
                <w:rFonts w:eastAsiaTheme="minorEastAsia"/>
                <w:color w:themeColor="text1" w:val="000000"/>
                <w:szCs w:val="21"/>
              </w:rPr>
              <w:t>20附息国债12</w:t>
            </w:r>
          </w:p>
        </w:tc>
        <w:tc>
          <w:tcPr>
            <w:vAlign w:val="center"/>
          </w:tcPr>
          <w:p>
            <w:pPr>
              <w:jc w:val="right"/>
            </w:pPr>
            <w:r>
              <w:rPr>
                <w:rFonts w:eastAsiaTheme="minorEastAsia"/>
                <w:color w:themeColor="text1" w:val="000000"/>
                <w:szCs w:val="21"/>
              </w:rPr>
              <w:t>3,220,000</w:t>
            </w:r>
          </w:p>
        </w:tc>
        <w:tc>
          <w:tcPr>
            <w:vAlign w:val="center"/>
          </w:tcPr>
          <w:p>
            <w:pPr>
              <w:jc w:val="right"/>
            </w:pPr>
            <w:r>
              <w:rPr>
                <w:rFonts w:eastAsiaTheme="minorEastAsia"/>
                <w:color w:themeColor="text1" w:val="000000"/>
                <w:szCs w:val="21"/>
              </w:rPr>
              <w:t>326,862,200.00</w:t>
            </w:r>
          </w:p>
        </w:tc>
        <w:tc>
          <w:tcPr>
            <w:vAlign w:val="center"/>
          </w:tcPr>
          <w:p>
            <w:pPr>
              <w:jc w:val="right"/>
            </w:pPr>
            <w:r>
              <w:rPr>
                <w:rFonts w:eastAsiaTheme="minorEastAsia"/>
                <w:color w:themeColor="text1" w:val="000000"/>
                <w:szCs w:val="21"/>
              </w:rPr>
              <w:t>9.25</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200009</w:t>
            </w:r>
          </w:p>
        </w:tc>
        <w:tc>
          <w:tcPr>
            <w:vAlign w:val="center"/>
          </w:tcPr>
          <w:p>
            <w:pPr>
              <w:jc w:val="center"/>
            </w:pPr>
            <w:r>
              <w:rPr>
                <w:rFonts w:eastAsiaTheme="minorEastAsia"/>
                <w:color w:themeColor="text1" w:val="000000"/>
                <w:szCs w:val="21"/>
              </w:rPr>
              <w:t>20附息国债09</w:t>
            </w:r>
          </w:p>
        </w:tc>
        <w:tc>
          <w:tcPr>
            <w:vAlign w:val="center"/>
          </w:tcPr>
          <w:p>
            <w:pPr>
              <w:jc w:val="right"/>
            </w:pPr>
            <w:r>
              <w:rPr>
                <w:rFonts w:eastAsiaTheme="minorEastAsia"/>
                <w:color w:themeColor="text1" w:val="000000"/>
                <w:szCs w:val="21"/>
              </w:rPr>
              <w:t>2,000,000</w:t>
            </w:r>
          </w:p>
        </w:tc>
        <w:tc>
          <w:tcPr>
            <w:vAlign w:val="center"/>
          </w:tcPr>
          <w:p>
            <w:pPr>
              <w:jc w:val="right"/>
            </w:pPr>
            <w:r>
              <w:rPr>
                <w:rFonts w:eastAsiaTheme="minorEastAsia"/>
                <w:color w:themeColor="text1" w:val="000000"/>
                <w:szCs w:val="21"/>
              </w:rPr>
              <w:t>197,660,000.00</w:t>
            </w:r>
          </w:p>
        </w:tc>
        <w:tc>
          <w:tcPr>
            <w:vAlign w:val="center"/>
          </w:tcPr>
          <w:p>
            <w:pPr>
              <w:jc w:val="right"/>
            </w:pPr>
            <w:r>
              <w:rPr>
                <w:rFonts w:eastAsiaTheme="minorEastAsia"/>
                <w:color w:themeColor="text1" w:val="000000"/>
                <w:szCs w:val="21"/>
              </w:rPr>
              <w:t>5.59</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132015</w:t>
            </w:r>
          </w:p>
        </w:tc>
        <w:tc>
          <w:tcPr>
            <w:vAlign w:val="center"/>
          </w:tcPr>
          <w:p>
            <w:pPr>
              <w:jc w:val="center"/>
            </w:pPr>
            <w:r>
              <w:rPr>
                <w:rFonts w:eastAsiaTheme="minorEastAsia"/>
                <w:color w:themeColor="text1" w:val="000000"/>
                <w:szCs w:val="21"/>
              </w:rPr>
              <w:t>18中油EB</w:t>
            </w:r>
          </w:p>
        </w:tc>
        <w:tc>
          <w:tcPr>
            <w:vAlign w:val="center"/>
          </w:tcPr>
          <w:p>
            <w:pPr>
              <w:jc w:val="right"/>
            </w:pPr>
            <w:r>
              <w:rPr>
                <w:rFonts w:eastAsiaTheme="minorEastAsia"/>
                <w:color w:themeColor="text1" w:val="000000"/>
                <w:szCs w:val="21"/>
              </w:rPr>
              <w:t>1,839,190</w:t>
            </w:r>
          </w:p>
        </w:tc>
        <w:tc>
          <w:tcPr>
            <w:vAlign w:val="center"/>
          </w:tcPr>
          <w:p>
            <w:pPr>
              <w:jc w:val="right"/>
            </w:pPr>
            <w:r>
              <w:rPr>
                <w:rFonts w:eastAsiaTheme="minorEastAsia"/>
                <w:color w:themeColor="text1" w:val="000000"/>
                <w:szCs w:val="21"/>
              </w:rPr>
              <w:t>185,022,514.00</w:t>
            </w:r>
          </w:p>
        </w:tc>
        <w:tc>
          <w:tcPr>
            <w:vAlign w:val="center"/>
          </w:tcPr>
          <w:p>
            <w:pPr>
              <w:jc w:val="right"/>
            </w:pPr>
            <w:r>
              <w:rPr>
                <w:rFonts w:eastAsiaTheme="minorEastAsia"/>
                <w:color w:themeColor="text1" w:val="000000"/>
                <w:szCs w:val="21"/>
              </w:rPr>
              <w:t>5.24</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132009</w:t>
            </w:r>
          </w:p>
        </w:tc>
        <w:tc>
          <w:tcPr>
            <w:vAlign w:val="center"/>
          </w:tcPr>
          <w:p>
            <w:pPr>
              <w:jc w:val="center"/>
            </w:pPr>
            <w:r>
              <w:rPr>
                <w:rFonts w:eastAsiaTheme="minorEastAsia"/>
                <w:color w:themeColor="text1" w:val="000000"/>
                <w:szCs w:val="21"/>
              </w:rPr>
              <w:t>17中油EB</w:t>
            </w:r>
          </w:p>
        </w:tc>
        <w:tc>
          <w:tcPr>
            <w:vAlign w:val="center"/>
          </w:tcPr>
          <w:p>
            <w:pPr>
              <w:jc w:val="right"/>
            </w:pPr>
            <w:r>
              <w:rPr>
                <w:rFonts w:eastAsiaTheme="minorEastAsia"/>
                <w:color w:themeColor="text1" w:val="000000"/>
                <w:szCs w:val="21"/>
              </w:rPr>
              <w:t>1,578,880</w:t>
            </w:r>
          </w:p>
        </w:tc>
        <w:tc>
          <w:tcPr>
            <w:vAlign w:val="center"/>
          </w:tcPr>
          <w:p>
            <w:pPr>
              <w:jc w:val="right"/>
            </w:pPr>
            <w:r>
              <w:rPr>
                <w:rFonts w:eastAsiaTheme="minorEastAsia"/>
                <w:color w:themeColor="text1" w:val="000000"/>
                <w:szCs w:val="21"/>
              </w:rPr>
              <w:t>159,924,755.20</w:t>
            </w:r>
          </w:p>
        </w:tc>
        <w:tc>
          <w:tcPr>
            <w:vAlign w:val="center"/>
          </w:tcPr>
          <w:p>
            <w:pPr>
              <w:jc w:val="right"/>
            </w:pPr>
            <w:r>
              <w:rPr>
                <w:rFonts w:eastAsiaTheme="minorEastAsia"/>
                <w:color w:themeColor="text1" w:val="000000"/>
                <w:szCs w:val="21"/>
              </w:rPr>
              <w:t>4.53</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11.1报告期内本基金投资的前十名证券的发行主体本期没有出现被监管部门立案调查，或在报告编制日前一年内受到公开谴责、处罚的情形。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736,106.63</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29,994,216.64</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26,582,793.10</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19,935,213.78</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77,248,330.15</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tbl>
      <w:tblPr>
        <w:tblStyle w:val="afa"/>
        <w:tblW w:type="dxa" w:w="8928"/>
        <w:tblInd w:type="dxa" w:w="108"/>
        <w:tblLayout w:type="fixed"/>
        <w:tblLook w:firstColumn="1" w:firstRow="1" w:lastColumn="0" w:lastRow="0" w:noHBand="0" w:noVBand="1" w:val="04A0"/>
      </w:tblPr>
      <w:tblGrid>
        <w:gridCol w:w="1181"/>
        <w:gridCol w:w="2497"/>
        <w:gridCol w:w="1746"/>
        <w:gridCol w:w="1825"/>
        <w:gridCol w:w="1679"/>
      </w:tblGrid>
      <w:tr w14:paraId="6F5330CA" w14:textId="77777777" w:rsidR="005E6DF3">
        <w:tc>
          <w:tcPr>
            <w:tcW w:type="dxa" w:w="1181"/>
            <w:vAlign w:val="center"/>
          </w:tcPr>
          <w:p w14:paraId="5C00B0F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2497"/>
            <w:vAlign w:val="center"/>
          </w:tcPr>
          <w:p w14:paraId="2191642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债券代码</w:t>
            </w:r>
          </w:p>
        </w:tc>
        <w:tc>
          <w:tcPr>
            <w:tcW w:type="dxa" w:w="1746"/>
            <w:vAlign w:val="center"/>
          </w:tcPr>
          <w:p w14:paraId="61BBC1A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债券名称</w:t>
            </w:r>
          </w:p>
        </w:tc>
        <w:tc>
          <w:tcPr>
            <w:tcW w:type="dxa" w:w="1825"/>
            <w:vAlign w:val="center"/>
          </w:tcPr>
          <w:p w14:paraId="7B01C25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79"/>
            <w:vAlign w:val="center"/>
          </w:tcPr>
          <w:p w14:paraId="0D89822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132015</w:t>
            </w:r>
          </w:p>
        </w:tc>
        <w:tc>
          <w:tcPr>
            <w:vAlign w:val="center"/>
          </w:tcPr>
          <w:p>
            <w:pPr>
              <w:jc w:val="center"/>
            </w:pPr>
            <w:r>
              <w:rPr>
                <w:rFonts w:eastAsiaTheme="minorEastAsia"/>
                <w:color w:themeColor="text1" w:val="000000"/>
                <w:szCs w:val="21"/>
              </w:rPr>
              <w:t>18中油EB</w:t>
            </w:r>
          </w:p>
        </w:tc>
        <w:tc>
          <w:tcPr>
            <w:vAlign w:val="center"/>
          </w:tcPr>
          <w:p>
            <w:pPr>
              <w:jc w:val="right"/>
            </w:pPr>
            <w:r>
              <w:rPr>
                <w:rFonts w:eastAsiaTheme="minorEastAsia"/>
                <w:color w:themeColor="text1" w:val="000000"/>
                <w:szCs w:val="21"/>
              </w:rPr>
              <w:t>185,022,514.00</w:t>
            </w:r>
          </w:p>
        </w:tc>
        <w:tc>
          <w:tcPr>
            <w:vAlign w:val="center"/>
          </w:tcPr>
          <w:p>
            <w:pPr>
              <w:jc w:val="right"/>
            </w:pPr>
            <w:r>
              <w:rPr>
                <w:rFonts w:eastAsiaTheme="minorEastAsia"/>
                <w:color w:themeColor="text1" w:val="000000"/>
                <w:szCs w:val="21"/>
              </w:rPr>
              <w:t>5.24</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132009</w:t>
            </w:r>
          </w:p>
        </w:tc>
        <w:tc>
          <w:tcPr>
            <w:vAlign w:val="center"/>
          </w:tcPr>
          <w:p>
            <w:pPr>
              <w:jc w:val="center"/>
            </w:pPr>
            <w:r>
              <w:rPr>
                <w:rFonts w:eastAsiaTheme="minorEastAsia"/>
                <w:color w:themeColor="text1" w:val="000000"/>
                <w:szCs w:val="21"/>
              </w:rPr>
              <w:t>17中油EB</w:t>
            </w:r>
          </w:p>
        </w:tc>
        <w:tc>
          <w:tcPr>
            <w:vAlign w:val="center"/>
          </w:tcPr>
          <w:p>
            <w:pPr>
              <w:jc w:val="right"/>
            </w:pPr>
            <w:r>
              <w:rPr>
                <w:rFonts w:eastAsiaTheme="minorEastAsia"/>
                <w:color w:themeColor="text1" w:val="000000"/>
                <w:szCs w:val="21"/>
              </w:rPr>
              <w:t>159,924,755.20</w:t>
            </w:r>
          </w:p>
        </w:tc>
        <w:tc>
          <w:tcPr>
            <w:vAlign w:val="center"/>
          </w:tcPr>
          <w:p>
            <w:pPr>
              <w:jc w:val="right"/>
            </w:pPr>
            <w:r>
              <w:rPr>
                <w:rFonts w:eastAsiaTheme="minorEastAsia"/>
                <w:color w:themeColor="text1" w:val="000000"/>
                <w:szCs w:val="21"/>
              </w:rPr>
              <w:t>4.53</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113008</w:t>
            </w:r>
          </w:p>
        </w:tc>
        <w:tc>
          <w:tcPr>
            <w:vAlign w:val="center"/>
          </w:tcPr>
          <w:p>
            <w:pPr>
              <w:jc w:val="center"/>
            </w:pPr>
            <w:r>
              <w:rPr>
                <w:rFonts w:eastAsiaTheme="minorEastAsia"/>
                <w:color w:themeColor="text1" w:val="000000"/>
                <w:szCs w:val="21"/>
              </w:rPr>
              <w:t>电气转债</w:t>
            </w:r>
          </w:p>
        </w:tc>
        <w:tc>
          <w:tcPr>
            <w:vAlign w:val="center"/>
          </w:tcPr>
          <w:p>
            <w:pPr>
              <w:jc w:val="right"/>
            </w:pPr>
            <w:r>
              <w:rPr>
                <w:rFonts w:eastAsiaTheme="minorEastAsia"/>
                <w:color w:themeColor="text1" w:val="000000"/>
                <w:szCs w:val="21"/>
              </w:rPr>
              <w:t>63,890,272.80</w:t>
            </w:r>
          </w:p>
        </w:tc>
        <w:tc>
          <w:tcPr>
            <w:vAlign w:val="center"/>
          </w:tcPr>
          <w:p>
            <w:pPr>
              <w:jc w:val="right"/>
            </w:pPr>
            <w:r>
              <w:rPr>
                <w:rFonts w:eastAsiaTheme="minorEastAsia"/>
                <w:color w:themeColor="text1" w:val="000000"/>
                <w:szCs w:val="21"/>
              </w:rPr>
              <w:t>1.81</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110065</w:t>
            </w:r>
          </w:p>
        </w:tc>
        <w:tc>
          <w:tcPr>
            <w:vAlign w:val="center"/>
          </w:tcPr>
          <w:p>
            <w:pPr>
              <w:jc w:val="center"/>
            </w:pPr>
            <w:r>
              <w:rPr>
                <w:rFonts w:eastAsiaTheme="minorEastAsia"/>
                <w:color w:themeColor="text1" w:val="000000"/>
                <w:szCs w:val="21"/>
              </w:rPr>
              <w:t>淮矿转债</w:t>
            </w:r>
          </w:p>
        </w:tc>
        <w:tc>
          <w:tcPr>
            <w:vAlign w:val="center"/>
          </w:tcPr>
          <w:p>
            <w:pPr>
              <w:jc w:val="right"/>
            </w:pPr>
            <w:r>
              <w:rPr>
                <w:rFonts w:eastAsiaTheme="minorEastAsia"/>
                <w:color w:themeColor="text1" w:val="000000"/>
                <w:szCs w:val="21"/>
              </w:rPr>
              <w:t>35,594,247.00</w:t>
            </w:r>
          </w:p>
        </w:tc>
        <w:tc>
          <w:tcPr>
            <w:vAlign w:val="center"/>
          </w:tcPr>
          <w:p>
            <w:pPr>
              <w:jc w:val="right"/>
            </w:pPr>
            <w:r>
              <w:rPr>
                <w:rFonts w:eastAsiaTheme="minorEastAsia"/>
                <w:color w:themeColor="text1" w:val="000000"/>
                <w:szCs w:val="21"/>
              </w:rPr>
              <w:t>1.01</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110064</w:t>
            </w:r>
          </w:p>
        </w:tc>
        <w:tc>
          <w:tcPr>
            <w:vAlign w:val="center"/>
          </w:tcPr>
          <w:p>
            <w:pPr>
              <w:jc w:val="center"/>
            </w:pPr>
            <w:r>
              <w:rPr>
                <w:rFonts w:eastAsiaTheme="minorEastAsia"/>
                <w:color w:themeColor="text1" w:val="000000"/>
                <w:szCs w:val="21"/>
              </w:rPr>
              <w:t>建工转债</w:t>
            </w:r>
          </w:p>
        </w:tc>
        <w:tc>
          <w:tcPr>
            <w:vAlign w:val="center"/>
          </w:tcPr>
          <w:p>
            <w:pPr>
              <w:jc w:val="right"/>
            </w:pPr>
            <w:r>
              <w:rPr>
                <w:rFonts w:eastAsiaTheme="minorEastAsia"/>
                <w:color w:themeColor="text1" w:val="000000"/>
                <w:szCs w:val="21"/>
              </w:rPr>
              <w:t>7,835,162.40</w:t>
            </w:r>
          </w:p>
        </w:tc>
        <w:tc>
          <w:tcPr>
            <w:vAlign w:val="center"/>
          </w:tcPr>
          <w:p>
            <w:pPr>
              <w:jc w:val="right"/>
            </w:pPr>
            <w:r>
              <w:rPr>
                <w:rFonts w:eastAsiaTheme="minorEastAsia"/>
                <w:color w:themeColor="text1" w:val="000000"/>
                <w:szCs w:val="21"/>
              </w:rPr>
              <w:t>0.22</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110033</w:t>
            </w:r>
          </w:p>
        </w:tc>
        <w:tc>
          <w:tcPr>
            <w:vAlign w:val="center"/>
          </w:tcPr>
          <w:p>
            <w:pPr>
              <w:jc w:val="center"/>
            </w:pPr>
            <w:r>
              <w:rPr>
                <w:rFonts w:eastAsiaTheme="minorEastAsia"/>
                <w:color w:themeColor="text1" w:val="000000"/>
                <w:szCs w:val="21"/>
              </w:rPr>
              <w:t>国贸转债</w:t>
            </w:r>
          </w:p>
        </w:tc>
        <w:tc>
          <w:tcPr>
            <w:vAlign w:val="center"/>
          </w:tcPr>
          <w:p>
            <w:pPr>
              <w:jc w:val="right"/>
            </w:pPr>
            <w:r>
              <w:rPr>
                <w:rFonts w:eastAsiaTheme="minorEastAsia"/>
                <w:color w:themeColor="text1" w:val="000000"/>
                <w:szCs w:val="21"/>
              </w:rPr>
              <w:t>6,589,453.00</w:t>
            </w:r>
          </w:p>
        </w:tc>
        <w:tc>
          <w:tcPr>
            <w:vAlign w:val="center"/>
          </w:tcPr>
          <w:p>
            <w:pPr>
              <w:jc w:val="right"/>
            </w:pPr>
            <w:r>
              <w:rPr>
                <w:rFonts w:eastAsiaTheme="minorEastAsia"/>
                <w:color w:themeColor="text1" w:val="000000"/>
                <w:szCs w:val="21"/>
              </w:rPr>
              <w:t>0.19</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128064</w:t>
            </w:r>
          </w:p>
        </w:tc>
        <w:tc>
          <w:tcPr>
            <w:vAlign w:val="center"/>
          </w:tcPr>
          <w:p>
            <w:pPr>
              <w:jc w:val="center"/>
            </w:pPr>
            <w:r>
              <w:rPr>
                <w:rFonts w:eastAsiaTheme="minorEastAsia"/>
                <w:color w:themeColor="text1" w:val="000000"/>
                <w:szCs w:val="21"/>
              </w:rPr>
              <w:t>司尔转债</w:t>
            </w:r>
          </w:p>
        </w:tc>
        <w:tc>
          <w:tcPr>
            <w:vAlign w:val="center"/>
          </w:tcPr>
          <w:p>
            <w:pPr>
              <w:jc w:val="right"/>
            </w:pPr>
            <w:r>
              <w:rPr>
                <w:rFonts w:eastAsiaTheme="minorEastAsia"/>
                <w:color w:themeColor="text1" w:val="000000"/>
                <w:szCs w:val="21"/>
              </w:rPr>
              <w:t>5,061,884.24</w:t>
            </w:r>
          </w:p>
        </w:tc>
        <w:tc>
          <w:tcPr>
            <w:vAlign w:val="center"/>
          </w:tcPr>
          <w:p>
            <w:pPr>
              <w:jc w:val="right"/>
            </w:pPr>
            <w:r>
              <w:rPr>
                <w:rFonts w:eastAsiaTheme="minorEastAsia"/>
                <w:color w:themeColor="text1" w:val="000000"/>
                <w:szCs w:val="21"/>
              </w:rPr>
              <w:t>0.14</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128107</w:t>
            </w:r>
          </w:p>
        </w:tc>
        <w:tc>
          <w:tcPr>
            <w:vAlign w:val="center"/>
          </w:tcPr>
          <w:p>
            <w:pPr>
              <w:jc w:val="center"/>
            </w:pPr>
            <w:r>
              <w:rPr>
                <w:rFonts w:eastAsiaTheme="minorEastAsia"/>
                <w:color w:themeColor="text1" w:val="000000"/>
                <w:szCs w:val="21"/>
              </w:rPr>
              <w:t>交科转债</w:t>
            </w:r>
          </w:p>
        </w:tc>
        <w:tc>
          <w:tcPr>
            <w:vAlign w:val="center"/>
          </w:tcPr>
          <w:p>
            <w:pPr>
              <w:jc w:val="right"/>
            </w:pPr>
            <w:r>
              <w:rPr>
                <w:rFonts w:eastAsiaTheme="minorEastAsia"/>
                <w:color w:themeColor="text1" w:val="000000"/>
                <w:szCs w:val="21"/>
              </w:rPr>
              <w:t>3,223,742.90</w:t>
            </w:r>
          </w:p>
        </w:tc>
        <w:tc>
          <w:tcPr>
            <w:vAlign w:val="center"/>
          </w:tcPr>
          <w:p>
            <w:pPr>
              <w:jc w:val="right"/>
            </w:pPr>
            <w:r>
              <w:rPr>
                <w:rFonts w:eastAsiaTheme="minorEastAsia"/>
                <w:color w:themeColor="text1" w:val="000000"/>
                <w:szCs w:val="21"/>
              </w:rPr>
              <w:t>0.09</w:t>
            </w:r>
          </w:p>
        </w:tc>
      </w:tr>
    </w:tbl>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因四舍五入原因,投资组合报告中分项之和与合计可能存在尾差。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上投摩根安隆回报混合A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上投摩根安隆回报混合C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890,358,360.97</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666,081,244.57</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853,842,770.34</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818,028,189.43</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262,063,147.99</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191,576,442.63</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1,482,137,983.32</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1,292,532,991.37</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§8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中国证监会准予上投摩根安隆回报混合型证券投资基金募集注册的文件；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《上投摩根安隆回报混合型证券投资基金基金合同》；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《上投摩根安隆回报混合型证券投资基金托管协议》；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 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基金管理人或基金托管人住所。</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二〇二一年一月二十二日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上投摩根安隆回报混合型证券投资基金</w:t>
    </w:r>
    <w:proofErr w:type="spellStart"/>
    <w:proofErr w:type="gramEnd"/>
    <w:r>
      <w:t/>
    </w:r>
    <w:proofErr w:type="spellEnd"/>
    <w: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