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70302E6C"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0371E3DE"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433F6E3A"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737471D9"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5540764F"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2507A4DE"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上投摩根安隆回报混合型证券投资基金</w:t>
      </w:r>
    </w:p>
    <w:p w14:paraId="314CAF44"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2020年第3季度报告</w:t>
      </w:r>
    </w:p>
    <w:p w14:paraId="65EC9CA4" w14:textId="77777777" w:rsidR="005E6DF3" w:rsidRDefault="005C671B">
      <w:pPr>
        <w:spacing w:line="360" w:lineRule="auto"/>
        <w:jc w:val="center"/>
        <w:rPr>
          <w:rFonts w:eastAsiaTheme="minorEastAsia"/>
          <w:b/>
          <w:color w:themeColor="text1" w:val="000000"/>
          <w:szCs w:val="21"/>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2020年9月30日</w:t>
      </w:r>
    </w:p>
    <w:p w14:paraId="414230B8" w14:textId="77777777" w:rsidR="005E6DF3" w:rsidRDefault="005E6DF3">
      <w:pPr>
        <w:spacing w:line="360" w:lineRule="auto"/>
        <w:jc w:val="center"/>
        <w:rPr>
          <w:rFonts w:eastAsiaTheme="minorEastAsia"/>
          <w:b/>
          <w:color w:themeColor="text1" w:val="000000"/>
          <w:szCs w:val="21"/>
        </w:rPr>
      </w:pPr>
    </w:p>
    <w:p w14:paraId="2353E753" w14:textId="77777777" w:rsidR="005E6DF3" w:rsidRDefault="005E6DF3">
      <w:pPr>
        <w:spacing w:line="360" w:lineRule="auto"/>
        <w:jc w:val="center"/>
        <w:rPr>
          <w:rFonts w:eastAsiaTheme="minorEastAsia"/>
          <w:b/>
          <w:color w:themeColor="text1" w:val="000000"/>
          <w:szCs w:val="21"/>
        </w:rPr>
      </w:pPr>
    </w:p>
    <w:p w14:paraId="64DE24E1" w14:textId="77777777" w:rsidR="005E6DF3" w:rsidRDefault="005E6DF3">
      <w:pPr>
        <w:spacing w:line="360" w:lineRule="auto"/>
        <w:jc w:val="center"/>
        <w:rPr>
          <w:rFonts w:eastAsiaTheme="minorEastAsia"/>
          <w:b/>
          <w:color w:themeColor="text1" w:val="000000"/>
          <w:szCs w:val="21"/>
        </w:rPr>
      </w:pPr>
    </w:p>
    <w:p w14:paraId="3939C1C0" w14:textId="77777777" w:rsidR="005E6DF3" w:rsidRDefault="005E6DF3">
      <w:pPr>
        <w:spacing w:line="360" w:lineRule="auto"/>
        <w:jc w:val="center"/>
        <w:rPr>
          <w:rFonts w:eastAsiaTheme="minorEastAsia"/>
          <w:b/>
          <w:color w:themeColor="text1" w:val="000000"/>
          <w:szCs w:val="21"/>
        </w:rPr>
      </w:pPr>
    </w:p>
    <w:p w14:paraId="77CABFCF" w14:textId="77777777" w:rsidR="005E6DF3" w:rsidRDefault="005E6DF3">
      <w:pPr>
        <w:spacing w:line="360" w:lineRule="auto"/>
        <w:jc w:val="center"/>
        <w:rPr>
          <w:rFonts w:eastAsiaTheme="minorEastAsia"/>
          <w:b/>
          <w:color w:themeColor="text1" w:val="000000"/>
          <w:szCs w:val="21"/>
        </w:rPr>
      </w:pPr>
    </w:p>
    <w:p w14:paraId="382D58F8" w14:textId="77777777" w:rsidR="005E6DF3" w:rsidRDefault="005E6DF3">
      <w:pPr>
        <w:spacing w:line="360" w:lineRule="auto"/>
        <w:jc w:val="center"/>
        <w:rPr>
          <w:rFonts w:eastAsiaTheme="minorEastAsia"/>
          <w:b/>
          <w:color w:themeColor="text1" w:val="000000"/>
          <w:szCs w:val="21"/>
        </w:rPr>
      </w:pPr>
    </w:p>
    <w:p w14:paraId="3EBAE3CE" w14:textId="77777777" w:rsidR="005E6DF3" w:rsidRDefault="005E6DF3">
      <w:pPr>
        <w:spacing w:line="360" w:lineRule="auto"/>
        <w:jc w:val="center"/>
        <w:rPr>
          <w:rFonts w:eastAsiaTheme="minorEastAsia"/>
          <w:b/>
          <w:color w:themeColor="text1" w:val="000000"/>
          <w:szCs w:val="21"/>
        </w:rPr>
      </w:pPr>
    </w:p>
    <w:p w14:paraId="22C23B24" w14:textId="77777777" w:rsidR="005E6DF3" w:rsidRDefault="005E6DF3">
      <w:pPr>
        <w:spacing w:line="360" w:lineRule="auto"/>
        <w:jc w:val="center"/>
        <w:rPr>
          <w:rFonts w:eastAsiaTheme="minorEastAsia"/>
          <w:b/>
          <w:color w:themeColor="text1" w:val="000000"/>
          <w:szCs w:val="21"/>
        </w:rPr>
      </w:pPr>
    </w:p>
    <w:p w14:paraId="10639DBC" w14:textId="77777777" w:rsidR="005E6DF3" w:rsidRDefault="005E6DF3">
      <w:pPr>
        <w:spacing w:line="360" w:lineRule="auto"/>
        <w:jc w:val="center"/>
        <w:rPr>
          <w:rFonts w:eastAsiaTheme="minorEastAsia"/>
          <w:b/>
          <w:color w:themeColor="text1" w:val="000000"/>
          <w:szCs w:val="21"/>
        </w:rPr>
      </w:pPr>
    </w:p>
    <w:p w14:paraId="58A6FDFA" w14:textId="77777777" w:rsidR="005E6DF3" w:rsidRDefault="005E6DF3">
      <w:pPr>
        <w:spacing w:line="360" w:lineRule="auto"/>
        <w:jc w:val="center"/>
        <w:rPr>
          <w:rFonts w:eastAsiaTheme="minorEastAsia"/>
          <w:b/>
          <w:color w:themeColor="text1" w:val="000000"/>
          <w:szCs w:val="21"/>
        </w:rPr>
      </w:pPr>
    </w:p>
    <w:p w14:paraId="196A4101" w14:textId="77777777" w:rsidR="005E6DF3" w:rsidRDefault="005E6DF3">
      <w:pPr>
        <w:spacing w:line="360" w:lineRule="auto"/>
        <w:jc w:val="center"/>
        <w:rPr>
          <w:rFonts w:eastAsiaTheme="minorEastAsia"/>
          <w:b/>
          <w:color w:themeColor="text1" w:val="000000"/>
          <w:szCs w:val="21"/>
        </w:rPr>
      </w:pPr>
    </w:p>
    <w:p w14:paraId="1C4C8D65" w14:textId="77777777" w:rsidR="005E6DF3" w:rsidRDefault="005E6DF3">
      <w:pPr>
        <w:spacing w:line="360" w:lineRule="auto"/>
        <w:jc w:val="center"/>
        <w:rPr>
          <w:rFonts w:eastAsiaTheme="minorEastAsia"/>
          <w:b/>
          <w:color w:themeColor="text1" w:val="000000"/>
          <w:szCs w:val="21"/>
        </w:rPr>
      </w:pPr>
    </w:p>
    <w:p w14:paraId="3FD920DA" w14:textId="77777777" w:rsidR="005E6DF3" w:rsidRDefault="005E6DF3">
      <w:pPr>
        <w:spacing w:line="360" w:lineRule="auto"/>
        <w:jc w:val="center"/>
        <w:rPr>
          <w:rFonts w:eastAsiaTheme="minorEastAsia"/>
          <w:b/>
          <w:color w:themeColor="text1" w:val="000000"/>
          <w:szCs w:val="21"/>
        </w:rPr>
      </w:pPr>
    </w:p>
    <w:p w14:paraId="07CE17C7" w14:textId="77777777" w:rsidR="005E6DF3" w:rsidRDefault="005E6DF3">
      <w:pPr>
        <w:spacing w:line="360" w:lineRule="auto"/>
        <w:rPr>
          <w:rFonts w:eastAsiaTheme="minorEastAsia"/>
          <w:b/>
          <w:color w:themeColor="text1" w:val="000000"/>
          <w:szCs w:val="21"/>
        </w:rPr>
      </w:pPr>
    </w:p>
    <w:p w14:paraId="0872D2D6"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基金管理人：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上投摩根基金管理有限公司</w:t>
      </w:r>
    </w:p>
    <w:p w14:paraId="380F0F4B"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基金托管人：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杭州银行股份有限公司</w:t>
      </w:r>
    </w:p>
    <w:p w14:paraId="34CA88E3" w14:textId="77777777" w:rsidR="005E6DF3" w:rsidRDefault="005C671B">
      <w:pPr>
        <w:spacing w:line="360" w:lineRule="auto"/>
        <w:ind w:firstLine="2168" w:firstLineChars="900"/>
        <w:rPr>
          <w:rFonts w:eastAsiaTheme="minorEastAsia"/>
          <w:color w:themeColor="text1" w:val="000000"/>
          <w:szCs w:val="21"/>
        </w:rPr>
        <w:sectPr w:rsidR="005E6DF3">
          <w:headerReference r:id="rId8" w:type="default"/>
          <w:footerReference r:id="rId9" w:type="default"/>
          <w:pgSz w:h="15840" w:w="11926"/>
          <w:pgMar w:bottom="851" w:footer="992" w:gutter="0" w:header="851" w:left="1418" w:right="1418" w:top="1418"/>
          <w:cols w:space="720"/>
        </w:sectPr>
      </w:pPr>
      <w:r>
        <w:rPr>
          <w:rFonts w:eastAsiaTheme="minorEastAsia"/>
          <w:b/>
          <w:color w:themeColor="text1" w:val="000000"/>
          <w:sz w:val="24"/>
        </w:rPr>
        <w:t>报告送出日期：</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二〇二〇年十月二十八日</w:t>
      </w:r>
    </w:p>
    <w:p w14:paraId="58F241BB" w14:textId="77777777" w:rsidR="005E6DF3" w:rsidRDefault="005C671B">
      <w:pPr>
        <w:pStyle w:val="1"/>
        <w:spacing w:after="312" w:afterLines="100" w:before="312" w:beforeLines="100" w:line="360" w:lineRule="auto"/>
        <w:jc w:val="center"/>
        <w:rPr>
          <w:rFonts w:eastAsiaTheme="minorEastAsia"/>
          <w:b w:val="0"/>
          <w:color w:themeColor="text1" w:val="000000"/>
          <w:kern w:val="0"/>
          <w:sz w:val="21"/>
          <w:szCs w:val="21"/>
        </w:rPr>
      </w:pPr>
      <w:r>
        <w:rPr>
          <w:rFonts w:eastAsiaTheme="minorEastAsia"/>
          <w:color w:themeColor="text1" w:val="000000"/>
          <w:kern w:val="0"/>
          <w:sz w:val="21"/>
          <w:szCs w:val="21"/>
        </w:rPr>
        <w:lastRenderedPageBreak/>
        <w:t xml:space="preserve">§1  </w:t>
      </w:r>
      <w:r>
        <w:rPr>
          <w:rFonts w:eastAsiaTheme="minorEastAsia"/>
          <w:color w:themeColor="text1" w:val="000000"/>
          <w:kern w:val="0"/>
          <w:sz w:val="21"/>
          <w:szCs w:val="21"/>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基金托管人杭州银行股份有限公司根据本基金合同规定，于2020年10月27日复核了本报告中的财务指标、净值表现和投资组合报告等内容，保证复核内容不存在虚假记载、误导性陈述或者重大遗漏。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60D097E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本报告期自2020年7月1日起至9月30日止。</w:t>
      </w:r>
    </w:p>
    <w:p w14:paraId="3D601AC9"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§2  </w:t>
      </w:r>
      <w:r>
        <w:rPr>
          <w:rFonts w:eastAsiaTheme="minorEastAsia"/>
          <w:color w:themeColor="text1" w:val="000000"/>
          <w:kern w:val="0"/>
          <w:sz w:val="21"/>
          <w:szCs w:val="21"/>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77EE61EB" w14:textId="77777777" w:rsidR="005E6DF3">
        <w:tc>
          <w:tcPr>
            <w:tcW w:type="dxa" w:w="2835"/>
            <w:vAlign w:val="center"/>
          </w:tcPr>
          <w:p w14:paraId="2AF06EC2"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基金简称</w:t>
            </w:r>
          </w:p>
        </w:tc>
        <w:tc>
          <w:tcPr>
            <w:tcW w:type="dxa" w:w="5479"/>
            <w:gridSpan w:val="2"/>
            <w:vAlign w:val="center"/>
          </w:tcPr>
          <w:p w14:paraId="64D5C4DE"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上投摩根安隆回报混合</w:t>
            </w:r>
          </w:p>
        </w:tc>
      </w:tr>
      <w:tr w14:paraId="06C24646" w14:textId="77777777" w:rsidR="005E6DF3">
        <w:tc>
          <w:tcPr>
            <w:tcW w:type="dxa" w:w="2835"/>
            <w:vAlign w:val="center"/>
          </w:tcPr>
          <w:p w14:paraId="08A33FC4"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基金主代码</w:t>
            </w:r>
          </w:p>
        </w:tc>
        <w:tc>
          <w:tcPr>
            <w:tcW w:type="dxa" w:w="5479"/>
            <w:gridSpan w:val="2"/>
            <w:tcBorders>
              <w:bottom w:color="auto" w:space="0" w:sz="4" w:val="single"/>
            </w:tcBorders>
            <w:vAlign w:val="center"/>
          </w:tcPr>
          <w:p w14:paraId="79D1F573"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004738</w:t>
            </w:r>
          </w:p>
        </w:tc>
      </w:tr>
      <w:tr w14:paraId="5FDD259D" w14:textId="77777777" w:rsidR="005E6DF3">
        <w:tc>
          <w:tcPr>
            <w:tcW w:type="dxa" w:w="2835"/>
            <w:vAlign w:val="center"/>
          </w:tcPr>
          <w:p w14:paraId="09B9FD26"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基金运作方式</w:t>
            </w:r>
          </w:p>
        </w:tc>
        <w:tc>
          <w:tcPr>
            <w:tcW w:type="dxa" w:w="5479"/>
            <w:gridSpan w:val="2"/>
            <w:tcBorders>
              <w:top w:color="auto" w:space="0" w:sz="4" w:val="single"/>
            </w:tcBorders>
            <w:vAlign w:val="center"/>
          </w:tcPr>
          <w:p w14:paraId="3F3142D1"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契约型开放式</w:t>
            </w:r>
          </w:p>
        </w:tc>
      </w:tr>
      <w:tr w14:paraId="44F37806" w14:textId="77777777" w:rsidR="005E6DF3">
        <w:tc>
          <w:tcPr>
            <w:tcW w:type="dxa" w:w="2835"/>
            <w:vAlign w:val="center"/>
          </w:tcPr>
          <w:p w14:paraId="41F8E22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基金合同生效日</w:t>
            </w:r>
          </w:p>
        </w:tc>
        <w:tc>
          <w:tcPr>
            <w:tcW w:type="dxa" w:w="5479"/>
            <w:gridSpan w:val="2"/>
            <w:vAlign w:val="center"/>
          </w:tcPr>
          <w:p w14:paraId="040813FD"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2018年2月8日</w:t>
            </w:r>
          </w:p>
        </w:tc>
      </w:tr>
      <w:tr w14:paraId="0FC57815" w14:textId="77777777" w:rsidR="005E6DF3">
        <w:tc>
          <w:tcPr>
            <w:tcW w:type="dxa" w:w="2835"/>
            <w:vAlign w:val="center"/>
          </w:tcPr>
          <w:p w14:paraId="4B5050F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报告期末基金份额总额</w:t>
            </w:r>
          </w:p>
        </w:tc>
        <w:tc>
          <w:tcPr>
            <w:tcW w:type="dxa" w:w="5479"/>
            <w:gridSpan w:val="2"/>
            <w:vAlign w:val="center"/>
          </w:tcPr>
          <w:p w14:paraId="633F55A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1,556,439,605.54</w:t>
            </w:r>
            <w:r>
              <w:rPr>
                <w:rFonts w:eastAsiaTheme="minorEastAsia"/>
                <w:color w:themeColor="text1" w:val="000000"/>
                <w:kern w:val="0"/>
                <w:szCs w:val="21"/>
              </w:rPr>
              <w:t>份</w:t>
            </w:r>
          </w:p>
        </w:tc>
      </w:tr>
      <w:tr w14:paraId="1A3A8C6E" w14:textId="77777777" w:rsidR="005E6DF3">
        <w:tc>
          <w:tcPr>
            <w:tcW w:type="dxa" w:w="2835"/>
            <w:vAlign w:val="center"/>
          </w:tcPr>
          <w:p w14:paraId="259C68A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投资目标</w:t>
            </w:r>
          </w:p>
        </w:tc>
        <w:tc>
          <w:tcPr>
            <w:tcW w:type="dxa" w:w="5479"/>
            <w:gridSpan w:val="2"/>
            <w:vAlign w:val="center"/>
          </w:tcPr>
          <w:p w14:paraId="7C67191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以追求稳健收益作为基金的投资目标，通过严格的风险控制，力争实现基金资产的稳健增值。</w:t>
            </w:r>
          </w:p>
        </w:tc>
      </w:tr>
      <w:tr w14:paraId="5876F692" w14:textId="77777777" w:rsidR="005E6DF3">
        <w:tc>
          <w:tcPr>
            <w:tcW w:type="dxa" w:w="2835"/>
            <w:vAlign w:val="center"/>
          </w:tcPr>
          <w:p w14:paraId="532A223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投资策略</w:t>
            </w:r>
          </w:p>
        </w:tc>
        <w:tc>
          <w:tcPr>
            <w:tcW w:type="dxa" w:w="5479"/>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1、资产配置策略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2、债券投资策略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3、股票投资策略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本基金将采用自下而上的分析方法，根据上市公司财务分析、盈利预期、治理结构等因素，结合股票的价值评估，以及对公司经营有实质性影响的事件，精选个股，构建投资组合。</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4、股指期货投资策略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本基金在进行股指期货投资时，将通过对证券市场和期货市场运行趋势的研究，并结合股指期货的定价模型寻求其合理的估值水平。</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5、股票期权投资策略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本基金将基于对证券市场的预判，并结合股指期权定价模型，选择估值合理的期权合约。</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6、资产支持证券投资策略</w:t>
            </w:r>
          </w:p>
          <w:p w14:paraId="126F720C"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本基金主要从资产池信用状况、违约相关性、历史违约记录和损失比例、证券的信用增强方式、利差补偿程度等方面对资产支持证券的风险与收益状况进行评估，确定资产合理配置比例。</w:t>
            </w:r>
          </w:p>
        </w:tc>
      </w:tr>
      <w:tr w14:paraId="6B3E3F3F" w14:textId="77777777" w:rsidR="005E6DF3">
        <w:tc>
          <w:tcPr>
            <w:tcW w:type="dxa" w:w="2835"/>
            <w:vAlign w:val="center"/>
          </w:tcPr>
          <w:p w14:paraId="66DE326D"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业绩比较基准</w:t>
            </w:r>
          </w:p>
        </w:tc>
        <w:tc>
          <w:tcPr>
            <w:tcW w:type="dxa" w:w="5479"/>
            <w:gridSpan w:val="2"/>
            <w:vAlign w:val="center"/>
          </w:tcPr>
          <w:p w14:paraId="7541754F"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沪深300指数收益率×20%+中证综合债券指数收益率×80%</w:t>
            </w:r>
          </w:p>
        </w:tc>
      </w:tr>
      <w:tr w14:paraId="09F30C0F" w14:textId="77777777" w:rsidR="005E6DF3">
        <w:tc>
          <w:tcPr>
            <w:tcW w:type="dxa" w:w="2835"/>
            <w:vAlign w:val="center"/>
          </w:tcPr>
          <w:p w14:paraId="4E0D554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风险收益特征</w:t>
            </w:r>
          </w:p>
        </w:tc>
        <w:tc>
          <w:tcPr>
            <w:tcW w:type="dxa" w:w="5479"/>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本基金属于混合型基金产品，预期风险和收益水平高于债券型基金和货币市场基金，低于股票型基金，属于中等风险收益水平的基金产品。</w:t>
            </w:r>
          </w:p>
          <w:p w14:paraId="708DC60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51A78BF3" w14:textId="77777777" w:rsidR="005E6DF3">
        <w:tc>
          <w:tcPr>
            <w:tcW w:type="dxa" w:w="2835"/>
            <w:vAlign w:val="center"/>
          </w:tcPr>
          <w:p w14:paraId="4C22455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基金管理人</w:t>
            </w:r>
          </w:p>
        </w:tc>
        <w:tc>
          <w:tcPr>
            <w:tcW w:type="dxa" w:w="5479"/>
            <w:gridSpan w:val="2"/>
            <w:vAlign w:val="center"/>
          </w:tcPr>
          <w:p w14:paraId="59CABC5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上投摩根基金管理有限公司</w:t>
            </w:r>
          </w:p>
        </w:tc>
      </w:tr>
      <w:tr w14:paraId="2A099E64" w14:textId="77777777" w:rsidR="005E6DF3">
        <w:tc>
          <w:tcPr>
            <w:tcW w:type="dxa" w:w="2835"/>
            <w:vAlign w:val="center"/>
          </w:tcPr>
          <w:p w14:paraId="23B0D44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基金托管人</w:t>
            </w:r>
          </w:p>
        </w:tc>
        <w:tc>
          <w:tcPr>
            <w:tcW w:type="dxa" w:w="5479"/>
            <w:gridSpan w:val="2"/>
            <w:vAlign w:val="center"/>
          </w:tcPr>
          <w:p w14:paraId="51CC69F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杭州银行股份有限公司</w:t>
            </w:r>
          </w:p>
        </w:tc>
      </w:tr>
      <w:tr w14:paraId="09AF5332" w14:textId="77777777" w:rsidR="005E6DF3">
        <w:tc>
          <w:tcPr>
            <w:tcW w:type="dxa" w:w="2835"/>
            <w:vAlign w:val="center"/>
          </w:tcPr>
          <w:p w14:paraId="26C4598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hint="eastAsia"/>
                <w:color w:themeColor="text1" w:val="000000"/>
                <w:szCs w:val="21"/>
              </w:rPr>
              <w:t>下属分级</w:t>
            </w:r>
            <w:r>
              <w:rPr>
                <w:rFonts w:eastAsiaTheme="minorEastAsia"/>
                <w:color w:themeColor="text1" w:val="000000"/>
                <w:szCs w:val="21"/>
              </w:rPr>
              <w:t>基金的基金简称</w:t>
            </w:r>
          </w:p>
        </w:tc>
        <w:tc>
          <w:tcPr>
            <w:tcW w:type="dxa" w:w="2739"/>
            <w:vAlign w:val="center"/>
          </w:tcPr>
          <w:p w14:paraId="55AC2042"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上投摩根安隆回报混合A</w:t>
            </w:r>
          </w:p>
        </w:tc>
        <w:tc>
          <w:tcPr>
            <w:tcW w:type="dxa" w:w="2740"/>
            <w:vAlign w:val="center"/>
          </w:tcPr>
          <w:p w14:paraId="475E59FE"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上投摩根安隆回报混合C</w:t>
            </w:r>
          </w:p>
        </w:tc>
      </w:tr>
      <w:tr w14:paraId="57D77F7B" w14:textId="77777777" w:rsidR="005E6DF3">
        <w:tc>
          <w:tcPr>
            <w:tcW w:type="dxa" w:w="2835"/>
            <w:vAlign w:val="center"/>
          </w:tcPr>
          <w:p w14:paraId="14B6B9C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下属</w:t>
            </w:r>
            <w:r>
              <w:rPr>
                <w:rFonts w:eastAsiaTheme="minorEastAsia" w:hint="eastAsia"/>
                <w:color w:themeColor="text1" w:val="000000"/>
                <w:szCs w:val="21"/>
              </w:rPr>
              <w:t>分</w:t>
            </w:r>
            <w:r>
              <w:rPr>
                <w:rFonts w:eastAsiaTheme="minorEastAsia"/>
                <w:color w:themeColor="text1" w:val="000000"/>
                <w:szCs w:val="21"/>
              </w:rPr>
              <w:t>级基金的交易代码</w:t>
            </w:r>
            <w:r>
              <w:rPr>
                <w:rFonts w:eastAsiaTheme="minorEastAsia"/>
                <w:color w:themeColor="text1" w:val="000000"/>
                <w:szCs w:val="21"/>
              </w:rPr>
              <w:t/>
            </w:r>
            <w:proofErr w:type="spellStart"/>
            <w:r>
              <w:rPr>
                <w:color w:themeColor="text1" w:val="000000"/>
                <w:szCs w:val="21"/>
              </w:rPr>
              <w:t/>
            </w:r>
            <w:proofErr w:type="spellEnd"/>
            <w:r>
              <w:rPr>
                <w:rFonts w:eastAsiaTheme="minorEastAsia"/>
                <w:color w:themeColor="text1" w:val="000000"/>
                <w:szCs w:val="21"/>
              </w:rPr>
              <w:t/>
            </w:r>
          </w:p>
        </w:tc>
        <w:tc>
          <w:tcPr>
            <w:tcW w:type="dxa" w:w="2739"/>
            <w:vAlign w:val="center"/>
          </w:tcPr>
          <w:p w14:paraId="4101EB79"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004738</w:t>
            </w:r>
          </w:p>
        </w:tc>
        <w:tc>
          <w:tcPr>
            <w:tcW w:type="dxa" w:w="2740"/>
            <w:vAlign w:val="center"/>
          </w:tcPr>
          <w:p w14:paraId="01B3552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r>
              <w:rPr>
                <w:rFonts w:eastAsiaTheme="minorEastAsia"/>
                <w:color w:themeColor="text1" w:val="000000"/>
                <w:szCs w:val="21"/>
              </w:rPr>
              <w:t>004739</w:t>
            </w:r>
          </w:p>
        </w:tc>
      </w:tr>
      <w:tr w14:paraId="083EB83F" w14:textId="77777777" w:rsidR="005E6DF3">
        <w:tc>
          <w:tcPr>
            <w:tcW w:type="dxa" w:w="2835"/>
            <w:vAlign w:val="center"/>
          </w:tcPr>
          <w:p w14:paraId="334614C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报告期末下属</w:t>
            </w:r>
            <w:r>
              <w:rPr>
                <w:rFonts w:eastAsiaTheme="minorEastAsia" w:hint="eastAsia"/>
                <w:color w:themeColor="text1" w:val="000000"/>
                <w:szCs w:val="21"/>
              </w:rPr>
              <w:t>分</w:t>
            </w:r>
            <w:r>
              <w:rPr>
                <w:rFonts w:eastAsiaTheme="minorEastAsia"/>
                <w:color w:themeColor="text1" w:val="000000"/>
                <w:szCs w:val="21"/>
              </w:rPr>
              <w:t>级基金的份额总额</w:t>
            </w:r>
          </w:p>
        </w:tc>
        <w:tc>
          <w:tcPr>
            <w:tcW w:type="dxa" w:w="2739"/>
            <w:vAlign w:val="center"/>
          </w:tcPr>
          <w:p w14:paraId="22984E3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890,358,360.97</w:t>
            </w:r>
            <w:r>
              <w:rPr>
                <w:rFonts w:eastAsiaTheme="minorEastAsia"/>
                <w:color w:themeColor="text1" w:val="000000"/>
                <w:kern w:val="0"/>
                <w:szCs w:val="21"/>
              </w:rPr>
              <w:t>份</w:t>
            </w:r>
          </w:p>
        </w:tc>
        <w:tc>
          <w:tcPr>
            <w:tcW w:type="dxa" w:w="2740"/>
            <w:vAlign w:val="center"/>
          </w:tcPr>
          <w:p w14:paraId="47FE7797"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666,081,244.57</w:t>
            </w:r>
            <w:r>
              <w:rPr>
                <w:rFonts w:eastAsiaTheme="minorEastAsia"/>
                <w:color w:themeColor="text1" w:val="000000"/>
                <w:kern w:val="0"/>
                <w:szCs w:val="21"/>
              </w:rPr>
              <w:t>份</w:t>
            </w:r>
          </w:p>
        </w:tc>
      </w:tr>
    </w:tbl>
    <w:p w14:paraId="03CEEBE2"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§3  </w:t>
      </w:r>
      <w:r>
        <w:rPr>
          <w:rFonts w:eastAsiaTheme="minorEastAsia"/>
          <w:color w:themeColor="text1" w:val="000000"/>
          <w:kern w:val="0"/>
          <w:sz w:val="21"/>
          <w:szCs w:val="21"/>
        </w:rPr>
        <w:t>主要财务指标和基金净值表现</w:t>
      </w:r>
    </w:p>
    <w:p w14:paraId="343BFA65"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3.1 </w:t>
      </w:r>
      <w:r>
        <w:rPr>
          <w:rFonts w:eastAsiaTheme="minorEastAsia"/>
          <w:b/>
          <w:color w:themeColor="text1" w:val="000000"/>
          <w:kern w:val="0"/>
          <w:szCs w:val="21"/>
        </w:rPr>
        <w:t>主要财务指标</w:t>
      </w:r>
    </w:p>
    <w:p w14:paraId="7C01BE7E"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481"/>
        <w:gridCol w:w="2481"/>
      </w:tblGrid>
      <w:tr w14:paraId="62729AC3" w14:textId="77777777" w:rsidR="005E6DF3">
        <w:tc>
          <w:tcPr>
            <w:tcW w:type="dxa" w:w="3402"/>
            <w:vMerge w:val="restart"/>
            <w:vAlign w:val="center"/>
          </w:tcPr>
          <w:p w14:paraId="69F5E4C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主要财务指标</w:t>
            </w:r>
          </w:p>
        </w:tc>
        <w:tc>
          <w:tcPr>
            <w:tcW w:type="dxa" w:w="4962"/>
            <w:gridSpan w:val="2"/>
            <w:vAlign w:val="center"/>
          </w:tcPr>
          <w:p w14:paraId="1955990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报告期</w:t>
            </w:r>
          </w:p>
          <w:p w14:paraId="03DD78D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w:t>
            </w:r>
            <w:proofErr w:type="spellStart"/>
            <w:r>
              <w:rPr>
                <w:rFonts w:eastAsiaTheme="minorEastAsia"/>
                <w:color w:themeColor="text1" w:val="000000"/>
                <w:szCs w:val="21"/>
              </w:rPr>
              <w:t/>
            </w:r>
            <w:proofErr w:type="spellEnd"/>
            <w:r>
              <w:rPr>
                <w:rFonts w:eastAsiaTheme="minorEastAsia"/>
                <w:color w:themeColor="text1" w:val="000000"/>
                <w:szCs w:val="21"/>
              </w:rPr>
              <w:t>2020年7月1日-</w:t>
            </w:r>
            <w:proofErr w:type="spellStart"/>
            <w:r>
              <w:rPr>
                <w:rFonts w:eastAsiaTheme="minorEastAsia"/>
                <w:color w:themeColor="text1" w:val="000000"/>
                <w:szCs w:val="21"/>
              </w:rPr>
              <w:t/>
            </w:r>
            <w:proofErr w:type="spellEnd"/>
            <w:r>
              <w:rPr>
                <w:rFonts w:eastAsiaTheme="minorEastAsia"/>
                <w:color w:themeColor="text1" w:val="000000"/>
                <w:szCs w:val="21"/>
              </w:rPr>
              <w:t>2020年9月30日)</w:t>
            </w:r>
          </w:p>
        </w:tc>
      </w:tr>
      <w:tr w14:paraId="59104F38" w14:textId="77777777" w:rsidR="005E6DF3">
        <w:tc>
          <w:tcPr>
            <w:tcW w:type="dxa" w:w="3402"/>
            <w:vMerge/>
            <w:vAlign w:val="center"/>
          </w:tcPr>
          <w:p w14:paraId="61A81AEE" w14:textId="77777777" w:rsidR="005E6DF3" w:rsidRDefault="005E6DF3">
            <w:pPr>
              <w:adjustRightInd w:val="0"/>
              <w:spacing w:before="29" w:line="360" w:lineRule="auto"/>
              <w:ind w:left="17"/>
              <w:rPr>
                <w:rFonts w:eastAsiaTheme="minorEastAsia"/>
                <w:color w:themeColor="text1" w:val="000000"/>
                <w:kern w:val="0"/>
                <w:szCs w:val="21"/>
              </w:rPr>
            </w:pPr>
          </w:p>
        </w:tc>
        <w:tc>
          <w:tcPr>
            <w:tcW w:type="dxa" w:w="2481"/>
            <w:vAlign w:val="center"/>
          </w:tcPr>
          <w:p w14:paraId="091E127A"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上投摩根安隆回报混合A</w:t>
            </w:r>
          </w:p>
        </w:tc>
        <w:tc>
          <w:tcPr>
            <w:tcW w:type="dxa" w:w="2481"/>
            <w:vAlign w:val="center"/>
          </w:tcPr>
          <w:p w14:paraId="61B78904"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上投摩根安隆回报混合C</w:t>
            </w:r>
          </w:p>
        </w:tc>
      </w:tr>
      <w:tr w14:paraId="0059DFD8" w14:textId="77777777" w:rsidR="005E6DF3">
        <w:tc>
          <w:tcPr>
            <w:tcW w:type="dxa" w:w="3402"/>
            <w:vAlign w:val="center"/>
          </w:tcPr>
          <w:p w14:paraId="61BBFF58"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1.</w:t>
            </w:r>
            <w:r>
              <w:rPr>
                <w:rFonts w:eastAsiaTheme="minorEastAsia"/>
                <w:color w:themeColor="text1" w:val="000000"/>
                <w:kern w:val="0"/>
                <w:szCs w:val="21"/>
              </w:rPr>
              <w:t>本期已实现收益</w:t>
            </w:r>
          </w:p>
        </w:tc>
        <w:tc>
          <w:tcPr>
            <w:tcW w:type="dxa" w:w="2481"/>
            <w:vAlign w:val="center"/>
          </w:tcPr>
          <w:p w14:paraId="043FB14F"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22,713,522.52</w:t>
            </w:r>
          </w:p>
        </w:tc>
        <w:tc>
          <w:tcPr>
            <w:tcW w:type="dxa" w:w="2481"/>
            <w:vAlign w:val="center"/>
          </w:tcPr>
          <w:p w14:paraId="1A81CB1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17,920,855.64</w:t>
            </w:r>
          </w:p>
        </w:tc>
      </w:tr>
      <w:tr w14:paraId="690250F2" w14:textId="77777777" w:rsidR="005E6DF3">
        <w:tc>
          <w:tcPr>
            <w:tcW w:type="dxa" w:w="3402"/>
            <w:vAlign w:val="center"/>
          </w:tcPr>
          <w:p w14:paraId="12ED1FD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2.</w:t>
            </w:r>
            <w:r>
              <w:rPr>
                <w:rFonts w:eastAsiaTheme="minorEastAsia"/>
                <w:color w:themeColor="text1" w:val="000000"/>
                <w:kern w:val="0"/>
                <w:szCs w:val="21"/>
              </w:rPr>
              <w:t>本期利润</w:t>
            </w:r>
          </w:p>
        </w:tc>
        <w:tc>
          <w:tcPr>
            <w:tcW w:type="dxa" w:w="2481"/>
            <w:vAlign w:val="center"/>
          </w:tcPr>
          <w:p w14:paraId="2DEA26D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19,901,920.88</w:t>
            </w:r>
          </w:p>
        </w:tc>
        <w:tc>
          <w:tcPr>
            <w:tcW w:type="dxa" w:w="2481"/>
            <w:vAlign w:val="center"/>
          </w:tcPr>
          <w:p w14:paraId="0AE0B16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16,205,558.55</w:t>
            </w:r>
          </w:p>
        </w:tc>
      </w:tr>
      <w:tr w14:paraId="0BFB5843" w14:textId="77777777" w:rsidR="005E6DF3">
        <w:tc>
          <w:tcPr>
            <w:tcW w:type="dxa" w:w="3402"/>
            <w:vAlign w:val="center"/>
          </w:tcPr>
          <w:p w14:paraId="18E84B47"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3.</w:t>
            </w:r>
            <w:r>
              <w:rPr>
                <w:rFonts w:eastAsiaTheme="minorEastAsia"/>
                <w:color w:themeColor="text1" w:val="000000"/>
                <w:kern w:val="0"/>
                <w:szCs w:val="21"/>
              </w:rPr>
              <w:t>加权平均基金份额本期利润</w:t>
            </w:r>
          </w:p>
        </w:tc>
        <w:tc>
          <w:tcPr>
            <w:tcW w:type="dxa" w:w="2481"/>
            <w:vAlign w:val="center"/>
          </w:tcPr>
          <w:p w14:paraId="229CA3D5"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0.0354</w:t>
            </w:r>
          </w:p>
        </w:tc>
        <w:tc>
          <w:tcPr>
            <w:tcW w:type="dxa" w:w="2481"/>
            <w:vAlign w:val="center"/>
          </w:tcPr>
          <w:p w14:paraId="6E45EF54"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0.0363</w:t>
            </w:r>
          </w:p>
        </w:tc>
      </w:tr>
      <w:tr w14:paraId="6153416B" w14:textId="77777777" w:rsidR="005E6DF3">
        <w:tc>
          <w:tcPr>
            <w:tcW w:type="dxa" w:w="3402"/>
            <w:vAlign w:val="center"/>
          </w:tcPr>
          <w:p w14:paraId="4475C7C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4.</w:t>
            </w:r>
            <w:r>
              <w:rPr>
                <w:rFonts w:eastAsiaTheme="minorEastAsia"/>
                <w:color w:themeColor="text1" w:val="000000"/>
                <w:kern w:val="0"/>
                <w:szCs w:val="21"/>
              </w:rPr>
              <w:t>期末基金资产净值</w:t>
            </w:r>
          </w:p>
        </w:tc>
        <w:tc>
          <w:tcPr>
            <w:tcW w:type="dxa" w:w="2481"/>
            <w:vAlign w:val="center"/>
          </w:tcPr>
          <w:p w14:paraId="757EC58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1,102,638,216.67</w:t>
            </w:r>
          </w:p>
        </w:tc>
        <w:tc>
          <w:tcPr>
            <w:tcW w:type="dxa" w:w="2481"/>
            <w:vAlign w:val="center"/>
          </w:tcPr>
          <w:p w14:paraId="1B6DE0BC"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817,702,310.68</w:t>
            </w:r>
          </w:p>
        </w:tc>
      </w:tr>
      <w:tr w14:paraId="11868B78" w14:textId="77777777" w:rsidR="005E6DF3">
        <w:trPr>
          <w:trHeight w:val="158"/>
        </w:trPr>
        <w:tc>
          <w:tcPr>
            <w:tcW w:type="dxa" w:w="3402"/>
            <w:vAlign w:val="center"/>
          </w:tcPr>
          <w:p w14:paraId="52019DC1"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5.</w:t>
            </w:r>
            <w:r>
              <w:rPr>
                <w:rFonts w:eastAsiaTheme="minorEastAsia"/>
                <w:color w:themeColor="text1" w:val="000000"/>
                <w:kern w:val="0"/>
                <w:szCs w:val="21"/>
              </w:rPr>
              <w:t>期末基金份额净值</w:t>
            </w:r>
          </w:p>
        </w:tc>
        <w:tc>
          <w:tcPr>
            <w:tcW w:type="dxa" w:w="2481"/>
            <w:vAlign w:val="center"/>
          </w:tcPr>
          <w:p w14:paraId="230DE6E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1.2384</w:t>
            </w:r>
          </w:p>
        </w:tc>
        <w:tc>
          <w:tcPr>
            <w:tcW w:type="dxa" w:w="2481"/>
            <w:vAlign w:val="center"/>
          </w:tcPr>
          <w:p w14:paraId="67610EE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1.2276</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xml:space="preserve">注：本期已实现收益指基金本期利息收入、投资收益、其他收入(不含公允价值变动收益)扣除相关费用后的余额，本期利润为本期已实现收益加上本期公允价值变动收益。 </w:t>
      </w:r>
    </w:p>
    <w:p w14:paraId="0BF3BAB1"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上述基金业绩指标不包括持有人认购或交易基金的各项费用（例如，开放式基金的申购赎回费、红利再投资费、基金转换费等），计入费用后实际收益水平要低于所列数字。</w:t>
      </w:r>
    </w:p>
    <w:p w14:paraId="204DDFD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3.2 </w:t>
      </w:r>
      <w:r>
        <w:rPr>
          <w:rFonts w:eastAsiaTheme="minorEastAsia"/>
          <w:b/>
          <w:color w:themeColor="text1" w:val="000000"/>
          <w:kern w:val="0"/>
          <w:szCs w:val="21"/>
        </w:rPr>
        <w:t>基金净值表现</w:t>
      </w:r>
    </w:p>
    <w:p w14:paraId="6691C04E"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3.2.1</w:t>
      </w:r>
      <w:r>
        <w:rPr>
          <w:rFonts w:eastAsiaTheme="minorEastAsia"/>
          <w:b/>
          <w:color w:themeColor="text1" w:val="000000"/>
          <w:kern w:val="0"/>
          <w:szCs w:val="21"/>
        </w:rPr>
        <w:t>本报告</w:t>
      </w:r>
      <w:proofErr w:type="gramStart"/>
      <w:r>
        <w:rPr>
          <w:rFonts w:eastAsiaTheme="minorEastAsia"/>
          <w:b/>
          <w:color w:themeColor="text1" w:val="000000"/>
          <w:kern w:val="0"/>
          <w:szCs w:val="21"/>
        </w:rPr>
        <w:t>期基金</w:t>
      </w:r>
      <w:proofErr w:type="gramEnd"/>
      <w:r>
        <w:rPr>
          <w:rFonts w:eastAsiaTheme="minorEastAsia"/>
          <w:b/>
          <w:color w:themeColor="text1" w:val="000000"/>
          <w:kern w:val="0"/>
          <w:szCs w:val="21"/>
        </w:rPr>
        <w:t>份额净值增长率及其与同期业绩比较基准收益率的比较</w:t>
      </w:r>
    </w:p>
    <w:p w14:paraId="008B51D2" w14:textId="77777777" w:rsidR="005E6DF3" w:rsidRDefault="005C671B">
      <w:pPr>
        <w:spacing w:line="360" w:lineRule="auto"/>
        <w:rPr>
          <w:rFonts w:eastAsiaTheme="minorEastAsia"/>
          <w:b/>
          <w:color w:themeColor="text1" w:val="000000"/>
          <w:szCs w:val="21"/>
        </w:rPr>
      </w:pPr>
      <w:r>
        <w:rPr>
          <w:rFonts w:eastAsiaTheme="minorEastAsia"/>
          <w:b/>
          <w:color w:themeColor="text1" w:val="000000"/>
          <w:szCs w:val="21"/>
        </w:rPr>
        <w:t>1</w:t>
      </w:r>
      <w:r>
        <w:rPr>
          <w:rFonts w:eastAsiaTheme="minorEastAsia"/>
          <w:b/>
          <w:color w:themeColor="text1" w:val="000000"/>
          <w:szCs w:val="21"/>
        </w:rPr>
        <w:t>、</w:t>
      </w: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上投摩根安隆回报混合A</w:t>
      </w:r>
      <w:r>
        <w:rPr>
          <w:rFonts w:eastAsiaTheme="minorEastAsia"/>
          <w:b/>
          <w:color w:themeColor="text1" w:val="00000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13CD749B" w14:textId="77777777" w:rsidR="005E6DF3">
        <w:tc>
          <w:tcPr>
            <w:tcW w:type="dxa" w:w="1290"/>
            <w:vAlign w:val="center"/>
          </w:tcPr>
          <w:p w14:paraId="7BCEA4D3"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196340E"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3A57D6C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56D7540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1DBF722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548BF5D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1862727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4.15%</w:t>
            </w:r>
          </w:p>
        </w:tc>
        <w:tc>
          <w:tcPr>
            <w:vAlign w:val="center"/>
          </w:tcPr>
          <w:p>
            <w:pPr>
              <w:jc w:val="right"/>
            </w:pPr>
            <w:r>
              <w:rPr>
                <w:rFonts w:eastAsiaTheme="minorEastAsia"/>
                <w:color w:themeColor="text1" w:val="000000"/>
                <w:szCs w:val="21"/>
              </w:rPr>
              <w:t>0.28%</w:t>
            </w:r>
          </w:p>
        </w:tc>
        <w:tc>
          <w:tcPr>
            <w:vAlign w:val="center"/>
          </w:tcPr>
          <w:p>
            <w:pPr>
              <w:jc w:val="right"/>
            </w:pPr>
            <w:r>
              <w:rPr>
                <w:rFonts w:eastAsiaTheme="minorEastAsia"/>
                <w:color w:themeColor="text1" w:val="000000"/>
                <w:szCs w:val="21"/>
              </w:rPr>
              <w:t>1.57%</w:t>
            </w:r>
          </w:p>
        </w:tc>
        <w:tc>
          <w:tcPr>
            <w:vAlign w:val="center"/>
          </w:tcPr>
          <w:p>
            <w:pPr>
              <w:jc w:val="right"/>
            </w:pPr>
            <w:r>
              <w:rPr>
                <w:rFonts w:eastAsiaTheme="minorEastAsia"/>
                <w:color w:themeColor="text1" w:val="000000"/>
                <w:szCs w:val="21"/>
              </w:rPr>
              <w:t>0.31%</w:t>
            </w:r>
          </w:p>
        </w:tc>
        <w:tc>
          <w:tcPr>
            <w:vAlign w:val="center"/>
          </w:tcPr>
          <w:p>
            <w:pPr>
              <w:jc w:val="right"/>
            </w:pPr>
            <w:r>
              <w:rPr>
                <w:rFonts w:eastAsiaTheme="minorEastAsia"/>
                <w:color w:themeColor="text1" w:val="000000"/>
                <w:szCs w:val="21"/>
              </w:rPr>
              <w:t>2.58%</w:t>
            </w:r>
          </w:p>
        </w:tc>
        <w:tc>
          <w:tcPr>
            <w:vAlign w:val="center"/>
          </w:tcPr>
          <w:p>
            <w:pPr>
              <w:jc w:val="right"/>
            </w:pPr>
            <w:r>
              <w:rPr>
                <w:rFonts w:eastAsiaTheme="minorEastAsia"/>
                <w:color w:themeColor="text1" w:val="000000"/>
                <w:szCs w:val="21"/>
              </w:rPr>
              <w:t>-0.03%</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7.56%</w:t>
            </w:r>
          </w:p>
        </w:tc>
        <w:tc>
          <w:tcPr>
            <w:vAlign w:val="center"/>
          </w:tcPr>
          <w:p>
            <w:pPr>
              <w:jc w:val="right"/>
            </w:pPr>
            <w:r>
              <w:rPr>
                <w:rFonts w:eastAsiaTheme="minorEastAsia"/>
                <w:color w:themeColor="text1" w:val="000000"/>
                <w:szCs w:val="21"/>
              </w:rPr>
              <w:t>0.24%</w:t>
            </w:r>
          </w:p>
        </w:tc>
        <w:tc>
          <w:tcPr>
            <w:vAlign w:val="center"/>
          </w:tcPr>
          <w:p>
            <w:pPr>
              <w:jc w:val="right"/>
            </w:pPr>
            <w:r>
              <w:rPr>
                <w:rFonts w:eastAsiaTheme="minorEastAsia"/>
                <w:color w:themeColor="text1" w:val="000000"/>
                <w:szCs w:val="21"/>
              </w:rPr>
              <w:t>4.23%</w:t>
            </w:r>
          </w:p>
        </w:tc>
        <w:tc>
          <w:tcPr>
            <w:vAlign w:val="center"/>
          </w:tcPr>
          <w:p>
            <w:pPr>
              <w:jc w:val="right"/>
            </w:pPr>
            <w:r>
              <w:rPr>
                <w:rFonts w:eastAsiaTheme="minorEastAsia"/>
                <w:color w:themeColor="text1" w:val="000000"/>
                <w:szCs w:val="21"/>
              </w:rPr>
              <w:t>0.26%</w:t>
            </w:r>
          </w:p>
        </w:tc>
        <w:tc>
          <w:tcPr>
            <w:vAlign w:val="center"/>
          </w:tcPr>
          <w:p>
            <w:pPr>
              <w:jc w:val="right"/>
            </w:pPr>
            <w:r>
              <w:rPr>
                <w:rFonts w:eastAsiaTheme="minorEastAsia"/>
                <w:color w:themeColor="text1" w:val="000000"/>
                <w:szCs w:val="21"/>
              </w:rPr>
              <w:t>3.33%</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15.39%</w:t>
            </w:r>
          </w:p>
        </w:tc>
        <w:tc>
          <w:tcPr>
            <w:vAlign w:val="center"/>
          </w:tcPr>
          <w:p>
            <w:pPr>
              <w:jc w:val="right"/>
            </w:pPr>
            <w:r>
              <w:rPr>
                <w:rFonts w:eastAsiaTheme="minorEastAsia"/>
                <w:color w:themeColor="text1" w:val="000000"/>
                <w:szCs w:val="21"/>
              </w:rPr>
              <w:t>0.26%</w:t>
            </w:r>
          </w:p>
        </w:tc>
        <w:tc>
          <w:tcPr>
            <w:vAlign w:val="center"/>
          </w:tcPr>
          <w:p>
            <w:pPr>
              <w:jc w:val="right"/>
            </w:pPr>
            <w:r>
              <w:rPr>
                <w:rFonts w:eastAsiaTheme="minorEastAsia"/>
                <w:color w:themeColor="text1" w:val="000000"/>
                <w:szCs w:val="21"/>
              </w:rPr>
              <w:t>6.42%</w:t>
            </w:r>
          </w:p>
        </w:tc>
        <w:tc>
          <w:tcPr>
            <w:vAlign w:val="center"/>
          </w:tcPr>
          <w:p>
            <w:pPr>
              <w:jc w:val="right"/>
            </w:pPr>
            <w:r>
              <w:rPr>
                <w:rFonts w:eastAsiaTheme="minorEastAsia"/>
                <w:color w:themeColor="text1" w:val="000000"/>
                <w:szCs w:val="21"/>
              </w:rPr>
              <w:t>0.26%</w:t>
            </w:r>
          </w:p>
        </w:tc>
        <w:tc>
          <w:tcPr>
            <w:vAlign w:val="center"/>
          </w:tcPr>
          <w:p>
            <w:pPr>
              <w:jc w:val="right"/>
            </w:pPr>
            <w:r>
              <w:rPr>
                <w:rFonts w:eastAsiaTheme="minorEastAsia"/>
                <w:color w:themeColor="text1" w:val="000000"/>
                <w:szCs w:val="21"/>
              </w:rPr>
              <w:t>8.97%</w:t>
            </w:r>
          </w:p>
        </w:tc>
        <w:tc>
          <w:tcPr>
            <w:vAlign w:val="center"/>
          </w:tcPr>
          <w:p>
            <w:pPr>
              <w:jc w:val="right"/>
            </w:pPr>
            <w:r>
              <w:rPr>
                <w:rFonts w:eastAsiaTheme="minorEastAsia"/>
                <w:color w:themeColor="text1" w:val="000000"/>
                <w:szCs w:val="21"/>
              </w:rPr>
              <w:t>0.00%</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23.84%</w:t>
            </w:r>
          </w:p>
        </w:tc>
        <w:tc>
          <w:tcPr>
            <w:vAlign w:val="center"/>
          </w:tcPr>
          <w:p>
            <w:pPr>
              <w:jc w:val="right"/>
            </w:pPr>
            <w:r>
              <w:rPr>
                <w:rFonts w:eastAsiaTheme="minorEastAsia"/>
                <w:color w:themeColor="text1" w:val="000000"/>
                <w:szCs w:val="21"/>
              </w:rPr>
              <w:t>0.25%</w:t>
            </w:r>
          </w:p>
        </w:tc>
        <w:tc>
          <w:tcPr>
            <w:vAlign w:val="center"/>
          </w:tcPr>
          <w:p>
            <w:pPr>
              <w:jc w:val="right"/>
            </w:pPr>
            <w:r>
              <w:rPr>
                <w:rFonts w:eastAsiaTheme="minorEastAsia"/>
                <w:color w:themeColor="text1" w:val="000000"/>
                <w:szCs w:val="21"/>
              </w:rPr>
              <w:t>14.26%</w:t>
            </w:r>
          </w:p>
        </w:tc>
        <w:tc>
          <w:tcPr>
            <w:vAlign w:val="center"/>
          </w:tcPr>
          <w:p>
            <w:pPr>
              <w:jc w:val="right"/>
            </w:pPr>
            <w:r>
              <w:rPr>
                <w:rFonts w:eastAsiaTheme="minorEastAsia"/>
                <w:color w:themeColor="text1" w:val="000000"/>
                <w:szCs w:val="21"/>
              </w:rPr>
              <w:t>0.27%</w:t>
            </w:r>
          </w:p>
        </w:tc>
        <w:tc>
          <w:tcPr>
            <w:vAlign w:val="center"/>
          </w:tcPr>
          <w:p>
            <w:pPr>
              <w:jc w:val="right"/>
            </w:pPr>
            <w:r>
              <w:rPr>
                <w:rFonts w:eastAsiaTheme="minorEastAsia"/>
                <w:color w:themeColor="text1" w:val="000000"/>
                <w:szCs w:val="21"/>
              </w:rPr>
              <w:t>9.58%</w:t>
            </w:r>
          </w:p>
        </w:tc>
        <w:tc>
          <w:tcPr>
            <w:vAlign w:val="center"/>
          </w:tcPr>
          <w:p>
            <w:pPr>
              <w:jc w:val="right"/>
            </w:pPr>
            <w:r>
              <w:rPr>
                <w:rFonts w:eastAsiaTheme="minorEastAsia"/>
                <w:color w:themeColor="text1" w:val="000000"/>
                <w:szCs w:val="21"/>
              </w:rPr>
              <w:t>-0.02%</w:t>
            </w:r>
          </w:p>
        </w:tc>
      </w:tr>
    </w:tbl>
    <w:p w14:paraId="1AC087F9" w14:textId="77777777" w:rsidR="005E6DF3" w:rsidRDefault="005C671B">
      <w:pPr>
        <w:adjustRightInd w:val="0"/>
        <w:spacing w:before="312" w:beforeLines="100" w:line="360" w:lineRule="auto"/>
        <w:rPr>
          <w:rFonts w:eastAsiaTheme="minorEastAsia"/>
          <w:b/>
          <w:color w:themeColor="text1" w:val="000000"/>
          <w:kern w:val="0"/>
          <w:szCs w:val="21"/>
        </w:rPr>
      </w:pPr>
      <w:r>
        <w:rPr>
          <w:rFonts w:eastAsiaTheme="minorEastAsia"/>
          <w:b/>
          <w:color w:themeColor="text1" w:val="000000"/>
          <w:szCs w:val="21"/>
        </w:rPr>
        <w:lastRenderedPageBreak/>
        <w:t>2</w:t>
      </w:r>
      <w:r>
        <w:rPr>
          <w:rFonts w:eastAsiaTheme="minorEastAsia"/>
          <w:b/>
          <w:color w:themeColor="text1" w:val="000000"/>
          <w:szCs w:val="21"/>
        </w:rPr>
        <w:t>、</w:t>
      </w:r>
      <w:r>
        <w:rPr>
          <w:rFonts w:eastAsiaTheme="minorEastAsia"/>
          <w:b/>
          <w:color w:themeColor="text1" w:val="000000"/>
          <w:kern w:val="0"/>
          <w:szCs w:val="21"/>
        </w:rPr>
        <w:t>上投摩根安隆回报混合C</w:t>
      </w:r>
      <w:r>
        <w:rPr>
          <w:rFonts w:eastAsiaTheme="minorEastAsia"/>
          <w:b/>
          <w:color w:themeColor="text1" w:val="000000"/>
          <w:kern w:val="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4F26FCF0" w14:textId="77777777" w:rsidR="005E6DF3">
        <w:tc>
          <w:tcPr>
            <w:tcW w:type="dxa" w:w="1290"/>
            <w:vAlign w:val="center"/>
          </w:tcPr>
          <w:p w14:paraId="672D1BAB"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88B6283"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264F0AF1"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416380B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214EAD8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6264BA5C"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4D4E47D8"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4.08%</w:t>
            </w:r>
          </w:p>
        </w:tc>
        <w:tc>
          <w:tcPr>
            <w:vAlign w:val="center"/>
          </w:tcPr>
          <w:p>
            <w:pPr>
              <w:jc w:val="right"/>
            </w:pPr>
            <w:r>
              <w:rPr>
                <w:rFonts w:eastAsiaTheme="minorEastAsia"/>
                <w:color w:themeColor="text1" w:val="000000"/>
                <w:szCs w:val="21"/>
              </w:rPr>
              <w:t>0.28%</w:t>
            </w:r>
          </w:p>
        </w:tc>
        <w:tc>
          <w:tcPr>
            <w:vAlign w:val="center"/>
          </w:tcPr>
          <w:p>
            <w:pPr>
              <w:jc w:val="right"/>
            </w:pPr>
            <w:r>
              <w:rPr>
                <w:rFonts w:eastAsiaTheme="minorEastAsia"/>
                <w:color w:themeColor="text1" w:val="000000"/>
                <w:szCs w:val="21"/>
              </w:rPr>
              <w:t>1.57%</w:t>
            </w:r>
          </w:p>
        </w:tc>
        <w:tc>
          <w:tcPr>
            <w:vAlign w:val="center"/>
          </w:tcPr>
          <w:p>
            <w:pPr>
              <w:jc w:val="right"/>
            </w:pPr>
            <w:r>
              <w:rPr>
                <w:rFonts w:eastAsiaTheme="minorEastAsia"/>
                <w:color w:themeColor="text1" w:val="000000"/>
                <w:szCs w:val="21"/>
              </w:rPr>
              <w:t>0.31%</w:t>
            </w:r>
          </w:p>
        </w:tc>
        <w:tc>
          <w:tcPr>
            <w:vAlign w:val="center"/>
          </w:tcPr>
          <w:p>
            <w:pPr>
              <w:jc w:val="right"/>
            </w:pPr>
            <w:r>
              <w:rPr>
                <w:rFonts w:eastAsiaTheme="minorEastAsia"/>
                <w:color w:themeColor="text1" w:val="000000"/>
                <w:szCs w:val="21"/>
              </w:rPr>
              <w:t>2.51%</w:t>
            </w:r>
          </w:p>
        </w:tc>
        <w:tc>
          <w:tcPr>
            <w:vAlign w:val="center"/>
          </w:tcPr>
          <w:p>
            <w:pPr>
              <w:jc w:val="right"/>
            </w:pPr>
            <w:r>
              <w:rPr>
                <w:rFonts w:eastAsiaTheme="minorEastAsia"/>
                <w:color w:themeColor="text1" w:val="000000"/>
                <w:szCs w:val="21"/>
              </w:rPr>
              <w:t>-0.03%</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7.39%</w:t>
            </w:r>
          </w:p>
        </w:tc>
        <w:tc>
          <w:tcPr>
            <w:vAlign w:val="center"/>
          </w:tcPr>
          <w:p>
            <w:pPr>
              <w:jc w:val="right"/>
            </w:pPr>
            <w:r>
              <w:rPr>
                <w:rFonts w:eastAsiaTheme="minorEastAsia"/>
                <w:color w:themeColor="text1" w:val="000000"/>
                <w:szCs w:val="21"/>
              </w:rPr>
              <w:t>0.23%</w:t>
            </w:r>
          </w:p>
        </w:tc>
        <w:tc>
          <w:tcPr>
            <w:vAlign w:val="center"/>
          </w:tcPr>
          <w:p>
            <w:pPr>
              <w:jc w:val="right"/>
            </w:pPr>
            <w:r>
              <w:rPr>
                <w:rFonts w:eastAsiaTheme="minorEastAsia"/>
                <w:color w:themeColor="text1" w:val="000000"/>
                <w:szCs w:val="21"/>
              </w:rPr>
              <w:t>4.23%</w:t>
            </w:r>
          </w:p>
        </w:tc>
        <w:tc>
          <w:tcPr>
            <w:vAlign w:val="center"/>
          </w:tcPr>
          <w:p>
            <w:pPr>
              <w:jc w:val="right"/>
            </w:pPr>
            <w:r>
              <w:rPr>
                <w:rFonts w:eastAsiaTheme="minorEastAsia"/>
                <w:color w:themeColor="text1" w:val="000000"/>
                <w:szCs w:val="21"/>
              </w:rPr>
              <w:t>0.26%</w:t>
            </w:r>
          </w:p>
        </w:tc>
        <w:tc>
          <w:tcPr>
            <w:vAlign w:val="center"/>
          </w:tcPr>
          <w:p>
            <w:pPr>
              <w:jc w:val="right"/>
            </w:pPr>
            <w:r>
              <w:rPr>
                <w:rFonts w:eastAsiaTheme="minorEastAsia"/>
                <w:color w:themeColor="text1" w:val="000000"/>
                <w:szCs w:val="21"/>
              </w:rPr>
              <w:t>3.16%</w:t>
            </w:r>
          </w:p>
        </w:tc>
        <w:tc>
          <w:tcPr>
            <w:vAlign w:val="center"/>
          </w:tcPr>
          <w:p>
            <w:pPr>
              <w:jc w:val="right"/>
            </w:pPr>
            <w:r>
              <w:rPr>
                <w:rFonts w:eastAsiaTheme="minorEastAsia"/>
                <w:color w:themeColor="text1" w:val="000000"/>
                <w:szCs w:val="21"/>
              </w:rPr>
              <w:t>-0.03%</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15.04%</w:t>
            </w:r>
          </w:p>
        </w:tc>
        <w:tc>
          <w:tcPr>
            <w:vAlign w:val="center"/>
          </w:tcPr>
          <w:p>
            <w:pPr>
              <w:jc w:val="right"/>
            </w:pPr>
            <w:r>
              <w:rPr>
                <w:rFonts w:eastAsiaTheme="minorEastAsia"/>
                <w:color w:themeColor="text1" w:val="000000"/>
                <w:szCs w:val="21"/>
              </w:rPr>
              <w:t>0.26%</w:t>
            </w:r>
          </w:p>
        </w:tc>
        <w:tc>
          <w:tcPr>
            <w:vAlign w:val="center"/>
          </w:tcPr>
          <w:p>
            <w:pPr>
              <w:jc w:val="right"/>
            </w:pPr>
            <w:r>
              <w:rPr>
                <w:rFonts w:eastAsiaTheme="minorEastAsia"/>
                <w:color w:themeColor="text1" w:val="000000"/>
                <w:szCs w:val="21"/>
              </w:rPr>
              <w:t>6.42%</w:t>
            </w:r>
          </w:p>
        </w:tc>
        <w:tc>
          <w:tcPr>
            <w:vAlign w:val="center"/>
          </w:tcPr>
          <w:p>
            <w:pPr>
              <w:jc w:val="right"/>
            </w:pPr>
            <w:r>
              <w:rPr>
                <w:rFonts w:eastAsiaTheme="minorEastAsia"/>
                <w:color w:themeColor="text1" w:val="000000"/>
                <w:szCs w:val="21"/>
              </w:rPr>
              <w:t>0.26%</w:t>
            </w:r>
          </w:p>
        </w:tc>
        <w:tc>
          <w:tcPr>
            <w:vAlign w:val="center"/>
          </w:tcPr>
          <w:p>
            <w:pPr>
              <w:jc w:val="right"/>
            </w:pPr>
            <w:r>
              <w:rPr>
                <w:rFonts w:eastAsiaTheme="minorEastAsia"/>
                <w:color w:themeColor="text1" w:val="000000"/>
                <w:szCs w:val="21"/>
              </w:rPr>
              <w:t>8.62%</w:t>
            </w:r>
          </w:p>
        </w:tc>
        <w:tc>
          <w:tcPr>
            <w:vAlign w:val="center"/>
          </w:tcPr>
          <w:p>
            <w:pPr>
              <w:jc w:val="right"/>
            </w:pPr>
            <w:r>
              <w:rPr>
                <w:rFonts w:eastAsiaTheme="minorEastAsia"/>
                <w:color w:themeColor="text1" w:val="000000"/>
                <w:szCs w:val="21"/>
              </w:rPr>
              <w:t>0.00%</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22.76%</w:t>
            </w:r>
          </w:p>
        </w:tc>
        <w:tc>
          <w:tcPr>
            <w:vAlign w:val="center"/>
          </w:tcPr>
          <w:p>
            <w:pPr>
              <w:jc w:val="right"/>
            </w:pPr>
            <w:r>
              <w:rPr>
                <w:rFonts w:eastAsiaTheme="minorEastAsia"/>
                <w:color w:themeColor="text1" w:val="000000"/>
                <w:szCs w:val="21"/>
              </w:rPr>
              <w:t>0.25%</w:t>
            </w:r>
          </w:p>
        </w:tc>
        <w:tc>
          <w:tcPr>
            <w:vAlign w:val="center"/>
          </w:tcPr>
          <w:p>
            <w:pPr>
              <w:jc w:val="right"/>
            </w:pPr>
            <w:r>
              <w:rPr>
                <w:rFonts w:eastAsiaTheme="minorEastAsia"/>
                <w:color w:themeColor="text1" w:val="000000"/>
                <w:szCs w:val="21"/>
              </w:rPr>
              <w:t>14.26%</w:t>
            </w:r>
          </w:p>
        </w:tc>
        <w:tc>
          <w:tcPr>
            <w:vAlign w:val="center"/>
          </w:tcPr>
          <w:p>
            <w:pPr>
              <w:jc w:val="right"/>
            </w:pPr>
            <w:r>
              <w:rPr>
                <w:rFonts w:eastAsiaTheme="minorEastAsia"/>
                <w:color w:themeColor="text1" w:val="000000"/>
                <w:szCs w:val="21"/>
              </w:rPr>
              <w:t>0.27%</w:t>
            </w:r>
          </w:p>
        </w:tc>
        <w:tc>
          <w:tcPr>
            <w:vAlign w:val="center"/>
          </w:tcPr>
          <w:p>
            <w:pPr>
              <w:jc w:val="right"/>
            </w:pPr>
            <w:r>
              <w:rPr>
                <w:rFonts w:eastAsiaTheme="minorEastAsia"/>
                <w:color w:themeColor="text1" w:val="000000"/>
                <w:szCs w:val="21"/>
              </w:rPr>
              <w:t>8.50%</w:t>
            </w:r>
          </w:p>
        </w:tc>
        <w:tc>
          <w:tcPr>
            <w:vAlign w:val="center"/>
          </w:tcPr>
          <w:p>
            <w:pPr>
              <w:jc w:val="right"/>
            </w:pPr>
            <w:r>
              <w:rPr>
                <w:rFonts w:eastAsiaTheme="minorEastAsia"/>
                <w:color w:themeColor="text1" w:val="000000"/>
                <w:szCs w:val="21"/>
              </w:rPr>
              <w:t>-0.02%</w:t>
            </w:r>
          </w:p>
        </w:tc>
      </w:tr>
    </w:tbl>
    <w:p w14:paraId="4474696C"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3.2.2</w:t>
      </w:r>
      <w:r>
        <w:rPr>
          <w:rFonts w:eastAsiaTheme="minorEastAsia"/>
          <w:b/>
          <w:color w:themeColor="text1" w:val="000000"/>
          <w:kern w:val="0"/>
          <w:szCs w:val="21"/>
        </w:rPr>
        <w:t xml:space="preserve">　</w:t>
      </w:r>
      <w:r>
        <w:rPr>
          <w:rStyle w:val="af5"/>
          <w:color w:themeColor="text1" w:val="000000"/>
          <w:szCs w:val="21"/>
          <w:shd w:color="auto" w:fill="FFFFFF" w:val="clear"/>
        </w:rPr>
        <w:t/>
      </w:r>
      <w:proofErr w:type="spellStart"/>
      <w:r>
        <w:rPr>
          <w:rStyle w:val="af5"/>
          <w:color w:themeColor="text1" w:val="000000"/>
          <w:szCs w:val="21"/>
          <w:shd w:color="auto" w:fill="FFFFFF" w:val="clear"/>
        </w:rPr>
        <w:t/>
      </w:r>
      <w:proofErr w:type="spellEnd"/>
      <w:r>
        <w:rPr>
          <w:rStyle w:val="af5"/>
          <w:color w:themeColor="text1" w:val="000000"/>
          <w:szCs w:val="21"/>
          <w:shd w:color="auto" w:fill="FFFFFF" w:val="clear"/>
        </w:rPr>
        <w:t>自基金合同生效以来</w:t>
      </w:r>
      <w:r>
        <w:rPr>
          <w:rFonts w:eastAsiaTheme="minorEastAsia"/>
          <w:b/>
          <w:color w:themeColor="text1" w:val="000000"/>
          <w:szCs w:val="21"/>
        </w:rPr>
        <w:t>基金累计净值增长率变动及其与同期业绩比较基准收益率变动的比较</w:t>
      </w:r>
    </w:p>
    <w:p w14:paraId="40FD344B" w14:textId="77777777" w:rsidR="005E6DF3" w:rsidRDefault="005C671B">
      <w:pPr>
        <w:spacing w:line="360" w:lineRule="auto"/>
        <w:jc w:val="center"/>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上投摩根安隆回报混合型证券投资基金</w:t>
      </w:r>
    </w:p>
    <w:p w14:paraId="4CCBF5D7" w14:textId="77777777" w:rsidR="005E6DF3" w:rsidRDefault="005C671B">
      <w:pPr>
        <w:pStyle w:val="a9"/>
        <w:snapToGrid w:val="0"/>
        <w:spacing w:line="360" w:lineRule="auto"/>
        <w:jc w:val="center"/>
        <w:rPr>
          <w:rFonts w:ascii="Times New Roman" w:eastAsiaTheme="minorEastAsia" w:hAnsi="Times New Roman"/>
          <w:color w:themeColor="text1" w:val="000000"/>
        </w:rPr>
      </w:pPr>
      <w:r>
        <w:rPr>
          <w:rFonts w:ascii="Times New Roman" w:eastAsiaTheme="minorEastAsia" w:hAnsi="Times New Roman"/>
          <w:color w:themeColor="text1" w:val="000000"/>
        </w:rPr>
        <w:t>累计净值增长率与业绩比较基准收益率的历史走势对比图</w:t>
      </w:r>
    </w:p>
    <w:p w14:paraId="47A315B7" w14:textId="77777777" w:rsidR="005E6DF3" w:rsidRDefault="005C671B">
      <w:pPr>
        <w:pStyle w:val="a9"/>
        <w:snapToGrid w:val="0"/>
        <w:spacing w:line="360" w:lineRule="auto"/>
        <w:ind w:firstLine="480"/>
        <w:jc w:val="center"/>
        <w:rPr>
          <w:rFonts w:ascii="Times New Roman" w:eastAsiaTheme="minorEastAsia" w:hAnsi="Times New Roman"/>
          <w:color w:themeColor="text1" w:val="000000"/>
        </w:rPr>
      </w:pPr>
      <w:r>
        <w:rPr>
          <w:rFonts w:ascii="Times New Roman" w:eastAsiaTheme="minorEastAsia" w:hAnsi="Times New Roman"/>
          <w:color w:themeColor="text1" w:val="000000"/>
        </w:rPr>
        <w:t>(</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2018年2月8日</w:t>
      </w:r>
      <w:r>
        <w:rPr>
          <w:rFonts w:ascii="Times New Roman" w:eastAsiaTheme="minorEastAsia" w:hAnsi="Times New Roman"/>
          <w:color w:themeColor="text1" w:val="000000"/>
        </w:rPr>
        <w:t>至</w:t>
      </w:r>
      <w:r>
        <w:rPr>
          <w:rFonts w:ascii="Times New Roman" w:eastAsiaTheme="minorEastAsia" w:hAnsi="Times New Roman"/>
          <w:color w:themeColor="text1" w:val="000000"/>
        </w:rPr>
        <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2020年9月30日)</w:t>
      </w:r>
    </w:p>
    <w:p w14:paraId="5684FACD" w14:textId="77777777" w:rsidR="005E6DF3" w:rsidRDefault="005C671B">
      <w:pPr>
        <w:snapToGrid w:val="0"/>
        <w:spacing w:line="360" w:lineRule="auto"/>
        <w:rPr>
          <w:rFonts w:eastAsiaTheme="minorEastAsia"/>
          <w:color w:themeColor="text1" w:val="000000"/>
          <w:szCs w:val="21"/>
        </w:rPr>
      </w:pPr>
      <w:r>
        <w:rPr>
          <w:rFonts w:eastAsiaTheme="minorEastAsia"/>
          <w:color w:themeColor="text1" w:val="000000"/>
          <w:szCs w:val="21"/>
        </w:rPr>
        <w:t>1</w:t>
      </w:r>
      <w:r>
        <w:rPr>
          <w:rFonts w:eastAsiaTheme="minorEastAsia"/>
          <w:color w:themeColor="text1" w:val="000000"/>
          <w:szCs w:val="21"/>
        </w:rPr>
        <w:t>．</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上投摩根安隆回报混合A</w:t>
      </w:r>
      <w:r>
        <w:rPr>
          <w:rFonts w:eastAsiaTheme="minorEastAsia"/>
          <w:color w:themeColor="text1" w:val="000000"/>
          <w:szCs w:val="21"/>
        </w:rPr>
        <w:t>：</w:t>
      </w:r>
    </w:p>
    <w:p w14:paraId="469664D6"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5E1D8726" wp14:editId="2DD6A0AF">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2" name="图片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注：本基金合同生效日为2018年2月8日，图示的时间段为2018年2月8日至2020年9月30日。</w:t>
      </w:r>
    </w:p>
    <w:p w14:paraId="12A741D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本基金建仓期自2018年2月8日至2018年8月7日，建仓期结束时资产配置比例符合本基金基金合同规定。</w:t>
      </w:r>
    </w:p>
    <w:p w14:paraId="359544EC" w14:textId="77777777" w:rsidR="005E6DF3" w:rsidRDefault="005C671B">
      <w:pPr>
        <w:snapToGrid w:val="0"/>
        <w:spacing w:before="312" w:beforeLines="100" w:line="360" w:lineRule="auto"/>
        <w:rPr>
          <w:rFonts w:eastAsiaTheme="minorEastAsia"/>
          <w:color w:themeColor="text1" w:val="000000"/>
          <w:szCs w:val="21"/>
        </w:rPr>
      </w:pPr>
      <w:r>
        <w:rPr>
          <w:rFonts w:eastAsiaTheme="minorEastAsia"/>
          <w:color w:themeColor="text1" w:val="000000"/>
          <w:szCs w:val="21"/>
        </w:rPr>
        <w:lastRenderedPageBreak/>
        <w:t>2</w:t>
      </w:r>
      <w:r>
        <w:rPr>
          <w:rFonts w:eastAsiaTheme="minorEastAsia"/>
          <w:color w:themeColor="text1" w:val="000000"/>
          <w:szCs w:val="21"/>
        </w:rPr>
        <w:t>．</w:t>
      </w:r>
      <w:r>
        <w:rPr>
          <w:rFonts w:eastAsiaTheme="minorEastAsia"/>
          <w:color w:themeColor="text1" w:val="000000"/>
          <w:szCs w:val="21"/>
        </w:rPr>
        <w:t>上投摩根安隆回报混合C</w:t>
      </w:r>
      <w:r>
        <w:rPr>
          <w:rFonts w:eastAsiaTheme="minorEastAsia"/>
          <w:color w:themeColor="text1" w:val="000000"/>
          <w:szCs w:val="21"/>
        </w:rPr>
        <w:t>：</w:t>
      </w:r>
    </w:p>
    <w:p w14:paraId="3A81E295"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1DDF3849" wp14:editId="177F12C7">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3" name="图片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注：本基金合同生效日为2018年2月8日，图示的时间段为2018年2月8日至2020年9月30日。</w:t>
      </w:r>
    </w:p>
    <w:p w14:paraId="23DE4798"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本基金建仓期自2018年2月8日至2018年8月7日，建仓期结束时资产配置比例符合本基金基金合同规定。</w:t>
      </w:r>
    </w:p>
    <w:p w14:paraId="2F6B8CB7" w14:textId="77777777" w:rsidR="005E6DF3" w:rsidRDefault="005E6DF3">
      <w:pPr>
        <w:tabs>
          <w:tab w:pos="1800" w:val="left"/>
        </w:tabs>
        <w:spacing w:line="288" w:lineRule="auto"/>
        <w:rPr>
          <w:rFonts w:eastAsiaTheme="minorEastAsia"/>
          <w:color w:themeColor="text1" w:val="000000"/>
          <w:szCs w:val="21"/>
        </w:rPr>
      </w:pPr>
    </w:p>
    <w:p w14:paraId="0A3FD3B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§4  </w:t>
      </w:r>
      <w:r>
        <w:rPr>
          <w:rFonts w:eastAsiaTheme="minorEastAsia"/>
          <w:color w:themeColor="text1" w:val="000000"/>
          <w:kern w:val="0"/>
          <w:sz w:val="21"/>
          <w:szCs w:val="21"/>
        </w:rPr>
        <w:t>管理人报告</w:t>
      </w:r>
    </w:p>
    <w:p w14:paraId="4DA9D74A"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4.1 </w:t>
      </w:r>
      <w:r>
        <w:rPr>
          <w:rFonts w:eastAsiaTheme="minorEastAsia"/>
          <w:b/>
          <w:color w:themeColor="text1" w:val="000000"/>
          <w:kern w:val="0"/>
          <w:szCs w:val="21"/>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52"/>
        <w:gridCol w:w="930"/>
        <w:gridCol w:w="1210"/>
        <w:gridCol w:w="1309"/>
        <w:gridCol w:w="1254"/>
        <w:gridCol w:w="3276"/>
      </w:tblGrid>
      <w:tr w14:paraId="1C0327D8" w14:textId="77777777" w:rsidR="005E6DF3">
        <w:tc>
          <w:tcPr>
            <w:tcW w:type="dxa" w:w="952"/>
            <w:vMerge w:val="restart"/>
            <w:vAlign w:val="center"/>
          </w:tcPr>
          <w:p w14:paraId="07B51A7D"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lastRenderedPageBreak/>
              <w:t>姓名</w:t>
            </w:r>
          </w:p>
        </w:tc>
        <w:tc>
          <w:tcPr>
            <w:tcW w:type="dxa" w:w="930"/>
            <w:vMerge w:val="restart"/>
            <w:vAlign w:val="center"/>
          </w:tcPr>
          <w:p w14:paraId="49C5D06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职务</w:t>
            </w:r>
          </w:p>
        </w:tc>
        <w:tc>
          <w:tcPr>
            <w:tcW w:type="dxa" w:w="2519"/>
            <w:gridSpan w:val="2"/>
            <w:vAlign w:val="center"/>
          </w:tcPr>
          <w:p w14:paraId="44D8D29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proofErr w:type="gramStart"/>
            <w:r>
              <w:rPr>
                <w:rFonts w:eastAsiaTheme="minorEastAsia"/>
                <w:color w:themeColor="text1" w:val="000000"/>
                <w:kern w:val="0"/>
                <w:szCs w:val="21"/>
              </w:rPr>
              <w:t>任本基金</w:t>
            </w:r>
            <w:proofErr w:type="gramEnd"/>
            <w:r>
              <w:rPr>
                <w:rFonts w:eastAsiaTheme="minorEastAsia"/>
                <w:color w:themeColor="text1" w:val="000000"/>
                <w:kern w:val="0"/>
                <w:szCs w:val="21"/>
              </w:rPr>
              <w:t>的基金经理期限</w:t>
            </w:r>
          </w:p>
        </w:tc>
        <w:tc>
          <w:tcPr>
            <w:tcW w:type="dxa" w:w="1254"/>
            <w:vMerge w:val="restart"/>
            <w:vAlign w:val="center"/>
          </w:tcPr>
          <w:p w14:paraId="4D13B628"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证券从业年限</w:t>
            </w:r>
          </w:p>
        </w:tc>
        <w:tc>
          <w:tcPr>
            <w:tcW w:type="dxa" w:w="3276"/>
            <w:vMerge w:val="restart"/>
            <w:vAlign w:val="center"/>
          </w:tcPr>
          <w:p w14:paraId="08400B6E"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说明</w:t>
            </w:r>
          </w:p>
        </w:tc>
      </w:tr>
      <w:tr w14:paraId="7C241B5B" w14:textId="77777777" w:rsidR="005E6DF3">
        <w:tc>
          <w:tcPr>
            <w:tcW w:type="dxa" w:w="952"/>
            <w:vMerge/>
            <w:vAlign w:val="center"/>
          </w:tcPr>
          <w:p w14:paraId="401C5BBE"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930"/>
            <w:vMerge/>
          </w:tcPr>
          <w:p w14:paraId="1AF84C70"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1210"/>
            <w:vAlign w:val="center"/>
          </w:tcPr>
          <w:p w14:paraId="429911F2"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任职日期</w:t>
            </w:r>
          </w:p>
        </w:tc>
        <w:tc>
          <w:tcPr>
            <w:tcW w:type="dxa" w:w="1309"/>
            <w:vAlign w:val="center"/>
          </w:tcPr>
          <w:p w14:paraId="05523FAB"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离任日期</w:t>
            </w:r>
          </w:p>
        </w:tc>
        <w:tc>
          <w:tcPr>
            <w:tcW w:type="dxa" w:w="1254"/>
            <w:vMerge/>
            <w:vAlign w:val="center"/>
          </w:tcPr>
          <w:p w14:paraId="3F6132ED"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3276"/>
            <w:vMerge/>
            <w:vAlign w:val="center"/>
          </w:tcPr>
          <w:p w14:paraId="0EEB8398"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陈圆明</w:t>
            </w:r>
          </w:p>
        </w:tc>
        <w:tc>
          <w:tcPr>
            <w:vAlign w:val="center"/>
          </w:tcPr>
          <w:p>
            <w:pPr>
              <w:jc w:val="center"/>
            </w:pPr>
            <w:r>
              <w:rPr>
                <w:rFonts w:eastAsiaTheme="minorEastAsia"/>
                <w:color w:themeColor="text1" w:val="000000"/>
                <w:szCs w:val="21"/>
              </w:rPr>
              <w:t>本基金基金经理、绝对收益投资部总监</w:t>
            </w:r>
          </w:p>
        </w:tc>
        <w:tc>
          <w:tcPr>
            <w:vAlign w:val="center"/>
          </w:tcPr>
          <w:p>
            <w:pPr>
              <w:jc w:val="center"/>
            </w:pPr>
            <w:r>
              <w:rPr>
                <w:rFonts w:eastAsiaTheme="minorEastAsia"/>
                <w:color w:themeColor="text1" w:val="000000"/>
                <w:szCs w:val="21"/>
              </w:rPr>
              <w:t>2019-04-12</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11年</w:t>
            </w:r>
          </w:p>
        </w:tc>
        <w:tc>
          <w:tcPr>
            <w:vAlign w:val="center"/>
          </w:tcPr>
          <w:p>
            <w:pPr>
              <w:jc w:val="both"/>
            </w:pPr>
            <w:r>
              <w:rPr>
                <w:rFonts w:eastAsiaTheme="minorEastAsia"/>
                <w:color w:themeColor="text1" w:val="000000"/>
                <w:szCs w:val="21"/>
              </w:rPr>
              <w:t>陈圆明先生，自2009年7月至2010年6月在东海证券有限责任公司任研究员；2010年7月至2011年8月在国联安基金管理有限公司任研究员；2011年8月至2014年9月在国投瑞银基金管理有限公司任研究员、投资经理；2014年9月至2019年2月在鹏华基金管理有限公司任投资经理、绝对收益副总监；2019年2月起加入上投摩根基金管理有限公司，现担任绝对收益投资部总监兼基金经理；自2019年4月起同时担任上投摩根安裕回报混合型证券投资基金和上投摩根安隆回报混合型证券投资基金基金经理，自2019年11月起同时担任上投摩根强化回报债券型证券投资基金基金经理。</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注：1. 任职日期和离任日期均指根据公司决定确定的聘任日期和解聘日期。</w:t>
      </w:r>
    </w:p>
    <w:p w14:paraId="7F8F15EC" w14:textId="03B4A669"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2. 证券从业的含义遵从行业协会《证券业从业人员资格管理办法》的相关规定。</w:t>
      </w:r>
    </w:p>
    <w:p w14:paraId="2F490D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lastRenderedPageBreak/>
        <w:t>4.2</w:t>
      </w:r>
      <w:r>
        <w:rPr>
          <w:rFonts w:eastAsiaTheme="minorEastAsia" w:hint="eastAsia"/>
          <w:b/>
          <w:color w:themeColor="text1" w:val="000000"/>
          <w:kern w:val="0"/>
          <w:szCs w:val="21"/>
        </w:rPr>
        <w:t>管理人对报告期内本基金运作遵规守信情况的说明</w:t>
      </w:r>
    </w:p>
    <w:p w14:paraId="20A8009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安隆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14:paraId="682C2D65"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4.3 </w:t>
      </w:r>
      <w:r>
        <w:rPr>
          <w:rFonts w:eastAsiaTheme="minorEastAsia"/>
          <w:b/>
          <w:color w:themeColor="text1" w:val="000000"/>
          <w:kern w:val="0"/>
          <w:szCs w:val="21"/>
        </w:rPr>
        <w:t>公平交易专项说明</w:t>
      </w:r>
    </w:p>
    <w:p w14:paraId="01D67BE6"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4.3.1 </w:t>
      </w:r>
      <w:r>
        <w:rPr>
          <w:rFonts w:eastAsiaTheme="minorEastAsia"/>
          <w:color w:themeColor="text1" w:val="000000"/>
          <w:szCs w:val="21"/>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C5BD1DE"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w:t>
      </w:r>
    </w:p>
    <w:p w14:paraId="098EE4AE"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4.3.2 </w:t>
      </w:r>
      <w:r>
        <w:rPr>
          <w:rFonts w:eastAsiaTheme="minorEastAsia"/>
          <w:color w:themeColor="text1" w:val="000000"/>
          <w:szCs w:val="21"/>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w:t>
      </w:r>
    </w:p>
    <w:p w14:paraId="49E7A61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所有投资组合参与的交易所公开竞价同日反向交易成交较少的单边交易量超过该证券当日成交量的5%的情形：无。</w:t>
      </w:r>
    </w:p>
    <w:p w14:paraId="56DB0FF3"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4.4 </w:t>
      </w:r>
      <w:r>
        <w:rPr>
          <w:rFonts w:eastAsiaTheme="minorEastAsia"/>
          <w:b/>
          <w:color w:themeColor="text1" w:val="000000"/>
          <w:kern w:val="0"/>
          <w:szCs w:val="21"/>
        </w:rPr>
        <w:t>报告期内基金的投资策略和业绩表现说明</w:t>
      </w:r>
    </w:p>
    <w:p w14:paraId="2CFFD072"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4.4.1</w:t>
      </w:r>
      <w:r>
        <w:rPr>
          <w:rFonts w:eastAsiaTheme="minorEastAsia"/>
          <w:color w:themeColor="text1" w:val="000000"/>
          <w:szCs w:val="21"/>
        </w:rPr>
        <w:t>报告期内基金投资策略和运作分析</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2020年三季度，海外经济修复超预期：尤其是房地产板块超预期，带动商品价格出现上涨。国内经济也伴随海外继续修复。风格上，我国坚持“房住不炒”，利用积极的财政政策。国债、地方债发行超预期，无风险利率上行。</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从中期来看，债市的配置价值凸显，然而短期内由于经济的复苏趋势，难现系统性的机会。长期角度，则需要考虑海外进一步的刺激政策落地的潜在风险。股票整体看估值优势减弱，短期内继续受益于经济的复苏。中期角度，因为无风险收益率的回升，指数系统性估值抬升的机会较小。考虑跨年度的机会，则需要关注资管新规落实带来的影响。</w:t>
      </w:r>
    </w:p>
    <w:p w14:paraId="6CEC5FDB"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展望第四季度，综合考虑盈利、流动性、估值等因素，预计股市、债市整体的系统性机会相较之前减少。考虑到年底的季节性效应，市场波动率可能会提升。组合将利用多资产平衡风险，争取更高的风险调整后回报。</w:t>
      </w:r>
    </w:p>
    <w:p w14:paraId="43264879"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4.4.2</w:t>
      </w:r>
      <w:r>
        <w:rPr>
          <w:rFonts w:eastAsiaTheme="minorEastAsia"/>
          <w:color w:themeColor="text1" w:val="000000"/>
          <w:szCs w:val="21"/>
        </w:rPr>
        <w:t>报告期内基金的业绩表现</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本报告期安隆回报A份额净值增长率为:4.15%，同期业绩比较基准收益率为:1.57%,</w:t>
      </w:r>
    </w:p>
    <w:p w14:paraId="2EB723C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安隆回报C份额净值增长率为:4.08%，同期业绩比较基准收益率为:1.57%。</w:t>
      </w:r>
    </w:p>
    <w:p w14:paraId="42E51AC8" w14:textId="77777777" w:rsidR="005E6DF3" w:rsidRDefault="005E6DF3">
      <w:pPr>
        <w:spacing w:line="360" w:lineRule="auto"/>
        <w:ind w:firstLine="420" w:firstLineChars="200"/>
        <w:rPr>
          <w:rFonts w:eastAsiaTheme="minorEastAsia"/>
          <w:color w:themeColor="text1" w:val="000000"/>
          <w:szCs w:val="21"/>
        </w:rPr>
      </w:pPr>
    </w:p>
    <w:p w14:paraId="3BD9E8DD" w14:textId="77777777" w:rsidR="005E6DF3" w:rsidRDefault="005C671B">
      <w:pPr>
        <w:spacing w:line="360" w:lineRule="auto"/>
        <w:rPr>
          <w:rFonts w:eastAsiaTheme="minorEastAsia"/>
          <w:color w:themeColor="text1" w:val="00000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4</w:t>
      </w:r>
      <w:r>
        <w:rPr>
          <w:rFonts w:eastAsiaTheme="minorEastAsia" w:hint="eastAsia"/>
          <w:b/>
          <w:color w:themeColor="text1" w:val="000000"/>
          <w:kern w:val="0"/>
          <w:szCs w:val="21"/>
        </w:rPr>
        <w:t>.5</w:t>
      </w:r>
      <w:r>
        <w:rPr>
          <w:rFonts w:asciiTheme="minorEastAsia" w:eastAsiaTheme="minorEastAsia" w:hAnsiTheme="minorEastAsia" w:hint="eastAsia"/>
          <w:b/>
          <w:color w:themeColor="text1" w:val="000000"/>
          <w:kern w:val="0"/>
          <w:szCs w:val="21"/>
        </w:rPr>
        <w:t>报告期内基金持有人数或基金资产净值预警说明</w:t>
      </w:r>
    </w:p>
    <w:p w14:paraId="31C74752" w14:textId="77777777" w:rsidR="005E6DF3" w:rsidRDefault="005C671B">
      <w:pPr>
        <w:spacing w:line="360" w:lineRule="auto"/>
        <w:ind w:firstLine="420" w:firstLineChars="200"/>
        <w:rPr>
          <w:rFonts w:eastAsiaTheme="minorEastAsia"/>
          <w:color w:themeColor="text1" w:val="000000"/>
          <w:kern w:val="0"/>
          <w:szCs w:val="21"/>
        </w:rPr>
      </w:pPr>
      <w:r>
        <w:rPr>
          <w:rFonts w:eastAsiaTheme="minorEastAsia"/>
          <w:color w:themeColor="text1" w:val="000000"/>
          <w:kern w:val="0"/>
          <w:szCs w:val="21"/>
        </w:rPr>
        <w:t/>
      </w:r>
      <w:r>
        <w:rPr>
          <w:rFonts w:eastAsiaTheme="minorEastAsia"/>
          <w:color w:themeColor="text1" w:val="000000"/>
          <w:szCs w:val="21"/>
        </w:rPr>
        <w:t/>
      </w:r>
      <w:r>
        <w:rPr>
          <w:rFonts w:eastAsiaTheme="minorEastAsia"/>
          <w:color w:themeColor="text1" w:val="000000"/>
          <w:kern w:val="0"/>
          <w:szCs w:val="21"/>
        </w:rPr>
        <w:t>无。</w:t>
      </w:r>
    </w:p>
    <w:p w14:paraId="4507D0E2" w14:textId="77777777" w:rsidR="005E6DF3" w:rsidRDefault="005E6DF3">
      <w:pPr>
        <w:spacing w:line="360" w:lineRule="auto"/>
        <w:ind w:firstLine="420" w:firstLineChars="200"/>
        <w:rPr>
          <w:rFonts w:asciiTheme="minorEastAsia" w:eastAsiaTheme="minorEastAsia" w:hAnsiTheme="minorEastAsia"/>
          <w:color w:themeColor="text1" w:val="000000"/>
          <w:szCs w:val="21"/>
        </w:rPr>
      </w:pPr>
    </w:p>
    <w:p w14:paraId="57E53B80"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§5  </w:t>
      </w:r>
      <w:r>
        <w:rPr>
          <w:rFonts w:eastAsiaTheme="minorEastAsia"/>
          <w:color w:themeColor="text1" w:val="000000"/>
          <w:kern w:val="0"/>
          <w:sz w:val="21"/>
          <w:szCs w:val="21"/>
        </w:rPr>
        <w:t>投资组合报告</w:t>
      </w:r>
    </w:p>
    <w:p w14:paraId="10288FB2"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5.1 </w:t>
      </w:r>
      <w:r>
        <w:rPr>
          <w:rFonts w:eastAsiaTheme="minorEastAsia"/>
          <w:b/>
          <w:color w:themeColor="text1" w:val="000000"/>
          <w:kern w:val="0"/>
          <w:szCs w:val="21"/>
        </w:rPr>
        <w:t>报告期末基金资产组合情况</w:t>
      </w:r>
    </w:p>
    <w:tbl>
      <w:tblPr>
        <w:tblStyle w:val="afa"/>
        <w:tblW w:type="dxa" w:w="8897"/>
        <w:tblInd w:type="dxa" w:w="108"/>
        <w:tblLayout w:type="fixed"/>
        <w:tblLook w:firstColumn="1" w:firstRow="1" w:lastColumn="0" w:lastRow="0" w:noHBand="0" w:noVBand="1" w:val="04A0"/>
      </w:tblPr>
      <w:tblGrid>
        <w:gridCol w:w="720"/>
        <w:gridCol w:w="3357"/>
        <w:gridCol w:w="2977"/>
        <w:gridCol w:w="1843"/>
      </w:tblGrid>
      <w:tr w14:paraId="04F818ED" w14:textId="77777777" w:rsidR="005E6DF3">
        <w:tc>
          <w:tcPr>
            <w:tcW w:type="dxa" w:w="720"/>
            <w:vAlign w:val="center"/>
          </w:tcPr>
          <w:p w14:paraId="7F1D4C3E"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3357"/>
            <w:vAlign w:val="center"/>
          </w:tcPr>
          <w:p w14:paraId="2202E9A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项目</w:t>
            </w:r>
          </w:p>
        </w:tc>
        <w:tc>
          <w:tcPr>
            <w:tcW w:type="dxa" w:w="2977"/>
            <w:vAlign w:val="center"/>
          </w:tcPr>
          <w:p w14:paraId="64CA5A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金额</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843"/>
            <w:vAlign w:val="center"/>
          </w:tcPr>
          <w:p w14:paraId="41F8E86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占基金总资产的比例</w:t>
            </w:r>
            <w:r>
              <w:rPr>
                <w:rFonts w:eastAsiaTheme="minorEastAsia"/>
                <w:color w:themeColor="text1" w:val="000000"/>
                <w:szCs w:val="21"/>
              </w:rPr>
              <w:t>(%)</w:t>
            </w:r>
          </w:p>
        </w:tc>
      </w:tr>
      <w:tr w14:paraId="4D7B2B5D" w14:textId="77777777" w:rsidR="005E6DF3">
        <w:tc>
          <w:tcPr>
            <w:tcW w:type="dxa" w:w="720"/>
            <w:vAlign w:val="center"/>
          </w:tcPr>
          <w:p w14:paraId="3CE0F2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357"/>
            <w:vAlign w:val="center"/>
          </w:tcPr>
          <w:p w14:paraId="1CBE074B"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权益投资</w:t>
            </w:r>
          </w:p>
        </w:tc>
        <w:tc>
          <w:tcPr>
            <w:tcW w:type="dxa" w:w="2977"/>
            <w:vAlign w:val="center"/>
          </w:tcPr>
          <w:p w14:paraId="412A7C3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221,994,483.43</w:t>
            </w:r>
          </w:p>
        </w:tc>
        <w:tc>
          <w:tcPr>
            <w:tcW w:type="dxa" w:w="1843"/>
            <w:vAlign w:val="center"/>
          </w:tcPr>
          <w:p w14:paraId="15ED58F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10.19</w:t>
            </w:r>
          </w:p>
        </w:tc>
      </w:tr>
      <w:tr w14:paraId="5988250B" w14:textId="77777777" w:rsidR="005E6DF3">
        <w:tc>
          <w:tcPr>
            <w:tcW w:type="dxa" w:w="720"/>
            <w:vAlign w:val="center"/>
          </w:tcPr>
          <w:p w14:paraId="093B5FA3"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5D0A351"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其中：股票</w:t>
            </w:r>
          </w:p>
        </w:tc>
        <w:tc>
          <w:tcPr>
            <w:tcW w:type="dxa" w:w="2977"/>
            <w:vAlign w:val="center"/>
          </w:tcPr>
          <w:p w14:paraId="70162F9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221,994,483.43</w:t>
            </w:r>
          </w:p>
        </w:tc>
        <w:tc>
          <w:tcPr>
            <w:tcW w:type="dxa" w:w="1843"/>
            <w:vAlign w:val="center"/>
          </w:tcPr>
          <w:p w14:paraId="1E2DAE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10.19</w:t>
            </w:r>
          </w:p>
        </w:tc>
      </w:tr>
      <w:tr w14:paraId="3E179D41" w14:textId="77777777" w:rsidR="005E6DF3">
        <w:tc>
          <w:tcPr>
            <w:tcW w:type="dxa" w:w="720"/>
            <w:vAlign w:val="center"/>
          </w:tcPr>
          <w:p w14:paraId="5701F45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357"/>
            <w:vAlign w:val="center"/>
          </w:tcPr>
          <w:p w14:paraId="01082D57"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固定收益投资</w:t>
            </w:r>
          </w:p>
        </w:tc>
        <w:tc>
          <w:tcPr>
            <w:tcW w:type="dxa" w:w="2977"/>
            <w:vAlign w:val="center"/>
          </w:tcPr>
          <w:p w14:paraId="31C013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1,324,290,963.92</w:t>
            </w:r>
          </w:p>
        </w:tc>
        <w:tc>
          <w:tcPr>
            <w:tcW w:type="dxa" w:w="1843"/>
            <w:vAlign w:val="center"/>
          </w:tcPr>
          <w:p w14:paraId="30C2D950"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60.77</w:t>
            </w:r>
          </w:p>
        </w:tc>
      </w:tr>
      <w:tr w14:paraId="3113CDC1" w14:textId="77777777" w:rsidR="005E6DF3">
        <w:tc>
          <w:tcPr>
            <w:tcW w:type="dxa" w:w="720"/>
            <w:vAlign w:val="center"/>
          </w:tcPr>
          <w:p w14:paraId="2AF897E0"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1DE732A9"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其中：债券</w:t>
            </w:r>
          </w:p>
        </w:tc>
        <w:tc>
          <w:tcPr>
            <w:tcW w:type="dxa" w:w="2977"/>
            <w:vAlign w:val="center"/>
          </w:tcPr>
          <w:p w14:paraId="498F3F6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1,324,290,963.92</w:t>
            </w:r>
          </w:p>
        </w:tc>
        <w:tc>
          <w:tcPr>
            <w:tcW w:type="dxa" w:w="1843"/>
            <w:vAlign w:val="center"/>
          </w:tcPr>
          <w:p w14:paraId="1780539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60.77</w:t>
            </w:r>
          </w:p>
        </w:tc>
      </w:tr>
      <w:tr w14:paraId="1B250BC9" w14:textId="77777777" w:rsidR="005E6DF3">
        <w:tc>
          <w:tcPr>
            <w:tcW w:type="dxa" w:w="720"/>
            <w:vAlign w:val="center"/>
          </w:tcPr>
          <w:p w14:paraId="5FC92F4A"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4282357" w14:textId="77777777" w:rsidR="005E6DF3" w:rsidRDefault="005C671B">
            <w:pPr>
              <w:autoSpaceDE w:val="0"/>
              <w:autoSpaceDN w:val="0"/>
              <w:adjustRightInd w:val="0"/>
              <w:spacing w:before="29" w:line="360" w:lineRule="auto"/>
              <w:ind w:firstLine="630" w:firstLineChars="300" w:left="17"/>
              <w:jc w:val="left"/>
              <w:rPr>
                <w:rFonts w:eastAsiaTheme="minorEastAsia"/>
                <w:color w:themeColor="text1" w:val="000000"/>
                <w:szCs w:val="21"/>
              </w:rPr>
            </w:pPr>
            <w:r>
              <w:rPr>
                <w:rFonts w:eastAsiaTheme="minorEastAsia"/>
                <w:color w:themeColor="text1" w:val="000000"/>
                <w:szCs w:val="21"/>
              </w:rPr>
              <w:t>资产支持证券</w:t>
            </w:r>
          </w:p>
        </w:tc>
        <w:tc>
          <w:tcPr>
            <w:tcW w:type="dxa" w:w="2977"/>
            <w:vAlign w:val="center"/>
          </w:tcPr>
          <w:p w14:paraId="52E0AB4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0189B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69CD0274" w14:textId="77777777" w:rsidR="005E6DF3">
        <w:tc>
          <w:tcPr>
            <w:tcW w:type="dxa" w:w="720"/>
          </w:tcPr>
          <w:p w14:paraId="7741CD7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357"/>
          </w:tcPr>
          <w:p w14:paraId="32738DCB" w14:textId="77777777" w:rsidR="005E6DF3" w:rsidRDefault="005C671B">
            <w:pPr>
              <w:spacing w:before="29" w:line="360" w:lineRule="auto"/>
              <w:ind w:left="105" w:leftChars="50"/>
              <w:rPr>
                <w:rFonts w:eastAsiaTheme="minorEastAsia"/>
                <w:color w:themeColor="text1" w:val="000000"/>
                <w:szCs w:val="21"/>
              </w:rPr>
            </w:pPr>
            <w:r>
              <w:rPr>
                <w:rFonts w:eastAsiaTheme="minorEastAsia"/>
                <w:color w:themeColor="text1" w:val="000000"/>
                <w:szCs w:val="21"/>
              </w:rPr>
              <w:t>贵金属投资</w:t>
            </w:r>
          </w:p>
        </w:tc>
        <w:tc>
          <w:tcPr>
            <w:tcW w:type="dxa" w:w="2977"/>
            <w:vAlign w:val="center"/>
          </w:tcPr>
          <w:p w14:paraId="1613767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3B5A023"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42434FE8" w14:textId="77777777" w:rsidR="005E6DF3">
        <w:tc>
          <w:tcPr>
            <w:tcW w:type="dxa" w:w="720"/>
            <w:vAlign w:val="center"/>
          </w:tcPr>
          <w:p w14:paraId="78E40EA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357"/>
            <w:vAlign w:val="center"/>
          </w:tcPr>
          <w:p w14:paraId="601225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金融衍生</w:t>
            </w:r>
            <w:proofErr w:type="gramStart"/>
            <w:r>
              <w:rPr>
                <w:rFonts w:eastAsiaTheme="minorEastAsia"/>
                <w:color w:themeColor="text1" w:val="000000"/>
                <w:szCs w:val="21"/>
              </w:rPr>
              <w:t>品投资</w:t>
            </w:r>
            <w:proofErr w:type="gramEnd"/>
          </w:p>
        </w:tc>
        <w:tc>
          <w:tcPr>
            <w:tcW w:type="dxa" w:w="2977"/>
            <w:vAlign w:val="center"/>
          </w:tcPr>
          <w:p w14:paraId="332E140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843"/>
            <w:vAlign w:val="center"/>
          </w:tcPr>
          <w:p w14:paraId="09C41416"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lastRenderedPageBreak/>
              <w:t/>
            </w:r>
            <w:r>
              <w:rPr>
                <w:rFonts w:eastAsiaTheme="minorEastAsia"/>
                <w:color w:themeColor="text1" w:val="000000"/>
                <w:szCs w:val="21"/>
              </w:rPr>
              <w:lastRenderedPageBreak/>
              <w:t>-</w:t>
            </w:r>
          </w:p>
        </w:tc>
      </w:tr>
      <w:tr w14:paraId="610CED91" w14:textId="77777777" w:rsidR="005E6DF3">
        <w:tc>
          <w:tcPr>
            <w:tcW w:type="dxa" w:w="720"/>
            <w:vAlign w:val="center"/>
          </w:tcPr>
          <w:p w14:paraId="2B5D4ECD"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357"/>
            <w:vAlign w:val="center"/>
          </w:tcPr>
          <w:p w14:paraId="35A4C7F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买入返售金融资产</w:t>
            </w:r>
          </w:p>
        </w:tc>
        <w:tc>
          <w:tcPr>
            <w:tcW w:type="dxa" w:w="2977"/>
            <w:vAlign w:val="center"/>
          </w:tcPr>
          <w:p w14:paraId="0D974E9B"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538,000,000.00</w:t>
            </w:r>
          </w:p>
        </w:tc>
        <w:tc>
          <w:tcPr>
            <w:tcW w:type="dxa" w:w="1843"/>
            <w:vAlign w:val="center"/>
          </w:tcPr>
          <w:p w14:paraId="00AF52E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24.69</w:t>
            </w:r>
          </w:p>
        </w:tc>
      </w:tr>
      <w:tr w14:paraId="1E6C851A" w14:textId="77777777" w:rsidR="005E6DF3">
        <w:tc>
          <w:tcPr>
            <w:tcW w:type="dxa" w:w="720"/>
            <w:vAlign w:val="center"/>
          </w:tcPr>
          <w:p w14:paraId="4802B89B"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2B70EA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其中：买断式回购的买入返售金融资产</w:t>
            </w:r>
          </w:p>
        </w:tc>
        <w:tc>
          <w:tcPr>
            <w:tcW w:type="dxa" w:w="2977"/>
            <w:vAlign w:val="center"/>
          </w:tcPr>
          <w:p w14:paraId="25F2418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c>
          <w:tcPr>
            <w:tcW w:type="dxa" w:w="1843"/>
            <w:vAlign w:val="center"/>
          </w:tcPr>
          <w:p w14:paraId="59C9667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4B6FB8F" w14:textId="77777777" w:rsidR="005E6DF3">
        <w:tc>
          <w:tcPr>
            <w:tcW w:type="dxa" w:w="720"/>
            <w:vAlign w:val="center"/>
          </w:tcPr>
          <w:p w14:paraId="443AEDD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357"/>
            <w:vAlign w:val="center"/>
          </w:tcPr>
          <w:p w14:paraId="23C24DAF"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银行存款和结算备付金合计</w:t>
            </w:r>
          </w:p>
        </w:tc>
        <w:tc>
          <w:tcPr>
            <w:tcW w:type="dxa" w:w="2977"/>
            <w:vAlign w:val="center"/>
          </w:tcPr>
          <w:p w14:paraId="702AF57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61,116,406.63</w:t>
            </w:r>
          </w:p>
        </w:tc>
        <w:tc>
          <w:tcPr>
            <w:tcW w:type="dxa" w:w="1843"/>
            <w:vAlign w:val="center"/>
          </w:tcPr>
          <w:p w14:paraId="3B1877C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2.80</w:t>
            </w:r>
          </w:p>
        </w:tc>
      </w:tr>
      <w:tr w14:paraId="0EC9E9BF" w14:textId="77777777" w:rsidR="005E6DF3">
        <w:tc>
          <w:tcPr>
            <w:tcW w:type="dxa" w:w="720"/>
            <w:vAlign w:val="center"/>
          </w:tcPr>
          <w:p w14:paraId="3AD69F8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357"/>
            <w:vAlign w:val="center"/>
          </w:tcPr>
          <w:p w14:paraId="56B2A528" w14:textId="77777777" w:rsidR="005E6DF3" w:rsidRDefault="005C671B">
            <w:pPr>
              <w:rPr>
                <w:rFonts w:eastAsiaTheme="minorEastAsia"/>
                <w:color w:themeColor="text1" w:val="000000"/>
                <w:szCs w:val="21"/>
              </w:rPr>
            </w:pPr>
            <w:r>
              <w:rPr>
                <w:rFonts w:eastAsiaTheme="minorEastAsia"/>
                <w:color w:themeColor="text1" w:val="000000"/>
                <w:szCs w:val="21"/>
              </w:rPr>
              <w:t>其他各项资产</w:t>
            </w:r>
          </w:p>
        </w:tc>
        <w:tc>
          <w:tcPr>
            <w:tcW w:type="dxa" w:w="2977"/>
            <w:vAlign w:val="center"/>
          </w:tcPr>
          <w:p w14:paraId="1E76C25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33,644,858.10</w:t>
            </w:r>
          </w:p>
        </w:tc>
        <w:tc>
          <w:tcPr>
            <w:tcW w:type="dxa" w:w="1843"/>
            <w:vAlign w:val="center"/>
          </w:tcPr>
          <w:p w14:paraId="4D09DF5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1.54</w:t>
            </w:r>
          </w:p>
        </w:tc>
      </w:tr>
      <w:tr w14:paraId="46D7EE51" w14:textId="77777777" w:rsidR="005E6DF3">
        <w:tc>
          <w:tcPr>
            <w:tcW w:type="dxa" w:w="720"/>
            <w:vAlign w:val="center"/>
          </w:tcPr>
          <w:p w14:paraId="7318EF6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color w:themeColor="text1" w:val="000000"/>
                <w:szCs w:val="21"/>
              </w:rPr>
              <w:lastRenderedPageBreak/>
              <w:t>8</w:t>
            </w:r>
          </w:p>
        </w:tc>
        <w:tc>
          <w:tcPr>
            <w:tcW w:type="dxa" w:w="3357"/>
            <w:vAlign w:val="center"/>
          </w:tcPr>
          <w:p w14:paraId="1EA4D993" w14:textId="77777777" w:rsidR="005E6DF3" w:rsidRDefault="005C671B">
            <w:pPr>
              <w:rPr>
                <w:rFonts w:eastAsiaTheme="minorEastAsia"/>
                <w:color w:themeColor="text1" w:val="000000"/>
                <w:szCs w:val="21"/>
              </w:rPr>
            </w:pPr>
            <w:r>
              <w:rPr>
                <w:rFonts w:eastAsiaTheme="minorEastAsia"/>
                <w:color w:themeColor="text1" w:val="000000"/>
                <w:szCs w:val="21"/>
              </w:rPr>
              <w:lastRenderedPageBreak/>
              <w:t>合计</w:t>
            </w:r>
          </w:p>
        </w:tc>
        <w:tc>
          <w:tcPr>
            <w:tcW w:type="dxa" w:w="2977"/>
            <w:vAlign w:val="center"/>
          </w:tcPr>
          <w:p w14:paraId="353B94D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2,179,046,712.08</w:t>
            </w:r>
          </w:p>
        </w:tc>
        <w:tc>
          <w:tcPr>
            <w:tcW w:type="dxa" w:w="1843"/>
            <w:vAlign w:val="center"/>
          </w:tcPr>
          <w:p w14:paraId="49C933E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100.00</w:t>
            </w:r>
          </w:p>
        </w:tc>
      </w:tr>
    </w:tbl>
    <w:p w14:paraId="46EFD2B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5.2 </w:t>
      </w:r>
      <w:r>
        <w:rPr>
          <w:rFonts w:eastAsiaTheme="minorEastAsia"/>
          <w:b/>
          <w:color w:themeColor="text1" w:val="000000"/>
          <w:kern w:val="0"/>
          <w:szCs w:val="21"/>
        </w:rPr>
        <w:t>报告期末按行业分类的股票投资组合</w:t>
      </w:r>
    </w:p>
    <w:p w14:paraId="7974A421" w14:textId="77777777" w:rsidR="005E6DF3" w:rsidRDefault="005C671B">
      <w:pPr>
        <w:rPr>
          <w:b/>
        </w:rPr>
      </w:pPr>
      <w:r>
        <w:rPr>
          <w:rFonts w:hint="eastAsia"/>
          <w:b/>
        </w:rPr>
        <w:t xml:space="preserve"> </w:t>
      </w:r>
      <w:r>
        <w:rPr>
          <w:b/>
          <w:color w:themeColor="text1" w:val="000000"/>
          <w:szCs w:val="21"/>
        </w:rPr>
        <w:t/>
      </w:r>
      <w:proofErr w:type="spellStart"/>
      <w:r>
        <w:rPr>
          <w:b/>
          <w:color w:themeColor="text1" w:val="000000"/>
          <w:szCs w:val="21"/>
        </w:rPr>
        <w:t/>
      </w:r>
      <w:proofErr w:type="spellEnd"/>
      <w:r>
        <w:rPr>
          <w:b/>
          <w:color w:themeColor="text1" w:val="000000"/>
          <w:szCs w:val="21"/>
        </w:rPr>
        <w:t/>
      </w:r>
      <w:r>
        <w:rPr>
          <w:rFonts w:eastAsiaTheme="minorEastAsia" w:hint="eastAsia"/>
          <w:b/>
          <w:color w:themeColor="text1" w:val="000000"/>
          <w:kern w:val="0"/>
          <w:szCs w:val="21"/>
        </w:rPr>
        <w:t>5.2.1</w:t>
      </w:r>
      <w:r>
        <w:rPr>
          <w:rFonts w:eastAsiaTheme="minorEastAsia" w:hint="eastAsia"/>
          <w:b/>
          <w:color w:themeColor="text1" w:val="000000"/>
          <w:kern w:val="0"/>
          <w:szCs w:val="21"/>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1ECAE379" w14:textId="77777777" w:rsidR="005E6DF3">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0AC96F6A"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代码</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CC3FEDC"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3615377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6FD4EF4"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占基金资产净值比例（％）</w:t>
            </w:r>
          </w:p>
        </w:tc>
      </w:tr>
      <w:tr w14:paraId="6590882E"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8563F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058A763"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441A64B2"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395D170"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8374162"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4C54C63"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0105F96"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1F2FCD7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p w14:paraId="07E93AA0" w14:textId="77777777" w:rsidR="005E6DF3" w:rsidRDefault="005E6DF3">
            <w:pPr>
              <w:jc w:val="right"/>
              <w:rPr>
                <w:rFonts w:eastAsiaTheme="minorEastAsia"/>
                <w:color w:themeColor="text1" w:val="000000"/>
                <w:szCs w:val="21"/>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97AC60C"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p w14:paraId="160C7D7F" w14:textId="77777777" w:rsidR="005E6DF3" w:rsidRDefault="005E6DF3">
            <w:pPr>
              <w:jc w:val="right"/>
              <w:rPr>
                <w:rFonts w:eastAsiaTheme="minorEastAsia"/>
                <w:color w:themeColor="text1" w:val="000000"/>
                <w:szCs w:val="21"/>
              </w:rPr>
            </w:pPr>
          </w:p>
        </w:tc>
      </w:tr>
      <w:tr w14:paraId="75458CB8"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AD43B0B"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AEA0B4F"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3FC0A85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106,753,739.81</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071F3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5.56</w:t>
            </w:r>
          </w:p>
        </w:tc>
      </w:tr>
      <w:tr w14:paraId="4409511C"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83465D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D3360F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171AB8BF" w14:textId="77777777" w:rsidR="005E6DF3" w:rsidRDefault="005C671B">
            <w:pPr>
              <w:jc w:val="right"/>
              <w:rPr>
                <w:rFonts w:eastAsiaTheme="minorEastAsia"/>
                <w:color w:themeColor="text1" w:val="000000"/>
                <w:szCs w:val="21"/>
              </w:rPr>
            </w:pPr>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72E3DE4" w14:textId="77777777" w:rsidR="005E6DF3" w:rsidRDefault="005C671B">
            <w:pPr>
              <w:jc w:val="right"/>
              <w:rPr>
                <w:rFonts w:eastAsiaTheme="minorEastAsia"/>
                <w:color w:themeColor="text1" w:val="000000"/>
                <w:szCs w:val="21"/>
              </w:rPr>
            </w:pPr>
            <w:r>
              <w:rPr>
                <w:rFonts w:eastAsiaTheme="minorEastAsia"/>
                <w:color w:themeColor="text1" w:val="000000"/>
                <w:szCs w:val="21"/>
              </w:rPr>
              <w:t>-</w:t>
            </w:r>
          </w:p>
        </w:tc>
      </w:tr>
      <w:tr w14:paraId="51906F0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4796D9F"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16F4D6C"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5F9E7D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13,029.12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F4051D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w:t>
            </w:r>
          </w:p>
        </w:tc>
      </w:tr>
      <w:tr w14:paraId="4327CAE1"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D01770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C3F321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705B5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22,939,648.13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46CF60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1.19</w:t>
            </w:r>
          </w:p>
        </w:tc>
      </w:tr>
      <w:tr w14:paraId="60915CCA"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9EED2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3FC119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683A7D7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ECAC0E" w14:textId="77777777" w:rsidR="005E6DF3" w:rsidRDefault="005C671B">
            <w:pPr>
              <w:jc w:val="right"/>
              <w:rPr>
                <w:rFonts w:eastAsiaTheme="minorEastAsia"/>
                <w:color w:themeColor="text1" w:val="000000"/>
                <w:szCs w:val="21"/>
              </w:rPr>
            </w:pPr>
            <w:r>
              <w:rPr>
                <w:rFonts w:eastAsiaTheme="minorEastAsia"/>
                <w:color w:themeColor="text1" w:val="000000"/>
                <w:szCs w:val="21"/>
              </w:rPr>
              <w:t>-</w:t>
            </w:r>
          </w:p>
        </w:tc>
      </w:tr>
      <w:tr w14:paraId="32E0730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3A1AB1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C2C846B"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E0BD29"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2C5A1E4" w14:textId="77777777" w:rsidR="005E6DF3" w:rsidRDefault="005C671B">
            <w:pPr>
              <w:jc w:val="right"/>
              <w:rPr>
                <w:rFonts w:eastAsiaTheme="minorEastAsia"/>
                <w:color w:themeColor="text1" w:val="000000"/>
                <w:szCs w:val="21"/>
              </w:rPr>
            </w:pPr>
            <w:r>
              <w:rPr>
                <w:rFonts w:eastAsiaTheme="minorEastAsia"/>
                <w:color w:themeColor="text1" w:val="000000"/>
                <w:szCs w:val="21"/>
              </w:rPr>
              <w:lastRenderedPageBreak/>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3DC29D8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7AAC80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lastRenderedPageBreak/>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DC7F275"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1AAD446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2,829,254.32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425EB5A" w14:textId="77777777" w:rsidR="005E6DF3" w:rsidRDefault="005C671B">
            <w:pPr>
              <w:jc w:val="right"/>
              <w:rPr>
                <w:rFonts w:eastAsiaTheme="minorEastAsia"/>
                <w:color w:themeColor="text1" w:val="000000"/>
                <w:szCs w:val="21"/>
              </w:rPr>
            </w:pPr>
            <w:r>
              <w:rPr>
                <w:rFonts w:eastAsiaTheme="minorEastAsia"/>
                <w:color w:themeColor="text1" w:val="000000"/>
                <w:szCs w:val="21"/>
              </w:rPr>
              <w:t>0.15</w:t>
            </w:r>
          </w:p>
        </w:tc>
      </w:tr>
      <w:tr w14:paraId="227F68A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E2343D3"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9EDDD6D"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15548E7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61,556,541.46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7EA4C56"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3.21</w:t>
            </w:r>
          </w:p>
        </w:tc>
      </w:tr>
      <w:tr w14:paraId="070935FD"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CDF3168"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977089E"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16928B3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25,106,397.57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F27899"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1.31</w:t>
            </w:r>
          </w:p>
        </w:tc>
      </w:tr>
      <w:tr w14:paraId="259E14B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768EB6D"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F1C7722"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6213389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6E6ED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5343ADBC"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8E046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4ACACA"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63528125"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14,813.40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1598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w:t>
            </w:r>
          </w:p>
        </w:tc>
      </w:tr>
      <w:tr w14:paraId="6808911A"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66CF98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DACE5DC"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6CFB2FDE"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15,348.36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B6836BB" w14:textId="77777777" w:rsidR="005E6DF3" w:rsidRDefault="005C671B">
            <w:pPr>
              <w:jc w:val="right"/>
              <w:rPr>
                <w:rFonts w:eastAsiaTheme="minorEastAsia"/>
                <w:color w:themeColor="text1" w:val="000000"/>
                <w:szCs w:val="21"/>
              </w:rPr>
            </w:pPr>
            <w:r>
              <w:rPr>
                <w:rFonts w:eastAsiaTheme="minorEastAsia"/>
                <w:color w:themeColor="text1" w:val="000000"/>
                <w:szCs w:val="21"/>
              </w:rPr>
              <w:t>0.00</w:t>
            </w:r>
          </w:p>
        </w:tc>
      </w:tr>
      <w:tr w14:paraId="29DA128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BB38550"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0E130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3FB9EAC"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70304C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4AD531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E061B57"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539EF7"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120632B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2D446D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8D8DAA0"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5A1FD4"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483ECF1"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0425CD1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939C8CB"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14DA41B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24825E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4E22F63"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4440AC1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2,765,711.26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01731B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0.14</w:t>
            </w:r>
          </w:p>
        </w:tc>
      </w:tr>
      <w:tr w14:paraId="75E36F96"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4190C3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FF55FBB"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2366457F"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584E21E" w14:textId="77777777" w:rsidR="005E6DF3" w:rsidRDefault="005C671B">
            <w:pPr>
              <w:jc w:val="right"/>
              <w:rPr>
                <w:rFonts w:eastAsiaTheme="minorEastAsia"/>
                <w:color w:themeColor="text1" w:val="000000"/>
                <w:szCs w:val="21"/>
              </w:rPr>
            </w:pPr>
            <w:r>
              <w:rPr>
                <w:rFonts w:eastAsiaTheme="minorEastAsia"/>
                <w:color w:themeColor="text1" w:val="000000"/>
                <w:szCs w:val="21"/>
              </w:rPr>
              <w:lastRenderedPageBreak/>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21DEFFE9"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13CD3C4" w14:textId="77777777" w:rsidR="005E6DF3" w:rsidRDefault="005E6DF3">
            <w:pPr>
              <w:adjustRightInd w:val="0"/>
              <w:snapToGrid w:val="0"/>
              <w:spacing w:line="400" w:lineRule="exact"/>
              <w:jc w:val="center"/>
              <w:rPr>
                <w:rFonts w:eastAsiaTheme="minorEastAsia"/>
                <w:color w:themeColor="text1" w:val="000000"/>
                <w:szCs w:val="21"/>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0594CCDD"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3883F8C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221,994,483.43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9EBB08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11.56</w:t>
            </w:r>
          </w:p>
        </w:tc>
      </w:tr>
    </w:tbl>
    <w:p w14:paraId="77E2B4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5.3 </w:t>
      </w:r>
      <w:r>
        <w:rPr>
          <w:rFonts w:eastAsiaTheme="minorEastAsia"/>
          <w:b/>
          <w:color w:themeColor="text1" w:val="000000"/>
          <w:kern w:val="0"/>
          <w:szCs w:val="21"/>
        </w:rPr>
        <w:t>报告期末按公允价值占基金资产净值比例大小排序的前十名股票投资明细</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1276"/>
        <w:gridCol w:w="1701"/>
        <w:gridCol w:w="1276"/>
        <w:gridCol w:w="1842"/>
        <w:gridCol w:w="1616"/>
      </w:tblGrid>
      <w:tr w14:paraId="0ED22E2B" w14:textId="77777777" w:rsidR="005E6DF3">
        <w:tc>
          <w:tcPr>
            <w:tcW w:type="dxa" w:w="817"/>
            <w:vAlign w:val="center"/>
          </w:tcPr>
          <w:p w14:paraId="4F43E9CC"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1276"/>
            <w:vAlign w:val="center"/>
          </w:tcPr>
          <w:p w14:paraId="7B6D212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股票代码</w:t>
            </w:r>
          </w:p>
        </w:tc>
        <w:tc>
          <w:tcPr>
            <w:tcW w:type="dxa" w:w="1701"/>
            <w:vAlign w:val="center"/>
          </w:tcPr>
          <w:p w14:paraId="249CF00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股票名称</w:t>
            </w:r>
          </w:p>
        </w:tc>
        <w:tc>
          <w:tcPr>
            <w:tcW w:type="dxa" w:w="1276"/>
            <w:vAlign w:val="center"/>
          </w:tcPr>
          <w:p w14:paraId="33B09B3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数量</w:t>
            </w:r>
            <w:r>
              <w:rPr>
                <w:rFonts w:eastAsiaTheme="minorEastAsia"/>
                <w:color w:themeColor="text1" w:val="000000"/>
                <w:szCs w:val="21"/>
              </w:rPr>
              <w:t>(</w:t>
            </w:r>
            <w:r>
              <w:rPr>
                <w:rFonts w:eastAsiaTheme="minorEastAsia"/>
                <w:color w:themeColor="text1" w:val="000000"/>
                <w:szCs w:val="21"/>
              </w:rPr>
              <w:t>股</w:t>
            </w:r>
            <w:r>
              <w:rPr>
                <w:rFonts w:eastAsiaTheme="minorEastAsia"/>
                <w:color w:themeColor="text1" w:val="000000"/>
                <w:szCs w:val="21"/>
              </w:rPr>
              <w:t>)</w:t>
            </w:r>
          </w:p>
        </w:tc>
        <w:tc>
          <w:tcPr>
            <w:tcW w:type="dxa" w:w="1842"/>
            <w:vAlign w:val="center"/>
          </w:tcPr>
          <w:p w14:paraId="193ED3E3" w14:textId="77777777" w:rsidR="005E6DF3" w:rsidRDefault="005C671B">
            <w:pPr>
              <w:autoSpaceDE w:val="0"/>
              <w:autoSpaceDN w:val="0"/>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1A53759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000001</w:t>
            </w:r>
          </w:p>
        </w:tc>
        <w:tc>
          <w:tcPr>
            <w:vAlign w:val="center"/>
          </w:tcPr>
          <w:p>
            <w:pPr>
              <w:jc w:val="center"/>
            </w:pPr>
            <w:r>
              <w:rPr>
                <w:rFonts w:eastAsiaTheme="minorEastAsia"/>
                <w:color w:themeColor="text1" w:val="000000"/>
                <w:szCs w:val="21"/>
              </w:rPr>
              <w:t>平安银行</w:t>
            </w:r>
          </w:p>
        </w:tc>
        <w:tc>
          <w:tcPr>
            <w:vAlign w:val="center"/>
          </w:tcPr>
          <w:p>
            <w:pPr>
              <w:jc w:val="right"/>
            </w:pPr>
            <w:r>
              <w:rPr>
                <w:rFonts w:eastAsiaTheme="minorEastAsia"/>
                <w:color w:themeColor="text1" w:val="000000"/>
                <w:szCs w:val="21"/>
              </w:rPr>
              <w:t>3,206,600.00</w:t>
            </w:r>
          </w:p>
        </w:tc>
        <w:tc>
          <w:tcPr>
            <w:vAlign w:val="center"/>
          </w:tcPr>
          <w:p>
            <w:pPr>
              <w:jc w:val="right"/>
            </w:pPr>
            <w:r>
              <w:rPr>
                <w:rFonts w:eastAsiaTheme="minorEastAsia"/>
                <w:color w:themeColor="text1" w:val="000000"/>
                <w:szCs w:val="21"/>
              </w:rPr>
              <w:t>48,644,122.00</w:t>
            </w:r>
          </w:p>
        </w:tc>
        <w:tc>
          <w:tcPr>
            <w:vAlign w:val="center"/>
          </w:tcPr>
          <w:p>
            <w:pPr>
              <w:jc w:val="right"/>
            </w:pPr>
            <w:r>
              <w:rPr>
                <w:rFonts w:eastAsiaTheme="minorEastAsia"/>
                <w:color w:themeColor="text1" w:val="000000"/>
                <w:szCs w:val="21"/>
              </w:rPr>
              <w:t>2.53</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600887</w:t>
            </w:r>
          </w:p>
        </w:tc>
        <w:tc>
          <w:tcPr>
            <w:vAlign w:val="center"/>
          </w:tcPr>
          <w:p>
            <w:pPr>
              <w:jc w:val="center"/>
            </w:pPr>
            <w:r>
              <w:rPr>
                <w:rFonts w:eastAsiaTheme="minorEastAsia"/>
                <w:color w:themeColor="text1" w:val="000000"/>
                <w:szCs w:val="21"/>
              </w:rPr>
              <w:t>伊利股份</w:t>
            </w:r>
          </w:p>
        </w:tc>
        <w:tc>
          <w:tcPr>
            <w:vAlign w:val="center"/>
          </w:tcPr>
          <w:p>
            <w:pPr>
              <w:jc w:val="right"/>
            </w:pPr>
            <w:r>
              <w:rPr>
                <w:rFonts w:eastAsiaTheme="minorEastAsia"/>
                <w:color w:themeColor="text1" w:val="000000"/>
                <w:szCs w:val="21"/>
              </w:rPr>
              <w:t>608,771.00</w:t>
            </w:r>
          </w:p>
        </w:tc>
        <w:tc>
          <w:tcPr>
            <w:vAlign w:val="center"/>
          </w:tcPr>
          <w:p>
            <w:pPr>
              <w:jc w:val="right"/>
            </w:pPr>
            <w:r>
              <w:rPr>
                <w:rFonts w:eastAsiaTheme="minorEastAsia"/>
                <w:color w:themeColor="text1" w:val="000000"/>
                <w:szCs w:val="21"/>
              </w:rPr>
              <w:t>23,437,683.50</w:t>
            </w:r>
          </w:p>
        </w:tc>
        <w:tc>
          <w:tcPr>
            <w:vAlign w:val="center"/>
          </w:tcPr>
          <w:p>
            <w:pPr>
              <w:jc w:val="right"/>
            </w:pPr>
            <w:r>
              <w:rPr>
                <w:rFonts w:eastAsiaTheme="minorEastAsia"/>
                <w:color w:themeColor="text1" w:val="000000"/>
                <w:szCs w:val="21"/>
              </w:rPr>
              <w:t>1.22</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000538</w:t>
            </w:r>
          </w:p>
        </w:tc>
        <w:tc>
          <w:tcPr>
            <w:vAlign w:val="center"/>
          </w:tcPr>
          <w:p>
            <w:pPr>
              <w:jc w:val="center"/>
            </w:pPr>
            <w:r>
              <w:rPr>
                <w:rFonts w:eastAsiaTheme="minorEastAsia"/>
                <w:color w:themeColor="text1" w:val="000000"/>
                <w:szCs w:val="21"/>
              </w:rPr>
              <w:t>云南白药</w:t>
            </w:r>
          </w:p>
        </w:tc>
        <w:tc>
          <w:tcPr>
            <w:vAlign w:val="center"/>
          </w:tcPr>
          <w:p>
            <w:pPr>
              <w:jc w:val="right"/>
            </w:pPr>
            <w:r>
              <w:rPr>
                <w:rFonts w:eastAsiaTheme="minorEastAsia"/>
                <w:color w:themeColor="text1" w:val="000000"/>
                <w:szCs w:val="21"/>
              </w:rPr>
              <w:t>217,907.00</w:t>
            </w:r>
          </w:p>
        </w:tc>
        <w:tc>
          <w:tcPr>
            <w:vAlign w:val="center"/>
          </w:tcPr>
          <w:p>
            <w:pPr>
              <w:jc w:val="right"/>
            </w:pPr>
            <w:r>
              <w:rPr>
                <w:rFonts w:eastAsiaTheme="minorEastAsia"/>
                <w:color w:themeColor="text1" w:val="000000"/>
                <w:szCs w:val="21"/>
              </w:rPr>
              <w:t>22,217,797.72</w:t>
            </w:r>
          </w:p>
        </w:tc>
        <w:tc>
          <w:tcPr>
            <w:vAlign w:val="center"/>
          </w:tcPr>
          <w:p>
            <w:pPr>
              <w:jc w:val="right"/>
            </w:pPr>
            <w:r>
              <w:rPr>
                <w:rFonts w:eastAsiaTheme="minorEastAsia"/>
                <w:color w:themeColor="text1" w:val="000000"/>
                <w:szCs w:val="21"/>
              </w:rPr>
              <w:t>1.16</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600546</w:t>
            </w:r>
          </w:p>
        </w:tc>
        <w:tc>
          <w:tcPr>
            <w:vAlign w:val="center"/>
          </w:tcPr>
          <w:p>
            <w:pPr>
              <w:jc w:val="center"/>
            </w:pPr>
            <w:r>
              <w:rPr>
                <w:rFonts w:eastAsiaTheme="minorEastAsia"/>
                <w:color w:themeColor="text1" w:val="000000"/>
                <w:szCs w:val="21"/>
              </w:rPr>
              <w:t>山煤国际</w:t>
            </w:r>
          </w:p>
        </w:tc>
        <w:tc>
          <w:tcPr>
            <w:vAlign w:val="center"/>
          </w:tcPr>
          <w:p>
            <w:pPr>
              <w:jc w:val="right"/>
            </w:pPr>
            <w:r>
              <w:rPr>
                <w:rFonts w:eastAsiaTheme="minorEastAsia"/>
                <w:color w:themeColor="text1" w:val="000000"/>
                <w:szCs w:val="21"/>
              </w:rPr>
              <w:t>1,754,256.00</w:t>
            </w:r>
          </w:p>
        </w:tc>
        <w:tc>
          <w:tcPr>
            <w:vAlign w:val="center"/>
          </w:tcPr>
          <w:p>
            <w:pPr>
              <w:jc w:val="right"/>
            </w:pPr>
            <w:r>
              <w:rPr>
                <w:rFonts w:eastAsiaTheme="minorEastAsia"/>
                <w:color w:themeColor="text1" w:val="000000"/>
                <w:szCs w:val="21"/>
              </w:rPr>
              <w:t>17,981,124.00</w:t>
            </w:r>
          </w:p>
        </w:tc>
        <w:tc>
          <w:tcPr>
            <w:vAlign w:val="center"/>
          </w:tcPr>
          <w:p>
            <w:pPr>
              <w:jc w:val="right"/>
            </w:pPr>
            <w:r>
              <w:rPr>
                <w:rFonts w:eastAsiaTheme="minorEastAsia"/>
                <w:color w:themeColor="text1" w:val="000000"/>
                <w:szCs w:val="21"/>
              </w:rPr>
              <w:t>0.94</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000537</w:t>
            </w:r>
          </w:p>
        </w:tc>
        <w:tc>
          <w:tcPr>
            <w:vAlign w:val="center"/>
          </w:tcPr>
          <w:p>
            <w:pPr>
              <w:jc w:val="center"/>
            </w:pPr>
            <w:r>
              <w:rPr>
                <w:rFonts w:eastAsiaTheme="minorEastAsia"/>
                <w:color w:themeColor="text1" w:val="000000"/>
                <w:szCs w:val="21"/>
              </w:rPr>
              <w:t>广宇发展</w:t>
            </w:r>
          </w:p>
        </w:tc>
        <w:tc>
          <w:tcPr>
            <w:vAlign w:val="center"/>
          </w:tcPr>
          <w:p>
            <w:pPr>
              <w:jc w:val="right"/>
            </w:pPr>
            <w:r>
              <w:rPr>
                <w:rFonts w:eastAsiaTheme="minorEastAsia"/>
                <w:color w:themeColor="text1" w:val="000000"/>
                <w:szCs w:val="21"/>
              </w:rPr>
              <w:t>2,398,478.00</w:t>
            </w:r>
          </w:p>
        </w:tc>
        <w:tc>
          <w:tcPr>
            <w:vAlign w:val="center"/>
          </w:tcPr>
          <w:p>
            <w:pPr>
              <w:jc w:val="right"/>
            </w:pPr>
            <w:r>
              <w:rPr>
                <w:rFonts w:eastAsiaTheme="minorEastAsia"/>
                <w:color w:themeColor="text1" w:val="000000"/>
                <w:szCs w:val="21"/>
              </w:rPr>
              <w:t>16,045,817.82</w:t>
            </w:r>
          </w:p>
        </w:tc>
        <w:tc>
          <w:tcPr>
            <w:vAlign w:val="center"/>
          </w:tcPr>
          <w:p>
            <w:pPr>
              <w:jc w:val="right"/>
            </w:pPr>
            <w:r>
              <w:rPr>
                <w:rFonts w:eastAsiaTheme="minorEastAsia"/>
                <w:color w:themeColor="text1" w:val="000000"/>
                <w:szCs w:val="21"/>
              </w:rPr>
              <w:t>0.84</w:t>
            </w:r>
          </w:p>
        </w:tc>
      </w:tr>
      <w:tr>
        <w:tc>
          <w:tcPr>
            <w:vAlign w:val="center"/>
          </w:tcPr>
          <w:p>
            <w:pPr>
              <w:jc w:val="center"/>
            </w:pPr>
            <w:r>
              <w:rPr>
                <w:rFonts w:eastAsiaTheme="minorEastAsia"/>
                <w:color w:themeColor="text1" w:val="000000"/>
                <w:szCs w:val="21"/>
              </w:rPr>
              <w:t>6</w:t>
            </w:r>
          </w:p>
        </w:tc>
        <w:tc>
          <w:tcPr>
            <w:vAlign w:val="center"/>
          </w:tcPr>
          <w:p>
            <w:pPr>
              <w:jc w:val="center"/>
            </w:pPr>
            <w:r>
              <w:rPr>
                <w:rFonts w:eastAsiaTheme="minorEastAsia"/>
                <w:color w:themeColor="text1" w:val="000000"/>
                <w:szCs w:val="21"/>
              </w:rPr>
              <w:t>000636</w:t>
            </w:r>
          </w:p>
        </w:tc>
        <w:tc>
          <w:tcPr>
            <w:vAlign w:val="center"/>
          </w:tcPr>
          <w:p>
            <w:pPr>
              <w:jc w:val="center"/>
            </w:pPr>
            <w:r>
              <w:rPr>
                <w:rFonts w:eastAsiaTheme="minorEastAsia"/>
                <w:color w:themeColor="text1" w:val="000000"/>
                <w:szCs w:val="21"/>
              </w:rPr>
              <w:t>风华高科</w:t>
            </w:r>
          </w:p>
        </w:tc>
        <w:tc>
          <w:tcPr>
            <w:vAlign w:val="center"/>
          </w:tcPr>
          <w:p>
            <w:pPr>
              <w:jc w:val="right"/>
            </w:pPr>
            <w:r>
              <w:rPr>
                <w:rFonts w:eastAsiaTheme="minorEastAsia"/>
                <w:color w:themeColor="text1" w:val="000000"/>
                <w:szCs w:val="21"/>
              </w:rPr>
              <w:t>552,196.00</w:t>
            </w:r>
          </w:p>
        </w:tc>
        <w:tc>
          <w:tcPr>
            <w:vAlign w:val="center"/>
          </w:tcPr>
          <w:p>
            <w:pPr>
              <w:jc w:val="right"/>
            </w:pPr>
            <w:r>
              <w:rPr>
                <w:rFonts w:eastAsiaTheme="minorEastAsia"/>
                <w:color w:themeColor="text1" w:val="000000"/>
                <w:szCs w:val="21"/>
              </w:rPr>
              <w:t>14,854,072.40</w:t>
            </w:r>
          </w:p>
        </w:tc>
        <w:tc>
          <w:tcPr>
            <w:vAlign w:val="center"/>
          </w:tcPr>
          <w:p>
            <w:pPr>
              <w:jc w:val="right"/>
            </w:pPr>
            <w:r>
              <w:rPr>
                <w:rFonts w:eastAsiaTheme="minorEastAsia"/>
                <w:color w:themeColor="text1" w:val="000000"/>
                <w:szCs w:val="21"/>
              </w:rPr>
              <w:t>0.77</w:t>
            </w:r>
          </w:p>
        </w:tc>
      </w:tr>
      <w:tr>
        <w:tc>
          <w:tcPr>
            <w:vAlign w:val="center"/>
          </w:tcPr>
          <w:p>
            <w:pPr>
              <w:jc w:val="center"/>
            </w:pPr>
            <w:r>
              <w:rPr>
                <w:rFonts w:eastAsiaTheme="minorEastAsia"/>
                <w:color w:themeColor="text1" w:val="000000"/>
                <w:szCs w:val="21"/>
              </w:rPr>
              <w:t>7</w:t>
            </w:r>
          </w:p>
        </w:tc>
        <w:tc>
          <w:tcPr>
            <w:vAlign w:val="center"/>
          </w:tcPr>
          <w:p>
            <w:pPr>
              <w:jc w:val="center"/>
            </w:pPr>
            <w:r>
              <w:rPr>
                <w:rFonts w:eastAsiaTheme="minorEastAsia"/>
                <w:color w:themeColor="text1" w:val="000000"/>
                <w:szCs w:val="21"/>
              </w:rPr>
              <w:t>601318</w:t>
            </w:r>
          </w:p>
        </w:tc>
        <w:tc>
          <w:tcPr>
            <w:vAlign w:val="center"/>
          </w:tcPr>
          <w:p>
            <w:pPr>
              <w:jc w:val="center"/>
            </w:pPr>
            <w:r>
              <w:rPr>
                <w:rFonts w:eastAsiaTheme="minorEastAsia"/>
                <w:color w:themeColor="text1" w:val="000000"/>
                <w:szCs w:val="21"/>
              </w:rPr>
              <w:t>中国平安</w:t>
            </w:r>
          </w:p>
        </w:tc>
        <w:tc>
          <w:tcPr>
            <w:vAlign w:val="center"/>
          </w:tcPr>
          <w:p>
            <w:pPr>
              <w:jc w:val="right"/>
            </w:pPr>
            <w:r>
              <w:rPr>
                <w:rFonts w:eastAsiaTheme="minorEastAsia"/>
                <w:color w:themeColor="text1" w:val="000000"/>
                <w:szCs w:val="21"/>
              </w:rPr>
              <w:t>169,321.00</w:t>
            </w:r>
          </w:p>
        </w:tc>
        <w:tc>
          <w:tcPr>
            <w:vAlign w:val="center"/>
          </w:tcPr>
          <w:p>
            <w:pPr>
              <w:jc w:val="right"/>
            </w:pPr>
            <w:r>
              <w:rPr>
                <w:rFonts w:eastAsiaTheme="minorEastAsia"/>
                <w:color w:themeColor="text1" w:val="000000"/>
                <w:szCs w:val="21"/>
              </w:rPr>
              <w:t>12,912,419.46</w:t>
            </w:r>
          </w:p>
        </w:tc>
        <w:tc>
          <w:tcPr>
            <w:vAlign w:val="center"/>
          </w:tcPr>
          <w:p>
            <w:pPr>
              <w:jc w:val="right"/>
            </w:pPr>
            <w:r>
              <w:rPr>
                <w:rFonts w:eastAsiaTheme="minorEastAsia"/>
                <w:color w:themeColor="text1" w:val="000000"/>
                <w:szCs w:val="21"/>
              </w:rPr>
              <w:t>0.67</w:t>
            </w:r>
          </w:p>
        </w:tc>
      </w:tr>
      <w:tr>
        <w:tc>
          <w:tcPr>
            <w:vAlign w:val="center"/>
          </w:tcPr>
          <w:p>
            <w:pPr>
              <w:jc w:val="center"/>
            </w:pPr>
            <w:r>
              <w:rPr>
                <w:rFonts w:eastAsiaTheme="minorEastAsia"/>
                <w:color w:themeColor="text1" w:val="000000"/>
                <w:szCs w:val="21"/>
              </w:rPr>
              <w:t>8</w:t>
            </w:r>
          </w:p>
        </w:tc>
        <w:tc>
          <w:tcPr>
            <w:vAlign w:val="center"/>
          </w:tcPr>
          <w:p>
            <w:pPr>
              <w:jc w:val="center"/>
            </w:pPr>
            <w:r>
              <w:rPr>
                <w:rFonts w:eastAsiaTheme="minorEastAsia"/>
                <w:color w:themeColor="text1" w:val="000000"/>
                <w:szCs w:val="21"/>
              </w:rPr>
              <w:t>600426</w:t>
            </w:r>
          </w:p>
        </w:tc>
        <w:tc>
          <w:tcPr>
            <w:vAlign w:val="center"/>
          </w:tcPr>
          <w:p>
            <w:pPr>
              <w:jc w:val="center"/>
            </w:pPr>
            <w:r>
              <w:rPr>
                <w:rFonts w:eastAsiaTheme="minorEastAsia"/>
                <w:color w:themeColor="text1" w:val="000000"/>
                <w:szCs w:val="21"/>
              </w:rPr>
              <w:t>华鲁恒升</w:t>
            </w:r>
          </w:p>
        </w:tc>
        <w:tc>
          <w:tcPr>
            <w:vAlign w:val="center"/>
          </w:tcPr>
          <w:p>
            <w:pPr>
              <w:jc w:val="right"/>
            </w:pPr>
            <w:r>
              <w:rPr>
                <w:rFonts w:eastAsiaTheme="minorEastAsia"/>
                <w:color w:themeColor="text1" w:val="000000"/>
                <w:szCs w:val="21"/>
              </w:rPr>
              <w:t>526,392.00</w:t>
            </w:r>
          </w:p>
        </w:tc>
        <w:tc>
          <w:tcPr>
            <w:vAlign w:val="center"/>
          </w:tcPr>
          <w:p>
            <w:pPr>
              <w:jc w:val="right"/>
            </w:pPr>
            <w:r>
              <w:rPr>
                <w:rFonts w:eastAsiaTheme="minorEastAsia"/>
                <w:color w:themeColor="text1" w:val="000000"/>
                <w:szCs w:val="21"/>
              </w:rPr>
              <w:t>12,896,604.00</w:t>
            </w:r>
          </w:p>
        </w:tc>
        <w:tc>
          <w:tcPr>
            <w:vAlign w:val="center"/>
          </w:tcPr>
          <w:p>
            <w:pPr>
              <w:jc w:val="right"/>
            </w:pPr>
            <w:r>
              <w:rPr>
                <w:rFonts w:eastAsiaTheme="minorEastAsia"/>
                <w:color w:themeColor="text1" w:val="000000"/>
                <w:szCs w:val="21"/>
              </w:rPr>
              <w:t>0.67</w:t>
            </w:r>
          </w:p>
        </w:tc>
      </w:tr>
      <w:tr>
        <w:tc>
          <w:tcPr>
            <w:vAlign w:val="center"/>
          </w:tcPr>
          <w:p>
            <w:pPr>
              <w:jc w:val="center"/>
            </w:pPr>
            <w:r>
              <w:rPr>
                <w:rFonts w:eastAsiaTheme="minorEastAsia"/>
                <w:color w:themeColor="text1" w:val="000000"/>
                <w:szCs w:val="21"/>
              </w:rPr>
              <w:t>9</w:t>
            </w:r>
          </w:p>
        </w:tc>
        <w:tc>
          <w:tcPr>
            <w:vAlign w:val="center"/>
          </w:tcPr>
          <w:p>
            <w:pPr>
              <w:jc w:val="center"/>
            </w:pPr>
            <w:r>
              <w:rPr>
                <w:rFonts w:eastAsiaTheme="minorEastAsia"/>
                <w:color w:themeColor="text1" w:val="000000"/>
                <w:szCs w:val="21"/>
              </w:rPr>
              <w:t>600309</w:t>
            </w:r>
          </w:p>
        </w:tc>
        <w:tc>
          <w:tcPr>
            <w:vAlign w:val="center"/>
          </w:tcPr>
          <w:p>
            <w:pPr>
              <w:jc w:val="center"/>
            </w:pPr>
            <w:r>
              <w:rPr>
                <w:rFonts w:eastAsiaTheme="minorEastAsia"/>
                <w:color w:themeColor="text1" w:val="000000"/>
                <w:szCs w:val="21"/>
              </w:rPr>
              <w:t>万华化学</w:t>
            </w:r>
          </w:p>
        </w:tc>
        <w:tc>
          <w:tcPr>
            <w:vAlign w:val="center"/>
          </w:tcPr>
          <w:p>
            <w:pPr>
              <w:jc w:val="right"/>
            </w:pPr>
            <w:r>
              <w:rPr>
                <w:rFonts w:eastAsiaTheme="minorEastAsia"/>
                <w:color w:themeColor="text1" w:val="000000"/>
                <w:szCs w:val="21"/>
              </w:rPr>
              <w:t>145,551.00</w:t>
            </w:r>
          </w:p>
        </w:tc>
        <w:tc>
          <w:tcPr>
            <w:vAlign w:val="center"/>
          </w:tcPr>
          <w:p>
            <w:pPr>
              <w:jc w:val="right"/>
            </w:pPr>
            <w:r>
              <w:rPr>
                <w:rFonts w:eastAsiaTheme="minorEastAsia"/>
                <w:color w:themeColor="text1" w:val="000000"/>
                <w:szCs w:val="21"/>
              </w:rPr>
              <w:t>10,086,684.30</w:t>
            </w:r>
          </w:p>
        </w:tc>
        <w:tc>
          <w:tcPr>
            <w:vAlign w:val="center"/>
          </w:tcPr>
          <w:p>
            <w:pPr>
              <w:jc w:val="right"/>
            </w:pPr>
            <w:r>
              <w:rPr>
                <w:rFonts w:eastAsiaTheme="minorEastAsia"/>
                <w:color w:themeColor="text1" w:val="000000"/>
                <w:szCs w:val="21"/>
              </w:rPr>
              <w:t>0.53</w:t>
            </w:r>
          </w:p>
        </w:tc>
      </w:tr>
      <w:tr>
        <w:tc>
          <w:tcPr>
            <w:vAlign w:val="center"/>
          </w:tcPr>
          <w:p>
            <w:pPr>
              <w:jc w:val="center"/>
            </w:pPr>
            <w:r>
              <w:rPr>
                <w:rFonts w:eastAsiaTheme="minorEastAsia"/>
                <w:color w:themeColor="text1" w:val="000000"/>
                <w:szCs w:val="21"/>
              </w:rPr>
              <w:t>10</w:t>
            </w:r>
          </w:p>
        </w:tc>
        <w:tc>
          <w:tcPr>
            <w:vAlign w:val="center"/>
          </w:tcPr>
          <w:p>
            <w:pPr>
              <w:jc w:val="center"/>
            </w:pPr>
            <w:r>
              <w:rPr>
                <w:rFonts w:eastAsiaTheme="minorEastAsia"/>
                <w:color w:themeColor="text1" w:val="000000"/>
                <w:szCs w:val="21"/>
              </w:rPr>
              <w:t>600409</w:t>
            </w:r>
          </w:p>
        </w:tc>
        <w:tc>
          <w:tcPr>
            <w:vAlign w:val="center"/>
          </w:tcPr>
          <w:p>
            <w:pPr>
              <w:jc w:val="center"/>
            </w:pPr>
            <w:r>
              <w:rPr>
                <w:rFonts w:eastAsiaTheme="minorEastAsia"/>
                <w:color w:themeColor="text1" w:val="000000"/>
                <w:szCs w:val="21"/>
              </w:rPr>
              <w:t>三友化工</w:t>
            </w:r>
          </w:p>
        </w:tc>
        <w:tc>
          <w:tcPr>
            <w:vAlign w:val="center"/>
          </w:tcPr>
          <w:p>
            <w:pPr>
              <w:jc w:val="right"/>
            </w:pPr>
            <w:r>
              <w:rPr>
                <w:rFonts w:eastAsiaTheme="minorEastAsia"/>
                <w:color w:themeColor="text1" w:val="000000"/>
                <w:szCs w:val="21"/>
              </w:rPr>
              <w:t>1,482,400.00</w:t>
            </w:r>
          </w:p>
        </w:tc>
        <w:tc>
          <w:tcPr>
            <w:vAlign w:val="center"/>
          </w:tcPr>
          <w:p>
            <w:pPr>
              <w:jc w:val="right"/>
            </w:pPr>
            <w:r>
              <w:rPr>
                <w:rFonts w:eastAsiaTheme="minorEastAsia"/>
                <w:color w:themeColor="text1" w:val="000000"/>
                <w:szCs w:val="21"/>
              </w:rPr>
              <w:t>9,798,664.00</w:t>
            </w:r>
          </w:p>
        </w:tc>
        <w:tc>
          <w:tcPr>
            <w:vAlign w:val="center"/>
          </w:tcPr>
          <w:p>
            <w:pPr>
              <w:jc w:val="right"/>
            </w:pPr>
            <w:r>
              <w:rPr>
                <w:rFonts w:eastAsiaTheme="minorEastAsia"/>
                <w:color w:themeColor="text1" w:val="000000"/>
                <w:szCs w:val="21"/>
              </w:rPr>
              <w:t>0.51</w:t>
            </w:r>
          </w:p>
        </w:tc>
      </w:tr>
    </w:tbl>
    <w:p w14:paraId="4957BED8"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5.4 </w:t>
      </w:r>
      <w:r>
        <w:rPr>
          <w:rFonts w:eastAsiaTheme="minorEastAsia"/>
          <w:b/>
          <w:color w:themeColor="text1" w:val="000000"/>
          <w:kern w:val="0"/>
          <w:szCs w:val="21"/>
        </w:rPr>
        <w:t>报告期末按债券品种分类的债券投资组合</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14:paraId="4BAFE9CF" w14:textId="77777777" w:rsidR="005E6DF3">
        <w:tc>
          <w:tcPr>
            <w:tcW w:type="dxa" w:w="817"/>
            <w:vAlign w:val="center"/>
          </w:tcPr>
          <w:p w14:paraId="4641392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序号</w:t>
            </w:r>
          </w:p>
        </w:tc>
        <w:tc>
          <w:tcPr>
            <w:tcW w:type="dxa" w:w="3260"/>
            <w:vAlign w:val="center"/>
          </w:tcPr>
          <w:p w14:paraId="4F39D74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债券品种</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2835"/>
            <w:vAlign w:val="center"/>
          </w:tcPr>
          <w:p w14:paraId="7905417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59AC8D2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14:paraId="56C5CF5A" w14:textId="77777777" w:rsidR="005E6DF3">
        <w:tc>
          <w:tcPr>
            <w:tcW w:type="dxa" w:w="817"/>
            <w:vAlign w:val="center"/>
          </w:tcPr>
          <w:p w14:paraId="36A97F7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260"/>
            <w:vAlign w:val="center"/>
          </w:tcPr>
          <w:p w14:paraId="1F8BED3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国家债券</w:t>
            </w:r>
          </w:p>
        </w:tc>
        <w:tc>
          <w:tcPr>
            <w:tcW w:type="dxa" w:w="2835"/>
            <w:vAlign w:val="center"/>
          </w:tcPr>
          <w:p w14:paraId="56175F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804,851,007.30</w:t>
            </w:r>
          </w:p>
        </w:tc>
        <w:tc>
          <w:tcPr>
            <w:tcW w:type="dxa" w:w="1616"/>
            <w:vAlign w:val="center"/>
          </w:tcPr>
          <w:p w14:paraId="59B383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41.91</w:t>
            </w:r>
          </w:p>
        </w:tc>
      </w:tr>
      <w:tr w14:paraId="67DAE46D" w14:textId="77777777" w:rsidR="005E6DF3">
        <w:tc>
          <w:tcPr>
            <w:tcW w:type="dxa" w:w="817"/>
            <w:vAlign w:val="center"/>
          </w:tcPr>
          <w:p w14:paraId="7DB098F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260"/>
            <w:vAlign w:val="center"/>
          </w:tcPr>
          <w:p w14:paraId="7AE943CC"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央行票据</w:t>
            </w:r>
          </w:p>
        </w:tc>
        <w:tc>
          <w:tcPr>
            <w:tcW w:type="dxa" w:w="2835"/>
            <w:vAlign w:val="center"/>
          </w:tcPr>
          <w:p w14:paraId="61DAE3E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25667D1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45911EA9" w14:textId="77777777" w:rsidR="005E6DF3">
        <w:tc>
          <w:tcPr>
            <w:tcW w:type="dxa" w:w="817"/>
            <w:vAlign w:val="center"/>
          </w:tcPr>
          <w:p w14:paraId="537A257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260"/>
            <w:vAlign w:val="center"/>
          </w:tcPr>
          <w:p w14:paraId="0FFBB6A6"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金融债券</w:t>
            </w:r>
          </w:p>
        </w:tc>
        <w:tc>
          <w:tcPr>
            <w:tcW w:type="dxa" w:w="2835"/>
            <w:vAlign w:val="center"/>
          </w:tcPr>
          <w:p w14:paraId="469ABA2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84,494,000.00</w:t>
            </w:r>
          </w:p>
        </w:tc>
        <w:tc>
          <w:tcPr>
            <w:tcW w:type="dxa" w:w="1616"/>
            <w:vAlign w:val="center"/>
          </w:tcPr>
          <w:p w14:paraId="38E508D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4.40</w:t>
            </w:r>
          </w:p>
        </w:tc>
      </w:tr>
      <w:tr w14:paraId="129F8C18" w14:textId="77777777" w:rsidR="005E6DF3">
        <w:tc>
          <w:tcPr>
            <w:tcW w:type="dxa" w:w="817"/>
            <w:vAlign w:val="center"/>
          </w:tcPr>
          <w:p w14:paraId="6B520B37" w14:textId="77777777" w:rsidR="005E6DF3" w:rsidRDefault="005E6DF3">
            <w:pPr>
              <w:spacing w:before="29" w:line="360" w:lineRule="auto"/>
              <w:ind w:left="17"/>
              <w:jc w:val="center"/>
              <w:rPr>
                <w:rFonts w:eastAsiaTheme="minorEastAsia"/>
                <w:color w:themeColor="text1" w:val="000000"/>
                <w:szCs w:val="21"/>
              </w:rPr>
            </w:pPr>
          </w:p>
        </w:tc>
        <w:tc>
          <w:tcPr>
            <w:tcW w:type="dxa" w:w="3260"/>
            <w:vAlign w:val="center"/>
          </w:tcPr>
          <w:p w14:paraId="458524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其中：政策性金融债</w:t>
            </w:r>
          </w:p>
        </w:tc>
        <w:tc>
          <w:tcPr>
            <w:tcW w:type="dxa" w:w="2835"/>
            <w:vAlign w:val="center"/>
          </w:tcPr>
          <w:p w14:paraId="1FCEB0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84,494,000.00</w:t>
            </w:r>
          </w:p>
        </w:tc>
        <w:tc>
          <w:tcPr>
            <w:tcW w:type="dxa" w:w="1616"/>
            <w:vAlign w:val="center"/>
          </w:tcPr>
          <w:p w14:paraId="575FD5F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4.40</w:t>
            </w:r>
          </w:p>
        </w:tc>
      </w:tr>
      <w:tr w14:paraId="3B628F07" w14:textId="77777777" w:rsidR="005E6DF3">
        <w:tc>
          <w:tcPr>
            <w:tcW w:type="dxa" w:w="817"/>
            <w:vAlign w:val="center"/>
          </w:tcPr>
          <w:p w14:paraId="0DCE2CC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260"/>
            <w:vAlign w:val="center"/>
          </w:tcPr>
          <w:p w14:paraId="39982F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企业债券</w:t>
            </w:r>
          </w:p>
        </w:tc>
        <w:tc>
          <w:tcPr>
            <w:tcW w:type="dxa" w:w="2835"/>
            <w:vAlign w:val="center"/>
          </w:tcPr>
          <w:p w14:paraId="1E74417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90,558,469.50</w:t>
            </w:r>
          </w:p>
        </w:tc>
        <w:tc>
          <w:tcPr>
            <w:tcW w:type="dxa" w:w="1616"/>
            <w:vAlign w:val="center"/>
          </w:tcPr>
          <w:p w14:paraId="6D0030F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4.72</w:t>
            </w:r>
          </w:p>
        </w:tc>
      </w:tr>
      <w:tr w14:paraId="60AB5E17" w14:textId="77777777" w:rsidR="005E6DF3">
        <w:tc>
          <w:tcPr>
            <w:tcW w:type="dxa" w:w="817"/>
            <w:vAlign w:val="center"/>
          </w:tcPr>
          <w:p w14:paraId="4F15D49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260"/>
            <w:vAlign w:val="center"/>
          </w:tcPr>
          <w:p w14:paraId="13895E8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企业短期融资</w:t>
            </w:r>
            <w:proofErr w:type="gramStart"/>
            <w:r>
              <w:rPr>
                <w:rFonts w:eastAsiaTheme="minorEastAsia"/>
                <w:color w:themeColor="text1" w:val="000000"/>
                <w:szCs w:val="21"/>
              </w:rPr>
              <w:t>券</w:t>
            </w:r>
            <w:proofErr w:type="gramEnd"/>
          </w:p>
        </w:tc>
        <w:tc>
          <w:tcPr>
            <w:tcW w:type="dxa" w:w="2835"/>
            <w:vAlign w:val="center"/>
          </w:tcPr>
          <w:p w14:paraId="17FD1BD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6420FD8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009E8B1B" w14:textId="77777777" w:rsidR="005E6DF3">
        <w:tc>
          <w:tcPr>
            <w:tcW w:type="dxa" w:w="817"/>
            <w:vAlign w:val="center"/>
          </w:tcPr>
          <w:p w14:paraId="294572B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260"/>
            <w:vAlign w:val="center"/>
          </w:tcPr>
          <w:p w14:paraId="684ED8E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中期票据</w:t>
            </w:r>
          </w:p>
        </w:tc>
        <w:tc>
          <w:tcPr>
            <w:tcW w:type="dxa" w:w="2835"/>
            <w:vAlign w:val="center"/>
          </w:tcPr>
          <w:p w14:paraId="33E5055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35,108,500.00</w:t>
            </w:r>
          </w:p>
        </w:tc>
        <w:tc>
          <w:tcPr>
            <w:tcW w:type="dxa" w:w="1616"/>
            <w:vAlign w:val="center"/>
          </w:tcPr>
          <w:p w14:paraId="740BB7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1.83</w:t>
            </w:r>
          </w:p>
        </w:tc>
      </w:tr>
      <w:tr w14:paraId="30D4566E" w14:textId="77777777" w:rsidR="005E6DF3">
        <w:tc>
          <w:tcPr>
            <w:tcW w:type="dxa" w:w="817"/>
            <w:vAlign w:val="center"/>
          </w:tcPr>
          <w:p w14:paraId="5D4B39C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260"/>
            <w:vAlign w:val="center"/>
          </w:tcPr>
          <w:p w14:paraId="29F4CFF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可转债</w:t>
            </w:r>
            <w:r>
              <w:rPr>
                <w:rFonts w:eastAsiaTheme="minorEastAsia" w:hint="eastAsia"/>
                <w:color w:themeColor="text1" w:val="000000"/>
                <w:szCs w:val="21"/>
              </w:rPr>
              <w:t>（可交换债）</w:t>
            </w:r>
          </w:p>
        </w:tc>
        <w:tc>
          <w:tcPr>
            <w:tcW w:type="dxa" w:w="2835"/>
            <w:vAlign w:val="center"/>
          </w:tcPr>
          <w:p w14:paraId="2FDA933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309,278,987.12</w:t>
            </w:r>
          </w:p>
        </w:tc>
        <w:tc>
          <w:tcPr>
            <w:tcW w:type="dxa" w:w="1616"/>
            <w:vAlign w:val="center"/>
          </w:tcPr>
          <w:p w14:paraId="6F4E7B1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16.11</w:t>
            </w:r>
          </w:p>
        </w:tc>
      </w:tr>
      <w:tr w14:paraId="02948309" w14:textId="77777777" w:rsidR="005E6DF3">
        <w:tc>
          <w:tcPr>
            <w:tcW w:type="dxa" w:w="817"/>
            <w:vAlign w:val="center"/>
          </w:tcPr>
          <w:p w14:paraId="5D047B39" w14:textId="77777777" w:rsidR="005E6DF3" w:rsidRDefault="005C671B">
            <w:pPr>
              <w:spacing w:before="29" w:line="360" w:lineRule="auto"/>
              <w:ind w:left="17"/>
              <w:jc w:val="center"/>
              <w:rPr>
                <w:rFonts w:eastAsiaTheme="minorEastAsia"/>
                <w:color w:themeColor="text1" w:val="000000"/>
                <w:szCs w:val="21"/>
              </w:rPr>
            </w:pPr>
            <w:r>
              <w:rPr>
                <w:rFonts w:eastAsiaTheme="minorEastAsia" w:hint="eastAsia"/>
                <w:color w:themeColor="text1" w:val="000000"/>
                <w:szCs w:val="21"/>
              </w:rPr>
              <w:t>8</w:t>
            </w:r>
          </w:p>
        </w:tc>
        <w:tc>
          <w:tcPr>
            <w:tcW w:type="dxa" w:w="3260"/>
            <w:vAlign w:val="center"/>
          </w:tcPr>
          <w:p w14:paraId="0FF81B91" w14:textId="77777777" w:rsidR="005E6DF3" w:rsidRDefault="005C671B">
            <w:pPr>
              <w:spacing w:before="29" w:line="360" w:lineRule="auto"/>
              <w:ind w:left="17"/>
              <w:jc w:val="left"/>
              <w:rPr>
                <w:rFonts w:eastAsiaTheme="minorEastAsia"/>
                <w:color w:themeColor="text1" w:val="000000"/>
                <w:szCs w:val="21"/>
              </w:rPr>
            </w:pPr>
            <w:r>
              <w:rPr>
                <w:rFonts w:eastAsiaTheme="minorEastAsia" w:hint="eastAsia"/>
                <w:color w:themeColor="text1" w:val="000000"/>
                <w:szCs w:val="21"/>
              </w:rPr>
              <w:t>同业存单</w:t>
            </w:r>
          </w:p>
        </w:tc>
        <w:tc>
          <w:tcPr>
            <w:tcW w:type="dxa" w:w="2835"/>
            <w:vAlign w:val="center"/>
          </w:tcPr>
          <w:p w14:paraId="3C4645B2"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c>
          <w:tcPr>
            <w:tcW w:type="dxa" w:w="1616"/>
            <w:vAlign w:val="center"/>
          </w:tcPr>
          <w:p w14:paraId="6EEC8418"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r>
      <w:tr w14:paraId="12A79444" w14:textId="77777777" w:rsidR="005E6DF3">
        <w:tc>
          <w:tcPr>
            <w:tcW w:type="dxa" w:w="817"/>
            <w:vAlign w:val="center"/>
          </w:tcPr>
          <w:p w14:paraId="7D1F0FA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9</w:t>
            </w:r>
          </w:p>
        </w:tc>
        <w:tc>
          <w:tcPr>
            <w:tcW w:type="dxa" w:w="3260"/>
            <w:vAlign w:val="center"/>
          </w:tcPr>
          <w:p w14:paraId="2BA7E810"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其他</w:t>
            </w:r>
          </w:p>
        </w:tc>
        <w:tc>
          <w:tcPr>
            <w:tcW w:type="dxa" w:w="2835"/>
            <w:vAlign w:val="center"/>
          </w:tcPr>
          <w:p w14:paraId="637E6D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0438D09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023F6C06" w14:textId="77777777" w:rsidR="005E6DF3">
        <w:tc>
          <w:tcPr>
            <w:tcW w:type="dxa" w:w="817"/>
            <w:vAlign w:val="center"/>
          </w:tcPr>
          <w:p w14:paraId="41EFB2E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10</w:t>
            </w:r>
          </w:p>
        </w:tc>
        <w:tc>
          <w:tcPr>
            <w:tcW w:type="dxa" w:w="3260"/>
            <w:vAlign w:val="center"/>
          </w:tcPr>
          <w:p w14:paraId="23AECBE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合计</w:t>
            </w:r>
          </w:p>
        </w:tc>
        <w:tc>
          <w:tcPr>
            <w:tcW w:type="dxa" w:w="2835"/>
            <w:vAlign w:val="center"/>
          </w:tcPr>
          <w:p w14:paraId="03D0B55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1,324,290,963.92</w:t>
            </w:r>
          </w:p>
        </w:tc>
        <w:tc>
          <w:tcPr>
            <w:tcW w:type="dxa" w:w="1616"/>
            <w:vAlign w:val="center"/>
          </w:tcPr>
          <w:p w14:paraId="78CA417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68.96</w:t>
            </w:r>
          </w:p>
        </w:tc>
      </w:tr>
    </w:tbl>
    <w:p w14:paraId="1D62EA92"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5.5 </w:t>
      </w:r>
      <w:r>
        <w:rPr>
          <w:rFonts w:eastAsiaTheme="minorEastAsia"/>
          <w:b/>
          <w:color w:themeColor="text1" w:val="000000"/>
          <w:kern w:val="0"/>
          <w:szCs w:val="21"/>
        </w:rPr>
        <w:t>报告期末按公允价值占基金资产净值比例大小排序的前五名债券投资明细</w:t>
      </w:r>
    </w:p>
    <w:tbl>
      <w:tblPr>
        <w:tblStyle w:val="afa"/>
        <w:tblW w:type="dxa" w:w="9021"/>
        <w:tblInd w:type="dxa" w:w="108"/>
        <w:tblLayout w:type="fixed"/>
        <w:tblLook w:firstColumn="1" w:firstRow="1" w:lastColumn="0" w:lastRow="0" w:noHBand="0" w:noVBand="1" w:val="04A0"/>
      </w:tblPr>
      <w:tblGrid>
        <w:gridCol w:w="1504"/>
        <w:gridCol w:w="1504"/>
        <w:gridCol w:w="1504"/>
        <w:gridCol w:w="1503"/>
        <w:gridCol w:w="1503"/>
        <w:gridCol w:w="1503"/>
      </w:tblGrid>
      <w:tr w14:paraId="35C5C2DA" w14:textId="77777777" w:rsidR="005E6DF3">
        <w:tc>
          <w:tcPr>
            <w:tcW w:type="dxa" w:w="1504"/>
            <w:vAlign w:val="center"/>
          </w:tcPr>
          <w:p w14:paraId="76CDADF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1504"/>
            <w:vAlign w:val="center"/>
          </w:tcPr>
          <w:p w14:paraId="4B97CF2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债券代码</w:t>
            </w:r>
          </w:p>
        </w:tc>
        <w:tc>
          <w:tcPr>
            <w:tcW w:type="dxa" w:w="1504"/>
            <w:vAlign w:val="center"/>
          </w:tcPr>
          <w:p w14:paraId="19F2A65F"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债券名称</w:t>
            </w:r>
          </w:p>
        </w:tc>
        <w:tc>
          <w:tcPr>
            <w:tcW w:type="dxa" w:w="1503"/>
            <w:vAlign w:val="center"/>
          </w:tcPr>
          <w:p w14:paraId="0CE53B8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数量（张）</w:t>
            </w:r>
          </w:p>
        </w:tc>
        <w:tc>
          <w:tcPr>
            <w:tcW w:type="dxa" w:w="1503"/>
            <w:vAlign w:val="center"/>
          </w:tcPr>
          <w:p w14:paraId="512908D9"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公允价值</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c>
          <w:tcPr>
            <w:tcW w:type="dxa" w:w="1503"/>
            <w:vAlign w:val="center"/>
          </w:tcPr>
          <w:p w14:paraId="2E455B21"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占基金资产净值比例（％）</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200007</w:t>
            </w:r>
          </w:p>
        </w:tc>
        <w:tc>
          <w:tcPr>
            <w:vAlign w:val="center"/>
          </w:tcPr>
          <w:p>
            <w:pPr>
              <w:jc w:val="center"/>
            </w:pPr>
            <w:r>
              <w:rPr>
                <w:rFonts w:eastAsiaTheme="minorEastAsia"/>
                <w:color w:themeColor="text1" w:val="000000"/>
                <w:szCs w:val="21"/>
              </w:rPr>
              <w:t>20附息国债07</w:t>
            </w:r>
          </w:p>
        </w:tc>
        <w:tc>
          <w:tcPr>
            <w:vAlign w:val="center"/>
          </w:tcPr>
          <w:p>
            <w:pPr>
              <w:jc w:val="right"/>
            </w:pPr>
            <w:r>
              <w:rPr>
                <w:rFonts w:eastAsiaTheme="minorEastAsia"/>
                <w:color w:themeColor="text1" w:val="000000"/>
                <w:szCs w:val="21"/>
              </w:rPr>
              <w:t>1,300,000</w:t>
            </w:r>
          </w:p>
        </w:tc>
        <w:tc>
          <w:tcPr>
            <w:vAlign w:val="center"/>
          </w:tcPr>
          <w:p>
            <w:pPr>
              <w:jc w:val="right"/>
            </w:pPr>
            <w:r>
              <w:rPr>
                <w:rFonts w:eastAsiaTheme="minorEastAsia"/>
                <w:color w:themeColor="text1" w:val="000000"/>
                <w:szCs w:val="21"/>
              </w:rPr>
              <w:t>122,590,000.00</w:t>
            </w:r>
          </w:p>
        </w:tc>
        <w:tc>
          <w:tcPr>
            <w:vAlign w:val="center"/>
          </w:tcPr>
          <w:p>
            <w:pPr>
              <w:jc w:val="right"/>
            </w:pPr>
            <w:r>
              <w:rPr>
                <w:rFonts w:eastAsiaTheme="minorEastAsia"/>
                <w:color w:themeColor="text1" w:val="000000"/>
                <w:szCs w:val="21"/>
              </w:rPr>
              <w:t>6.38</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019627</w:t>
            </w:r>
          </w:p>
        </w:tc>
        <w:tc>
          <w:tcPr>
            <w:vAlign w:val="center"/>
          </w:tcPr>
          <w:p>
            <w:pPr>
              <w:jc w:val="center"/>
            </w:pPr>
            <w:r>
              <w:rPr>
                <w:rFonts w:eastAsiaTheme="minorEastAsia"/>
                <w:color w:themeColor="text1" w:val="000000"/>
                <w:szCs w:val="21"/>
              </w:rPr>
              <w:t>20国债01</w:t>
            </w:r>
          </w:p>
        </w:tc>
        <w:tc>
          <w:tcPr>
            <w:vAlign w:val="center"/>
          </w:tcPr>
          <w:p>
            <w:pPr>
              <w:jc w:val="right"/>
            </w:pPr>
            <w:r>
              <w:rPr>
                <w:rFonts w:eastAsiaTheme="minorEastAsia"/>
                <w:color w:themeColor="text1" w:val="000000"/>
                <w:szCs w:val="21"/>
              </w:rPr>
              <w:t>1,220,150</w:t>
            </w:r>
          </w:p>
        </w:tc>
        <w:tc>
          <w:tcPr>
            <w:vAlign w:val="center"/>
          </w:tcPr>
          <w:p>
            <w:pPr>
              <w:jc w:val="right"/>
            </w:pPr>
            <w:r>
              <w:rPr>
                <w:rFonts w:eastAsiaTheme="minorEastAsia"/>
                <w:color w:themeColor="text1" w:val="000000"/>
                <w:szCs w:val="21"/>
              </w:rPr>
              <w:t>121,892,985.00</w:t>
            </w:r>
          </w:p>
        </w:tc>
        <w:tc>
          <w:tcPr>
            <w:vAlign w:val="center"/>
          </w:tcPr>
          <w:p>
            <w:pPr>
              <w:jc w:val="right"/>
            </w:pPr>
            <w:r>
              <w:rPr>
                <w:rFonts w:eastAsiaTheme="minorEastAsia"/>
                <w:color w:themeColor="text1" w:val="000000"/>
                <w:szCs w:val="21"/>
              </w:rPr>
              <w:t>6.35</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200002</w:t>
            </w:r>
          </w:p>
        </w:tc>
        <w:tc>
          <w:tcPr>
            <w:vAlign w:val="center"/>
          </w:tcPr>
          <w:p>
            <w:pPr>
              <w:jc w:val="center"/>
            </w:pPr>
            <w:r>
              <w:rPr>
                <w:rFonts w:eastAsiaTheme="minorEastAsia"/>
                <w:color w:themeColor="text1" w:val="000000"/>
                <w:szCs w:val="21"/>
              </w:rPr>
              <w:t>20附息国债02</w:t>
            </w:r>
          </w:p>
        </w:tc>
        <w:tc>
          <w:tcPr>
            <w:vAlign w:val="center"/>
          </w:tcPr>
          <w:p>
            <w:pPr>
              <w:jc w:val="right"/>
            </w:pPr>
            <w:r>
              <w:rPr>
                <w:rFonts w:eastAsiaTheme="minorEastAsia"/>
                <w:color w:themeColor="text1" w:val="000000"/>
                <w:szCs w:val="21"/>
              </w:rPr>
              <w:t>1,100,000</w:t>
            </w:r>
          </w:p>
        </w:tc>
        <w:tc>
          <w:tcPr>
            <w:vAlign w:val="center"/>
          </w:tcPr>
          <w:p>
            <w:pPr>
              <w:jc w:val="right"/>
            </w:pPr>
            <w:r>
              <w:rPr>
                <w:rFonts w:eastAsiaTheme="minorEastAsia"/>
                <w:color w:themeColor="text1" w:val="000000"/>
                <w:szCs w:val="21"/>
              </w:rPr>
              <w:t>109,230,000.00</w:t>
            </w:r>
          </w:p>
        </w:tc>
        <w:tc>
          <w:tcPr>
            <w:vAlign w:val="center"/>
          </w:tcPr>
          <w:p>
            <w:pPr>
              <w:jc w:val="right"/>
            </w:pPr>
            <w:r>
              <w:rPr>
                <w:rFonts w:eastAsiaTheme="minorEastAsia"/>
                <w:color w:themeColor="text1" w:val="000000"/>
                <w:szCs w:val="21"/>
              </w:rPr>
              <w:t>5.69</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132015</w:t>
            </w:r>
          </w:p>
        </w:tc>
        <w:tc>
          <w:tcPr>
            <w:vAlign w:val="center"/>
          </w:tcPr>
          <w:p>
            <w:pPr>
              <w:jc w:val="center"/>
            </w:pPr>
            <w:r>
              <w:rPr>
                <w:rFonts w:eastAsiaTheme="minorEastAsia"/>
                <w:color w:themeColor="text1" w:val="000000"/>
                <w:szCs w:val="21"/>
              </w:rPr>
              <w:t>18中油EB</w:t>
            </w:r>
          </w:p>
        </w:tc>
        <w:tc>
          <w:tcPr>
            <w:vAlign w:val="center"/>
          </w:tcPr>
          <w:p>
            <w:pPr>
              <w:jc w:val="right"/>
            </w:pPr>
            <w:r>
              <w:rPr>
                <w:rFonts w:eastAsiaTheme="minorEastAsia"/>
                <w:color w:themeColor="text1" w:val="000000"/>
                <w:szCs w:val="21"/>
              </w:rPr>
              <w:t>981,060</w:t>
            </w:r>
          </w:p>
        </w:tc>
        <w:tc>
          <w:tcPr>
            <w:vAlign w:val="center"/>
          </w:tcPr>
          <w:p>
            <w:pPr>
              <w:jc w:val="right"/>
            </w:pPr>
            <w:r>
              <w:rPr>
                <w:rFonts w:eastAsiaTheme="minorEastAsia"/>
                <w:color w:themeColor="text1" w:val="000000"/>
                <w:szCs w:val="21"/>
              </w:rPr>
              <w:t>97,723,386.60</w:t>
            </w:r>
          </w:p>
        </w:tc>
        <w:tc>
          <w:tcPr>
            <w:vAlign w:val="center"/>
          </w:tcPr>
          <w:p>
            <w:pPr>
              <w:jc w:val="right"/>
            </w:pPr>
            <w:r>
              <w:rPr>
                <w:rFonts w:eastAsiaTheme="minorEastAsia"/>
                <w:color w:themeColor="text1" w:val="000000"/>
                <w:szCs w:val="21"/>
              </w:rPr>
              <w:t>5.09</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132009</w:t>
            </w:r>
          </w:p>
        </w:tc>
        <w:tc>
          <w:tcPr>
            <w:vAlign w:val="center"/>
          </w:tcPr>
          <w:p>
            <w:pPr>
              <w:jc w:val="center"/>
            </w:pPr>
            <w:r>
              <w:rPr>
                <w:rFonts w:eastAsiaTheme="minorEastAsia"/>
                <w:color w:themeColor="text1" w:val="000000"/>
                <w:szCs w:val="21"/>
              </w:rPr>
              <w:t>17中油EB</w:t>
            </w:r>
          </w:p>
        </w:tc>
        <w:tc>
          <w:tcPr>
            <w:vAlign w:val="center"/>
          </w:tcPr>
          <w:p>
            <w:pPr>
              <w:jc w:val="right"/>
            </w:pPr>
            <w:r>
              <w:rPr>
                <w:rFonts w:eastAsiaTheme="minorEastAsia"/>
                <w:color w:themeColor="text1" w:val="000000"/>
                <w:szCs w:val="21"/>
              </w:rPr>
              <w:t>840,930</w:t>
            </w:r>
          </w:p>
        </w:tc>
        <w:tc>
          <w:tcPr>
            <w:vAlign w:val="center"/>
          </w:tcPr>
          <w:p>
            <w:pPr>
              <w:jc w:val="right"/>
            </w:pPr>
            <w:r>
              <w:rPr>
                <w:rFonts w:eastAsiaTheme="minorEastAsia"/>
                <w:color w:themeColor="text1" w:val="000000"/>
                <w:szCs w:val="21"/>
              </w:rPr>
              <w:t>84,463,009.20</w:t>
            </w:r>
          </w:p>
        </w:tc>
        <w:tc>
          <w:tcPr>
            <w:vAlign w:val="center"/>
          </w:tcPr>
          <w:p>
            <w:pPr>
              <w:jc w:val="right"/>
            </w:pPr>
            <w:r>
              <w:rPr>
                <w:rFonts w:eastAsiaTheme="minorEastAsia"/>
                <w:color w:themeColor="text1" w:val="000000"/>
                <w:szCs w:val="21"/>
              </w:rPr>
              <w:t>4.40</w:t>
            </w:r>
          </w:p>
        </w:tc>
      </w:tr>
    </w:tbl>
    <w:p w14:paraId="7771C5C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5.6</w:t>
      </w:r>
      <w:r>
        <w:rPr>
          <w:rFonts w:eastAsiaTheme="minorEastAsia"/>
          <w:b/>
          <w:color w:themeColor="text1" w:val="000000"/>
          <w:kern w:val="0"/>
          <w:szCs w:val="21"/>
        </w:rPr>
        <w:t xml:space="preserve">　报告期末按公允价值占基金资产净值比例大小排序的前十名资产支持证券投资明细</w:t>
      </w:r>
    </w:p>
    <w:p w14:paraId="28094300"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本基金本报告期末未持有资产支持证券。</w:t>
      </w:r>
    </w:p>
    <w:p w14:paraId="065C2DEC"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5.</w:t>
      </w:r>
      <w:proofErr w:type="gramEnd"/>
      <w:r>
        <w:rPr>
          <w:rFonts w:eastAsiaTheme="minorEastAsia"/>
          <w:b/>
          <w:bCs/>
          <w:color w:themeColor="text1" w:val="000000"/>
          <w:kern w:val="0"/>
          <w:szCs w:val="21"/>
        </w:rPr>
        <w:t xml:space="preserve">7 </w:t>
      </w:r>
      <w:r>
        <w:rPr>
          <w:rFonts w:eastAsiaTheme="minorEastAsia"/>
          <w:b/>
          <w:bCs/>
          <w:color w:themeColor="text1" w:val="000000"/>
          <w:kern w:val="0"/>
          <w:szCs w:val="21"/>
        </w:rPr>
        <w:t>报告期末按公允价值占基金资产净值比例大小排序的前五名贵金属投资明细</w:t>
      </w:r>
    </w:p>
    <w:p w14:paraId="72C886EE" w14:textId="77777777" w:rsidR="005E6DF3" w:rsidRDefault="005C671B">
      <w:pPr>
        <w:widowControl/>
        <w:spacing w:line="360" w:lineRule="auto"/>
        <w:ind w:firstLine="420" w:firstLineChars="200"/>
        <w:jc w:val="left"/>
        <w:rPr>
          <w:color w:themeColor="text1" w:val="000000"/>
          <w:szCs w:val="21"/>
        </w:rPr>
      </w:pPr>
      <w:r>
        <w:rPr>
          <w:color w:themeColor="text1" w:val="000000"/>
          <w:szCs w:val="21"/>
        </w:rPr>
        <w:t/>
      </w:r>
      <w:proofErr w:type="spellStart"/>
      <w:r>
        <w:rPr>
          <w:color w:themeColor="text1" w:val="000000"/>
          <w:szCs w:val="21"/>
        </w:rPr>
        <w:t/>
      </w:r>
      <w:proofErr w:type="gramStart"/>
      <w:r>
        <w:rPr>
          <w:color w:themeColor="text1" w:val="000000"/>
          <w:szCs w:val="21"/>
        </w:rPr>
        <w:t/>
      </w:r>
      <w:proofErr w:type="spellEnd"/>
      <w:r>
        <w:rPr>
          <w:color w:themeColor="text1" w:val="000000"/>
          <w:szCs w:val="21"/>
        </w:rPr>
        <w:t/>
      </w:r>
      <w:proofErr w:type="spellStart"/>
      <w:proofErr w:type="gramEnd"/>
      <w:r>
        <w:rPr>
          <w:color w:themeColor="text1" w:val="000000"/>
          <w:szCs w:val="21"/>
        </w:rPr>
        <w:t/>
      </w:r>
      <w:proofErr w:type="spellEnd"/>
      <w:r>
        <w:rPr>
          <w:color w:themeColor="text1" w:val="000000"/>
          <w:szCs w:val="21"/>
        </w:rPr>
        <w:t>本基金本报告期末未持有贵金属。</w:t>
      </w:r>
    </w:p>
    <w:p w14:paraId="11ED3AFF"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8</w:t>
      </w:r>
      <w:r>
        <w:rPr>
          <w:rFonts w:eastAsiaTheme="minorEastAsia"/>
          <w:b/>
          <w:color w:themeColor="text1" w:val="000000"/>
          <w:kern w:val="0"/>
          <w:szCs w:val="21"/>
        </w:rPr>
        <w:t>报告期末按公允价值占基金资产净值比例大小排序的前五名权证投资明细</w:t>
      </w:r>
    </w:p>
    <w:p w14:paraId="691F2596"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本基金本报告期末未持有权证。</w:t>
      </w:r>
    </w:p>
    <w:p w14:paraId="6AF1E792"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 xml:space="preserve">5.9 </w:t>
      </w:r>
      <w:r>
        <w:rPr>
          <w:rFonts w:eastAsiaTheme="minorEastAsia"/>
          <w:b/>
          <w:color w:themeColor="text1" w:val="000000"/>
          <w:szCs w:val="21"/>
        </w:rPr>
        <w:t>报告期末本基金投资的股指期货交易情况说明</w:t>
      </w:r>
    </w:p>
    <w:p w14:paraId="1F730FD9"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本基金本报告期末未持有股指期货。</w:t>
      </w:r>
    </w:p>
    <w:p w14:paraId="4ADBD656"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5.10</w:t>
      </w:r>
      <w:r>
        <w:rPr>
          <w:rFonts w:eastAsiaTheme="minorEastAsia"/>
          <w:b/>
          <w:color w:themeColor="text1" w:val="000000"/>
          <w:szCs w:val="21"/>
        </w:rPr>
        <w:t>报告期末本基金投资的国债期货交易情况说明</w:t>
      </w:r>
    </w:p>
    <w:p w14:paraId="113FC71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本基金本报告期末未持有国债期货。</w:t>
      </w:r>
    </w:p>
    <w:p w14:paraId="1C40C3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w:t>
      </w:r>
      <w:r>
        <w:rPr>
          <w:rFonts w:eastAsiaTheme="minorEastAsia"/>
          <w:b/>
          <w:color w:themeColor="text1" w:val="000000"/>
          <w:kern w:val="0"/>
          <w:szCs w:val="21"/>
        </w:rPr>
        <w:t>投资组合报告附注</w:t>
      </w:r>
    </w:p>
    <w:p w14:paraId="7BA92AF8"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11.1报告期内本基金投资的前十名证券的发行主体本期没有出现被监管部门立案调查，或在报告编制日前一年内受到公开谴责、处罚的情形。</w:t>
      </w:r>
    </w:p>
    <w:p w14:paraId="23E25E10"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11.2报告期内本基金投资的前十名股票中没有在基金合同规定备选股票库之外的股票。</w:t>
      </w:r>
    </w:p>
    <w:p w14:paraId="3E3F49EE" w14:textId="77777777" w:rsidR="005E6DF3" w:rsidRDefault="005C671B">
      <w:pPr>
        <w:autoSpaceDE w:val="0"/>
        <w:autoSpaceDN w:val="0"/>
        <w:adjustRightInd w:val="0"/>
        <w:spacing w:line="360" w:lineRule="auto"/>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11.3</w:t>
      </w:r>
      <w:r>
        <w:rPr>
          <w:rFonts w:eastAsiaTheme="minorEastAsia" w:hint="eastAsia"/>
          <w:b/>
          <w:color w:themeColor="text1" w:val="000000"/>
          <w:kern w:val="0"/>
          <w:szCs w:val="21"/>
        </w:rPr>
        <w:t>其他资产构成</w:t>
      </w:r>
    </w:p>
    <w:tbl>
      <w:tblPr>
        <w:tblStyle w:val="afa"/>
        <w:tblW w:type="dxa" w:w="8679"/>
        <w:tblInd w:type="dxa" w:w="108"/>
        <w:tblLayout w:type="fixed"/>
        <w:tblLook w:firstColumn="1" w:firstRow="1" w:lastColumn="0" w:lastRow="0" w:noHBand="0" w:noVBand="1" w:val="04A0"/>
      </w:tblPr>
      <w:tblGrid>
        <w:gridCol w:w="1110"/>
        <w:gridCol w:w="2761"/>
        <w:gridCol w:w="4808"/>
      </w:tblGrid>
      <w:tr w14:paraId="0FE53683" w14:textId="77777777" w:rsidR="005E6DF3">
        <w:tc>
          <w:tcPr>
            <w:tcW w:type="dxa" w:w="1110"/>
            <w:vAlign w:val="center"/>
          </w:tcPr>
          <w:p w14:paraId="1D03F931"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2761"/>
            <w:vAlign w:val="center"/>
          </w:tcPr>
          <w:p w14:paraId="3C7B9C7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名称</w:t>
            </w:r>
          </w:p>
        </w:tc>
        <w:tc>
          <w:tcPr>
            <w:tcW w:type="dxa" w:w="4808"/>
            <w:vAlign w:val="center"/>
          </w:tcPr>
          <w:p w14:paraId="6D2DC4D6"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金额</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r>
      <w:tr w14:paraId="6EC5C975" w14:textId="77777777" w:rsidR="005E6DF3">
        <w:tc>
          <w:tcPr>
            <w:tcW w:type="dxa" w:w="1110"/>
            <w:vAlign w:val="center"/>
          </w:tcPr>
          <w:p w14:paraId="6769014D" w14:textId="77777777" w:rsidR="005E6DF3" w:rsidRDefault="005C671B">
            <w:pPr>
              <w:autoSpaceDE w:val="0"/>
              <w:autoSpaceDN w:val="0"/>
              <w:adjustRightInd w:val="0"/>
              <w:spacing w:before="29" w:line="360" w:lineRule="auto"/>
              <w:ind w:left="15"/>
              <w:jc w:val="center"/>
              <w:rPr>
                <w:rFonts w:eastAsiaTheme="minorEastAsia"/>
                <w:color w:themeColor="text1" w:val="000000"/>
                <w:kern w:val="0"/>
                <w:szCs w:val="21"/>
              </w:rPr>
            </w:pPr>
            <w:r>
              <w:rPr>
                <w:rFonts w:eastAsiaTheme="minorEastAsia"/>
                <w:color w:themeColor="text1" w:val="000000"/>
                <w:szCs w:val="21"/>
              </w:rPr>
              <w:t>1</w:t>
            </w:r>
          </w:p>
        </w:tc>
        <w:tc>
          <w:tcPr>
            <w:tcW w:type="dxa" w:w="2761"/>
            <w:vAlign w:val="center"/>
          </w:tcPr>
          <w:p w14:paraId="4263CC47"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存出保证金</w:t>
            </w:r>
          </w:p>
        </w:tc>
        <w:tc>
          <w:tcPr>
            <w:tcW w:type="dxa" w:w="4808"/>
            <w:vAlign w:val="center"/>
          </w:tcPr>
          <w:p w14:paraId="09A08973"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623,027.34</w:t>
            </w:r>
          </w:p>
        </w:tc>
      </w:tr>
      <w:tr w14:paraId="1DF71E15" w14:textId="77777777" w:rsidR="005E6DF3">
        <w:tc>
          <w:tcPr>
            <w:tcW w:type="dxa" w:w="1110"/>
            <w:vAlign w:val="center"/>
          </w:tcPr>
          <w:p w14:paraId="34CE6EB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2</w:t>
            </w:r>
          </w:p>
        </w:tc>
        <w:tc>
          <w:tcPr>
            <w:tcW w:type="dxa" w:w="2761"/>
            <w:vAlign w:val="center"/>
          </w:tcPr>
          <w:p w14:paraId="6E79200A"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应收证券清算款</w:t>
            </w:r>
          </w:p>
        </w:tc>
        <w:tc>
          <w:tcPr>
            <w:tcW w:type="dxa" w:w="4808"/>
            <w:vAlign w:val="center"/>
          </w:tcPr>
          <w:p w14:paraId="37CF1220"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5BD7C23E" w14:textId="77777777" w:rsidR="005E6DF3">
        <w:tc>
          <w:tcPr>
            <w:tcW w:type="dxa" w:w="1110"/>
            <w:vAlign w:val="center"/>
          </w:tcPr>
          <w:p w14:paraId="2C49D7E8"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3</w:t>
            </w:r>
          </w:p>
        </w:tc>
        <w:tc>
          <w:tcPr>
            <w:tcW w:type="dxa" w:w="2761"/>
            <w:vAlign w:val="center"/>
          </w:tcPr>
          <w:p w14:paraId="27ECB5A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应收股利</w:t>
            </w:r>
          </w:p>
        </w:tc>
        <w:tc>
          <w:tcPr>
            <w:tcW w:type="dxa" w:w="4808"/>
            <w:vAlign w:val="center"/>
          </w:tcPr>
          <w:p w14:paraId="3F0271E2"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BBDA50A" w14:textId="77777777" w:rsidR="005E6DF3">
        <w:tc>
          <w:tcPr>
            <w:tcW w:type="dxa" w:w="1110"/>
            <w:vAlign w:val="center"/>
          </w:tcPr>
          <w:p w14:paraId="7F43A7E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4</w:t>
            </w:r>
          </w:p>
        </w:tc>
        <w:tc>
          <w:tcPr>
            <w:tcW w:type="dxa" w:w="2761"/>
            <w:vAlign w:val="center"/>
          </w:tcPr>
          <w:p w14:paraId="618C370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应收利息</w:t>
            </w:r>
          </w:p>
        </w:tc>
        <w:tc>
          <w:tcPr>
            <w:tcW w:type="dxa" w:w="4808"/>
            <w:vAlign w:val="center"/>
          </w:tcPr>
          <w:p w14:paraId="5B281515"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13,986,194.67</w:t>
            </w:r>
          </w:p>
        </w:tc>
      </w:tr>
      <w:tr w14:paraId="4107EA2D" w14:textId="77777777" w:rsidR="005E6DF3">
        <w:tc>
          <w:tcPr>
            <w:tcW w:type="dxa" w:w="1110"/>
            <w:vAlign w:val="center"/>
          </w:tcPr>
          <w:p w14:paraId="25714561"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5</w:t>
            </w:r>
          </w:p>
        </w:tc>
        <w:tc>
          <w:tcPr>
            <w:tcW w:type="dxa" w:w="2761"/>
            <w:vAlign w:val="center"/>
          </w:tcPr>
          <w:p w14:paraId="057F5E6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应收申购款</w:t>
            </w:r>
          </w:p>
        </w:tc>
        <w:tc>
          <w:tcPr>
            <w:tcW w:type="dxa" w:w="4808"/>
            <w:vAlign w:val="center"/>
          </w:tcPr>
          <w:p w14:paraId="02563A51"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19,035,636.09</w:t>
            </w:r>
          </w:p>
        </w:tc>
      </w:tr>
      <w:tr w14:paraId="4DFDADFE" w14:textId="77777777" w:rsidR="005E6DF3">
        <w:tc>
          <w:tcPr>
            <w:tcW w:type="dxa" w:w="1110"/>
            <w:vAlign w:val="center"/>
          </w:tcPr>
          <w:p w14:paraId="67AF9564"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6</w:t>
            </w:r>
          </w:p>
        </w:tc>
        <w:tc>
          <w:tcPr>
            <w:tcW w:type="dxa" w:w="2761"/>
            <w:vAlign w:val="center"/>
          </w:tcPr>
          <w:p w14:paraId="56031463"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其他应收款</w:t>
            </w:r>
          </w:p>
        </w:tc>
        <w:tc>
          <w:tcPr>
            <w:tcW w:type="dxa" w:w="4808"/>
            <w:vAlign w:val="center"/>
          </w:tcPr>
          <w:p w14:paraId="4F320BD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9E3D7AF" w14:textId="77777777" w:rsidR="005E6DF3">
        <w:tc>
          <w:tcPr>
            <w:tcW w:type="dxa" w:w="1110"/>
            <w:vAlign w:val="center"/>
          </w:tcPr>
          <w:p w14:paraId="1808D686"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7</w:t>
            </w:r>
          </w:p>
        </w:tc>
        <w:tc>
          <w:tcPr>
            <w:tcW w:type="dxa" w:w="2761"/>
            <w:vAlign w:val="center"/>
          </w:tcPr>
          <w:p w14:paraId="261A7FB7" w14:textId="77777777" w:rsidR="005E6DF3" w:rsidRDefault="005C671B">
            <w:pPr>
              <w:autoSpaceDE w:val="0"/>
              <w:autoSpaceDN w:val="0"/>
              <w:adjustRightInd w:val="0"/>
              <w:spacing w:before="29" w:line="360" w:lineRule="auto"/>
              <w:ind w:left="15"/>
              <w:jc w:val="left"/>
              <w:rPr>
                <w:rFonts w:eastAsiaTheme="minorEastAsia"/>
                <w:color w:themeColor="text1" w:val="000000"/>
                <w:szCs w:val="21"/>
              </w:rPr>
            </w:pPr>
            <w:r>
              <w:rPr>
                <w:rFonts w:eastAsiaTheme="minorEastAsia"/>
                <w:color w:themeColor="text1" w:val="000000"/>
                <w:szCs w:val="21"/>
              </w:rPr>
              <w:t>待摊费用</w:t>
            </w:r>
          </w:p>
        </w:tc>
        <w:tc>
          <w:tcPr>
            <w:tcW w:type="dxa" w:w="4808"/>
            <w:vAlign w:val="center"/>
          </w:tcPr>
          <w:p w14:paraId="61A24953"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F5F4296" w14:textId="77777777" w:rsidR="005E6DF3">
        <w:tc>
          <w:tcPr>
            <w:tcW w:type="dxa" w:w="1110"/>
            <w:vAlign w:val="center"/>
          </w:tcPr>
          <w:p w14:paraId="6E3F6F4C"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8</w:t>
            </w:r>
          </w:p>
        </w:tc>
        <w:tc>
          <w:tcPr>
            <w:tcW w:type="dxa" w:w="2761"/>
            <w:vAlign w:val="center"/>
          </w:tcPr>
          <w:p w14:paraId="129DB0F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w:t>
            </w:r>
          </w:p>
        </w:tc>
        <w:tc>
          <w:tcPr>
            <w:tcW w:type="dxa" w:w="4808"/>
            <w:vAlign w:val="center"/>
          </w:tcPr>
          <w:p w14:paraId="469AE566"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3E6996B" w14:textId="77777777" w:rsidR="005E6DF3">
        <w:tc>
          <w:tcPr>
            <w:tcW w:type="dxa" w:w="1110"/>
            <w:vAlign w:val="center"/>
          </w:tcPr>
          <w:p w14:paraId="448A47BD"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9</w:t>
            </w:r>
          </w:p>
        </w:tc>
        <w:tc>
          <w:tcPr>
            <w:tcW w:type="dxa" w:w="2761"/>
            <w:vAlign w:val="center"/>
          </w:tcPr>
          <w:p w14:paraId="07EEEFEF"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合计</w:t>
            </w:r>
          </w:p>
        </w:tc>
        <w:tc>
          <w:tcPr>
            <w:tcW w:type="dxa" w:w="4808"/>
            <w:vAlign w:val="center"/>
          </w:tcPr>
          <w:p w14:paraId="7477683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33,644,858.10</w:t>
            </w:r>
          </w:p>
        </w:tc>
      </w:tr>
    </w:tbl>
    <w:p w14:paraId="528BE5E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11.4</w:t>
      </w:r>
      <w:r>
        <w:rPr>
          <w:rFonts w:eastAsiaTheme="minorEastAsia"/>
          <w:b/>
          <w:color w:themeColor="text1" w:val="000000"/>
          <w:kern w:val="0"/>
          <w:szCs w:val="21"/>
        </w:rPr>
        <w:t>报告期末持有的处于转股期的可转换债券明细</w:t>
      </w:r>
    </w:p>
    <w:tbl>
      <w:tblPr>
        <w:tblStyle w:val="afa"/>
        <w:tblW w:type="dxa" w:w="8928"/>
        <w:tblInd w:type="dxa" w:w="108"/>
        <w:tblLayout w:type="fixed"/>
        <w:tblLook w:firstColumn="1" w:firstRow="1" w:lastColumn="0" w:lastRow="0" w:noHBand="0" w:noVBand="1" w:val="04A0"/>
      </w:tblPr>
      <w:tblGrid>
        <w:gridCol w:w="1181"/>
        <w:gridCol w:w="2497"/>
        <w:gridCol w:w="1746"/>
        <w:gridCol w:w="1825"/>
        <w:gridCol w:w="1679"/>
      </w:tblGrid>
      <w:tr w14:paraId="6F5330CA" w14:textId="77777777" w:rsidR="005E6DF3">
        <w:tc>
          <w:tcPr>
            <w:tcW w:type="dxa" w:w="1181"/>
            <w:vAlign w:val="center"/>
          </w:tcPr>
          <w:p w14:paraId="5C00B0F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2497"/>
            <w:vAlign w:val="center"/>
          </w:tcPr>
          <w:p w14:paraId="2191642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债券代码</w:t>
            </w:r>
          </w:p>
        </w:tc>
        <w:tc>
          <w:tcPr>
            <w:tcW w:type="dxa" w:w="1746"/>
            <w:vAlign w:val="center"/>
          </w:tcPr>
          <w:p w14:paraId="61BBC1AC"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债券名称</w:t>
            </w:r>
          </w:p>
        </w:tc>
        <w:tc>
          <w:tcPr>
            <w:tcW w:type="dxa" w:w="1825"/>
            <w:vAlign w:val="center"/>
          </w:tcPr>
          <w:p w14:paraId="7B01C25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79"/>
            <w:vAlign w:val="center"/>
          </w:tcPr>
          <w:p w14:paraId="0D89822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132015</w:t>
            </w:r>
          </w:p>
        </w:tc>
        <w:tc>
          <w:tcPr>
            <w:vAlign w:val="center"/>
          </w:tcPr>
          <w:p>
            <w:pPr>
              <w:jc w:val="center"/>
            </w:pPr>
            <w:r>
              <w:rPr>
                <w:rFonts w:eastAsiaTheme="minorEastAsia"/>
                <w:color w:themeColor="text1" w:val="000000"/>
                <w:szCs w:val="21"/>
              </w:rPr>
              <w:t>18中油EB</w:t>
            </w:r>
          </w:p>
        </w:tc>
        <w:tc>
          <w:tcPr>
            <w:vAlign w:val="center"/>
          </w:tcPr>
          <w:p>
            <w:pPr>
              <w:jc w:val="right"/>
            </w:pPr>
            <w:r>
              <w:rPr>
                <w:rFonts w:eastAsiaTheme="minorEastAsia"/>
                <w:color w:themeColor="text1" w:val="000000"/>
                <w:szCs w:val="21"/>
              </w:rPr>
              <w:t>97,723,386.60</w:t>
            </w:r>
          </w:p>
        </w:tc>
        <w:tc>
          <w:tcPr>
            <w:vAlign w:val="center"/>
          </w:tcPr>
          <w:p>
            <w:pPr>
              <w:jc w:val="right"/>
            </w:pPr>
            <w:r>
              <w:rPr>
                <w:rFonts w:eastAsiaTheme="minorEastAsia"/>
                <w:color w:themeColor="text1" w:val="000000"/>
                <w:szCs w:val="21"/>
              </w:rPr>
              <w:t>5.09</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132009</w:t>
            </w:r>
          </w:p>
        </w:tc>
        <w:tc>
          <w:tcPr>
            <w:vAlign w:val="center"/>
          </w:tcPr>
          <w:p>
            <w:pPr>
              <w:jc w:val="center"/>
            </w:pPr>
            <w:r>
              <w:rPr>
                <w:rFonts w:eastAsiaTheme="minorEastAsia"/>
                <w:color w:themeColor="text1" w:val="000000"/>
                <w:szCs w:val="21"/>
              </w:rPr>
              <w:t>17中油EB</w:t>
            </w:r>
          </w:p>
        </w:tc>
        <w:tc>
          <w:tcPr>
            <w:vAlign w:val="center"/>
          </w:tcPr>
          <w:p>
            <w:pPr>
              <w:jc w:val="right"/>
            </w:pPr>
            <w:r>
              <w:rPr>
                <w:rFonts w:eastAsiaTheme="minorEastAsia"/>
                <w:color w:themeColor="text1" w:val="000000"/>
                <w:szCs w:val="21"/>
              </w:rPr>
              <w:t>84,463,009.20</w:t>
            </w:r>
          </w:p>
        </w:tc>
        <w:tc>
          <w:tcPr>
            <w:vAlign w:val="center"/>
          </w:tcPr>
          <w:p>
            <w:pPr>
              <w:jc w:val="right"/>
            </w:pPr>
            <w:r>
              <w:rPr>
                <w:rFonts w:eastAsiaTheme="minorEastAsia"/>
                <w:color w:themeColor="text1" w:val="000000"/>
                <w:szCs w:val="21"/>
              </w:rPr>
              <w:t>4.40</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132013</w:t>
            </w:r>
          </w:p>
        </w:tc>
        <w:tc>
          <w:tcPr>
            <w:vAlign w:val="center"/>
          </w:tcPr>
          <w:p>
            <w:pPr>
              <w:jc w:val="center"/>
            </w:pPr>
            <w:r>
              <w:rPr>
                <w:rFonts w:eastAsiaTheme="minorEastAsia"/>
                <w:color w:themeColor="text1" w:val="000000"/>
                <w:szCs w:val="21"/>
              </w:rPr>
              <w:t>17宝武EB</w:t>
            </w:r>
          </w:p>
        </w:tc>
        <w:tc>
          <w:tcPr>
            <w:vAlign w:val="center"/>
          </w:tcPr>
          <w:p>
            <w:pPr>
              <w:jc w:val="right"/>
            </w:pPr>
            <w:r>
              <w:rPr>
                <w:rFonts w:eastAsiaTheme="minorEastAsia"/>
                <w:color w:themeColor="text1" w:val="000000"/>
                <w:szCs w:val="21"/>
              </w:rPr>
              <w:t>82,578,845.50</w:t>
            </w:r>
          </w:p>
        </w:tc>
        <w:tc>
          <w:tcPr>
            <w:vAlign w:val="center"/>
          </w:tcPr>
          <w:p>
            <w:pPr>
              <w:jc w:val="right"/>
            </w:pPr>
            <w:r>
              <w:rPr>
                <w:rFonts w:eastAsiaTheme="minorEastAsia"/>
                <w:color w:themeColor="text1" w:val="000000"/>
                <w:szCs w:val="21"/>
              </w:rPr>
              <w:t>4.30</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110065</w:t>
            </w:r>
          </w:p>
        </w:tc>
        <w:tc>
          <w:tcPr>
            <w:vAlign w:val="center"/>
          </w:tcPr>
          <w:p>
            <w:pPr>
              <w:jc w:val="center"/>
            </w:pPr>
            <w:r>
              <w:rPr>
                <w:rFonts w:eastAsiaTheme="minorEastAsia"/>
                <w:color w:themeColor="text1" w:val="000000"/>
                <w:szCs w:val="21"/>
              </w:rPr>
              <w:t>淮矿转债</w:t>
            </w:r>
          </w:p>
        </w:tc>
        <w:tc>
          <w:tcPr>
            <w:vAlign w:val="center"/>
          </w:tcPr>
          <w:p>
            <w:pPr>
              <w:jc w:val="right"/>
            </w:pPr>
            <w:r>
              <w:rPr>
                <w:rFonts w:eastAsiaTheme="minorEastAsia"/>
                <w:color w:themeColor="text1" w:val="000000"/>
                <w:szCs w:val="21"/>
              </w:rPr>
              <w:t>16,115,424.00</w:t>
            </w:r>
          </w:p>
        </w:tc>
        <w:tc>
          <w:tcPr>
            <w:vAlign w:val="center"/>
          </w:tcPr>
          <w:p>
            <w:pPr>
              <w:jc w:val="right"/>
            </w:pPr>
            <w:r>
              <w:rPr>
                <w:rFonts w:eastAsiaTheme="minorEastAsia"/>
                <w:color w:themeColor="text1" w:val="000000"/>
                <w:szCs w:val="21"/>
              </w:rPr>
              <w:t>0.84</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110064</w:t>
            </w:r>
          </w:p>
        </w:tc>
        <w:tc>
          <w:tcPr>
            <w:vAlign w:val="center"/>
          </w:tcPr>
          <w:p>
            <w:pPr>
              <w:jc w:val="center"/>
            </w:pPr>
            <w:r>
              <w:rPr>
                <w:rFonts w:eastAsiaTheme="minorEastAsia"/>
                <w:color w:themeColor="text1" w:val="000000"/>
                <w:szCs w:val="21"/>
              </w:rPr>
              <w:t>建工转债</w:t>
            </w:r>
          </w:p>
        </w:tc>
        <w:tc>
          <w:tcPr>
            <w:vAlign w:val="center"/>
          </w:tcPr>
          <w:p>
            <w:pPr>
              <w:jc w:val="right"/>
            </w:pPr>
            <w:r>
              <w:rPr>
                <w:rFonts w:eastAsiaTheme="minorEastAsia"/>
                <w:color w:themeColor="text1" w:val="000000"/>
                <w:szCs w:val="21"/>
              </w:rPr>
              <w:t>12,409,462.80</w:t>
            </w:r>
          </w:p>
        </w:tc>
        <w:tc>
          <w:tcPr>
            <w:vAlign w:val="center"/>
          </w:tcPr>
          <w:p>
            <w:pPr>
              <w:jc w:val="right"/>
            </w:pPr>
            <w:r>
              <w:rPr>
                <w:rFonts w:eastAsiaTheme="minorEastAsia"/>
                <w:color w:themeColor="text1" w:val="000000"/>
                <w:szCs w:val="21"/>
              </w:rPr>
              <w:t>0.65</w:t>
            </w:r>
          </w:p>
        </w:tc>
      </w:tr>
      <w:tr>
        <w:tc>
          <w:tcPr>
            <w:vAlign w:val="center"/>
          </w:tcPr>
          <w:p>
            <w:pPr>
              <w:jc w:val="center"/>
            </w:pPr>
            <w:r>
              <w:rPr>
                <w:rFonts w:eastAsiaTheme="minorEastAsia"/>
                <w:color w:themeColor="text1" w:val="000000"/>
                <w:szCs w:val="21"/>
              </w:rPr>
              <w:t>6</w:t>
            </w:r>
          </w:p>
        </w:tc>
        <w:tc>
          <w:tcPr>
            <w:vAlign w:val="center"/>
          </w:tcPr>
          <w:p>
            <w:pPr>
              <w:jc w:val="center"/>
            </w:pPr>
            <w:r>
              <w:rPr>
                <w:rFonts w:eastAsiaTheme="minorEastAsia"/>
                <w:color w:themeColor="text1" w:val="000000"/>
                <w:szCs w:val="21"/>
              </w:rPr>
              <w:t>110033</w:t>
            </w:r>
          </w:p>
        </w:tc>
        <w:tc>
          <w:tcPr>
            <w:vAlign w:val="center"/>
          </w:tcPr>
          <w:p>
            <w:pPr>
              <w:jc w:val="center"/>
            </w:pPr>
            <w:r>
              <w:rPr>
                <w:rFonts w:eastAsiaTheme="minorEastAsia"/>
                <w:color w:themeColor="text1" w:val="000000"/>
                <w:szCs w:val="21"/>
              </w:rPr>
              <w:t>国贸转债</w:t>
            </w:r>
          </w:p>
        </w:tc>
        <w:tc>
          <w:tcPr>
            <w:vAlign w:val="center"/>
          </w:tcPr>
          <w:p>
            <w:pPr>
              <w:jc w:val="right"/>
            </w:pPr>
            <w:r>
              <w:rPr>
                <w:rFonts w:eastAsiaTheme="minorEastAsia"/>
                <w:color w:themeColor="text1" w:val="000000"/>
                <w:szCs w:val="21"/>
              </w:rPr>
              <w:t>6,873,368.60</w:t>
            </w:r>
          </w:p>
        </w:tc>
        <w:tc>
          <w:tcPr>
            <w:vAlign w:val="center"/>
          </w:tcPr>
          <w:p>
            <w:pPr>
              <w:jc w:val="right"/>
            </w:pPr>
            <w:r>
              <w:rPr>
                <w:rFonts w:eastAsiaTheme="minorEastAsia"/>
                <w:color w:themeColor="text1" w:val="000000"/>
                <w:szCs w:val="21"/>
              </w:rPr>
              <w:t>0.36</w:t>
            </w:r>
          </w:p>
        </w:tc>
      </w:tr>
      <w:tr>
        <w:tc>
          <w:tcPr>
            <w:vAlign w:val="center"/>
          </w:tcPr>
          <w:p>
            <w:pPr>
              <w:jc w:val="center"/>
            </w:pPr>
            <w:r>
              <w:rPr>
                <w:rFonts w:eastAsiaTheme="minorEastAsia"/>
                <w:color w:themeColor="text1" w:val="000000"/>
                <w:szCs w:val="21"/>
              </w:rPr>
              <w:t>7</w:t>
            </w:r>
          </w:p>
        </w:tc>
        <w:tc>
          <w:tcPr>
            <w:vAlign w:val="center"/>
          </w:tcPr>
          <w:p>
            <w:pPr>
              <w:jc w:val="center"/>
            </w:pPr>
            <w:r>
              <w:rPr>
                <w:rFonts w:eastAsiaTheme="minorEastAsia"/>
                <w:color w:themeColor="text1" w:val="000000"/>
                <w:szCs w:val="21"/>
              </w:rPr>
              <w:t>128064</w:t>
            </w:r>
          </w:p>
        </w:tc>
        <w:tc>
          <w:tcPr>
            <w:vAlign w:val="center"/>
          </w:tcPr>
          <w:p>
            <w:pPr>
              <w:jc w:val="center"/>
            </w:pPr>
            <w:r>
              <w:rPr>
                <w:rFonts w:eastAsiaTheme="minorEastAsia"/>
                <w:color w:themeColor="text1" w:val="000000"/>
                <w:szCs w:val="21"/>
              </w:rPr>
              <w:t>司尔转债</w:t>
            </w:r>
          </w:p>
        </w:tc>
        <w:tc>
          <w:tcPr>
            <w:vAlign w:val="center"/>
          </w:tcPr>
          <w:p>
            <w:pPr>
              <w:jc w:val="right"/>
            </w:pPr>
            <w:r>
              <w:rPr>
                <w:rFonts w:eastAsiaTheme="minorEastAsia"/>
                <w:color w:themeColor="text1" w:val="000000"/>
                <w:szCs w:val="21"/>
              </w:rPr>
              <w:t>4,903,130.12</w:t>
            </w:r>
          </w:p>
        </w:tc>
        <w:tc>
          <w:tcPr>
            <w:vAlign w:val="center"/>
          </w:tcPr>
          <w:p>
            <w:pPr>
              <w:jc w:val="right"/>
            </w:pPr>
            <w:r>
              <w:rPr>
                <w:rFonts w:eastAsiaTheme="minorEastAsia"/>
                <w:color w:themeColor="text1" w:val="000000"/>
                <w:szCs w:val="21"/>
              </w:rPr>
              <w:t>0.26</w:t>
            </w:r>
          </w:p>
        </w:tc>
      </w:tr>
      <w:tr>
        <w:tc>
          <w:tcPr>
            <w:vAlign w:val="center"/>
          </w:tcPr>
          <w:p>
            <w:pPr>
              <w:jc w:val="center"/>
            </w:pPr>
            <w:r>
              <w:rPr>
                <w:rFonts w:eastAsiaTheme="minorEastAsia"/>
                <w:color w:themeColor="text1" w:val="000000"/>
                <w:szCs w:val="21"/>
              </w:rPr>
              <w:t>8</w:t>
            </w:r>
          </w:p>
        </w:tc>
        <w:tc>
          <w:tcPr>
            <w:vAlign w:val="center"/>
          </w:tcPr>
          <w:p>
            <w:pPr>
              <w:jc w:val="center"/>
            </w:pPr>
            <w:r>
              <w:rPr>
                <w:rFonts w:eastAsiaTheme="minorEastAsia"/>
                <w:color w:themeColor="text1" w:val="000000"/>
                <w:szCs w:val="21"/>
              </w:rPr>
              <w:t>127007</w:t>
            </w:r>
          </w:p>
        </w:tc>
        <w:tc>
          <w:tcPr>
            <w:vAlign w:val="center"/>
          </w:tcPr>
          <w:p>
            <w:pPr>
              <w:jc w:val="center"/>
            </w:pPr>
            <w:r>
              <w:rPr>
                <w:rFonts w:eastAsiaTheme="minorEastAsia"/>
                <w:color w:themeColor="text1" w:val="000000"/>
                <w:szCs w:val="21"/>
              </w:rPr>
              <w:t>湖广转债</w:t>
            </w:r>
          </w:p>
        </w:tc>
        <w:tc>
          <w:tcPr>
            <w:vAlign w:val="center"/>
          </w:tcPr>
          <w:p>
            <w:pPr>
              <w:jc w:val="right"/>
            </w:pPr>
            <w:r>
              <w:rPr>
                <w:rFonts w:eastAsiaTheme="minorEastAsia"/>
                <w:color w:themeColor="text1" w:val="000000"/>
                <w:szCs w:val="21"/>
              </w:rPr>
              <w:t>530,419.80</w:t>
            </w:r>
          </w:p>
        </w:tc>
        <w:tc>
          <w:tcPr>
            <w:vAlign w:val="center"/>
          </w:tcPr>
          <w:p>
            <w:pPr>
              <w:jc w:val="right"/>
            </w:pPr>
            <w:r>
              <w:rPr>
                <w:rFonts w:eastAsiaTheme="minorEastAsia"/>
                <w:color w:themeColor="text1" w:val="000000"/>
                <w:szCs w:val="21"/>
              </w:rPr>
              <w:t>0.03</w:t>
            </w:r>
          </w:p>
        </w:tc>
      </w:tr>
    </w:tbl>
    <w:p w14:paraId="7C20C23B" w14:textId="77777777" w:rsidR="005E6DF3" w:rsidRDefault="005C671B">
      <w:pPr>
        <w:autoSpaceDE w:val="0"/>
        <w:autoSpaceDN w:val="0"/>
        <w:adjustRightInd w:val="0"/>
        <w:spacing w:before="312" w:beforeLines="100" w:line="360" w:lineRule="auto"/>
        <w:jc w:val="left"/>
        <w:rPr>
          <w:rFonts w:eastAsiaTheme="minorEastAsia"/>
          <w:b/>
          <w:bCs/>
          <w:color w:themeColor="text1" w:val="00000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11.5</w:t>
      </w:r>
      <w:r>
        <w:rPr>
          <w:rFonts w:eastAsiaTheme="minorEastAsia"/>
          <w:b/>
          <w:bCs/>
          <w:color w:themeColor="text1" w:val="000000"/>
          <w:szCs w:val="21"/>
        </w:rPr>
        <w:t>报告期末前十名股票中存在流通受限情况的说明</w:t>
      </w:r>
    </w:p>
    <w:p w14:paraId="1BAD8FE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本基金本报告期末前十名股票中不存在流通受限情况。</w:t>
      </w:r>
    </w:p>
    <w:p w14:paraId="6C7715D1"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gramStart"/>
      <w:r>
        <w:rPr>
          <w:rFonts w:eastAsiaTheme="minorEastAsia"/>
          <w:b/>
          <w:color w:themeColor="text1" w:val="000000"/>
          <w:kern w:val="0"/>
          <w:szCs w:val="21"/>
        </w:rPr>
        <w:t/>
      </w:r>
      <w:proofErr w:type="spellEnd"/>
      <w:r>
        <w:rPr>
          <w:rFonts w:eastAsiaTheme="minorEastAsia"/>
          <w:b/>
          <w:color w:themeColor="text1" w:val="000000"/>
          <w:kern w:val="0"/>
          <w:szCs w:val="21"/>
        </w:rPr>
        <w:t/>
      </w:r>
      <w:proofErr w:type="gramEnd"/>
      <w:r>
        <w:rPr>
          <w:rFonts w:eastAsiaTheme="minorEastAsia"/>
          <w:b/>
          <w:color w:themeColor="text1" w:val="000000"/>
          <w:kern w:val="0"/>
          <w:szCs w:val="21"/>
        </w:rPr>
        <w:t>5.11.6</w:t>
      </w:r>
      <w:r>
        <w:rPr>
          <w:rFonts w:eastAsiaTheme="minorEastAsia"/>
          <w:b/>
          <w:color w:themeColor="text1" w:val="000000"/>
          <w:kern w:val="0"/>
          <w:szCs w:val="21"/>
        </w:rPr>
        <w:t>投资组合报告附注的其他文字描述部分</w:t>
      </w:r>
    </w:p>
    <w:p w14:paraId="2F8CDEE6"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因四舍五入原因,投资组合报告中分项之和与合计可能存在尾差。</w:t>
      </w:r>
    </w:p>
    <w:p w14:paraId="4A4FEDA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§6  </w:t>
      </w:r>
      <w:r>
        <w:rPr>
          <w:rFonts w:eastAsiaTheme="minorEastAsia"/>
          <w:color w:themeColor="text1" w:val="000000"/>
          <w:kern w:val="0"/>
          <w:sz w:val="21"/>
          <w:szCs w:val="21"/>
        </w:rPr>
        <w:t>开放式基金份额变动</w:t>
      </w:r>
    </w:p>
    <w:p w14:paraId="775D002C"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单位：份</w:t>
      </w:r>
    </w:p>
    <w:tbl>
      <w:tblPr>
        <w:tblW w:type="dxa" w:w="8634"/>
        <w:tblInd w:type="dxa" w:w="108"/>
        <w:tblLayout w:type="fixed"/>
        <w:tblLook w:firstColumn="1" w:firstRow="1" w:lastColumn="0" w:lastRow="0" w:noHBand="0" w:noVBand="1" w:val="04A0"/>
      </w:tblPr>
      <w:tblGrid>
        <w:gridCol w:w="3900"/>
        <w:gridCol w:w="2367"/>
        <w:gridCol w:w="2367"/>
      </w:tblGrid>
      <w:tr w14:paraId="59109990"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5DC966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项目</w:t>
            </w:r>
            <w:r>
              <w:rPr>
                <w:color w:themeColor="text1" w:val="000000"/>
                <w:kern w:val="0"/>
                <w:szCs w:val="21"/>
              </w:rPr>
              <w:t/>
            </w:r>
            <w:proofErr w:type="spellStart"/>
            <w:r>
              <w:rPr>
                <w:color w:themeColor="text1" w:val="000000"/>
                <w:kern w:val="0"/>
                <w:szCs w:val="21"/>
              </w:rPr>
              <w:t/>
            </w:r>
            <w:proofErr w:type="spellEnd"/>
            <w:r>
              <w:rPr>
                <w:color w:themeColor="text1" w:val="000000"/>
                <w:kern w:val="0"/>
                <w:szCs w:val="21"/>
              </w:rPr>
              <w:t/>
            </w:r>
          </w:p>
        </w:tc>
        <w:tc>
          <w:tcPr>
            <w:tcW w:type="dxa" w:w="2367"/>
            <w:tcBorders>
              <w:top w:color="000000" w:space="0" w:sz="8" w:val="single"/>
              <w:left w:color="000000" w:space="0" w:sz="8" w:val="single"/>
              <w:bottom w:color="000000" w:space="0" w:sz="8" w:val="single"/>
              <w:right w:color="000000" w:space="0" w:sz="8" w:val="single"/>
            </w:tcBorders>
            <w:vAlign w:val="center"/>
          </w:tcPr>
          <w:p w14:paraId="3A823E4A"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上投摩根安隆回报混合A</w:t>
            </w:r>
          </w:p>
        </w:tc>
        <w:tc>
          <w:tcPr>
            <w:tcW w:type="dxa" w:w="2367"/>
            <w:tcBorders>
              <w:top w:color="000000" w:space="0" w:sz="8" w:val="single"/>
              <w:left w:color="000000" w:space="0" w:sz="8" w:val="single"/>
              <w:bottom w:color="000000" w:space="0" w:sz="8" w:val="single"/>
              <w:right w:color="000000" w:space="0" w:sz="8" w:val="single"/>
            </w:tcBorders>
            <w:vAlign w:val="center"/>
          </w:tcPr>
          <w:p w14:paraId="319C6D0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上投摩根安隆回报混合C</w:t>
            </w:r>
          </w:p>
        </w:tc>
      </w:tr>
      <w:tr w14:paraId="5A595E9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77F8648"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lastRenderedPageBreak/>
              <w:t>本报告期期</w:t>
            </w:r>
            <w:proofErr w:type="gramStart"/>
            <w:r>
              <w:rPr>
                <w:rFonts w:eastAsiaTheme="minorEastAsia"/>
                <w:color w:themeColor="text1" w:val="000000"/>
                <w:kern w:val="0"/>
                <w:szCs w:val="21"/>
              </w:rPr>
              <w:t>初基金</w:t>
            </w:r>
            <w:proofErr w:type="gramEnd"/>
            <w:r>
              <w:rPr>
                <w:rFonts w:eastAsiaTheme="minorEastAsia"/>
                <w:color w:themeColor="text1" w:val="000000"/>
                <w:kern w:val="0"/>
                <w:szCs w:val="21"/>
              </w:rPr>
              <w:t>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24F2EB4"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410,648,567.67</w:t>
            </w:r>
          </w:p>
        </w:tc>
        <w:tc>
          <w:tcPr>
            <w:tcW w:type="dxa" w:w="2367"/>
            <w:tcBorders>
              <w:top w:color="000000" w:space="0" w:sz="8" w:val="single"/>
              <w:left w:color="000000" w:space="0" w:sz="8" w:val="single"/>
              <w:bottom w:color="000000" w:space="0" w:sz="8" w:val="single"/>
              <w:right w:color="000000" w:space="0" w:sz="8" w:val="single"/>
            </w:tcBorders>
            <w:vAlign w:val="center"/>
          </w:tcPr>
          <w:p w14:paraId="12BF9239"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322,907,998.74</w:t>
            </w:r>
          </w:p>
        </w:tc>
      </w:tr>
      <w:tr w14:paraId="127EB167"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318E7E14"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2879A1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560,677,572.85</w:t>
            </w:r>
          </w:p>
        </w:tc>
        <w:tc>
          <w:tcPr>
            <w:tcW w:type="dxa" w:w="2367"/>
            <w:tcBorders>
              <w:top w:color="000000" w:space="0" w:sz="8" w:val="single"/>
              <w:left w:color="000000" w:space="0" w:sz="8" w:val="single"/>
              <w:bottom w:color="000000" w:space="0" w:sz="8" w:val="single"/>
              <w:right w:color="000000" w:space="0" w:sz="8" w:val="single"/>
            </w:tcBorders>
            <w:vAlign w:val="center"/>
          </w:tcPr>
          <w:p w14:paraId="672F092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493,898,569.02</w:t>
            </w:r>
          </w:p>
        </w:tc>
      </w:tr>
      <w:tr w14:paraId="52F03788"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168718B"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减：</w:t>
            </w: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3ED8B30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80,967,779.55</w:t>
            </w:r>
          </w:p>
        </w:tc>
        <w:tc>
          <w:tcPr>
            <w:tcW w:type="dxa" w:w="2367"/>
            <w:tcBorders>
              <w:top w:color="000000" w:space="0" w:sz="8" w:val="single"/>
              <w:left w:color="000000" w:space="0" w:sz="8" w:val="single"/>
              <w:bottom w:color="000000" w:space="0" w:sz="8" w:val="single"/>
              <w:right w:color="000000" w:space="0" w:sz="8" w:val="single"/>
            </w:tcBorders>
            <w:vAlign w:val="center"/>
          </w:tcPr>
          <w:p w14:paraId="1A58924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150,725,323.19</w:t>
            </w:r>
          </w:p>
        </w:tc>
      </w:tr>
      <w:tr w14:paraId="64E1E27F"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648F4DC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基金拆分变动份额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8A777F3"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7BB1890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9BFCBD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8BB1B2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本报告期期末基金份额总额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D0D41B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890,358,360.97</w:t>
            </w:r>
          </w:p>
        </w:tc>
        <w:tc>
          <w:tcPr>
            <w:tcW w:type="dxa" w:w="2367"/>
            <w:tcBorders>
              <w:top w:color="000000" w:space="0" w:sz="8" w:val="single"/>
              <w:left w:color="000000" w:space="0" w:sz="8" w:val="single"/>
              <w:bottom w:color="000000" w:space="0" w:sz="8" w:val="single"/>
              <w:right w:color="000000" w:space="0" w:sz="8" w:val="single"/>
            </w:tcBorders>
            <w:vAlign w:val="center"/>
          </w:tcPr>
          <w:p w14:paraId="109E08A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666,081,244.57</w:t>
            </w:r>
          </w:p>
        </w:tc>
      </w:tr>
    </w:tbl>
    <w:p w14:paraId="679B8C87" w14:textId="77777777" w:rsidR="005E6DF3" w:rsidRDefault="005C671B">
      <w:pPr>
        <w:pStyle w:val="1"/>
        <w:tabs>
          <w:tab w:pos="4156" w:val="center"/>
          <w:tab w:pos="8312" w:val="right"/>
        </w:tabs>
        <w:spacing w:after="312" w:afterLines="100" w:before="312" w:beforeLines="100" w:line="360" w:lineRule="auto"/>
        <w:jc w:val="center"/>
        <w:rPr>
          <w:color w:themeColor="text1" w:val="00000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§7</w:t>
      </w:r>
      <w:r>
        <w:rPr>
          <w:rFonts w:hint="eastAsia"/>
          <w:color w:val="000000"/>
          <w:sz w:val="21"/>
          <w:szCs w:val="21"/>
          <w:shd w:color="auto" w:fill="FFFFFF" w:val="clear"/>
        </w:rPr>
        <w:t>基金管理人运用</w:t>
      </w:r>
      <w:proofErr w:type="gramStart"/>
      <w:r>
        <w:rPr>
          <w:rFonts w:hint="eastAsia"/>
          <w:color w:val="000000"/>
          <w:sz w:val="21"/>
          <w:szCs w:val="21"/>
          <w:shd w:color="auto" w:fill="FFFFFF" w:val="clear"/>
        </w:rPr>
        <w:t>固有资金</w:t>
      </w:r>
      <w:proofErr w:type="gramEnd"/>
      <w:r>
        <w:rPr>
          <w:rFonts w:hint="eastAsia"/>
          <w:color w:val="000000"/>
          <w:sz w:val="21"/>
          <w:szCs w:val="21"/>
          <w:shd w:color="auto" w:fill="FFFFFF" w:val="clear"/>
        </w:rPr>
        <w:t>投资本基金情况</w:t>
      </w:r>
    </w:p>
    <w:p w14:paraId="556B0410" w14:textId="77777777" w:rsidR="005E6DF3" w:rsidRDefault="005C671B">
      <w:pPr>
        <w:spacing w:line="360" w:lineRule="auto"/>
        <w:jc w:val="left"/>
        <w:rPr>
          <w:color w:themeColor="text1" w:val="000000"/>
          <w:szCs w:val="21"/>
        </w:rPr>
      </w:pPr>
      <w:r>
        <w:rPr>
          <w:b/>
          <w:color w:themeColor="text1" w:val="000000"/>
          <w:szCs w:val="21"/>
        </w:rPr>
        <w:t/>
      </w:r>
      <w:proofErr w:type="spellStart"/>
      <w:r>
        <w:rPr>
          <w:b/>
          <w:color w:themeColor="text1" w:val="000000"/>
          <w:szCs w:val="21"/>
        </w:rPr>
        <w:t/>
      </w:r>
      <w:proofErr w:type="gramStart"/>
      <w:r>
        <w:rPr>
          <w:b/>
          <w:color w:themeColor="text1" w:val="000000"/>
          <w:szCs w:val="21"/>
        </w:rPr>
        <w:t/>
      </w:r>
      <w:proofErr w:type="spellEnd"/>
      <w:r>
        <w:rPr>
          <w:b/>
          <w:color w:themeColor="text1" w:val="000000"/>
          <w:szCs w:val="21"/>
        </w:rPr>
        <w:t/>
      </w:r>
      <w:proofErr w:type="gramEnd"/>
      <w:r>
        <w:rPr>
          <w:b/>
          <w:color w:themeColor="text1" w:val="000000"/>
          <w:szCs w:val="21"/>
        </w:rPr>
        <w:t>7.1</w:t>
      </w:r>
      <w:r>
        <w:rPr>
          <w:rFonts w:eastAsiaTheme="minorEastAsia" w:hint="eastAsia"/>
          <w:b/>
          <w:bCs/>
          <w:color w:themeColor="text1" w:val="000000"/>
          <w:kern w:val="44"/>
          <w:szCs w:val="21"/>
        </w:rPr>
        <w:t>基金管理人持有本基金份额变动情况</w:t>
      </w:r>
    </w:p>
    <w:p w14:paraId="1A93269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hint="eastAsia"/>
          <w:color w:themeColor="text1" w:val="000000"/>
          <w:szCs w:val="21"/>
        </w:rPr>
        <w:t/>
      </w:r>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无。</w:t>
      </w:r>
    </w:p>
    <w:p w14:paraId="736016BB"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lastRenderedPageBreak/>
        <w:t xml:space="preserve">§8 </w:t>
      </w:r>
      <w:r>
        <w:rPr>
          <w:rFonts w:eastAsiaTheme="minorEastAsia"/>
          <w:color w:themeColor="text1" w:val="000000"/>
          <w:kern w:val="0"/>
          <w:sz w:val="21"/>
          <w:szCs w:val="21"/>
        </w:rPr>
        <w:t>备查文件目录</w:t>
      </w:r>
    </w:p>
    <w:p w14:paraId="4854F6A6" w14:textId="77777777" w:rsidR="005E6DF3" w:rsidRDefault="005C671B">
      <w:pPr>
        <w:autoSpaceDE w:val="0"/>
        <w:autoSpaceDN w:val="0"/>
        <w:adjustRightInd w:val="0"/>
        <w:spacing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1</w:t>
      </w:r>
      <w:r>
        <w:rPr>
          <w:rFonts w:eastAsiaTheme="minorEastAsia"/>
          <w:b/>
          <w:bCs/>
          <w:color w:themeColor="text1" w:val="000000"/>
          <w:kern w:val="0"/>
          <w:szCs w:val="21"/>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1. 中国证监会准予上投摩根安隆回报混合型证券投资基金募集注册的文件；</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 《上投摩根安隆回报混合型证券投资基金基金合同》；</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3. 《上投摩根安隆回报混合型证券投资基金托管协议》；</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4. 《上投摩根开放式基金业务规则》；</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5. 基金管理人业务资格批件、营业执照；</w:t>
      </w:r>
    </w:p>
    <w:p w14:paraId="7E871BBD"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 基金托管人业务资格批件和营业执照。</w:t>
      </w:r>
    </w:p>
    <w:p w14:paraId="20400EE8"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2</w:t>
      </w:r>
      <w:r>
        <w:rPr>
          <w:rFonts w:eastAsiaTheme="minorEastAsia"/>
          <w:b/>
          <w:bCs/>
          <w:color w:themeColor="text1" w:val="000000"/>
          <w:kern w:val="0"/>
          <w:szCs w:val="21"/>
        </w:rPr>
        <w:t>存放地点</w:t>
      </w:r>
    </w:p>
    <w:p w14:paraId="5488ADD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基金管理人或基金托管人住所。</w:t>
      </w:r>
    </w:p>
    <w:p w14:paraId="1A8165CD"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3</w:t>
      </w:r>
      <w:r>
        <w:rPr>
          <w:rFonts w:eastAsiaTheme="minorEastAsia"/>
          <w:b/>
          <w:bCs/>
          <w:color w:themeColor="text1" w:val="000000"/>
          <w:kern w:val="0"/>
          <w:szCs w:val="21"/>
        </w:rPr>
        <w:t>查阅方式</w:t>
      </w:r>
    </w:p>
    <w:p w14:paraId="712B1D6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投资者可在营业时间免费查阅，也可按工本费购买复印件。</w:t>
      </w:r>
    </w:p>
    <w:p w14:paraId="1E13A72D" w14:textId="77777777" w:rsidR="005E6DF3" w:rsidRDefault="005E6DF3">
      <w:pPr>
        <w:spacing w:line="360" w:lineRule="auto"/>
        <w:ind w:left="840"/>
        <w:jc w:val="right"/>
        <w:rPr>
          <w:rFonts w:eastAsiaTheme="minorEastAsia"/>
          <w:color w:themeColor="text1" w:val="000000"/>
          <w:szCs w:val="21"/>
        </w:rPr>
      </w:pPr>
    </w:p>
    <w:p w14:paraId="73012A02" w14:textId="77777777" w:rsidR="005E6DF3" w:rsidRDefault="005E6DF3">
      <w:pPr>
        <w:spacing w:line="360" w:lineRule="auto"/>
        <w:ind w:left="840"/>
        <w:jc w:val="center"/>
        <w:rPr>
          <w:rFonts w:eastAsiaTheme="minorEastAsia"/>
          <w:b/>
          <w:color w:themeColor="text1" w:val="000000"/>
          <w:szCs w:val="21"/>
        </w:rPr>
      </w:pPr>
    </w:p>
    <w:p w14:paraId="0EB58591"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上投摩根基金管理有限公司</w:t>
      </w:r>
    </w:p>
    <w:p w14:paraId="64D1C272"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二〇二〇年十月二十八日</w:t>
      </w:r>
    </w:p>
    <w:sectPr w:rsidR="005E6DF3">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F37B0" w14:textId="77777777" w:rsidR="005E4F74" w:rsidRDefault="005E4F74">
      <w:r>
        <w:separator/>
      </w:r>
    </w:p>
  </w:endnote>
  <w:endnote w:type="continuationSeparator" w:id="0">
    <w:p w14:paraId="4021B18A" w14:textId="77777777"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FE83CB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193FF810"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end"/>
    </w:r>
  </w:p>
  <w:p w14:paraId="461C3E40" w14:textId="77777777" w:rsidR="005C671B" w:rsidRDefault="005C671B">
    <w:pPr>
      <w:pStyle w:val="a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026710F"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DCC3521" w14:textId="77777777" w:rsidR="005C671B" w:rsidRDefault="005C671B">
    <w:pPr>
      <w:pStyle w:val="a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4F07EB64" w14:textId="77777777" w:rsidR="005E4F74" w:rsidRDefault="005E4F74">
      <w:r>
        <w:separator/>
      </w:r>
    </w:p>
  </w:footnote>
  <w:footnote w:id="0" w:type="continuationSeparator">
    <w:p w14:paraId="53034943" w14:textId="77777777" w:rsidR="005E4F74" w:rsidRDefault="005E4F74">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497AD861" w14:textId="77777777" w:rsidR="005C671B" w:rsidRDefault="005C671B">
    <w:pPr>
      <w:pStyle w:val="af"/>
      <w:pBdr>
        <w:bottom w:color="auto" w:space="0" w:sz="6" w:val="single"/>
      </w:pBdr>
      <w:jc w:val="right"/>
    </w:pPr>
    <w:r>
      <w:t/>
    </w:r>
    <w:proofErr w:type="spellStart"/>
    <w:r>
      <w:t/>
    </w:r>
    <w:proofErr w:type="gramStart"/>
    <w:r>
      <w:t/>
    </w:r>
    <w:proofErr w:type="spellEnd"/>
    <w:r>
      <w:t>上投摩根安隆回报混合型证券投资基金</w:t>
    </w:r>
    <w:proofErr w:type="spellStart"/>
    <w:proofErr w:type="gramEnd"/>
    <w:r>
      <w:t/>
    </w:r>
    <w:proofErr w:type="spellEnd"/>
    <w:r>
      <w:t>2020年第3季度报告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printPostScriptOverText/>
  <w:bordersDoNotSurroundHeader/>
  <w:bordersDoNotSurroundFooter/>
  <w:proofState w:grammar="clean"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026" v:ext="edit"/>
    <o:shapelayout v:ext="edit">
      <o:idmap data="1" v:ext="edit"/>
    </o:shapelayout>
  </w:shapeDefaults>
  <w:decimalSymbol w:val="."/>
  <w:listSeparator w:val=","/>
  <w14:docId w14:val="095A3A6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uiPriority="9"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qFormat="1" w:semiHidden="1"/>
    <w:lsdException w:name="Normal Indent" w:qFormat="1" w:uiPriority="99"/>
    <w:lsdException w:name="footnote text" w:qFormat="1"/>
    <w:lsdException w:name="annotation text" w:qFormat="1" w:semiHidden="1"/>
    <w:lsdException w:name="header" w:qFormat="1" w:uiPriority="99"/>
    <w:lsdException w:name="footer" w:qFormat="1"/>
    <w:lsdException w:name="caption" w:qFormat="1" w:semiHidden="1" w:unhideWhenUsed="1"/>
    <w:lsdException w:name="footnote reference" w:qFormat="1"/>
    <w:lsdException w:name="annotation reference" w:qFormat="1" w:semiHidden="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uiPriority="22"/>
    <w:lsdException w:name="Emphasis" w:qFormat="1"/>
    <w:lsdException w:name="Document Map" w:qFormat="1" w:semiHidden="1"/>
    <w:lsdException w:name="Plain Text" w:qFormat="1" w:uiPriority="99"/>
    <w:lsdException w:name="HTML Top of Form" w:semiHidden="1" w:uiPriority="99" w:unhideWhenUsed="1"/>
    <w:lsdException w:name="HTML Bottom of Form" w:semiHidden="1" w:uiPriority="99" w:unhideWhenUsed="1"/>
    <w:lsdException w:name="Normal (Web)" w:qFormat="1"/>
    <w:lsdException w:name="Normal Table" w:qFormat="1" w:semiHidden="1" w:uiPriority="99" w:unhideWhenUsed="1"/>
    <w:lsdException w:name="annotation subject" w:qFormat="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Grid" w:qFormat="1"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pPr>
      <w:widowControl w:val="0"/>
      <w:jc w:val="both"/>
    </w:pPr>
    <w:rPr>
      <w:kern w:val="2"/>
      <w:sz w:val="21"/>
      <w:szCs w:val="24"/>
    </w:rPr>
  </w:style>
  <w:style w:styleId="1" w:type="paragraph">
    <w:name w:val="heading 1"/>
    <w:basedOn w:val="a"/>
    <w:next w:val="a"/>
    <w:link w:val="10"/>
    <w:qFormat/>
    <w:pPr>
      <w:keepNext/>
      <w:keepLines/>
      <w:spacing w:after="330" w:before="340" w:line="578" w:lineRule="auto"/>
      <w:outlineLvl w:val="0"/>
    </w:pPr>
    <w:rPr>
      <w:b/>
      <w:bCs/>
      <w:kern w:val="44"/>
      <w:sz w:val="44"/>
      <w:szCs w:val="44"/>
    </w:rPr>
  </w:style>
  <w:style w:styleId="2" w:type="paragraph">
    <w:name w:val="heading 2"/>
    <w:basedOn w:val="a"/>
    <w:next w:val="a0"/>
    <w:qFormat/>
    <w:pPr>
      <w:keepNext/>
      <w:keepLines/>
      <w:spacing w:after="260" w:before="260" w:line="360" w:lineRule="auto"/>
      <w:outlineLvl w:val="1"/>
    </w:pPr>
    <w:rPr>
      <w:rFonts w:ascii="Arial" w:cs="Arial" w:hAnsi="Arial"/>
      <w:b/>
      <w:bCs/>
      <w:sz w:val="24"/>
      <w:szCs w:val="28"/>
    </w:rPr>
  </w:style>
  <w:style w:styleId="3" w:type="paragraph">
    <w:name w:val="heading 3"/>
    <w:basedOn w:val="a"/>
    <w:next w:val="a"/>
    <w:link w:val="30"/>
    <w:uiPriority w:val="9"/>
    <w:unhideWhenUsed/>
    <w:qFormat/>
    <w:pPr>
      <w:keepNext/>
      <w:keepLines/>
      <w:spacing w:after="260" w:before="260" w:line="416" w:lineRule="auto"/>
      <w:outlineLvl w:val="2"/>
    </w:pPr>
    <w:rPr>
      <w:rFonts w:asciiTheme="minorHAnsi" w:cstheme="minorBidi" w:eastAsiaTheme="minorEastAsia" w:hAnsiTheme="minorHAnsi"/>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qFormat/>
    <w:pPr>
      <w:ind w:firstLine="420" w:firstLineChars="200"/>
    </w:pPr>
  </w:style>
  <w:style w:styleId="a4" w:type="paragraph">
    <w:name w:val="annotation subject"/>
    <w:basedOn w:val="a5"/>
    <w:next w:val="a5"/>
    <w:semiHidden/>
    <w:qFormat/>
    <w:rPr>
      <w:b/>
      <w:bCs/>
    </w:rPr>
  </w:style>
  <w:style w:styleId="a5" w:type="paragraph">
    <w:name w:val="annotation text"/>
    <w:basedOn w:val="a"/>
    <w:semiHidden/>
    <w:qFormat/>
    <w:pPr>
      <w:jc w:val="left"/>
    </w:pPr>
  </w:style>
  <w:style w:styleId="a6" w:type="paragraph">
    <w:name w:val="Document Map"/>
    <w:basedOn w:val="a"/>
    <w:semiHidden/>
    <w:qFormat/>
    <w:pPr>
      <w:shd w:color="auto" w:fill="000080" w:val="clear"/>
    </w:pPr>
  </w:style>
  <w:style w:styleId="a7" w:type="paragraph">
    <w:name w:val="Body Text"/>
    <w:basedOn w:val="a"/>
    <w:qFormat/>
    <w:pPr>
      <w:spacing w:after="120"/>
    </w:pPr>
  </w:style>
  <w:style w:styleId="a8" w:type="paragraph">
    <w:name w:val="Body Text Indent"/>
    <w:basedOn w:val="a"/>
    <w:qFormat/>
    <w:pPr>
      <w:widowControl/>
      <w:spacing w:after="100" w:afterAutospacing="1" w:before="100" w:beforeAutospacing="1"/>
      <w:jc w:val="left"/>
    </w:pPr>
    <w:rPr>
      <w:rFonts w:ascii="Arial Unicode MS" w:cs="Arial Unicode MS" w:eastAsia="Arial Unicode MS" w:hAnsi="Arial Unicode MS"/>
      <w:kern w:val="0"/>
      <w:sz w:val="24"/>
    </w:rPr>
  </w:style>
  <w:style w:styleId="a9" w:type="paragraph">
    <w:name w:val="Plain Text"/>
    <w:basedOn w:val="a"/>
    <w:link w:val="aa"/>
    <w:uiPriority w:val="99"/>
    <w:qFormat/>
    <w:rPr>
      <w:rFonts w:ascii="宋体" w:hAnsi="Courier New"/>
      <w:szCs w:val="21"/>
    </w:rPr>
  </w:style>
  <w:style w:styleId="ab" w:type="paragraph">
    <w:name w:val="Date"/>
    <w:basedOn w:val="a"/>
    <w:next w:val="a"/>
    <w:link w:val="ac"/>
    <w:qFormat/>
    <w:rPr>
      <w:sz w:val="24"/>
      <w:szCs w:val="20"/>
    </w:rPr>
  </w:style>
  <w:style w:styleId="20" w:type="paragraph">
    <w:name w:val="Body Text Indent 2"/>
    <w:basedOn w:val="a"/>
    <w:qFormat/>
    <w:pPr>
      <w:spacing w:line="560" w:lineRule="exact"/>
      <w:ind w:firstLine="480" w:firstLineChars="200"/>
    </w:pPr>
    <w:rPr>
      <w:rFonts w:ascii="宋体" w:hAnsi="宋体"/>
      <w:color w:val="FF0000"/>
      <w:sz w:val="24"/>
    </w:rPr>
  </w:style>
  <w:style w:styleId="ad" w:type="paragraph">
    <w:name w:val="Balloon Text"/>
    <w:basedOn w:val="a"/>
    <w:semiHidden/>
    <w:qFormat/>
    <w:rPr>
      <w:sz w:val="18"/>
      <w:szCs w:val="18"/>
    </w:rPr>
  </w:style>
  <w:style w:styleId="ae" w:type="paragraph">
    <w:name w:val="footer"/>
    <w:basedOn w:val="a"/>
    <w:qFormat/>
    <w:pPr>
      <w:tabs>
        <w:tab w:pos="4153" w:val="center"/>
        <w:tab w:pos="8306" w:val="right"/>
      </w:tabs>
      <w:snapToGrid w:val="0"/>
      <w:jc w:val="left"/>
    </w:pPr>
    <w:rPr>
      <w:sz w:val="18"/>
      <w:szCs w:val="18"/>
    </w:rPr>
  </w:style>
  <w:style w:styleId="af" w:type="paragraph">
    <w:name w:val="header"/>
    <w:basedOn w:val="a"/>
    <w:link w:val="af0"/>
    <w:uiPriority w:val="99"/>
    <w:qFormat/>
    <w:pPr>
      <w:pBdr>
        <w:bottom w:color="auto" w:space="1" w:sz="6" w:val="single"/>
      </w:pBdr>
      <w:tabs>
        <w:tab w:pos="4153" w:val="center"/>
        <w:tab w:pos="8306" w:val="right"/>
      </w:tabs>
      <w:snapToGrid w:val="0"/>
      <w:jc w:val="center"/>
    </w:pPr>
    <w:rPr>
      <w:sz w:val="18"/>
      <w:szCs w:val="18"/>
    </w:rPr>
  </w:style>
  <w:style w:styleId="af1" w:type="paragraph">
    <w:name w:val="List"/>
    <w:basedOn w:val="a7"/>
    <w:qFormat/>
    <w:pPr>
      <w:spacing w:after="220" w:line="220" w:lineRule="atLeast"/>
      <w:ind w:hanging="360" w:left="1440"/>
    </w:pPr>
    <w:rPr>
      <w:szCs w:val="20"/>
    </w:rPr>
  </w:style>
  <w:style w:styleId="af2" w:type="paragraph">
    <w:name w:val="footnote text"/>
    <w:basedOn w:val="a"/>
    <w:link w:val="af3"/>
    <w:qFormat/>
    <w:pPr>
      <w:snapToGrid w:val="0"/>
      <w:jc w:val="left"/>
    </w:pPr>
    <w:rPr>
      <w:sz w:val="18"/>
      <w:szCs w:val="18"/>
    </w:rPr>
  </w:style>
  <w:style w:styleId="31" w:type="paragraph">
    <w:name w:val="Body Text Indent 3"/>
    <w:basedOn w:val="a"/>
    <w:qFormat/>
    <w:pPr>
      <w:spacing w:line="560" w:lineRule="exact"/>
      <w:ind w:firstLine="420" w:firstLineChars="200"/>
    </w:pPr>
    <w:rPr>
      <w:rFonts w:ascii="Arial" w:cs="Arial" w:hAnsi="Arial"/>
      <w:color w:val="FF0000"/>
    </w:rPr>
  </w:style>
  <w:style w:styleId="af4" w:type="paragraph">
    <w:name w:val="Normal (Web)"/>
    <w:basedOn w:val="a"/>
    <w:qFormat/>
    <w:pPr>
      <w:widowControl/>
      <w:spacing w:after="100" w:afterAutospacing="1" w:before="100" w:beforeAutospacing="1"/>
      <w:jc w:val="left"/>
    </w:pPr>
    <w:rPr>
      <w:rFonts w:ascii="宋体" w:hAnsi="宋体"/>
      <w:kern w:val="0"/>
      <w:sz w:val="24"/>
    </w:rPr>
  </w:style>
  <w:style w:styleId="11" w:type="paragraph">
    <w:name w:val="index 1"/>
    <w:basedOn w:val="a"/>
    <w:next w:val="a"/>
    <w:semiHidden/>
    <w:qFormat/>
    <w:pPr>
      <w:jc w:val="right"/>
    </w:pPr>
    <w:rPr>
      <w:color w:val="008000"/>
    </w:rPr>
  </w:style>
  <w:style w:styleId="af5" w:type="character">
    <w:name w:val="Strong"/>
    <w:basedOn w:val="a1"/>
    <w:uiPriority w:val="22"/>
    <w:qFormat/>
    <w:rPr>
      <w:b/>
      <w:bCs/>
    </w:rPr>
  </w:style>
  <w:style w:styleId="af6" w:type="character">
    <w:name w:val="page number"/>
    <w:basedOn w:val="a1"/>
    <w:qFormat/>
  </w:style>
  <w:style w:styleId="af7" w:type="character">
    <w:name w:val="Hyperlink"/>
    <w:basedOn w:val="a1"/>
    <w:qFormat/>
    <w:rPr>
      <w:color w:val="0000FF"/>
      <w:u w:val="single"/>
    </w:rPr>
  </w:style>
  <w:style w:styleId="af8" w:type="character">
    <w:name w:val="annotation reference"/>
    <w:basedOn w:val="a1"/>
    <w:semiHidden/>
    <w:qFormat/>
    <w:rPr>
      <w:sz w:val="21"/>
      <w:szCs w:val="21"/>
    </w:rPr>
  </w:style>
  <w:style w:styleId="af9" w:type="character">
    <w:name w:val="footnote reference"/>
    <w:basedOn w:val="a1"/>
    <w:qFormat/>
    <w:rPr>
      <w:vertAlign w:val="superscript"/>
    </w:rPr>
  </w:style>
  <w:style w:styleId="afa" w:type="table">
    <w:name w:val="Table Grid"/>
    <w:basedOn w:val="a2"/>
    <w:uiPriority w:val="99"/>
    <w:qFormat/>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2" w:type="character">
    <w:name w:val="已访问的超链接1"/>
    <w:basedOn w:val="a1"/>
    <w:qFormat/>
    <w:rPr>
      <w:color w:val="800080"/>
      <w:u w:val="single"/>
    </w:rPr>
  </w:style>
  <w:style w:customStyle="1" w:styleId="c1" w:type="character">
    <w:name w:val="c1"/>
    <w:basedOn w:val="a1"/>
    <w:qFormat/>
    <w:rPr>
      <w:color w:val="000000"/>
      <w:sz w:val="18"/>
      <w:szCs w:val="18"/>
    </w:rPr>
  </w:style>
  <w:style w:customStyle="1" w:styleId="font5" w:type="paragraph">
    <w:name w:val="font5"/>
    <w:basedOn w:val="a"/>
    <w:qFormat/>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Char" w:type="paragraph">
    <w:name w:val="Char"/>
    <w:basedOn w:val="a"/>
    <w:qFormat/>
  </w:style>
  <w:style w:customStyle="1" w:styleId="Char1" w:type="paragraph">
    <w:name w:val="Char1"/>
    <w:basedOn w:val="a"/>
    <w:qFormat/>
  </w:style>
  <w:style w:customStyle="1" w:styleId="t1" w:type="character">
    <w:name w:val="t1"/>
    <w:basedOn w:val="a1"/>
    <w:rPr>
      <w:color w:val="990000"/>
    </w:rPr>
  </w:style>
  <w:style w:customStyle="1" w:styleId="aa" w:type="character">
    <w:name w:val="纯文本 字符"/>
    <w:basedOn w:val="a1"/>
    <w:link w:val="a9"/>
    <w:uiPriority w:val="99"/>
    <w:rPr>
      <w:rFonts w:ascii="宋体" w:hAnsi="Courier New"/>
      <w:kern w:val="2"/>
      <w:sz w:val="21"/>
      <w:szCs w:val="21"/>
    </w:rPr>
  </w:style>
  <w:style w:customStyle="1" w:styleId="af3" w:type="character">
    <w:name w:val="脚注文本 字符"/>
    <w:basedOn w:val="a1"/>
    <w:link w:val="af2"/>
    <w:rPr>
      <w:kern w:val="2"/>
      <w:sz w:val="18"/>
      <w:szCs w:val="18"/>
    </w:rPr>
  </w:style>
  <w:style w:customStyle="1" w:styleId="Default" w:type="paragraph">
    <w:name w:val="Default"/>
    <w:pPr>
      <w:widowControl w:val="0"/>
      <w:autoSpaceDE w:val="0"/>
      <w:autoSpaceDN w:val="0"/>
      <w:adjustRightInd w:val="0"/>
    </w:pPr>
    <w:rPr>
      <w:rFonts w:ascii="仿宋" w:cs="仿宋" w:hAnsi="仿宋"/>
      <w:color w:val="000000"/>
      <w:sz w:val="24"/>
      <w:szCs w:val="24"/>
    </w:rPr>
  </w:style>
  <w:style w:customStyle="1" w:styleId="af0" w:type="character">
    <w:name w:val="页眉 字符"/>
    <w:basedOn w:val="a1"/>
    <w:link w:val="af"/>
    <w:uiPriority w:val="99"/>
    <w:rPr>
      <w:kern w:val="2"/>
      <w:sz w:val="18"/>
      <w:szCs w:val="18"/>
    </w:rPr>
  </w:style>
  <w:style w:customStyle="1" w:styleId="10" w:type="character">
    <w:name w:val="标题 1 字符"/>
    <w:basedOn w:val="a1"/>
    <w:link w:val="1"/>
    <w:rPr>
      <w:b/>
      <w:bCs/>
      <w:kern w:val="44"/>
      <w:sz w:val="44"/>
      <w:szCs w:val="44"/>
    </w:rPr>
  </w:style>
  <w:style w:customStyle="1" w:styleId="ac" w:type="character">
    <w:name w:val="日期 字符"/>
    <w:basedOn w:val="a1"/>
    <w:link w:val="ab"/>
    <w:rPr>
      <w:kern w:val="2"/>
      <w:sz w:val="24"/>
    </w:rPr>
  </w:style>
  <w:style w:customStyle="1" w:styleId="30" w:type="character">
    <w:name w:val="标题 3 字符"/>
    <w:basedOn w:val="a1"/>
    <w:link w:val="3"/>
    <w:uiPriority w:val="9"/>
    <w:qFormat/>
    <w:rPr>
      <w:rFonts w:asciiTheme="minorHAnsi" w:cstheme="minorBidi" w:eastAsiaTheme="minorEastAsia" w:hAnsiTheme="minorHAns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Pages>
  <Words>4697</Words>
  <Characters>26774</Characters>
  <Application>Microsoft Office Word</Application>
  <DocSecurity>0</DocSecurity>
  <Lines>223</Lines>
  <Paragraphs>62</Paragraphs>
  <ScaleCrop>false</ScaleCrop>
  <Company>TRT. Ltd. Co.</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ZHANG ERIC</cp:lastModifiedBy>
  <cp:lastPrinted>2007-07-19T00:46:00Z</cp:lastPrinted>
  <dcterms:modified xsi:type="dcterms:W3CDTF">2020-09-30T11:10:00Z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