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eastAsiaTheme="minorEastAsia"/>
          <w:color w:themeColor="text1" w:val="000000"/>
          <w:kern w:val="0"/>
          <w:szCs w:val="21"/>
        </w:rPr>
      </w:pPr>
    </w:p>
    <w:p>
      <w:pPr>
        <w:autoSpaceDE w:val="0"/>
        <w:autoSpaceDN w:val="0"/>
        <w:adjustRightInd w:val="0"/>
        <w:spacing w:line="360" w:lineRule="auto"/>
        <w:jc w:val="left"/>
        <w:rPr>
          <w:rFonts w:eastAsiaTheme="minorEastAsia"/>
          <w:color w:themeColor="text1" w:val="000000"/>
          <w:kern w:val="0"/>
          <w:szCs w:val="21"/>
        </w:rPr>
      </w:pPr>
    </w:p>
    <w:p>
      <w:pPr>
        <w:autoSpaceDE w:val="0"/>
        <w:autoSpaceDN w:val="0"/>
        <w:adjustRightInd w:val="0"/>
        <w:spacing w:line="360" w:lineRule="auto"/>
        <w:jc w:val="left"/>
        <w:rPr>
          <w:rFonts w:eastAsiaTheme="minorEastAsia"/>
          <w:color w:themeColor="text1" w:val="000000"/>
          <w:kern w:val="0"/>
          <w:szCs w:val="21"/>
        </w:rPr>
      </w:pPr>
    </w:p>
    <w:p>
      <w:pPr>
        <w:autoSpaceDE w:val="0"/>
        <w:autoSpaceDN w:val="0"/>
        <w:adjustRightInd w:val="0"/>
        <w:spacing w:line="360" w:lineRule="auto"/>
        <w:jc w:val="left"/>
        <w:rPr>
          <w:rFonts w:eastAsiaTheme="minorEastAsia"/>
          <w:color w:themeColor="text1" w:val="000000"/>
          <w:kern w:val="0"/>
          <w:szCs w:val="21"/>
        </w:rPr>
      </w:pPr>
    </w:p>
    <w:p>
      <w:pPr>
        <w:autoSpaceDE w:val="0"/>
        <w:autoSpaceDN w:val="0"/>
        <w:adjustRightInd w:val="0"/>
        <w:spacing w:line="360" w:lineRule="auto"/>
        <w:jc w:val="left"/>
        <w:rPr>
          <w:rFonts w:eastAsiaTheme="minorEastAsia"/>
          <w:color w:themeColor="text1" w:val="000000"/>
          <w:kern w:val="0"/>
          <w:szCs w:val="21"/>
        </w:rPr>
      </w:pPr>
    </w:p>
    <w:p>
      <w:pPr>
        <w:spacing w:line="360" w:lineRule="auto"/>
        <w:jc w:val="center"/>
        <w:rPr>
          <w:rFonts w:eastAsiaTheme="minorEastAsia"/>
          <w:b/>
          <w:color w:themeColor="text1" w:val="000000"/>
          <w:sz w:val="36"/>
          <w:szCs w:val="36"/>
        </w:rPr>
      </w:pPr>
      <w:r>
        <w:rPr>
          <w:rFonts w:eastAsiaTheme="minorEastAsia"/>
          <w:b/>
          <w:color w:themeColor="text1" w:val="000000"/>
          <w:sz w:val="36"/>
          <w:szCs w:val="36"/>
        </w:rPr>
        <w:t>上投摩根安隆回报混合型证券投资基金</w:t>
      </w:r>
    </w:p>
    <w:p>
      <w:pPr>
        <w:spacing w:line="360" w:lineRule="auto"/>
        <w:jc w:val="center"/>
        <w:rPr>
          <w:rFonts w:eastAsiaTheme="minorEastAsia"/>
          <w:b/>
          <w:color w:themeColor="text1" w:val="000000"/>
          <w:sz w:val="36"/>
          <w:szCs w:val="36"/>
        </w:rPr>
      </w:pPr>
      <w:r>
        <w:rPr>
          <w:rFonts w:eastAsiaTheme="minorEastAsia"/>
          <w:b/>
          <w:color w:themeColor="text1" w:val="000000"/>
          <w:sz w:val="36"/>
          <w:szCs w:val="36"/>
        </w:rPr>
        <w:t>2019年第2季度报告</w:t>
      </w:r>
    </w:p>
    <w:p>
      <w:pPr>
        <w:spacing w:line="360" w:lineRule="auto"/>
        <w:jc w:val="center"/>
        <w:rPr>
          <w:rFonts w:eastAsiaTheme="minorEastAsia"/>
          <w:b/>
          <w:color w:themeColor="text1" w:val="000000"/>
          <w:szCs w:val="21"/>
        </w:rPr>
      </w:pPr>
      <w:r>
        <w:rPr>
          <w:rFonts w:eastAsiaTheme="minorEastAsia"/>
          <w:b/>
          <w:color w:themeColor="text1" w:val="000000"/>
          <w:sz w:val="36"/>
          <w:szCs w:val="36"/>
        </w:rPr>
        <w:t>2019年6月30日</w:t>
      </w: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jc w:val="center"/>
        <w:rPr>
          <w:rFonts w:eastAsiaTheme="minorEastAsia"/>
          <w:b/>
          <w:color w:themeColor="text1" w:val="000000"/>
          <w:szCs w:val="21"/>
        </w:rPr>
      </w:pPr>
    </w:p>
    <w:p>
      <w:pPr>
        <w:spacing w:line="360" w:lineRule="auto"/>
        <w:rPr>
          <w:rFonts w:eastAsiaTheme="minorEastAsia"/>
          <w:b/>
          <w:color w:themeColor="text1" w:val="000000"/>
          <w:szCs w:val="21"/>
        </w:rPr>
      </w:pPr>
    </w:p>
    <w:p>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基金管理人：上投摩根基金管理有限公司</w:t>
      </w:r>
    </w:p>
    <w:p>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基金托管人：杭州银行股份有限公司</w:t>
      </w:r>
    </w:p>
    <w:p>
      <w:pPr>
        <w:spacing w:line="360" w:lineRule="auto"/>
        <w:ind w:firstLine="2168" w:firstLineChars="900"/>
        <w:rPr>
          <w:rFonts w:eastAsiaTheme="minorEastAsia"/>
          <w:color w:themeColor="text1" w:val="000000"/>
          <w:szCs w:val="21"/>
        </w:rPr>
        <w:sectPr>
          <w:headerReference r:id="rId3" w:type="default"/>
          <w:footerReference r:id="rId4" w:type="default"/>
          <w:pgSz w:h="15840" w:w="11926"/>
          <w:pgMar w:bottom="851" w:footer="992" w:gutter="0" w:header="851" w:left="1418" w:right="1418" w:top="1418"/>
          <w:cols w:num="1" w:space="720"/>
        </w:sectPr>
      </w:pPr>
      <w:r>
        <w:rPr>
          <w:rFonts w:eastAsiaTheme="minorEastAsia"/>
          <w:b/>
          <w:color w:themeColor="text1" w:val="000000"/>
          <w:sz w:val="24"/>
        </w:rPr>
        <w:t>报告送出日期：二〇一九年七月十六日</w:t>
      </w:r>
    </w:p>
    <w:p>
      <w:pPr>
        <w:pStyle w:val="2"/>
        <w:spacing w:afterLines="100"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t>§1  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基金托管人杭州银行股份有限公司根据本基金合同规定，于2019年7月15日复核了本报告中的财务指标、净值表现和投资组合报告等内容，保证复核内容不存在虚假记载、误导性陈述或者重大遗漏。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本报告期自2019年4月1日起至6月30日止。</w:t>
      </w:r>
    </w:p>
    <w:p>
      <w:pPr>
        <w:pStyle w:val="2"/>
        <w:spacing w:afterLines="100"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§2  基金产品概况</w:t>
      </w:r>
    </w:p>
    <w:tbl>
      <w:tblPr>
        <w:tblStyle w:val="28"/>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74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上投摩根安隆回报混合</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004738</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2018年2月8日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224,624,602.95份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以追求稳健收益作为基金的投资目标，通过严格的风险控制，力争实现基金资产的稳健增值。</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1、资产配置策略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2、债券投资策略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3、股票投资策略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本基金将采用自下而上的分析方法，根据上市公司财务分析、盈利预期、治理结构等因素，结合股票的价值评估，以及对公司经营有实质性影响的事件，精选个股，构建投资组合。</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4、股指期货投资策略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本基金在进行股指期货投资时，将通过对证券市场和期货市场运行趋势的研究，并结合股指期货的定价模型寻求其合理的估值水平。</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5、股票期权投资策略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本基金将基于对证券市场的预判，并结合股指期权定价模型，选择估值合理的期权合约。</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6、资产支持证券投资策略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本基金主要从资产池信用状况、违约相关性、历史违约记录和损失比例、证券的信用增强方式、利差补偿程度等方面对资产支持证券的风险与收益状况进行评估，确定资产合理配置比例。</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沪深300指数收益率×20%+中证综合债券指数收益率×80%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本基金属于混合型基金产品，预期风险和收益水平高于债券型基金和货币市场基金，低于股票型基金，属于中等风险收益水平的基金产品。</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本基金风险收益特征会定期评估并在公司网站发布，请投资者关注。</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上投摩根基金管理有限公司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杭州银行股份有限公司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上投摩根安隆回报混合A</w:t>
            </w:r>
          </w:p>
        </w:tc>
        <w:tc>
          <w:tcPr>
            <w:tcW w:type="dxa" w:w="2740"/>
            <w:vAlign w:val="center"/>
          </w:tcPr>
          <w:p>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上投摩根安隆回报混合C</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color w:themeColor="text1" w:val="000000"/>
                <w:szCs w:val="21"/>
              </w:rPr>
              <w:t/>
            </w:r>
            <w:r>
              <w:rPr>
                <w:rFonts w:eastAsiaTheme="minorEastAsia"/>
                <w:color w:themeColor="text1" w:val="000000"/>
                <w:szCs w:val="21"/>
              </w:rPr>
              <w:t/>
            </w:r>
          </w:p>
        </w:tc>
        <w:tc>
          <w:tcPr>
            <w:tcW w:type="dxa" w:w="2739"/>
            <w:vAlign w:val="center"/>
          </w:tcPr>
          <w:p>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004738</w:t>
            </w:r>
          </w:p>
        </w:tc>
        <w:tc>
          <w:tcPr>
            <w:tcW w:type="dxa" w:w="2740"/>
            <w:vAlign w:val="center"/>
          </w:tcPr>
          <w:p>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004739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223,731,290.91</w:t>
            </w:r>
            <w:r>
              <w:rPr>
                <w:rFonts w:eastAsiaTheme="minorEastAsia"/>
                <w:color w:themeColor="text1" w:val="000000"/>
                <w:kern w:val="0"/>
                <w:szCs w:val="21"/>
              </w:rPr>
              <w:t>份</w:t>
            </w:r>
          </w:p>
        </w:tc>
        <w:tc>
          <w:tcPr>
            <w:tcW w:type="dxa" w:w="2740"/>
            <w:vAlign w:val="center"/>
          </w:tcPr>
          <w:p>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893,312.04</w:t>
            </w:r>
            <w:r>
              <w:rPr>
                <w:rFonts w:eastAsiaTheme="minorEastAsia"/>
                <w:color w:themeColor="text1" w:val="000000"/>
                <w:kern w:val="0"/>
                <w:szCs w:val="21"/>
              </w:rPr>
              <w:t>份</w:t>
            </w:r>
          </w:p>
        </w:tc>
      </w:tr>
    </w:tbl>
    <w:p>
      <w:pPr>
        <w:pStyle w:val="2"/>
        <w:spacing w:afterLines="100"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§3  主要财务指标和基金净值表现</w:t>
      </w:r>
    </w:p>
    <w:p>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3.1 主要财务指标</w:t>
      </w:r>
    </w:p>
    <w:p>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Style w:val="28"/>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481"/>
        <w:gridCol w:w="2481"/>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Merge w:val="restart"/>
            <w:vAlign w:val="center"/>
          </w:tcPr>
          <w:p>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(2019年4月1日-2019年6月30日)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Merge w:val="continue"/>
            <w:vAlign w:val="center"/>
          </w:tcPr>
          <w:p>
            <w:pPr>
              <w:adjustRightInd w:val="0"/>
              <w:spacing w:before="29" w:line="360" w:lineRule="auto"/>
              <w:ind w:left="17"/>
              <w:rPr>
                <w:rFonts w:eastAsiaTheme="minorEastAsia"/>
                <w:color w:themeColor="text1" w:val="000000"/>
                <w:kern w:val="0"/>
                <w:szCs w:val="21"/>
              </w:rPr>
            </w:pPr>
          </w:p>
        </w:tc>
        <w:tc>
          <w:tcPr>
            <w:tcW w:type="dxa" w:w="2481"/>
            <w:vAlign w:val="center"/>
          </w:tcPr>
          <w:p>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上投摩根安隆回报混合A</w:t>
            </w:r>
          </w:p>
        </w:tc>
        <w:tc>
          <w:tcPr>
            <w:tcW w:type="dxa" w:w="2481"/>
            <w:vAlign w:val="center"/>
          </w:tcPr>
          <w:p>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上投摩根安隆回报混合C</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1.本期已实现收益</w:t>
            </w:r>
          </w:p>
        </w:tc>
        <w:tc>
          <w:tcPr>
            <w:tcW w:type="dxa" w:w="2481"/>
            <w:vAlign w:val="center"/>
          </w:tcPr>
          <w:p>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2,516,529.64</w:t>
            </w:r>
          </w:p>
        </w:tc>
        <w:tc>
          <w:tcPr>
            <w:tcW w:type="dxa" w:w="2481"/>
            <w:vAlign w:val="center"/>
          </w:tcPr>
          <w:p>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10,922.59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2.本期利润</w:t>
            </w:r>
          </w:p>
        </w:tc>
        <w:tc>
          <w:tcPr>
            <w:tcW w:type="dxa" w:w="2481"/>
            <w:vAlign w:val="center"/>
          </w:tcPr>
          <w:p>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-692,821.99</w:t>
            </w:r>
          </w:p>
        </w:tc>
        <w:tc>
          <w:tcPr>
            <w:tcW w:type="dxa" w:w="2481"/>
            <w:vAlign w:val="center"/>
          </w:tcPr>
          <w:p>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-4,456.65</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3.加权平均基金份额本期利润</w:t>
            </w:r>
          </w:p>
        </w:tc>
        <w:tc>
          <w:tcPr>
            <w:tcW w:type="dxa" w:w="2481"/>
            <w:vAlign w:val="center"/>
          </w:tcPr>
          <w:p>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-0.0049</w:t>
            </w:r>
          </w:p>
        </w:tc>
        <w:tc>
          <w:tcPr>
            <w:tcW w:type="dxa" w:w="2481"/>
            <w:vAlign w:val="center"/>
          </w:tcPr>
          <w:p>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-0.0092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4.期末基金资产净值</w:t>
            </w:r>
          </w:p>
        </w:tc>
        <w:tc>
          <w:tcPr>
            <w:tcW w:type="dxa" w:w="2481"/>
            <w:vAlign w:val="center"/>
          </w:tcPr>
          <w:p>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235,264,297.92</w:t>
            </w:r>
          </w:p>
        </w:tc>
        <w:tc>
          <w:tcPr>
            <w:tcW w:type="dxa" w:w="2481"/>
            <w:vAlign w:val="center"/>
          </w:tcPr>
          <w:p>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934,470.53</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5.期末基金份额净值</w:t>
            </w:r>
          </w:p>
        </w:tc>
        <w:tc>
          <w:tcPr>
            <w:tcW w:type="dxa" w:w="2481"/>
            <w:vAlign w:val="center"/>
          </w:tcPr>
          <w:p>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1.0515</w:t>
            </w:r>
          </w:p>
        </w:tc>
        <w:tc>
          <w:tcPr>
            <w:tcW w:type="dxa" w:w="2481"/>
            <w:vAlign w:val="center"/>
          </w:tcPr>
          <w:p>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1.0461</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3.2 基金净值表现</w:t>
      </w:r>
    </w:p>
    <w:p>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3.2.1本报告期基金份额净值增长率及其与同期业绩比较基准收益率的比较</w:t>
      </w:r>
    </w:p>
    <w:p>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kern w:val="0"/>
          <w:szCs w:val="21"/>
        </w:rPr>
        <w:t>上投摩根安隆回报混合A</w:t>
      </w:r>
      <w:r>
        <w:rPr>
          <w:rFonts w:eastAsiaTheme="minorEastAsia"/>
          <w:b/>
          <w:color w:themeColor="text1" w:val="000000"/>
          <w:szCs w:val="21"/>
        </w:rPr>
        <w:t>：</w:t>
      </w:r>
    </w:p>
    <w:tbl>
      <w:tblPr>
        <w:tblStyle w:val="29"/>
        <w:tblW w:type="dxa" w:w="9036"/>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90"/>
        <w:gridCol w:w="1291"/>
        <w:gridCol w:w="1291"/>
        <w:gridCol w:w="1291"/>
        <w:gridCol w:w="1291"/>
        <w:gridCol w:w="1291"/>
        <w:gridCol w:w="1291"/>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90"/>
            <w:vAlign w:val="center"/>
          </w:tcPr>
          <w:p>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p>
        </w:tc>
        <w:tc>
          <w:tcPr>
            <w:tcW w:type="dxa" w:w="1291"/>
            <w:vAlign w:val="center"/>
          </w:tcPr>
          <w:p>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-0.98%</w:t>
            </w:r>
          </w:p>
        </w:tc>
        <w:tc>
          <w:tcPr>
            <w:vAlign w:val="center"/>
          </w:tcPr>
          <w:p>
            <w:pPr>
              <w:jc w:val="right"/>
            </w:pPr>
            <w:r>
              <w:rPr>
                <w:rFonts w:eastAsiaTheme="minorEastAsia"/>
                <w:color w:themeColor="text1" w:val="000000"/>
                <w:szCs w:val="21"/>
              </w:rPr>
              <w:t>0.35%</w:t>
            </w:r>
          </w:p>
        </w:tc>
        <w:tc>
          <w:tcPr>
            <w:vAlign w:val="center"/>
          </w:tcPr>
          <w:p>
            <w:pPr>
              <w:jc w:val="right"/>
            </w:pPr>
            <w:r>
              <w:rPr>
                <w:rFonts w:eastAsiaTheme="minorEastAsia"/>
                <w:color w:themeColor="text1" w:val="000000"/>
                <w:szCs w:val="21"/>
              </w:rPr>
              <w:t>0.27%</w:t>
            </w:r>
          </w:p>
        </w:tc>
        <w:tc>
          <w:tcPr>
            <w:vAlign w:val="center"/>
          </w:tcPr>
          <w:p>
            <w:pPr>
              <w:jc w:val="right"/>
            </w:pPr>
            <w:r>
              <w:rPr>
                <w:rFonts w:eastAsiaTheme="minorEastAsia"/>
                <w:color w:themeColor="text1" w:val="000000"/>
                <w:szCs w:val="21"/>
              </w:rPr>
              <w:t>0.29%</w:t>
            </w:r>
          </w:p>
        </w:tc>
        <w:tc>
          <w:tcPr>
            <w:vAlign w:val="center"/>
          </w:tcPr>
          <w:p>
            <w:pPr>
              <w:jc w:val="right"/>
            </w:pPr>
            <w:r>
              <w:rPr>
                <w:rFonts w:eastAsiaTheme="minorEastAsia"/>
                <w:color w:themeColor="text1" w:val="000000"/>
                <w:szCs w:val="21"/>
              </w:rPr>
              <w:t>-1.25%</w:t>
            </w:r>
          </w:p>
        </w:tc>
        <w:tc>
          <w:tcPr>
            <w:vAlign w:val="center"/>
          </w:tcPr>
          <w:p>
            <w:pPr>
              <w:jc w:val="right"/>
            </w:pPr>
            <w:r>
              <w:rPr>
                <w:rFonts w:eastAsiaTheme="minorEastAsia"/>
                <w:color w:themeColor="text1" w:val="000000"/>
                <w:szCs w:val="21"/>
              </w:rPr>
              <w:t>0.06%</w:t>
            </w:r>
          </w:p>
        </w:tc>
      </w:tr>
    </w:tbl>
    <w:p>
      <w:pPr>
        <w:adjustRightInd w:val="0"/>
        <w:spacing w:beforeLines="100" w:line="360" w:lineRule="auto"/>
        <w:rPr>
          <w:rFonts w:eastAsiaTheme="minorEastAsia"/>
          <w:b/>
          <w:color w:themeColor="text1" w:val="000000"/>
          <w:kern w:val="0"/>
          <w:szCs w:val="21"/>
        </w:rPr>
      </w:pPr>
      <w:r>
        <w:rPr>
          <w:rFonts w:eastAsiaTheme="minorEastAsia"/>
          <w:b/>
          <w:color w:themeColor="text1" w:val="000000"/>
          <w:szCs w:val="21"/>
        </w:rPr>
        <w:t>2、</w:t>
      </w:r>
      <w:r>
        <w:rPr>
          <w:rFonts w:eastAsiaTheme="minorEastAsia"/>
          <w:b/>
          <w:color w:themeColor="text1" w:val="000000"/>
          <w:kern w:val="0"/>
          <w:szCs w:val="21"/>
        </w:rPr>
        <w:t>上投摩根安隆回报混合C：</w:t>
      </w:r>
    </w:p>
    <w:tbl>
      <w:tblPr>
        <w:tblStyle w:val="29"/>
        <w:tblW w:type="dxa" w:w="9036"/>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90"/>
        <w:gridCol w:w="1291"/>
        <w:gridCol w:w="1291"/>
        <w:gridCol w:w="1291"/>
        <w:gridCol w:w="1291"/>
        <w:gridCol w:w="1291"/>
        <w:gridCol w:w="1291"/>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90"/>
            <w:vAlign w:val="center"/>
          </w:tcPr>
          <w:p>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p>
        </w:tc>
        <w:tc>
          <w:tcPr>
            <w:tcW w:type="dxa" w:w="1291"/>
            <w:vAlign w:val="center"/>
          </w:tcPr>
          <w:p>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-1.06%</w:t>
            </w:r>
          </w:p>
        </w:tc>
        <w:tc>
          <w:tcPr>
            <w:vAlign w:val="center"/>
          </w:tcPr>
          <w:p>
            <w:pPr>
              <w:jc w:val="right"/>
            </w:pPr>
            <w:r>
              <w:rPr>
                <w:rFonts w:eastAsiaTheme="minorEastAsia"/>
                <w:color w:themeColor="text1" w:val="000000"/>
                <w:szCs w:val="21"/>
              </w:rPr>
              <w:t>0.35%</w:t>
            </w:r>
          </w:p>
        </w:tc>
        <w:tc>
          <w:tcPr>
            <w:vAlign w:val="center"/>
          </w:tcPr>
          <w:p>
            <w:pPr>
              <w:jc w:val="right"/>
            </w:pPr>
            <w:r>
              <w:rPr>
                <w:rFonts w:eastAsiaTheme="minorEastAsia"/>
                <w:color w:themeColor="text1" w:val="000000"/>
                <w:szCs w:val="21"/>
              </w:rPr>
              <w:t>0.27%</w:t>
            </w:r>
          </w:p>
        </w:tc>
        <w:tc>
          <w:tcPr>
            <w:vAlign w:val="center"/>
          </w:tcPr>
          <w:p>
            <w:pPr>
              <w:jc w:val="right"/>
            </w:pPr>
            <w:r>
              <w:rPr>
                <w:rFonts w:eastAsiaTheme="minorEastAsia"/>
                <w:color w:themeColor="text1" w:val="000000"/>
                <w:szCs w:val="21"/>
              </w:rPr>
              <w:t>0.29%</w:t>
            </w:r>
          </w:p>
        </w:tc>
        <w:tc>
          <w:tcPr>
            <w:vAlign w:val="center"/>
          </w:tcPr>
          <w:p>
            <w:pPr>
              <w:jc w:val="right"/>
            </w:pPr>
            <w:r>
              <w:rPr>
                <w:rFonts w:eastAsiaTheme="minorEastAsia"/>
                <w:color w:themeColor="text1" w:val="000000"/>
                <w:szCs w:val="21"/>
              </w:rPr>
              <w:t>-1.33%</w:t>
            </w:r>
          </w:p>
        </w:tc>
        <w:tc>
          <w:tcPr>
            <w:vAlign w:val="center"/>
          </w:tcPr>
          <w:p>
            <w:pPr>
              <w:jc w:val="right"/>
            </w:pPr>
            <w:r>
              <w:rPr>
                <w:rFonts w:eastAsiaTheme="minorEastAsia"/>
                <w:color w:themeColor="text1" w:val="000000"/>
                <w:szCs w:val="21"/>
              </w:rPr>
              <w:t>0.06%</w:t>
            </w:r>
          </w:p>
        </w:tc>
      </w:tr>
    </w:tbl>
    <w:p>
      <w:pPr>
        <w:spacing w:beforeLines="100" w:line="360" w:lineRule="auto"/>
        <w:rPr>
          <w:rFonts w:eastAsiaTheme="minorEastAsia"/>
          <w:b/>
          <w:color w:themeColor="text1" w:val="000000"/>
          <w:kern w:val="0"/>
          <w:szCs w:val="21"/>
        </w:rPr>
      </w:pPr>
      <w:r>
        <w:rPr>
          <w:rFonts w:eastAsiaTheme="minorEastAsia"/>
          <w:b/>
          <w:color w:themeColor="text1" w:val="000000"/>
          <w:kern w:val="0"/>
          <w:szCs w:val="21"/>
        </w:rPr>
        <w:t>3.2.2　</w:t>
      </w:r>
      <w:r>
        <w:rPr>
          <w:rStyle w:val="23"/>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pPr>
        <w:spacing w:line="360" w:lineRule="auto"/>
        <w:jc w:val="center"/>
        <w:rPr>
          <w:rFonts w:eastAsiaTheme="minorEastAsia"/>
          <w:color w:themeColor="text1" w:val="000000"/>
          <w:szCs w:val="21"/>
        </w:rPr>
      </w:pPr>
      <w:r>
        <w:rPr>
          <w:rFonts w:eastAsiaTheme="minorEastAsia"/>
          <w:color w:themeColor="text1" w:val="000000"/>
          <w:szCs w:val="21"/>
        </w:rPr>
        <w:t>上投摩根安隆回报混合型证券投资基金</w:t>
      </w:r>
    </w:p>
    <w:p>
      <w:pPr>
        <w:pStyle w:val="11"/>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pPr>
        <w:pStyle w:val="11"/>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(2018年2月8日至2019年6月30日)</w:t>
      </w:r>
    </w:p>
    <w:p>
      <w:pPr>
        <w:snapToGrid w:val="0"/>
        <w:spacing w:line="360" w:lineRule="auto"/>
        <w:rPr>
          <w:rFonts w:eastAsiaTheme="minorEastAsia"/>
          <w:color w:themeColor="text1" w:val="000000"/>
          <w:szCs w:val="21"/>
        </w:rPr>
      </w:pPr>
      <w:r>
        <w:rPr>
          <w:rFonts w:eastAsiaTheme="minorEastAsia"/>
          <w:color w:themeColor="text1" w:val="000000"/>
          <w:szCs w:val="21"/>
        </w:rPr>
        <w:t>1．上投摩根安隆回报混合A：</w:t>
      </w:r>
    </w:p>
    <w:p>
      <w:pPr>
        <w:pStyle w:val="13"/>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color w:themeColor="text1" w:val="000000"/>
          <w:sz w:val="21"/>
          <w:szCs w:val="21"/>
        </w:rPr>
        <w:drawing>
          <wp:inline distB="0" distL="0" distR="0" distT="0">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注：本基金合同生效日为2018年2月8日，图示的时间段为2018年2月8日至2019年6月30日。</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本基金建仓期自2018年2月8日至2018年8月7日，建仓期结束时资产配置比例符合本基金基金合同规定。</w:t>
      </w:r>
    </w:p>
    <w:p>
      <w:pPr>
        <w:snapToGrid w:val="0"/>
        <w:spacing w:beforeLines="100" w:line="360" w:lineRule="auto"/>
        <w:rPr>
          <w:rFonts w:eastAsiaTheme="minorEastAsia"/>
          <w:color w:themeColor="text1" w:val="000000"/>
          <w:szCs w:val="21"/>
        </w:rPr>
      </w:pPr>
      <w:r>
        <w:rPr>
          <w:rFonts w:eastAsiaTheme="minorEastAsia"/>
          <w:color w:themeColor="text1" w:val="000000"/>
          <w:szCs w:val="21"/>
        </w:rPr>
        <w:t>2．上投摩根安隆回报混合C：</w:t>
      </w:r>
    </w:p>
    <w:p>
      <w:pPr>
        <w:pStyle w:val="13"/>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color w:themeColor="text1" w:val="000000"/>
          <w:sz w:val="21"/>
          <w:szCs w:val="21"/>
        </w:rPr>
        <w:drawing>
          <wp:inline distB="0" distL="0" distR="0" distT="0">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注：本基金合同生效日为2018年2月8日，图示的时间段为2018年2月8日至2019年6月30日。</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本基金建仓期自2018年2月8日至2018年8月7日，建仓期结束时资产配置比例符合本基金基金合同规定。</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
    <w:p>
      <w:pPr>
        <w:pStyle w:val="2"/>
        <w:spacing w:afterLines="100"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§4  管理人报告</w:t>
      </w:r>
    </w:p>
    <w:p>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4.1 基金经理（或基金经理小组）简介</w:t>
      </w:r>
    </w:p>
    <w:tbl>
      <w:tblPr>
        <w:tblStyle w:val="28"/>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952"/>
        <w:gridCol w:w="930"/>
        <w:gridCol w:w="1210"/>
        <w:gridCol w:w="1309"/>
        <w:gridCol w:w="1254"/>
        <w:gridCol w:w="327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952"/>
            <w:vMerge w:val="restart"/>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姓名</w:t>
            </w:r>
          </w:p>
        </w:tc>
        <w:tc>
          <w:tcPr>
            <w:tcW w:type="dxa" w:w="930"/>
            <w:vMerge w:val="restart"/>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任本基金的基金经理期限</w:t>
            </w:r>
          </w:p>
        </w:tc>
        <w:tc>
          <w:tcPr>
            <w:tcW w:type="dxa" w:w="1254"/>
            <w:vMerge w:val="restart"/>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952"/>
            <w:vMerge w:val="continue"/>
            <w:vAlign w:val="center"/>
          </w:tcPr>
          <w:p>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val="continue"/>
          </w:tcPr>
          <w:p>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continue"/>
            <w:vAlign w:val="center"/>
          </w:tcPr>
          <w:p>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continue"/>
            <w:vAlign w:val="center"/>
          </w:tcPr>
          <w:p>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施虓文</w:t>
            </w:r>
          </w:p>
        </w:tc>
        <w:tc>
          <w:tcPr>
            <w:vAlign w:val="center"/>
          </w:tcPr>
          <w:p>
            <w:pPr>
              <w:jc w:val="center"/>
            </w:pPr>
            <w:r>
              <w:rPr>
                <w:rFonts w:eastAsiaTheme="minorEastAsia"/>
                <w:color w:themeColor="text1" w:val="000000"/>
                <w:szCs w:val="21"/>
              </w:rPr>
              <w:t>本基金基金经理</w:t>
            </w:r>
          </w:p>
        </w:tc>
        <w:tc>
          <w:tcPr>
            <w:vAlign w:val="center"/>
          </w:tcPr>
          <w:p>
            <w:pPr>
              <w:jc w:val="center"/>
            </w:pPr>
            <w:r>
              <w:rPr>
                <w:rFonts w:eastAsiaTheme="minorEastAsia"/>
                <w:color w:themeColor="text1" w:val="000000"/>
                <w:szCs w:val="21"/>
              </w:rPr>
              <w:t>2018-02-08</w:t>
            </w:r>
          </w:p>
        </w:tc>
        <w:tc>
          <w:tcPr>
            <w:vAlign w:val="center"/>
          </w:tcPr>
          <w:p>
            <w:pPr>
              <w:jc w:val="center"/>
            </w:pPr>
            <w:r>
              <w:rPr>
                <w:rFonts w:eastAsiaTheme="minorEastAsia"/>
                <w:color w:themeColor="text1" w:val="000000"/>
                <w:szCs w:val="21"/>
              </w:rPr>
              <w:t>2019-04-12</w:t>
            </w:r>
          </w:p>
        </w:tc>
        <w:tc>
          <w:tcPr>
            <w:vAlign w:val="center"/>
          </w:tcPr>
          <w:p>
            <w:pPr>
              <w:jc w:val="center"/>
            </w:pPr>
            <w:r>
              <w:rPr>
                <w:rFonts w:eastAsiaTheme="minorEastAsia"/>
                <w:color w:themeColor="text1" w:val="000000"/>
                <w:szCs w:val="21"/>
              </w:rPr>
              <w:t>7年</w:t>
            </w:r>
          </w:p>
        </w:tc>
        <w:tc>
          <w:tcPr>
            <w:vAlign w:val="center"/>
          </w:tcPr>
          <w:p>
            <w:pPr>
              <w:jc w:val="both"/>
            </w:pPr>
            <w:r>
              <w:rPr>
                <w:rFonts w:eastAsiaTheme="minorEastAsia"/>
                <w:color w:themeColor="text1" w:val="000000"/>
                <w:szCs w:val="21"/>
              </w:rPr>
              <w:t>基金经理施虓文先生，北京大学经济学硕士，2012年7月起加入上投摩根基金管理有限公司，在研究部任助理研究员、研究员，主要承担量化支持方面的工作。自2017年1月起同时担任上投摩根安丰回报混合型证券投资基金基金经理，2017年1月至2018年12月担任上投摩根安泽回报混合型证券投资基金基金经理，自2017年12月起同时担任上投摩根标普港股通低波红利指数型证券投资基金基金经理，自2018年2月至2019年4月同时担任上投摩根安隆回报混合型证券投资基金基金经理，2018年2月至9月担任上投摩根安腾回报混合型证券投资基金基金经理，2018年4月起同时担任上投摩根富时发达市场REITs指数型证券投资基金（QDII）基金经理，2018年9月起同时担任上投摩根安裕回报混合型证券投资基金基金经理，自2019年4月起同时担任上投摩根安通回报混合型证券投资基金基金经理。</w:t>
            </w:r>
          </w:p>
        </w:tc>
      </w:tr>
      <w:tr>
        <w:tc>
          <w:tcPr>
            <w:vAlign w:val="center"/>
          </w:tcPr>
          <w:p>
            <w:pPr>
              <w:jc w:val="center"/>
            </w:pPr>
            <w:r>
              <w:rPr>
                <w:rFonts w:eastAsiaTheme="minorEastAsia"/>
                <w:color w:themeColor="text1" w:val="000000"/>
                <w:szCs w:val="21"/>
              </w:rPr>
              <w:t>唐瑭</w:t>
            </w:r>
          </w:p>
        </w:tc>
        <w:tc>
          <w:tcPr>
            <w:vAlign w:val="center"/>
          </w:tcPr>
          <w:p>
            <w:pPr>
              <w:jc w:val="center"/>
            </w:pPr>
            <w:r>
              <w:rPr>
                <w:rFonts w:eastAsiaTheme="minorEastAsia"/>
                <w:color w:themeColor="text1" w:val="000000"/>
                <w:szCs w:val="21"/>
              </w:rPr>
              <w:t>本基金基金经理</w:t>
            </w:r>
          </w:p>
        </w:tc>
        <w:tc>
          <w:tcPr>
            <w:vAlign w:val="center"/>
          </w:tcPr>
          <w:p>
            <w:pPr>
              <w:jc w:val="center"/>
            </w:pPr>
            <w:r>
              <w:rPr>
                <w:rFonts w:eastAsiaTheme="minorEastAsia"/>
                <w:color w:themeColor="text1" w:val="000000"/>
                <w:szCs w:val="21"/>
              </w:rPr>
              <w:t>2018-02-08</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11年</w:t>
            </w:r>
          </w:p>
        </w:tc>
        <w:tc>
          <w:tcPr>
            <w:vAlign w:val="center"/>
          </w:tcPr>
          <w:p>
            <w:pPr>
              <w:jc w:val="both"/>
            </w:pPr>
            <w:r>
              <w:rPr>
                <w:rFonts w:eastAsiaTheme="minorEastAsia"/>
                <w:color w:themeColor="text1" w:val="000000"/>
                <w:szCs w:val="21"/>
              </w:rPr>
              <w:t>唐瑭女士，英国爱丁堡大学硕士，2008年2月至2010年4月任JPMorgan(EMEA)分析师，2011年3月加入上投摩根基金管理有限公司，先后担任研究员及基金经理助理，自2015年5月至2019年1月担任上投摩根岁岁盈定期开放债券型证券投资基金基金经理，自2015年12月起担任上投摩根强化回报债券型证券投资基金基金经理，自2015年12月至2018年11月担任上投摩根轮动添利债券型证券投资基金基金经理，自2016年5月起同时担任上投摩根双债增利债券型证券投资基金基金经理，自2016年6月起同时担任上投摩根分红添利债券型证券投资基金及上投摩根纯债添利债券型证券投资基金基金经理，2016年8月至2018年12月担任上投摩根岁岁丰定期开放债券型证券投资基金基金经理，自2017年1月起同时担任上投摩根安丰回报混合型证券投资基金基金经理，2017年1月至2018年12月担任上投摩根安泽回报混合型证券投资基金基金经理，自2018年2月起同时担任上投摩根安隆回报混合型证券投资基金基金经理，2018年2月至9月担任上投摩根安腾回报混合型证券投资基金基金经理，自2019年4月起同时担任上投摩根优信增利债券型证券投资基金和上投摩根安鑫回报混合型证券投资基金基金经理。</w:t>
            </w:r>
          </w:p>
        </w:tc>
      </w:tr>
      <w:tr>
        <w:tc>
          <w:tcPr>
            <w:vAlign w:val="center"/>
          </w:tcPr>
          <w:p>
            <w:pPr>
              <w:jc w:val="center"/>
            </w:pPr>
            <w:r>
              <w:rPr>
                <w:rFonts w:eastAsiaTheme="minorEastAsia"/>
                <w:color w:themeColor="text1" w:val="000000"/>
                <w:szCs w:val="21"/>
              </w:rPr>
              <w:t>陈圆明</w:t>
            </w:r>
          </w:p>
        </w:tc>
        <w:tc>
          <w:tcPr>
            <w:vAlign w:val="center"/>
          </w:tcPr>
          <w:p>
            <w:pPr>
              <w:jc w:val="center"/>
            </w:pPr>
            <w:r>
              <w:rPr>
                <w:rFonts w:eastAsiaTheme="minorEastAsia"/>
                <w:color w:themeColor="text1" w:val="000000"/>
                <w:szCs w:val="21"/>
              </w:rPr>
              <w:t>绝对收益投资部总监、本基金基金经理</w:t>
            </w:r>
          </w:p>
        </w:tc>
        <w:tc>
          <w:tcPr>
            <w:vAlign w:val="center"/>
          </w:tcPr>
          <w:p>
            <w:pPr>
              <w:jc w:val="center"/>
            </w:pPr>
            <w:r>
              <w:rPr>
                <w:rFonts w:eastAsiaTheme="minorEastAsia"/>
                <w:color w:themeColor="text1" w:val="000000"/>
                <w:szCs w:val="21"/>
              </w:rPr>
              <w:t>2019-04-12</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10年</w:t>
            </w:r>
          </w:p>
        </w:tc>
        <w:tc>
          <w:tcPr>
            <w:vAlign w:val="center"/>
          </w:tcPr>
          <w:p>
            <w:pPr>
              <w:jc w:val="both"/>
            </w:pPr>
            <w:r>
              <w:rPr>
                <w:rFonts w:eastAsiaTheme="minorEastAsia"/>
                <w:color w:themeColor="text1" w:val="000000"/>
                <w:szCs w:val="21"/>
              </w:rPr>
              <w:t>陈圆明先生，自2009年7月至2010年6月在东海证券有限责任公司任研究员；2010年7月至2011年8月在国联安基金管理有限公司任研究员；2011年8月至2014年9月在国投瑞银基金管理有限公司任研究员、投资经理；2014年9月至2019年2月在鹏华基金管理有限公司任投资经理、绝对收益副总监；2019年2月起加入上投摩根基金管理有限公司，现担任绝对收益投资部总监兼基金经理；自2019年4月起同时担任上投摩根安裕回报混合型证券投资基金和上投摩根安隆回报混合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 任职日期和离任日期均指根据公司决定确定的聘任日期和解聘日期。</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2. 唐瑭女士、施虓文先生为本基金首任基金经理，其任职日期为本基金基金合同生效之日；</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3. 证券从业的含义遵从行业协会《证券业从业人员资格管理办法》的相关规定。</w:t>
      </w:r>
    </w:p>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4.2</w:t>
      </w:r>
      <w:r>
        <w:rPr>
          <w:rFonts w:eastAsiaTheme="minorEastAsia" w:hint="eastAsia"/>
          <w:b/>
          <w:color w:themeColor="text1" w:val="000000"/>
          <w:kern w:val="0"/>
          <w:szCs w:val="21"/>
        </w:rPr>
        <w:t>管理人对报告期内本基金运作遵规守信情况的说明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安隆回报混合型证券投资基金基金合同》的规定。基金经理对个股和投资组合的比例遵循了投资决策委员会的授权限制，基金投资比例符合基金合同和法律法规的要求。</w:t>
      </w:r>
    </w:p>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4.3 公平交易专项说明</w:t>
      </w:r>
    </w:p>
    <w:p>
      <w:pPr>
        <w:spacing w:line="360" w:lineRule="auto"/>
        <w:rPr>
          <w:rFonts w:eastAsiaTheme="minorEastAsia"/>
          <w:color w:themeColor="text1" w:val="000000"/>
          <w:szCs w:val="21"/>
        </w:rPr>
      </w:pPr>
      <w:r>
        <w:rPr>
          <w:rFonts w:eastAsiaTheme="minorEastAsia"/>
          <w:color w:themeColor="text1" w:val="000000"/>
          <w:szCs w:val="21"/>
        </w:rPr>
        <w:t>4.3.1 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pPr>
        <w:spacing w:line="360" w:lineRule="auto"/>
        <w:rPr>
          <w:rFonts w:eastAsiaTheme="minorEastAsia"/>
          <w:color w:themeColor="text1" w:val="000000"/>
          <w:szCs w:val="21"/>
        </w:rPr>
      </w:pPr>
      <w:r>
        <w:rPr>
          <w:rFonts w:eastAsiaTheme="minorEastAsia"/>
          <w:color w:themeColor="text1" w:val="000000"/>
          <w:szCs w:val="21"/>
        </w:rPr>
        <w:t>4.3.2 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所有投资组合参与的交易所公开竞价同日反向交易成交较少的单边交易量超过该证券当日成交量的5%的情形：无。</w:t>
      </w:r>
    </w:p>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4.4 报告期内基金的投资策略和业绩表现说明</w:t>
      </w:r>
    </w:p>
    <w:p>
      <w:pPr>
        <w:spacing w:line="360" w:lineRule="auto"/>
        <w:rPr>
          <w:rFonts w:eastAsiaTheme="minorEastAsia"/>
          <w:color w:themeColor="text1" w:val="000000"/>
          <w:szCs w:val="21"/>
        </w:rPr>
      </w:pPr>
      <w:r>
        <w:rPr>
          <w:rFonts w:eastAsiaTheme="minorEastAsia"/>
          <w:color w:themeColor="text1" w:val="000000"/>
          <w:szCs w:val="21"/>
        </w:rPr>
        <w:t>4.4.1报告期内基金投资策略和运作分析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2019年二季度，宏观基本面出现了折返跑。4月初，在中性偏宽松的货币政策的作用下，信用扩张有企稳回升的迹象，全社会融资成本也有一定下降，经济在金融数据改善影响下也出现了积极的变化。进入5月，中美贸易谈判进程反复，使得市场对于经济增长恢复的预期有所疑虑，而包商银行事件影响使得银行间信用环境出现明显分化，风险资产整体波动也有所增大。</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债券市场受到社融数据和信贷数据大幅回暖影响，4月初收益率明显上行，以10年期国开债为代表的收益率一度上行20bp。随后随着经济基本面和金融数据的底部反复，债券收益率又持续下行至季度末。整体来看，二季度债券市场收益率基本走平。</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权益市场在二季度冲高回落，上证综指最终跌幅扩大至3.5%以上，除了食品饮料、家用电器、银行和非银行业有较好表现，其余行业均收跌，市场情绪谨慎。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本基金在报告期内基于性价比的角度考虑，在4月初阶段性降低了权益资产的配置，进入5月后随着市场的下跌、性价比的提升，又增加了权益的持仓。</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展望三季度，信用和经济的恢复进程很大概率将延续，财政政策、货币政策等政策工具的组合拳，对经济托底和供给侧结构性改革的效果将更加有效而精准。我们判断市场情绪中间将有所反复，然而过于乐观或者过于悲观的预期，都是不太可取的。因此，单纯判断大方向的意义变小，我们将继续以性价比为出发点，寻找优质公司的股权和债权的投资机会，力争为组合提供稳健的收益。</w:t>
      </w:r>
    </w:p>
    <w:p>
      <w:pPr>
        <w:spacing w:line="360" w:lineRule="auto"/>
        <w:rPr>
          <w:rFonts w:eastAsiaTheme="minorEastAsia"/>
          <w:color w:themeColor="text1" w:val="000000"/>
          <w:szCs w:val="21"/>
        </w:rPr>
      </w:pPr>
      <w:r>
        <w:rPr>
          <w:rFonts w:eastAsiaTheme="minorEastAsia"/>
          <w:color w:themeColor="text1" w:val="000000"/>
          <w:szCs w:val="21"/>
        </w:rPr>
        <w:t>4.4.2报告期内基金的业绩表现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本报告期上投摩根安隆回报混合A份额净值增长率为:-0.98%，同期业绩比较基准收益率为:0.27%,</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上投摩根安隆回报混合C份额净值增长率为:-1.06%，同期业绩比较基准收益率为:0.27%。</w:t>
      </w:r>
    </w:p>
    <w:p>
      <w:pPr>
        <w:spacing w:line="360" w:lineRule="auto"/>
        <w:ind w:firstLine="420" w:firstLineChars="200"/>
        <w:rPr>
          <w:rFonts w:eastAsiaTheme="minorEastAsia"/>
          <w:color w:themeColor="text1" w:val="000000"/>
          <w:szCs w:val="21"/>
        </w:rPr>
      </w:pPr>
    </w:p>
    <w:p>
      <w:pPr>
        <w:spacing w:line="360" w:lineRule="auto"/>
        <w:rPr>
          <w:rFonts w:eastAsiaTheme="minorEastAsia"/>
          <w:color w:themeColor="text1" w:val="000000"/>
          <w:szCs w:val="21"/>
        </w:rPr>
      </w:pPr>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无。</w:t>
      </w:r>
    </w:p>
    <w:p>
      <w:pPr>
        <w:spacing w:line="360" w:lineRule="auto"/>
        <w:ind w:firstLine="420" w:firstLineChars="200"/>
        <w:rPr>
          <w:rFonts w:asciiTheme="minorEastAsia" w:eastAsiaTheme="minorEastAsia" w:hAnsiTheme="minorEastAsia"/>
          <w:color w:themeColor="text1" w:val="000000"/>
          <w:szCs w:val="21"/>
        </w:rPr>
      </w:pPr>
    </w:p>
    <w:p>
      <w:pPr>
        <w:pStyle w:val="2"/>
        <w:spacing w:afterLines="100"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§5  投资组合报告</w:t>
      </w:r>
    </w:p>
    <w:p>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5.1 报告期末基金资产组合情况</w:t>
      </w:r>
    </w:p>
    <w:tbl>
      <w:tblPr>
        <w:tblStyle w:val="29"/>
        <w:tblW w:type="dxa" w:w="8897"/>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357"/>
        <w:gridCol w:w="2977"/>
        <w:gridCol w:w="184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金额(元)</w:t>
            </w:r>
          </w:p>
        </w:tc>
        <w:tc>
          <w:tcPr>
            <w:tcW w:type="dxa" w:w="1843"/>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56,758,646.34</w:t>
            </w:r>
          </w:p>
        </w:tc>
        <w:tc>
          <w:tcPr>
            <w:tcW w:type="dxa" w:w="1843"/>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23.67</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p>
        </w:tc>
        <w:tc>
          <w:tcPr>
            <w:tcW w:type="dxa" w:w="3357"/>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56,758,646.34</w:t>
            </w:r>
          </w:p>
        </w:tc>
        <w:tc>
          <w:tcPr>
            <w:tcW w:type="dxa" w:w="1843"/>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23.67</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114,111,707.60</w:t>
            </w:r>
          </w:p>
        </w:tc>
        <w:tc>
          <w:tcPr>
            <w:tcW w:type="dxa" w:w="1843"/>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47.59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p>
        </w:tc>
        <w:tc>
          <w:tcPr>
            <w:tcW w:type="dxa" w:w="3357"/>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114,111,707.60</w:t>
            </w:r>
          </w:p>
        </w:tc>
        <w:tc>
          <w:tcPr>
            <w:tcW w:type="dxa" w:w="1843"/>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47.59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p>
        </w:tc>
        <w:tc>
          <w:tcPr>
            <w:tcW w:type="dxa" w:w="3357"/>
            <w:vAlign w:val="center"/>
          </w:tcPr>
          <w:p>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金融衍生品投资</w:t>
            </w:r>
          </w:p>
        </w:tc>
        <w:tc>
          <w:tcPr>
            <w:tcW w:type="dxa" w:w="2977"/>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5</w:t>
            </w:r>
          </w:p>
        </w:tc>
        <w:tc>
          <w:tcPr>
            <w:tcW w:type="dxa" w:w="3357"/>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7,000,000.00</w:t>
            </w:r>
          </w:p>
        </w:tc>
        <w:tc>
          <w:tcPr>
            <w:tcW w:type="dxa" w:w="1843"/>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2.92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p>
        </w:tc>
        <w:tc>
          <w:tcPr>
            <w:tcW w:type="dxa" w:w="3357"/>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60,405,994.72</w:t>
            </w:r>
          </w:p>
        </w:tc>
        <w:tc>
          <w:tcPr>
            <w:tcW w:type="dxa" w:w="1843"/>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25.19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pPr>
              <w:jc w:val="right"/>
              <w:rPr>
                <w:rFonts w:eastAsiaTheme="minorEastAsia"/>
                <w:color w:themeColor="text1" w:val="000000"/>
                <w:szCs w:val="21"/>
              </w:rPr>
            </w:pPr>
            <w:r>
              <w:rPr>
                <w:rFonts w:eastAsiaTheme="minorEastAsia"/>
                <w:color w:themeColor="text1" w:val="000000"/>
                <w:szCs w:val="21"/>
              </w:rPr>
              <w:t>1,524,051.42</w:t>
            </w:r>
          </w:p>
        </w:tc>
        <w:tc>
          <w:tcPr>
            <w:tcW w:type="dxa" w:w="1843"/>
            <w:vAlign w:val="center"/>
          </w:tcPr>
          <w:p>
            <w:pPr>
              <w:jc w:val="right"/>
              <w:rPr>
                <w:rFonts w:eastAsiaTheme="minorEastAsia"/>
                <w:color w:themeColor="text1" w:val="000000"/>
                <w:szCs w:val="21"/>
              </w:rPr>
            </w:pPr>
            <w:r>
              <w:rPr>
                <w:rFonts w:eastAsiaTheme="minorEastAsia"/>
                <w:color w:themeColor="text1" w:val="000000"/>
                <w:szCs w:val="21"/>
              </w:rPr>
              <w:t>0.64</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720"/>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8</w:t>
            </w:r>
          </w:p>
        </w:tc>
        <w:tc>
          <w:tcPr>
            <w:tcW w:type="dxa" w:w="3357"/>
            <w:vAlign w:val="center"/>
          </w:tcPr>
          <w:p>
            <w:pPr>
              <w:rPr>
                <w:rFonts w:eastAsiaTheme="minorEastAsia"/>
                <w:color w:themeColor="text1" w:val="000000"/>
                <w:szCs w:val="21"/>
              </w:rPr>
            </w:pPr>
            <w:r>
              <w:rPr>
                <w:rFonts w:eastAsiaTheme="minorEastAsia"/>
                <w:color w:themeColor="text1" w:val="000000"/>
                <w:szCs w:val="21"/>
              </w:rPr>
              <w:t>合计</w:t>
            </w:r>
          </w:p>
        </w:tc>
        <w:tc>
          <w:tcPr>
            <w:tcW w:type="dxa" w:w="2977"/>
            <w:vAlign w:val="center"/>
          </w:tcPr>
          <w:p>
            <w:pPr>
              <w:jc w:val="right"/>
              <w:rPr>
                <w:rFonts w:eastAsiaTheme="minorEastAsia"/>
                <w:color w:themeColor="text1" w:val="000000"/>
                <w:szCs w:val="21"/>
              </w:rPr>
            </w:pPr>
            <w:r>
              <w:rPr>
                <w:rFonts w:eastAsiaTheme="minorEastAsia"/>
                <w:color w:themeColor="text1" w:val="000000"/>
                <w:szCs w:val="21"/>
              </w:rPr>
              <w:t>239,800,400.08</w:t>
            </w:r>
          </w:p>
        </w:tc>
        <w:tc>
          <w:tcPr>
            <w:tcW w:type="dxa" w:w="1843"/>
            <w:vAlign w:val="center"/>
          </w:tcPr>
          <w:p>
            <w:pPr>
              <w:jc w:val="right"/>
              <w:rPr>
                <w:rFonts w:eastAsiaTheme="minorEastAsia"/>
                <w:color w:themeColor="text1" w:val="000000"/>
                <w:szCs w:val="21"/>
              </w:rPr>
            </w:pPr>
            <w:r>
              <w:rPr>
                <w:rFonts w:eastAsiaTheme="minorEastAsia"/>
                <w:color w:themeColor="text1" w:val="000000"/>
                <w:szCs w:val="21"/>
              </w:rPr>
              <w:t>100.00</w:t>
            </w:r>
          </w:p>
        </w:tc>
      </w:tr>
    </w:tbl>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5.2 报告期末按行业分类的股票投资组合</w:t>
      </w:r>
    </w:p>
    <w:p>
      <w:pPr>
        <w:rPr>
          <w:b/>
        </w:rPr>
      </w:pPr>
      <w:r>
        <w:rPr>
          <w:rFonts w:hint="eastAsia"/>
          <w:b/>
        </w:rPr>
        <w:t xml:space="preserve"> </w:t>
      </w:r>
      <w:r>
        <w:rPr>
          <w:b/>
          <w:color w:themeColor="text1" w:val="000000"/>
          <w:szCs w:val="21"/>
        </w:rPr>
        <w:t/>
      </w:r>
      <w:r>
        <w:rPr>
          <w:rFonts w:eastAsiaTheme="minorEastAsia" w:hint="eastAsia"/>
          <w:b/>
          <w:color w:themeColor="text1" w:val="000000"/>
          <w:kern w:val="0"/>
          <w:szCs w:val="21"/>
        </w:rPr>
        <w:t>5.2.1报告期末按行业分类的境内股票投资组合</w:t>
      </w:r>
    </w:p>
    <w:tbl>
      <w:tblPr>
        <w:tblStyle w:val="28"/>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40"/>
        <w:gridCol w:w="3691"/>
        <w:gridCol w:w="2852"/>
        <w:gridCol w:w="164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390"/>
        </w:trPr>
        <w:tc>
          <w:tcPr>
            <w:tcW w:type="dxa" w:w="540"/>
            <w:tcBorders>
              <w:top w:color="000000" w:space="0" w:sz="4" w:val="single"/>
              <w:left w:color="000000" w:space="0" w:sz="4" w:val="single"/>
              <w:bottom w:color="000000" w:space="0" w:sz="4" w:val="single"/>
              <w:right w:color="000000" w:space="0" w:sz="4" w:val="single"/>
            </w:tcBorders>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占基金资产净值比例（％）</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116,017.55</w:t>
            </w:r>
          </w:p>
          <w:p>
            <w:pPr>
              <w:jc w:val="right"/>
              <w:rPr>
                <w:rFonts w:eastAsiaTheme="minorEastAsia"/>
                <w:color w:themeColor="text1" w:val="000000"/>
                <w:szCs w:val="21"/>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0.05</w:t>
            </w:r>
          </w:p>
          <w:p>
            <w:pPr>
              <w:jc w:val="right"/>
              <w:rPr>
                <w:rFonts w:eastAsiaTheme="minorEastAsia"/>
                <w:color w:themeColor="text1" w:val="000000"/>
                <w:szCs w:val="21"/>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30,127,995.42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12.76</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7,612,207.10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3.22</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6,020,031.50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2.55</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4,779,769.26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2.02</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1,827,147.39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0.77</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33,869.94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0.01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6,218,501.58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2.63</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23,106.60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0.01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eastAsiaTheme="minorEastAsia"/>
                <w:color w:themeColor="text1" w:val="000000"/>
                <w:szCs w:val="21"/>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eastAsiaTheme="minorEastAsia"/>
                <w:color w:themeColor="text1" w:val="000000"/>
                <w:szCs w:val="21"/>
              </w:rPr>
            </w:pPr>
            <w:r>
              <w:rPr>
                <w:rFonts w:eastAsiaTheme="minorEastAsia"/>
                <w:color w:themeColor="text1" w:val="000000"/>
                <w:szCs w:val="21"/>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eastAsiaTheme="minorEastAsia"/>
                <w:color w:themeColor="text1" w:val="000000"/>
                <w:szCs w:val="21"/>
              </w:rPr>
            </w:pPr>
            <w:r>
              <w:rPr>
                <w:rFonts w:eastAsiaTheme="minorEastAsia"/>
                <w:color w:themeColor="text1" w:val="000000"/>
                <w:szCs w:val="21"/>
              </w:rPr>
              <w:t>56,758,646.34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eastAsiaTheme="minorEastAsia"/>
                <w:color w:themeColor="text1" w:val="000000"/>
                <w:szCs w:val="21"/>
              </w:rPr>
            </w:pPr>
            <w:r>
              <w:rPr>
                <w:rFonts w:eastAsiaTheme="minorEastAsia"/>
                <w:color w:themeColor="text1" w:val="000000"/>
                <w:szCs w:val="21"/>
              </w:rPr>
              <w:t>24.03</w:t>
            </w:r>
          </w:p>
        </w:tc>
      </w:tr>
    </w:tbl>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5.3 报告期末按公允价值占基金资产净值比例大小排序的前十名股票投资明细</w:t>
      </w:r>
    </w:p>
    <w:tbl>
      <w:tblPr>
        <w:tblStyle w:val="28"/>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1276"/>
        <w:gridCol w:w="1701"/>
        <w:gridCol w:w="1276"/>
        <w:gridCol w:w="1842"/>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1276"/>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股票代码</w:t>
            </w:r>
          </w:p>
        </w:tc>
        <w:tc>
          <w:tcPr>
            <w:tcW w:type="dxa" w:w="1701"/>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股票名称</w:t>
            </w:r>
          </w:p>
        </w:tc>
        <w:tc>
          <w:tcPr>
            <w:tcW w:type="dxa" w:w="1276"/>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数量(股)</w:t>
            </w:r>
          </w:p>
        </w:tc>
        <w:tc>
          <w:tcPr>
            <w:tcW w:type="dxa" w:w="1842"/>
            <w:vAlign w:val="center"/>
          </w:tcPr>
          <w:p>
            <w:pPr>
              <w:autoSpaceDE w:val="0"/>
              <w:autoSpaceDN w:val="0"/>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公允价值(元)</w:t>
            </w:r>
          </w:p>
        </w:tc>
        <w:tc>
          <w:tcPr>
            <w:tcW w:type="dxa" w:w="1616"/>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601668</w:t>
            </w:r>
          </w:p>
        </w:tc>
        <w:tc>
          <w:tcPr>
            <w:vAlign w:val="center"/>
          </w:tcPr>
          <w:p>
            <w:pPr>
              <w:jc w:val="center"/>
            </w:pPr>
            <w:r>
              <w:rPr>
                <w:rFonts w:eastAsiaTheme="minorEastAsia"/>
                <w:color w:themeColor="text1" w:val="000000"/>
                <w:szCs w:val="21"/>
              </w:rPr>
              <w:t>中国建筑</w:t>
            </w:r>
          </w:p>
        </w:tc>
        <w:tc>
          <w:tcPr>
            <w:vAlign w:val="center"/>
          </w:tcPr>
          <w:p>
            <w:pPr>
              <w:jc w:val="right"/>
            </w:pPr>
            <w:r>
              <w:rPr>
                <w:rFonts w:eastAsiaTheme="minorEastAsia"/>
                <w:color w:themeColor="text1" w:val="000000"/>
                <w:szCs w:val="21"/>
              </w:rPr>
              <w:t>1,046,962.00</w:t>
            </w:r>
          </w:p>
        </w:tc>
        <w:tc>
          <w:tcPr>
            <w:vAlign w:val="center"/>
          </w:tcPr>
          <w:p>
            <w:pPr>
              <w:jc w:val="right"/>
            </w:pPr>
            <w:r>
              <w:rPr>
                <w:rFonts w:eastAsiaTheme="minorEastAsia"/>
                <w:color w:themeColor="text1" w:val="000000"/>
                <w:szCs w:val="21"/>
              </w:rPr>
              <w:t>6,020,031.50</w:t>
            </w:r>
          </w:p>
        </w:tc>
        <w:tc>
          <w:tcPr>
            <w:vAlign w:val="center"/>
          </w:tcPr>
          <w:p>
            <w:pPr>
              <w:jc w:val="right"/>
            </w:pPr>
            <w:r>
              <w:rPr>
                <w:rFonts w:eastAsiaTheme="minorEastAsia"/>
                <w:color w:themeColor="text1" w:val="000000"/>
                <w:szCs w:val="21"/>
              </w:rPr>
              <w:t>2.55</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600674</w:t>
            </w:r>
          </w:p>
        </w:tc>
        <w:tc>
          <w:tcPr>
            <w:vAlign w:val="center"/>
          </w:tcPr>
          <w:p>
            <w:pPr>
              <w:jc w:val="center"/>
            </w:pPr>
            <w:r>
              <w:rPr>
                <w:rFonts w:eastAsiaTheme="minorEastAsia"/>
                <w:color w:themeColor="text1" w:val="000000"/>
                <w:szCs w:val="21"/>
              </w:rPr>
              <w:t>川投能源</w:t>
            </w:r>
          </w:p>
        </w:tc>
        <w:tc>
          <w:tcPr>
            <w:vAlign w:val="center"/>
          </w:tcPr>
          <w:p>
            <w:pPr>
              <w:jc w:val="right"/>
            </w:pPr>
            <w:r>
              <w:rPr>
                <w:rFonts w:eastAsiaTheme="minorEastAsia"/>
                <w:color w:themeColor="text1" w:val="000000"/>
                <w:szCs w:val="21"/>
              </w:rPr>
              <w:t>617,839.00</w:t>
            </w:r>
          </w:p>
        </w:tc>
        <w:tc>
          <w:tcPr>
            <w:vAlign w:val="center"/>
          </w:tcPr>
          <w:p>
            <w:pPr>
              <w:jc w:val="right"/>
            </w:pPr>
            <w:r>
              <w:rPr>
                <w:rFonts w:eastAsiaTheme="minorEastAsia"/>
                <w:color w:themeColor="text1" w:val="000000"/>
                <w:szCs w:val="21"/>
              </w:rPr>
              <w:t>5,498,767.10</w:t>
            </w:r>
          </w:p>
        </w:tc>
        <w:tc>
          <w:tcPr>
            <w:vAlign w:val="center"/>
          </w:tcPr>
          <w:p>
            <w:pPr>
              <w:jc w:val="right"/>
            </w:pPr>
            <w:r>
              <w:rPr>
                <w:rFonts w:eastAsiaTheme="minorEastAsia"/>
                <w:color w:themeColor="text1" w:val="000000"/>
                <w:szCs w:val="21"/>
              </w:rPr>
              <w:t>2.33</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002833</w:t>
            </w:r>
          </w:p>
        </w:tc>
        <w:tc>
          <w:tcPr>
            <w:vAlign w:val="center"/>
          </w:tcPr>
          <w:p>
            <w:pPr>
              <w:jc w:val="center"/>
            </w:pPr>
            <w:r>
              <w:rPr>
                <w:rFonts w:eastAsiaTheme="minorEastAsia"/>
                <w:color w:themeColor="text1" w:val="000000"/>
                <w:szCs w:val="21"/>
              </w:rPr>
              <w:t>弘亚数控</w:t>
            </w:r>
          </w:p>
        </w:tc>
        <w:tc>
          <w:tcPr>
            <w:vAlign w:val="center"/>
          </w:tcPr>
          <w:p>
            <w:pPr>
              <w:jc w:val="right"/>
            </w:pPr>
            <w:r>
              <w:rPr>
                <w:rFonts w:eastAsiaTheme="minorEastAsia"/>
                <w:color w:themeColor="text1" w:val="000000"/>
                <w:szCs w:val="21"/>
              </w:rPr>
              <w:t>139,103.00</w:t>
            </w:r>
          </w:p>
        </w:tc>
        <w:tc>
          <w:tcPr>
            <w:vAlign w:val="center"/>
          </w:tcPr>
          <w:p>
            <w:pPr>
              <w:jc w:val="right"/>
            </w:pPr>
            <w:r>
              <w:rPr>
                <w:rFonts w:eastAsiaTheme="minorEastAsia"/>
                <w:color w:themeColor="text1" w:val="000000"/>
                <w:szCs w:val="21"/>
              </w:rPr>
              <w:t>5,064,740.23</w:t>
            </w:r>
          </w:p>
        </w:tc>
        <w:tc>
          <w:tcPr>
            <w:vAlign w:val="center"/>
          </w:tcPr>
          <w:p>
            <w:pPr>
              <w:jc w:val="right"/>
            </w:pPr>
            <w:r>
              <w:rPr>
                <w:rFonts w:eastAsiaTheme="minorEastAsia"/>
                <w:color w:themeColor="text1" w:val="000000"/>
                <w:szCs w:val="21"/>
              </w:rPr>
              <w:t>2.14</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600332</w:t>
            </w:r>
          </w:p>
        </w:tc>
        <w:tc>
          <w:tcPr>
            <w:vAlign w:val="center"/>
          </w:tcPr>
          <w:p>
            <w:pPr>
              <w:jc w:val="center"/>
            </w:pPr>
            <w:r>
              <w:rPr>
                <w:rFonts w:eastAsiaTheme="minorEastAsia"/>
                <w:color w:themeColor="text1" w:val="000000"/>
                <w:szCs w:val="21"/>
              </w:rPr>
              <w:t>白云山</w:t>
            </w:r>
          </w:p>
        </w:tc>
        <w:tc>
          <w:tcPr>
            <w:vAlign w:val="center"/>
          </w:tcPr>
          <w:p>
            <w:pPr>
              <w:jc w:val="right"/>
            </w:pPr>
            <w:r>
              <w:rPr>
                <w:rFonts w:eastAsiaTheme="minorEastAsia"/>
                <w:color w:themeColor="text1" w:val="000000"/>
                <w:szCs w:val="21"/>
              </w:rPr>
              <w:t>84,020.00</w:t>
            </w:r>
          </w:p>
        </w:tc>
        <w:tc>
          <w:tcPr>
            <w:vAlign w:val="center"/>
          </w:tcPr>
          <w:p>
            <w:pPr>
              <w:jc w:val="right"/>
            </w:pPr>
            <w:r>
              <w:rPr>
                <w:rFonts w:eastAsiaTheme="minorEastAsia"/>
                <w:color w:themeColor="text1" w:val="000000"/>
                <w:szCs w:val="21"/>
              </w:rPr>
              <w:t>3,442,299.40</w:t>
            </w:r>
          </w:p>
        </w:tc>
        <w:tc>
          <w:tcPr>
            <w:vAlign w:val="center"/>
          </w:tcPr>
          <w:p>
            <w:pPr>
              <w:jc w:val="right"/>
            </w:pPr>
            <w:r>
              <w:rPr>
                <w:rFonts w:eastAsiaTheme="minorEastAsia"/>
                <w:color w:themeColor="text1" w:val="000000"/>
                <w:szCs w:val="21"/>
              </w:rPr>
              <w:t>1.46</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600383</w:t>
            </w:r>
          </w:p>
        </w:tc>
        <w:tc>
          <w:tcPr>
            <w:vAlign w:val="center"/>
          </w:tcPr>
          <w:p>
            <w:pPr>
              <w:jc w:val="center"/>
            </w:pPr>
            <w:r>
              <w:rPr>
                <w:rFonts w:eastAsiaTheme="minorEastAsia"/>
                <w:color w:themeColor="text1" w:val="000000"/>
                <w:szCs w:val="21"/>
              </w:rPr>
              <w:t>金地集团</w:t>
            </w:r>
          </w:p>
        </w:tc>
        <w:tc>
          <w:tcPr>
            <w:vAlign w:val="center"/>
          </w:tcPr>
          <w:p>
            <w:pPr>
              <w:jc w:val="right"/>
            </w:pPr>
            <w:r>
              <w:rPr>
                <w:rFonts w:eastAsiaTheme="minorEastAsia"/>
                <w:color w:themeColor="text1" w:val="000000"/>
                <w:szCs w:val="21"/>
              </w:rPr>
              <w:t>285,771.00</w:t>
            </w:r>
          </w:p>
        </w:tc>
        <w:tc>
          <w:tcPr>
            <w:vAlign w:val="center"/>
          </w:tcPr>
          <w:p>
            <w:pPr>
              <w:jc w:val="right"/>
            </w:pPr>
            <w:r>
              <w:rPr>
                <w:rFonts w:eastAsiaTheme="minorEastAsia"/>
                <w:color w:themeColor="text1" w:val="000000"/>
                <w:szCs w:val="21"/>
              </w:rPr>
              <w:t>3,409,248.03</w:t>
            </w:r>
          </w:p>
        </w:tc>
        <w:tc>
          <w:tcPr>
            <w:vAlign w:val="center"/>
          </w:tcPr>
          <w:p>
            <w:pPr>
              <w:jc w:val="right"/>
            </w:pPr>
            <w:r>
              <w:rPr>
                <w:rFonts w:eastAsiaTheme="minorEastAsia"/>
                <w:color w:themeColor="text1" w:val="000000"/>
                <w:szCs w:val="21"/>
              </w:rPr>
              <w:t>1.44</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600803</w:t>
            </w:r>
          </w:p>
        </w:tc>
        <w:tc>
          <w:tcPr>
            <w:vAlign w:val="center"/>
          </w:tcPr>
          <w:p>
            <w:pPr>
              <w:jc w:val="center"/>
            </w:pPr>
            <w:r>
              <w:rPr>
                <w:rFonts w:eastAsiaTheme="minorEastAsia"/>
                <w:color w:themeColor="text1" w:val="000000"/>
                <w:szCs w:val="21"/>
              </w:rPr>
              <w:t>新奥股份</w:t>
            </w:r>
          </w:p>
        </w:tc>
        <w:tc>
          <w:tcPr>
            <w:vAlign w:val="center"/>
          </w:tcPr>
          <w:p>
            <w:pPr>
              <w:jc w:val="right"/>
            </w:pPr>
            <w:r>
              <w:rPr>
                <w:rFonts w:eastAsiaTheme="minorEastAsia"/>
                <w:color w:themeColor="text1" w:val="000000"/>
                <w:szCs w:val="21"/>
              </w:rPr>
              <w:t>308,895.00</w:t>
            </w:r>
          </w:p>
        </w:tc>
        <w:tc>
          <w:tcPr>
            <w:vAlign w:val="center"/>
          </w:tcPr>
          <w:p>
            <w:pPr>
              <w:jc w:val="right"/>
            </w:pPr>
            <w:r>
              <w:rPr>
                <w:rFonts w:eastAsiaTheme="minorEastAsia"/>
                <w:color w:themeColor="text1" w:val="000000"/>
                <w:szCs w:val="21"/>
              </w:rPr>
              <w:t>3,227,952.75</w:t>
            </w:r>
          </w:p>
        </w:tc>
        <w:tc>
          <w:tcPr>
            <w:vAlign w:val="center"/>
          </w:tcPr>
          <w:p>
            <w:pPr>
              <w:jc w:val="right"/>
            </w:pPr>
            <w:r>
              <w:rPr>
                <w:rFonts w:eastAsiaTheme="minorEastAsia"/>
                <w:color w:themeColor="text1" w:val="000000"/>
                <w:szCs w:val="21"/>
              </w:rPr>
              <w:t>1.37</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002614</w:t>
            </w:r>
          </w:p>
        </w:tc>
        <w:tc>
          <w:tcPr>
            <w:vAlign w:val="center"/>
          </w:tcPr>
          <w:p>
            <w:pPr>
              <w:jc w:val="center"/>
            </w:pPr>
            <w:r>
              <w:rPr>
                <w:rFonts w:eastAsiaTheme="minorEastAsia"/>
                <w:color w:themeColor="text1" w:val="000000"/>
                <w:szCs w:val="21"/>
              </w:rPr>
              <w:t>奥佳华</w:t>
            </w:r>
          </w:p>
        </w:tc>
        <w:tc>
          <w:tcPr>
            <w:vAlign w:val="center"/>
          </w:tcPr>
          <w:p>
            <w:pPr>
              <w:jc w:val="right"/>
            </w:pPr>
            <w:r>
              <w:rPr>
                <w:rFonts w:eastAsiaTheme="minorEastAsia"/>
                <w:color w:themeColor="text1" w:val="000000"/>
                <w:szCs w:val="21"/>
              </w:rPr>
              <w:t>196,760.00</w:t>
            </w:r>
          </w:p>
        </w:tc>
        <w:tc>
          <w:tcPr>
            <w:vAlign w:val="center"/>
          </w:tcPr>
          <w:p>
            <w:pPr>
              <w:jc w:val="right"/>
            </w:pPr>
            <w:r>
              <w:rPr>
                <w:rFonts w:eastAsiaTheme="minorEastAsia"/>
                <w:color w:themeColor="text1" w:val="000000"/>
                <w:szCs w:val="21"/>
              </w:rPr>
              <w:t>3,211,123.20</w:t>
            </w:r>
          </w:p>
        </w:tc>
        <w:tc>
          <w:tcPr>
            <w:vAlign w:val="center"/>
          </w:tcPr>
          <w:p>
            <w:pPr>
              <w:jc w:val="right"/>
            </w:pPr>
            <w:r>
              <w:rPr>
                <w:rFonts w:eastAsiaTheme="minorEastAsia"/>
                <w:color w:themeColor="text1" w:val="000000"/>
                <w:szCs w:val="21"/>
              </w:rPr>
              <w:t>1.36</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601965</w:t>
            </w:r>
          </w:p>
        </w:tc>
        <w:tc>
          <w:tcPr>
            <w:vAlign w:val="center"/>
          </w:tcPr>
          <w:p>
            <w:pPr>
              <w:jc w:val="center"/>
            </w:pPr>
            <w:r>
              <w:rPr>
                <w:rFonts w:eastAsiaTheme="minorEastAsia"/>
                <w:color w:themeColor="text1" w:val="000000"/>
                <w:szCs w:val="21"/>
              </w:rPr>
              <w:t>中国汽研</w:t>
            </w:r>
          </w:p>
        </w:tc>
        <w:tc>
          <w:tcPr>
            <w:vAlign w:val="center"/>
          </w:tcPr>
          <w:p>
            <w:pPr>
              <w:jc w:val="right"/>
            </w:pPr>
            <w:r>
              <w:rPr>
                <w:rFonts w:eastAsiaTheme="minorEastAsia"/>
                <w:color w:themeColor="text1" w:val="000000"/>
                <w:szCs w:val="21"/>
              </w:rPr>
              <w:t>430,099.00</w:t>
            </w:r>
          </w:p>
        </w:tc>
        <w:tc>
          <w:tcPr>
            <w:vAlign w:val="center"/>
          </w:tcPr>
          <w:p>
            <w:pPr>
              <w:jc w:val="right"/>
            </w:pPr>
            <w:r>
              <w:rPr>
                <w:rFonts w:eastAsiaTheme="minorEastAsia"/>
                <w:color w:themeColor="text1" w:val="000000"/>
                <w:szCs w:val="21"/>
              </w:rPr>
              <w:t>3,195,635.57</w:t>
            </w:r>
          </w:p>
        </w:tc>
        <w:tc>
          <w:tcPr>
            <w:vAlign w:val="center"/>
          </w:tcPr>
          <w:p>
            <w:pPr>
              <w:jc w:val="right"/>
            </w:pPr>
            <w:r>
              <w:rPr>
                <w:rFonts w:eastAsiaTheme="minorEastAsia"/>
                <w:color w:themeColor="text1" w:val="000000"/>
                <w:szCs w:val="21"/>
              </w:rPr>
              <w:t>1.35</w:t>
            </w:r>
          </w:p>
        </w:tc>
      </w:tr>
      <w:tr>
        <w:tc>
          <w:tcPr>
            <w:vAlign w:val="center"/>
          </w:tcPr>
          <w:p>
            <w:pPr>
              <w:jc w:val="center"/>
            </w:pPr>
            <w:r>
              <w:rPr>
                <w:rFonts w:eastAsiaTheme="minorEastAsia"/>
                <w:color w:themeColor="text1" w:val="000000"/>
                <w:szCs w:val="21"/>
              </w:rPr>
              <w:t>9</w:t>
            </w:r>
          </w:p>
        </w:tc>
        <w:tc>
          <w:tcPr>
            <w:vAlign w:val="center"/>
          </w:tcPr>
          <w:p>
            <w:pPr>
              <w:jc w:val="center"/>
            </w:pPr>
            <w:r>
              <w:rPr>
                <w:rFonts w:eastAsiaTheme="minorEastAsia"/>
                <w:color w:themeColor="text1" w:val="000000"/>
                <w:szCs w:val="21"/>
              </w:rPr>
              <w:t>600511</w:t>
            </w:r>
          </w:p>
        </w:tc>
        <w:tc>
          <w:tcPr>
            <w:vAlign w:val="center"/>
          </w:tcPr>
          <w:p>
            <w:pPr>
              <w:jc w:val="center"/>
            </w:pPr>
            <w:r>
              <w:rPr>
                <w:rFonts w:eastAsiaTheme="minorEastAsia"/>
                <w:color w:themeColor="text1" w:val="000000"/>
                <w:szCs w:val="21"/>
              </w:rPr>
              <w:t>国药股份</w:t>
            </w:r>
          </w:p>
        </w:tc>
        <w:tc>
          <w:tcPr>
            <w:vAlign w:val="center"/>
          </w:tcPr>
          <w:p>
            <w:pPr>
              <w:jc w:val="right"/>
            </w:pPr>
            <w:r>
              <w:rPr>
                <w:rFonts w:eastAsiaTheme="minorEastAsia"/>
                <w:color w:themeColor="text1" w:val="000000"/>
                <w:szCs w:val="21"/>
              </w:rPr>
              <w:t>133,780.00</w:t>
            </w:r>
          </w:p>
        </w:tc>
        <w:tc>
          <w:tcPr>
            <w:vAlign w:val="center"/>
          </w:tcPr>
          <w:p>
            <w:pPr>
              <w:jc w:val="right"/>
            </w:pPr>
            <w:r>
              <w:rPr>
                <w:rFonts w:eastAsiaTheme="minorEastAsia"/>
                <w:color w:themeColor="text1" w:val="000000"/>
                <w:szCs w:val="21"/>
              </w:rPr>
              <w:t>3,072,926.60</w:t>
            </w:r>
          </w:p>
        </w:tc>
        <w:tc>
          <w:tcPr>
            <w:vAlign w:val="center"/>
          </w:tcPr>
          <w:p>
            <w:pPr>
              <w:jc w:val="right"/>
            </w:pPr>
            <w:r>
              <w:rPr>
                <w:rFonts w:eastAsiaTheme="minorEastAsia"/>
                <w:color w:themeColor="text1" w:val="000000"/>
                <w:szCs w:val="21"/>
              </w:rPr>
              <w:t>1.30</w:t>
            </w:r>
          </w:p>
        </w:tc>
      </w:tr>
      <w:tr>
        <w:tc>
          <w:tcPr>
            <w:vAlign w:val="center"/>
          </w:tcPr>
          <w:p>
            <w:pPr>
              <w:jc w:val="center"/>
            </w:pPr>
            <w:r>
              <w:rPr>
                <w:rFonts w:eastAsiaTheme="minorEastAsia"/>
                <w:color w:themeColor="text1" w:val="000000"/>
                <w:szCs w:val="21"/>
              </w:rPr>
              <w:t>10</w:t>
            </w:r>
          </w:p>
        </w:tc>
        <w:tc>
          <w:tcPr>
            <w:vAlign w:val="center"/>
          </w:tcPr>
          <w:p>
            <w:pPr>
              <w:jc w:val="center"/>
            </w:pPr>
            <w:r>
              <w:rPr>
                <w:rFonts w:eastAsiaTheme="minorEastAsia"/>
                <w:color w:themeColor="text1" w:val="000000"/>
                <w:szCs w:val="21"/>
              </w:rPr>
              <w:t>600285</w:t>
            </w:r>
          </w:p>
        </w:tc>
        <w:tc>
          <w:tcPr>
            <w:vAlign w:val="center"/>
          </w:tcPr>
          <w:p>
            <w:pPr>
              <w:jc w:val="center"/>
            </w:pPr>
            <w:r>
              <w:rPr>
                <w:rFonts w:eastAsiaTheme="minorEastAsia"/>
                <w:color w:themeColor="text1" w:val="000000"/>
                <w:szCs w:val="21"/>
              </w:rPr>
              <w:t>羚锐制药</w:t>
            </w:r>
          </w:p>
        </w:tc>
        <w:tc>
          <w:tcPr>
            <w:vAlign w:val="center"/>
          </w:tcPr>
          <w:p>
            <w:pPr>
              <w:jc w:val="right"/>
            </w:pPr>
            <w:r>
              <w:rPr>
                <w:rFonts w:eastAsiaTheme="minorEastAsia"/>
                <w:color w:themeColor="text1" w:val="000000"/>
                <w:szCs w:val="21"/>
              </w:rPr>
              <w:t>355,184.00</w:t>
            </w:r>
          </w:p>
        </w:tc>
        <w:tc>
          <w:tcPr>
            <w:vAlign w:val="center"/>
          </w:tcPr>
          <w:p>
            <w:pPr>
              <w:jc w:val="right"/>
            </w:pPr>
            <w:r>
              <w:rPr>
                <w:rFonts w:eastAsiaTheme="minorEastAsia"/>
                <w:color w:themeColor="text1" w:val="000000"/>
                <w:szCs w:val="21"/>
              </w:rPr>
              <w:t>2,994,201.12</w:t>
            </w:r>
          </w:p>
        </w:tc>
        <w:tc>
          <w:tcPr>
            <w:vAlign w:val="center"/>
          </w:tcPr>
          <w:p>
            <w:pPr>
              <w:jc w:val="right"/>
            </w:pPr>
            <w:r>
              <w:rPr>
                <w:rFonts w:eastAsiaTheme="minorEastAsia"/>
                <w:color w:themeColor="text1" w:val="000000"/>
                <w:szCs w:val="21"/>
              </w:rPr>
              <w:t>1.27</w:t>
            </w:r>
          </w:p>
        </w:tc>
      </w:tr>
    </w:tbl>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5.4 报告期末按债券品种分类的债券投资组合</w:t>
      </w:r>
    </w:p>
    <w:tbl>
      <w:tblPr>
        <w:tblStyle w:val="28"/>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3260"/>
        <w:gridCol w:w="2835"/>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260"/>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债券品种</w:t>
            </w:r>
          </w:p>
        </w:tc>
        <w:tc>
          <w:tcPr>
            <w:tcW w:type="dxa" w:w="2835"/>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公允价值(元)</w:t>
            </w:r>
          </w:p>
        </w:tc>
        <w:tc>
          <w:tcPr>
            <w:tcW w:type="dxa" w:w="1616"/>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260"/>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国家债券</w:t>
            </w:r>
          </w:p>
        </w:tc>
        <w:tc>
          <w:tcPr>
            <w:tcW w:type="dxa" w:w="2835"/>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19,820,089.00</w:t>
            </w:r>
          </w:p>
        </w:tc>
        <w:tc>
          <w:tcPr>
            <w:tcW w:type="dxa" w:w="1616"/>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8.39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260"/>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央行票据</w:t>
            </w:r>
          </w:p>
        </w:tc>
        <w:tc>
          <w:tcPr>
            <w:tcW w:type="dxa" w:w="2835"/>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616"/>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260"/>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金融债券</w:t>
            </w:r>
          </w:p>
        </w:tc>
        <w:tc>
          <w:tcPr>
            <w:tcW w:type="dxa" w:w="2835"/>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19,778,000.00</w:t>
            </w:r>
          </w:p>
        </w:tc>
        <w:tc>
          <w:tcPr>
            <w:tcW w:type="dxa" w:w="1616"/>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8.37</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p>
        </w:tc>
        <w:tc>
          <w:tcPr>
            <w:tcW w:type="dxa" w:w="3260"/>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其中：政策性金融债</w:t>
            </w:r>
          </w:p>
        </w:tc>
        <w:tc>
          <w:tcPr>
            <w:tcW w:type="dxa" w:w="2835"/>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19,778,000.00</w:t>
            </w:r>
          </w:p>
        </w:tc>
        <w:tc>
          <w:tcPr>
            <w:tcW w:type="dxa" w:w="1616"/>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8.37</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260"/>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企业债券</w:t>
            </w:r>
          </w:p>
        </w:tc>
        <w:tc>
          <w:tcPr>
            <w:tcW w:type="dxa" w:w="2835"/>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37,351,956.00</w:t>
            </w:r>
          </w:p>
        </w:tc>
        <w:tc>
          <w:tcPr>
            <w:tcW w:type="dxa" w:w="1616"/>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15.81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5</w:t>
            </w:r>
          </w:p>
        </w:tc>
        <w:tc>
          <w:tcPr>
            <w:tcW w:type="dxa" w:w="3260"/>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企业短期融资券</w:t>
            </w:r>
          </w:p>
        </w:tc>
        <w:tc>
          <w:tcPr>
            <w:tcW w:type="dxa" w:w="2835"/>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616"/>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260"/>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中期票据</w:t>
            </w:r>
          </w:p>
        </w:tc>
        <w:tc>
          <w:tcPr>
            <w:tcW w:type="dxa" w:w="2835"/>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616"/>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260"/>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可转债</w:t>
            </w:r>
            <w:r>
              <w:rPr>
                <w:rFonts w:eastAsiaTheme="minorEastAsia" w:hint="eastAsia"/>
                <w:color w:themeColor="text1" w:val="000000"/>
                <w:szCs w:val="21"/>
              </w:rPr>
              <w:t>（可交换债）</w:t>
            </w:r>
          </w:p>
        </w:tc>
        <w:tc>
          <w:tcPr>
            <w:tcW w:type="dxa" w:w="2835"/>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37,161,662.60</w:t>
            </w:r>
          </w:p>
        </w:tc>
        <w:tc>
          <w:tcPr>
            <w:tcW w:type="dxa" w:w="1616"/>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15.73</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8</w:t>
            </w:r>
          </w:p>
        </w:tc>
        <w:tc>
          <w:tcPr>
            <w:tcW w:type="dxa" w:w="3260"/>
            <w:vAlign w:val="center"/>
          </w:tcPr>
          <w:p>
            <w:pPr>
              <w:spacing w:before="29" w:line="360" w:lineRule="auto"/>
              <w:ind w:left="17"/>
              <w:jc w:val="left"/>
              <w:rPr>
                <w:rFonts w:eastAsiaTheme="minorEastAsia"/>
                <w:color w:themeColor="text1" w:val="000000"/>
                <w:szCs w:val="21"/>
              </w:rPr>
            </w:pPr>
            <w:r>
              <w:rPr>
                <w:rFonts w:eastAsiaTheme="minorEastAsia" w:hint="eastAsia"/>
                <w:color w:themeColor="text1" w:val="000000"/>
                <w:szCs w:val="21"/>
              </w:rPr>
              <w:t>同业存单</w:t>
            </w:r>
          </w:p>
        </w:tc>
        <w:tc>
          <w:tcPr>
            <w:tcW w:type="dxa" w:w="2835"/>
            <w:vAlign w:val="center"/>
          </w:tcPr>
          <w:p>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r>
              <w:rPr>
                <w:rFonts w:eastAsiaTheme="minorEastAsia"/>
                <w:color w:themeColor="text1" w:val="000000"/>
                <w:szCs w:val="21"/>
              </w:rPr>
              <w:t/>
            </w:r>
            <w:r>
              <w:rPr>
                <w:rFonts w:eastAsiaTheme="minorEastAsia" w:hint="eastAsia"/>
                <w:color w:themeColor="text1" w:val="000000"/>
                <w:szCs w:val="21"/>
              </w:rPr>
              <w:t>-</w:t>
            </w:r>
          </w:p>
        </w:tc>
        <w:tc>
          <w:tcPr>
            <w:tcW w:type="dxa" w:w="1616"/>
            <w:vAlign w:val="center"/>
          </w:tcPr>
          <w:p>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r>
              <w:rPr>
                <w:rFonts w:eastAsiaTheme="minorEastAsia"/>
                <w:color w:themeColor="text1" w:val="000000"/>
                <w:szCs w:val="21"/>
              </w:rPr>
              <w:t/>
            </w:r>
            <w:r>
              <w:rPr>
                <w:rFonts w:eastAsiaTheme="minorEastAsia" w:hint="eastAsia"/>
                <w:color w:themeColor="text1" w:val="00000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9</w:t>
            </w:r>
          </w:p>
        </w:tc>
        <w:tc>
          <w:tcPr>
            <w:tcW w:type="dxa" w:w="3260"/>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其他</w:t>
            </w:r>
          </w:p>
        </w:tc>
        <w:tc>
          <w:tcPr>
            <w:tcW w:type="dxa" w:w="2835"/>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616"/>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81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10</w:t>
            </w:r>
          </w:p>
        </w:tc>
        <w:tc>
          <w:tcPr>
            <w:tcW w:type="dxa" w:w="3260"/>
            <w:vAlign w:val="center"/>
          </w:tcPr>
          <w:p>
            <w:pPr>
              <w:spacing w:before="29" w:line="360" w:lineRule="auto"/>
              <w:ind w:left="17"/>
              <w:jc w:val="left"/>
              <w:rPr>
                <w:rFonts w:eastAsiaTheme="minorEastAsia"/>
                <w:color w:themeColor="text1" w:val="000000"/>
                <w:szCs w:val="21"/>
              </w:rPr>
            </w:pPr>
            <w:r>
              <w:rPr>
                <w:rFonts w:eastAsiaTheme="minorEastAsia"/>
                <w:color w:themeColor="text1" w:val="000000"/>
                <w:szCs w:val="21"/>
              </w:rPr>
              <w:t>合计</w:t>
            </w:r>
          </w:p>
        </w:tc>
        <w:tc>
          <w:tcPr>
            <w:tcW w:type="dxa" w:w="2835"/>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114,111,707.60</w:t>
            </w:r>
          </w:p>
        </w:tc>
        <w:tc>
          <w:tcPr>
            <w:tcW w:type="dxa" w:w="1616"/>
            <w:vAlign w:val="center"/>
          </w:tcPr>
          <w:p>
            <w:pPr>
              <w:spacing w:before="29" w:line="360" w:lineRule="auto"/>
              <w:ind w:left="17"/>
              <w:jc w:val="right"/>
              <w:rPr>
                <w:rFonts w:eastAsiaTheme="minorEastAsia"/>
                <w:color w:themeColor="text1" w:val="000000"/>
                <w:szCs w:val="21"/>
              </w:rPr>
            </w:pPr>
            <w:r>
              <w:rPr>
                <w:rFonts w:eastAsiaTheme="minorEastAsia"/>
                <w:color w:themeColor="text1" w:val="000000"/>
                <w:szCs w:val="21"/>
              </w:rPr>
              <w:t>48.31</w:t>
            </w:r>
          </w:p>
        </w:tc>
      </w:tr>
    </w:tbl>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5.5 报告期末按公允价值占基金资产净值比例大小排序的前五名债券投资明细</w:t>
      </w:r>
    </w:p>
    <w:tbl>
      <w:tblPr>
        <w:tblStyle w:val="29"/>
        <w:tblW w:type="dxa" w:w="902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504"/>
        <w:gridCol w:w="1504"/>
        <w:gridCol w:w="1504"/>
        <w:gridCol w:w="1503"/>
        <w:gridCol w:w="1503"/>
        <w:gridCol w:w="150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1504"/>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1504"/>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债券代码</w:t>
            </w:r>
          </w:p>
        </w:tc>
        <w:tc>
          <w:tcPr>
            <w:tcW w:type="dxa" w:w="1504"/>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债券名称</w:t>
            </w:r>
          </w:p>
        </w:tc>
        <w:tc>
          <w:tcPr>
            <w:tcW w:type="dxa" w:w="1503"/>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数量（张）</w:t>
            </w:r>
          </w:p>
        </w:tc>
        <w:tc>
          <w:tcPr>
            <w:tcW w:type="dxa" w:w="1503"/>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公允价值(元)</w:t>
            </w:r>
          </w:p>
        </w:tc>
        <w:tc>
          <w:tcPr>
            <w:tcW w:type="dxa" w:w="1503"/>
            <w:vAlign w:val="center"/>
          </w:tcPr>
          <w:p>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019611</w:t>
            </w:r>
          </w:p>
        </w:tc>
        <w:tc>
          <w:tcPr>
            <w:vAlign w:val="center"/>
          </w:tcPr>
          <w:p>
            <w:pPr>
              <w:jc w:val="center"/>
            </w:pPr>
            <w:r>
              <w:rPr>
                <w:rFonts w:eastAsiaTheme="minorEastAsia"/>
                <w:color w:themeColor="text1" w:val="000000"/>
                <w:szCs w:val="21"/>
              </w:rPr>
              <w:t>19国债01</w:t>
            </w:r>
          </w:p>
        </w:tc>
        <w:tc>
          <w:tcPr>
            <w:vAlign w:val="center"/>
          </w:tcPr>
          <w:p>
            <w:pPr>
              <w:jc w:val="right"/>
            </w:pPr>
            <w:r>
              <w:rPr>
                <w:rFonts w:eastAsiaTheme="minorEastAsia"/>
                <w:color w:themeColor="text1" w:val="000000"/>
                <w:szCs w:val="21"/>
              </w:rPr>
              <w:t>190,920</w:t>
            </w:r>
          </w:p>
        </w:tc>
        <w:tc>
          <w:tcPr>
            <w:vAlign w:val="center"/>
          </w:tcPr>
          <w:p>
            <w:pPr>
              <w:jc w:val="right"/>
            </w:pPr>
            <w:r>
              <w:rPr>
                <w:rFonts w:eastAsiaTheme="minorEastAsia"/>
                <w:color w:themeColor="text1" w:val="000000"/>
                <w:szCs w:val="21"/>
              </w:rPr>
              <w:t>19,076,726.40</w:t>
            </w:r>
          </w:p>
        </w:tc>
        <w:tc>
          <w:tcPr>
            <w:vAlign w:val="center"/>
          </w:tcPr>
          <w:p>
            <w:pPr>
              <w:jc w:val="right"/>
            </w:pPr>
            <w:r>
              <w:rPr>
                <w:rFonts w:eastAsiaTheme="minorEastAsia"/>
                <w:color w:themeColor="text1" w:val="000000"/>
                <w:szCs w:val="21"/>
              </w:rPr>
              <w:t>8.08</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132013</w:t>
            </w:r>
          </w:p>
        </w:tc>
        <w:tc>
          <w:tcPr>
            <w:vAlign w:val="center"/>
          </w:tcPr>
          <w:p>
            <w:pPr>
              <w:jc w:val="center"/>
            </w:pPr>
            <w:r>
              <w:rPr>
                <w:rFonts w:eastAsiaTheme="minorEastAsia"/>
                <w:color w:themeColor="text1" w:val="000000"/>
                <w:szCs w:val="21"/>
              </w:rPr>
              <w:t>17宝武EB</w:t>
            </w:r>
          </w:p>
        </w:tc>
        <w:tc>
          <w:tcPr>
            <w:vAlign w:val="center"/>
          </w:tcPr>
          <w:p>
            <w:pPr>
              <w:jc w:val="right"/>
            </w:pPr>
            <w:r>
              <w:rPr>
                <w:rFonts w:eastAsiaTheme="minorEastAsia"/>
                <w:color w:themeColor="text1" w:val="000000"/>
                <w:szCs w:val="21"/>
              </w:rPr>
              <w:t>141,560</w:t>
            </w:r>
          </w:p>
        </w:tc>
        <w:tc>
          <w:tcPr>
            <w:vAlign w:val="center"/>
          </w:tcPr>
          <w:p>
            <w:pPr>
              <w:jc w:val="right"/>
            </w:pPr>
            <w:r>
              <w:rPr>
                <w:rFonts w:eastAsiaTheme="minorEastAsia"/>
                <w:color w:themeColor="text1" w:val="000000"/>
                <w:szCs w:val="21"/>
              </w:rPr>
              <w:t>14,147,506.40</w:t>
            </w:r>
          </w:p>
        </w:tc>
        <w:tc>
          <w:tcPr>
            <w:vAlign w:val="center"/>
          </w:tcPr>
          <w:p>
            <w:pPr>
              <w:jc w:val="right"/>
            </w:pPr>
            <w:r>
              <w:rPr>
                <w:rFonts w:eastAsiaTheme="minorEastAsia"/>
                <w:color w:themeColor="text1" w:val="000000"/>
                <w:szCs w:val="21"/>
              </w:rPr>
              <w:t>5.99</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180211</w:t>
            </w:r>
          </w:p>
        </w:tc>
        <w:tc>
          <w:tcPr>
            <w:vAlign w:val="center"/>
          </w:tcPr>
          <w:p>
            <w:pPr>
              <w:jc w:val="center"/>
            </w:pPr>
            <w:r>
              <w:rPr>
                <w:rFonts w:eastAsiaTheme="minorEastAsia"/>
                <w:color w:themeColor="text1" w:val="000000"/>
                <w:szCs w:val="21"/>
              </w:rPr>
              <w:t>18国开11</w:t>
            </w:r>
          </w:p>
        </w:tc>
        <w:tc>
          <w:tcPr>
            <w:vAlign w:val="center"/>
          </w:tcPr>
          <w:p>
            <w:pPr>
              <w:jc w:val="right"/>
            </w:pPr>
            <w:r>
              <w:rPr>
                <w:rFonts w:eastAsiaTheme="minorEastAsia"/>
                <w:color w:themeColor="text1" w:val="000000"/>
                <w:szCs w:val="21"/>
              </w:rPr>
              <w:t>100,000</w:t>
            </w:r>
          </w:p>
        </w:tc>
        <w:tc>
          <w:tcPr>
            <w:vAlign w:val="center"/>
          </w:tcPr>
          <w:p>
            <w:pPr>
              <w:jc w:val="right"/>
            </w:pPr>
            <w:r>
              <w:rPr>
                <w:rFonts w:eastAsiaTheme="minorEastAsia"/>
                <w:color w:themeColor="text1" w:val="000000"/>
                <w:szCs w:val="21"/>
              </w:rPr>
              <w:t>10,120,000.00</w:t>
            </w:r>
          </w:p>
        </w:tc>
        <w:tc>
          <w:tcPr>
            <w:vAlign w:val="center"/>
          </w:tcPr>
          <w:p>
            <w:pPr>
              <w:jc w:val="right"/>
            </w:pPr>
            <w:r>
              <w:rPr>
                <w:rFonts w:eastAsiaTheme="minorEastAsia"/>
                <w:color w:themeColor="text1" w:val="000000"/>
                <w:szCs w:val="21"/>
              </w:rPr>
              <w:t>4.28</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160210</w:t>
            </w:r>
          </w:p>
        </w:tc>
        <w:tc>
          <w:tcPr>
            <w:vAlign w:val="center"/>
          </w:tcPr>
          <w:p>
            <w:pPr>
              <w:jc w:val="center"/>
            </w:pPr>
            <w:r>
              <w:rPr>
                <w:rFonts w:eastAsiaTheme="minorEastAsia"/>
                <w:color w:themeColor="text1" w:val="000000"/>
                <w:szCs w:val="21"/>
              </w:rPr>
              <w:t>16国开10</w:t>
            </w:r>
          </w:p>
        </w:tc>
        <w:tc>
          <w:tcPr>
            <w:vAlign w:val="center"/>
          </w:tcPr>
          <w:p>
            <w:pPr>
              <w:jc w:val="right"/>
            </w:pPr>
            <w:r>
              <w:rPr>
                <w:rFonts w:eastAsiaTheme="minorEastAsia"/>
                <w:color w:themeColor="text1" w:val="000000"/>
                <w:szCs w:val="21"/>
              </w:rPr>
              <w:t>100,000</w:t>
            </w:r>
          </w:p>
        </w:tc>
        <w:tc>
          <w:tcPr>
            <w:vAlign w:val="center"/>
          </w:tcPr>
          <w:p>
            <w:pPr>
              <w:jc w:val="right"/>
            </w:pPr>
            <w:r>
              <w:rPr>
                <w:rFonts w:eastAsiaTheme="minorEastAsia"/>
                <w:color w:themeColor="text1" w:val="000000"/>
                <w:szCs w:val="21"/>
              </w:rPr>
              <w:t>9,658,000.00</w:t>
            </w:r>
          </w:p>
        </w:tc>
        <w:tc>
          <w:tcPr>
            <w:vAlign w:val="center"/>
          </w:tcPr>
          <w:p>
            <w:pPr>
              <w:jc w:val="right"/>
            </w:pPr>
            <w:r>
              <w:rPr>
                <w:rFonts w:eastAsiaTheme="minorEastAsia"/>
                <w:color w:themeColor="text1" w:val="000000"/>
                <w:szCs w:val="21"/>
              </w:rPr>
              <w:t>4.09</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113021</w:t>
            </w:r>
          </w:p>
        </w:tc>
        <w:tc>
          <w:tcPr>
            <w:vAlign w:val="center"/>
          </w:tcPr>
          <w:p>
            <w:pPr>
              <w:jc w:val="center"/>
            </w:pPr>
            <w:r>
              <w:rPr>
                <w:rFonts w:eastAsiaTheme="minorEastAsia"/>
                <w:color w:themeColor="text1" w:val="000000"/>
                <w:szCs w:val="21"/>
              </w:rPr>
              <w:t>中信转债</w:t>
            </w:r>
          </w:p>
        </w:tc>
        <w:tc>
          <w:tcPr>
            <w:vAlign w:val="center"/>
          </w:tcPr>
          <w:p>
            <w:pPr>
              <w:jc w:val="right"/>
            </w:pPr>
            <w:r>
              <w:rPr>
                <w:rFonts w:eastAsiaTheme="minorEastAsia"/>
                <w:color w:themeColor="text1" w:val="000000"/>
                <w:szCs w:val="21"/>
              </w:rPr>
              <w:t>67,960</w:t>
            </w:r>
          </w:p>
        </w:tc>
        <w:tc>
          <w:tcPr>
            <w:vAlign w:val="center"/>
          </w:tcPr>
          <w:p>
            <w:pPr>
              <w:jc w:val="right"/>
            </w:pPr>
            <w:r>
              <w:rPr>
                <w:rFonts w:eastAsiaTheme="minorEastAsia"/>
                <w:color w:themeColor="text1" w:val="000000"/>
                <w:szCs w:val="21"/>
              </w:rPr>
              <w:t>7,063,762.40</w:t>
            </w:r>
          </w:p>
        </w:tc>
        <w:tc>
          <w:tcPr>
            <w:vAlign w:val="center"/>
          </w:tcPr>
          <w:p>
            <w:pPr>
              <w:jc w:val="right"/>
            </w:pPr>
            <w:r>
              <w:rPr>
                <w:rFonts w:eastAsiaTheme="minorEastAsia"/>
                <w:color w:themeColor="text1" w:val="000000"/>
                <w:szCs w:val="21"/>
              </w:rPr>
              <w:t>2.99</w:t>
            </w:r>
          </w:p>
        </w:tc>
      </w:tr>
    </w:tbl>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　报告期末按公允价值占基金资产净值比例大小排序的前十名资产支持证券投资明细</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本基金本报告期末未持有资产支持证券。</w:t>
      </w:r>
    </w:p>
    <w:p>
      <w:pPr>
        <w:autoSpaceDE w:val="0"/>
        <w:autoSpaceDN w:val="0"/>
        <w:adjustRightInd w:val="0"/>
        <w:spacing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5.7 报告期末按公允价值占基金资产净值比例大小排序的前五名贵金属投资明细</w:t>
      </w:r>
    </w:p>
    <w:p>
      <w:pPr>
        <w:widowControl/>
        <w:spacing w:line="360" w:lineRule="auto"/>
        <w:ind w:firstLine="420" w:firstLineChars="200"/>
        <w:jc w:val="left"/>
        <w:rPr>
          <w:color w:themeColor="text1" w:val="000000"/>
          <w:szCs w:val="21"/>
        </w:rPr>
      </w:pPr>
      <w:r>
        <w:rPr>
          <w:color w:themeColor="text1" w:val="000000"/>
          <w:szCs w:val="21"/>
        </w:rPr>
        <w:t>本基金本报告期末未持有贵金属。</w:t>
      </w:r>
    </w:p>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5.8报告期末按公允价值占基金资产净值比例大小排序的前五名权证投资明细</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本基金本报告期末未持有权证。</w:t>
      </w:r>
    </w:p>
    <w:p>
      <w:pPr>
        <w:adjustRightInd w:val="0"/>
        <w:snapToGrid w:val="0"/>
        <w:spacing w:beforeLines="100" w:line="360" w:lineRule="auto"/>
        <w:rPr>
          <w:rFonts w:eastAsiaTheme="minorEastAsia"/>
          <w:b/>
          <w:color w:themeColor="text1" w:val="000000"/>
          <w:szCs w:val="21"/>
        </w:rPr>
      </w:pPr>
      <w:r>
        <w:rPr>
          <w:rFonts w:eastAsiaTheme="minorEastAsia"/>
          <w:b/>
          <w:color w:themeColor="text1" w:val="000000"/>
          <w:szCs w:val="21"/>
        </w:rPr>
        <w:t>5.9 报告期末本基金投资的股指期货交易情况说明</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本基金本报告期末未持有股指期货。</w:t>
      </w:r>
    </w:p>
    <w:p>
      <w:pPr>
        <w:adjustRightInd w:val="0"/>
        <w:snapToGrid w:val="0"/>
        <w:spacing w:beforeLines="100" w:line="360" w:lineRule="auto"/>
        <w:rPr>
          <w:rFonts w:eastAsiaTheme="minorEastAsia"/>
          <w:b/>
          <w:color w:themeColor="text1" w:val="000000"/>
          <w:szCs w:val="21"/>
        </w:rPr>
      </w:pPr>
      <w:r>
        <w:rPr>
          <w:rFonts w:eastAsiaTheme="minorEastAsia"/>
          <w:b/>
          <w:color w:themeColor="text1" w:val="000000"/>
          <w:szCs w:val="21"/>
        </w:rPr>
        <w:t>5.10报告期末本基金投资的国债期货交易情况说明</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本基金本报告期末未持有国债期货。</w:t>
      </w:r>
    </w:p>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5.11投资组合报告附注</w:t>
      </w:r>
    </w:p>
    <w:p>
      <w:pPr>
        <w:widowControl/>
        <w:spacing w:line="360" w:lineRule="auto"/>
        <w:rPr>
          <w:rFonts w:eastAsiaTheme="minorEastAsia"/>
          <w:color w:themeColor="text1" w:val="000000"/>
          <w:szCs w:val="21"/>
        </w:rPr>
      </w:pPr>
      <w:r>
        <w:rPr>
          <w:rFonts w:eastAsiaTheme="minorEastAsia"/>
          <w:color w:themeColor="text1" w:val="000000"/>
          <w:szCs w:val="21"/>
        </w:rPr>
        <w:t>5.11.1报告期内本基金投资的前十名证券的发行主体本期没有出现被监管部门立案调查，或在报告编制日前一年内受到公开谴责、处罚的情形。</w:t>
      </w:r>
    </w:p>
    <w:p>
      <w:pPr>
        <w:widowControl/>
        <w:spacing w:line="360" w:lineRule="auto"/>
        <w:rPr>
          <w:rFonts w:eastAsiaTheme="minorEastAsia"/>
          <w:color w:themeColor="text1" w:val="000000"/>
          <w:szCs w:val="21"/>
        </w:rPr>
      </w:pPr>
      <w:r>
        <w:rPr>
          <w:rFonts w:eastAsiaTheme="minorEastAsia"/>
          <w:color w:themeColor="text1" w:val="000000"/>
          <w:szCs w:val="21"/>
        </w:rPr>
        <w:t>5.11.2报告期内本基金投资的前十名股票中没有在基金合同规定备选股票库之外的股票。</w:t>
      </w:r>
    </w:p>
    <w:p>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5.11.3</w:t>
      </w:r>
      <w:r>
        <w:rPr>
          <w:rFonts w:eastAsiaTheme="minorEastAsia" w:hint="eastAsia"/>
          <w:b/>
          <w:color w:themeColor="text1" w:val="000000"/>
          <w:kern w:val="0"/>
          <w:szCs w:val="21"/>
        </w:rPr>
        <w:t>其他资产构成</w:t>
      </w:r>
    </w:p>
    <w:tbl>
      <w:tblPr>
        <w:tblStyle w:val="29"/>
        <w:tblW w:type="dxa" w:w="8679"/>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110"/>
        <w:gridCol w:w="2761"/>
        <w:gridCol w:w="4808"/>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1110"/>
            <w:vAlign w:val="center"/>
          </w:tcPr>
          <w:p>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110"/>
            <w:vAlign w:val="center"/>
          </w:tcPr>
          <w:p>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91,222.80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110"/>
            <w:vAlign w:val="center"/>
          </w:tcPr>
          <w:p>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110"/>
            <w:vAlign w:val="center"/>
          </w:tcPr>
          <w:p>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110"/>
            <w:vAlign w:val="center"/>
          </w:tcPr>
          <w:p>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1,432,828.62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1110"/>
            <w:vAlign w:val="center"/>
          </w:tcPr>
          <w:p>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1110"/>
            <w:vAlign w:val="center"/>
          </w:tcPr>
          <w:p>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1110"/>
            <w:vAlign w:val="center"/>
          </w:tcPr>
          <w:p>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1110"/>
            <w:vAlign w:val="center"/>
          </w:tcPr>
          <w:p>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1110"/>
            <w:vAlign w:val="center"/>
          </w:tcPr>
          <w:p>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1,524,051.42</w:t>
            </w:r>
          </w:p>
        </w:tc>
      </w:tr>
    </w:tbl>
    <w:p>
      <w:pPr>
        <w:autoSpaceDE w:val="0"/>
        <w:autoSpaceDN w:val="0"/>
        <w:adjustRightInd w:val="0"/>
        <w:spacing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5.11.4报告期末持有的处于转股期的可转换债券明细</w:t>
      </w:r>
    </w:p>
    <w:tbl>
      <w:tblPr>
        <w:tblStyle w:val="29"/>
        <w:tblW w:type="dxa" w:w="89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181"/>
        <w:gridCol w:w="2497"/>
        <w:gridCol w:w="1746"/>
        <w:gridCol w:w="1825"/>
        <w:gridCol w:w="1679"/>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181"/>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2497"/>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债券代码</w:t>
            </w:r>
          </w:p>
        </w:tc>
        <w:tc>
          <w:tcPr>
            <w:tcW w:type="dxa" w:w="1746"/>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债券名称</w:t>
            </w:r>
          </w:p>
        </w:tc>
        <w:tc>
          <w:tcPr>
            <w:tcW w:type="dxa" w:w="1825"/>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公允价值(元)</w:t>
            </w:r>
          </w:p>
        </w:tc>
        <w:tc>
          <w:tcPr>
            <w:tcW w:type="dxa" w:w="1679"/>
            <w:vAlign w:val="center"/>
          </w:tcPr>
          <w:p>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132013</w:t>
            </w:r>
          </w:p>
        </w:tc>
        <w:tc>
          <w:tcPr>
            <w:vAlign w:val="center"/>
          </w:tcPr>
          <w:p>
            <w:pPr>
              <w:jc w:val="center"/>
            </w:pPr>
            <w:r>
              <w:rPr>
                <w:rFonts w:eastAsiaTheme="minorEastAsia"/>
                <w:color w:themeColor="text1" w:val="000000"/>
                <w:szCs w:val="21"/>
              </w:rPr>
              <w:t>17宝武EB</w:t>
            </w:r>
          </w:p>
        </w:tc>
        <w:tc>
          <w:tcPr>
            <w:vAlign w:val="center"/>
          </w:tcPr>
          <w:p>
            <w:pPr>
              <w:jc w:val="right"/>
            </w:pPr>
            <w:r>
              <w:rPr>
                <w:rFonts w:eastAsiaTheme="minorEastAsia"/>
                <w:color w:themeColor="text1" w:val="000000"/>
                <w:szCs w:val="21"/>
              </w:rPr>
              <w:t>14,147,506.40</w:t>
            </w:r>
          </w:p>
        </w:tc>
        <w:tc>
          <w:tcPr>
            <w:vAlign w:val="center"/>
          </w:tcPr>
          <w:p>
            <w:pPr>
              <w:jc w:val="right"/>
            </w:pPr>
            <w:r>
              <w:rPr>
                <w:rFonts w:eastAsiaTheme="minorEastAsia"/>
                <w:color w:themeColor="text1" w:val="000000"/>
                <w:szCs w:val="21"/>
              </w:rPr>
              <w:t>5.99</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128029</w:t>
            </w:r>
          </w:p>
        </w:tc>
        <w:tc>
          <w:tcPr>
            <w:vAlign w:val="center"/>
          </w:tcPr>
          <w:p>
            <w:pPr>
              <w:jc w:val="center"/>
            </w:pPr>
            <w:r>
              <w:rPr>
                <w:rFonts w:eastAsiaTheme="minorEastAsia"/>
                <w:color w:themeColor="text1" w:val="000000"/>
                <w:szCs w:val="21"/>
              </w:rPr>
              <w:t>太阳转债</w:t>
            </w:r>
          </w:p>
        </w:tc>
        <w:tc>
          <w:tcPr>
            <w:vAlign w:val="center"/>
          </w:tcPr>
          <w:p>
            <w:pPr>
              <w:jc w:val="right"/>
            </w:pPr>
            <w:r>
              <w:rPr>
                <w:rFonts w:eastAsiaTheme="minorEastAsia"/>
                <w:color w:themeColor="text1" w:val="000000"/>
                <w:szCs w:val="21"/>
              </w:rPr>
              <w:t>3,825,203.20</w:t>
            </w:r>
          </w:p>
        </w:tc>
        <w:tc>
          <w:tcPr>
            <w:vAlign w:val="center"/>
          </w:tcPr>
          <w:p>
            <w:pPr>
              <w:jc w:val="right"/>
            </w:pPr>
            <w:r>
              <w:rPr>
                <w:rFonts w:eastAsiaTheme="minorEastAsia"/>
                <w:color w:themeColor="text1" w:val="000000"/>
                <w:szCs w:val="21"/>
              </w:rPr>
              <w:t>1.62</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128020</w:t>
            </w:r>
          </w:p>
        </w:tc>
        <w:tc>
          <w:tcPr>
            <w:vAlign w:val="center"/>
          </w:tcPr>
          <w:p>
            <w:pPr>
              <w:jc w:val="center"/>
            </w:pPr>
            <w:r>
              <w:rPr>
                <w:rFonts w:eastAsiaTheme="minorEastAsia"/>
                <w:color w:themeColor="text1" w:val="000000"/>
                <w:szCs w:val="21"/>
              </w:rPr>
              <w:t>水晶转债</w:t>
            </w:r>
          </w:p>
        </w:tc>
        <w:tc>
          <w:tcPr>
            <w:vAlign w:val="center"/>
          </w:tcPr>
          <w:p>
            <w:pPr>
              <w:jc w:val="right"/>
            </w:pPr>
            <w:r>
              <w:rPr>
                <w:rFonts w:eastAsiaTheme="minorEastAsia"/>
                <w:color w:themeColor="text1" w:val="000000"/>
                <w:szCs w:val="21"/>
              </w:rPr>
              <w:t>1,260,959.10</w:t>
            </w:r>
          </w:p>
        </w:tc>
        <w:tc>
          <w:tcPr>
            <w:vAlign w:val="center"/>
          </w:tcPr>
          <w:p>
            <w:pPr>
              <w:jc w:val="right"/>
            </w:pPr>
            <w:r>
              <w:rPr>
                <w:rFonts w:eastAsiaTheme="minorEastAsia"/>
                <w:color w:themeColor="text1" w:val="000000"/>
                <w:szCs w:val="21"/>
              </w:rPr>
              <w:t>0.53</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123016</w:t>
            </w:r>
          </w:p>
        </w:tc>
        <w:tc>
          <w:tcPr>
            <w:vAlign w:val="center"/>
          </w:tcPr>
          <w:p>
            <w:pPr>
              <w:jc w:val="center"/>
            </w:pPr>
            <w:r>
              <w:rPr>
                <w:rFonts w:eastAsiaTheme="minorEastAsia"/>
                <w:color w:themeColor="text1" w:val="000000"/>
                <w:szCs w:val="21"/>
              </w:rPr>
              <w:t>洲明转债</w:t>
            </w:r>
          </w:p>
        </w:tc>
        <w:tc>
          <w:tcPr>
            <w:vAlign w:val="center"/>
          </w:tcPr>
          <w:p>
            <w:pPr>
              <w:jc w:val="right"/>
            </w:pPr>
            <w:r>
              <w:rPr>
                <w:rFonts w:eastAsiaTheme="minorEastAsia"/>
                <w:color w:themeColor="text1" w:val="000000"/>
                <w:szCs w:val="21"/>
              </w:rPr>
              <w:t>1,107,540.00</w:t>
            </w:r>
          </w:p>
        </w:tc>
        <w:tc>
          <w:tcPr>
            <w:vAlign w:val="center"/>
          </w:tcPr>
          <w:p>
            <w:pPr>
              <w:jc w:val="right"/>
            </w:pPr>
            <w:r>
              <w:rPr>
                <w:rFonts w:eastAsiaTheme="minorEastAsia"/>
                <w:color w:themeColor="text1" w:val="000000"/>
                <w:szCs w:val="21"/>
              </w:rPr>
              <w:t>0.47</w:t>
            </w:r>
          </w:p>
        </w:tc>
      </w:tr>
    </w:tbl>
    <w:p>
      <w:pPr>
        <w:autoSpaceDE w:val="0"/>
        <w:autoSpaceDN w:val="0"/>
        <w:adjustRightInd w:val="0"/>
        <w:spacing w:beforeLines="100" w:line="360" w:lineRule="auto"/>
        <w:jc w:val="left"/>
        <w:rPr>
          <w:rFonts w:eastAsiaTheme="minorEastAsia"/>
          <w:b/>
          <w:bCs/>
          <w:color w:themeColor="text1" w:val="000000"/>
          <w:szCs w:val="21"/>
        </w:rPr>
      </w:pPr>
      <w:r>
        <w:rPr>
          <w:rFonts w:eastAsiaTheme="minorEastAsia"/>
          <w:b/>
          <w:color w:themeColor="text1" w:val="000000"/>
          <w:kern w:val="0"/>
          <w:szCs w:val="21"/>
        </w:rPr>
        <w:t>5.11.5</w:t>
      </w:r>
      <w:r>
        <w:rPr>
          <w:rFonts w:eastAsiaTheme="minorEastAsia"/>
          <w:b/>
          <w:bCs/>
          <w:color w:themeColor="text1" w:val="000000"/>
          <w:szCs w:val="21"/>
        </w:rPr>
        <w:t>报告期末前十名股票中存在流通受限情况的说明</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本基金本报告期末前十名股票中不存在流通受限情况。</w:t>
      </w:r>
    </w:p>
    <w:p>
      <w:pPr>
        <w:spacing w:beforeLines="100" w:line="360" w:lineRule="auto"/>
        <w:rPr>
          <w:rFonts w:eastAsiaTheme="minorEastAsia"/>
          <w:b/>
          <w:color w:themeColor="text1" w:val="000000"/>
          <w:kern w:val="0"/>
          <w:szCs w:val="21"/>
        </w:rPr>
      </w:pPr>
      <w:r>
        <w:rPr>
          <w:rFonts w:eastAsiaTheme="minorEastAsia"/>
          <w:b/>
          <w:color w:themeColor="text1" w:val="000000"/>
          <w:kern w:val="0"/>
          <w:szCs w:val="21"/>
        </w:rPr>
        <w:t>5.11.6投资组合报告附注的其他文字描述部分</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因四舍五入原因,投资组合报告中分项之和与合计可能存在尾差。</w:t>
      </w:r>
    </w:p>
    <w:p>
      <w:pPr>
        <w:pStyle w:val="2"/>
        <w:spacing w:afterLines="100"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§6  开放式基金份额变动</w:t>
      </w:r>
    </w:p>
    <w:p>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Style w:val="28"/>
        <w:tblW w:type="dxa" w:w="8634"/>
        <w:tblInd w:type="dxa" w:w="108"/>
        <w:tblLayout w:type="fixed"/>
        <w:tblCellMar>
          <w:top w:type="dxa" w:w="0"/>
          <w:left w:type="dxa" w:w="108"/>
          <w:bottom w:type="dxa" w:w="0"/>
          <w:right w:type="dxa" w:w="108"/>
        </w:tblCellMar>
      </w:tblPr>
      <w:tblGrid>
        <w:gridCol w:w="3900"/>
        <w:gridCol w:w="2367"/>
        <w:gridCol w:w="2367"/>
      </w:tblGrid>
      <w:tr>
        <w:tblPrEx>
          <w:tblLayout w:type="fixed"/>
          <w:tblCellMar>
            <w:top w:type="dxa" w:w="0"/>
            <w:left w:type="dxa" w:w="108"/>
            <w:bottom w:type="dxa" w:w="0"/>
            <w:right w:type="dxa" w:w="108"/>
          </w:tblCellMar>
        </w:tblPrEx>
        <w:tc>
          <w:tcPr>
            <w:tcW w:type="dxa" w:w="3900"/>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上投摩根安隆回报混合A</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上投摩根安隆回报混合C</w:t>
            </w:r>
          </w:p>
        </w:tc>
      </w:tr>
      <w:tr>
        <w:tblPrEx>
          <w:tblLayout w:type="fixed"/>
          <w:tblCellMar>
            <w:top w:type="dxa" w:w="0"/>
            <w:left w:type="dxa" w:w="108"/>
            <w:bottom w:type="dxa" w:w="0"/>
            <w:right w:type="dxa" w:w="108"/>
          </w:tblCellMar>
        </w:tblPrEx>
        <w:tc>
          <w:tcPr>
            <w:tcW w:type="dxa" w:w="3900"/>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109,106,406.03</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475,272.42</w:t>
            </w:r>
          </w:p>
        </w:tc>
      </w:tr>
      <w:tr>
        <w:tblPrEx>
          <w:tblLayout w:type="fixed"/>
          <w:tblCellMar>
            <w:top w:type="dxa" w:w="0"/>
            <w:left w:type="dxa" w:w="108"/>
            <w:bottom w:type="dxa" w:w="0"/>
            <w:right w:type="dxa" w:w="108"/>
          </w:tblCellMar>
        </w:tblPrEx>
        <w:tc>
          <w:tcPr>
            <w:tcW w:type="dxa" w:w="3900"/>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r>
              <w:rPr>
                <w:rFonts w:eastAsiaTheme="minorEastAsia"/>
                <w:color w:themeColor="text1" w:val="000000"/>
                <w:kern w:val="0"/>
                <w:szCs w:val="21"/>
              </w:rPr>
              <w:t>报告期基金总申购份额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140,098,436.05</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521,480.27</w:t>
            </w:r>
          </w:p>
        </w:tc>
      </w:tr>
      <w:tr>
        <w:tblPrEx>
          <w:tblLayout w:type="fixed"/>
          <w:tblCellMar>
            <w:top w:type="dxa" w:w="0"/>
            <w:left w:type="dxa" w:w="108"/>
            <w:bottom w:type="dxa" w:w="0"/>
            <w:right w:type="dxa" w:w="108"/>
          </w:tblCellMar>
        </w:tblPrEx>
        <w:tc>
          <w:tcPr>
            <w:tcW w:type="dxa" w:w="3900"/>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hint="eastAsia"/>
                <w:color w:themeColor="text1" w:val="000000"/>
                <w:kern w:val="0"/>
                <w:szCs w:val="21"/>
              </w:rPr>
              <w:t/>
            </w:r>
            <w:r>
              <w:rPr>
                <w:rFonts w:eastAsiaTheme="minorEastAsia" w:hint="eastAsia"/>
                <w:color w:themeColor="text1" w:val="000000"/>
                <w:szCs w:val="21"/>
              </w:rPr>
              <w:t/>
            </w:r>
            <w:r>
              <w:rPr>
                <w:rFonts w:eastAsiaTheme="minorEastAsia"/>
                <w:color w:themeColor="text1" w:val="000000"/>
                <w:kern w:val="0"/>
                <w:szCs w:val="21"/>
              </w:rPr>
              <w:t>报告期基金总赎回份额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25,473,551.17</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103,440.65</w:t>
            </w:r>
          </w:p>
        </w:tc>
      </w:tr>
      <w:tr>
        <w:tblPrEx>
          <w:tblLayout w:type="fixed"/>
          <w:tblCellMar>
            <w:top w:type="dxa" w:w="0"/>
            <w:left w:type="dxa" w:w="108"/>
            <w:bottom w:type="dxa" w:w="0"/>
            <w:right w:type="dxa" w:w="108"/>
          </w:tblCellMar>
        </w:tblPrEx>
        <w:tc>
          <w:tcPr>
            <w:tcW w:type="dxa" w:w="3900"/>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r>
              <w:rPr>
                <w:rFonts w:eastAsiaTheme="minorEastAsia"/>
                <w:color w:themeColor="text1" w:val="000000"/>
                <w:kern w:val="0"/>
                <w:szCs w:val="21"/>
              </w:rPr>
              <w:t>报告期基金拆分变动份额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tblPrEx>
          <w:tblLayout w:type="fixed"/>
          <w:tblCellMar>
            <w:top w:type="dxa" w:w="0"/>
            <w:left w:type="dxa" w:w="108"/>
            <w:bottom w:type="dxa" w:w="0"/>
            <w:right w:type="dxa" w:w="108"/>
          </w:tblCellMar>
        </w:tblPrEx>
        <w:tc>
          <w:tcPr>
            <w:tcW w:type="dxa" w:w="3900"/>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223,731,290.91</w:t>
            </w:r>
          </w:p>
        </w:tc>
        <w:tc>
          <w:tcPr>
            <w:tcW w:type="dxa" w:w="2367"/>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893,312.04</w:t>
            </w:r>
          </w:p>
        </w:tc>
      </w:tr>
    </w:tbl>
    <w:p>
      <w:pPr>
        <w:pStyle w:val="2"/>
        <w:tabs>
          <w:tab w:pos="4156" w:val="center"/>
          <w:tab w:pos="8312" w:val="right"/>
        </w:tabs>
        <w:spacing w:afterLines="100" w:beforeLines="100" w:line="360" w:lineRule="auto"/>
        <w:jc w:val="center"/>
        <w:rPr>
          <w:color w:themeColor="text1" w:val="000000"/>
          <w:sz w:val="21"/>
          <w:szCs w:val="21"/>
        </w:rPr>
      </w:pPr>
      <w:r>
        <w:rPr>
          <w:rFonts w:eastAsiaTheme="minorEastAsia"/>
          <w:color w:themeColor="text1" w:val="000000"/>
          <w:kern w:val="0"/>
          <w:sz w:val="21"/>
          <w:szCs w:val="21"/>
        </w:rPr>
        <w:t>§7</w:t>
      </w:r>
      <w:r>
        <w:rPr>
          <w:rFonts w:hint="eastAsia"/>
          <w:color w:val="000000"/>
          <w:sz w:val="21"/>
          <w:szCs w:val="21"/>
          <w:shd w:color="auto" w:fill="FFFFFF" w:val="clear"/>
        </w:rPr>
        <w:t>基金管理人运用固有资金投资本基金情况</w:t>
      </w:r>
    </w:p>
    <w:p>
      <w:pPr>
        <w:spacing w:line="360" w:lineRule="auto"/>
        <w:jc w:val="left"/>
        <w:rPr>
          <w:color w:themeColor="text1" w:val="000000"/>
          <w:szCs w:val="21"/>
        </w:rPr>
      </w:pPr>
      <w:r>
        <w:rPr>
          <w:b/>
          <w:color w:themeColor="text1" w:val="000000"/>
          <w:szCs w:val="21"/>
        </w:rPr>
        <w:t>7.1</w:t>
      </w:r>
      <w:r>
        <w:rPr>
          <w:rFonts w:eastAsiaTheme="minorEastAsia" w:hint="eastAsia"/>
          <w:b/>
          <w:bCs/>
          <w:color w:themeColor="text1" w:val="000000"/>
          <w:kern w:val="44"/>
          <w:szCs w:val="21"/>
        </w:rPr>
        <w:t>基金管理人持有本基金份额变动情况</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无。</w:t>
      </w:r>
    </w:p>
    <w:p>
      <w:pPr>
        <w:pStyle w:val="2"/>
        <w:spacing w:afterLines="100"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§8 影响投资者决策的其他重要信息</w:t>
      </w:r>
    </w:p>
    <w:p>
      <w:pPr>
        <w:autoSpaceDE w:val="0"/>
        <w:autoSpaceDN w:val="0"/>
        <w:adjustRightInd w:val="0"/>
        <w:spacing w:line="360" w:lineRule="auto"/>
        <w:jc w:val="left"/>
        <w:rPr>
          <w:rFonts w:ascii="宋体" w:hAnsi="宋体"/>
          <w:b/>
          <w:bCs/>
          <w:color w:val="000000"/>
          <w:kern w:val="0"/>
          <w:szCs w:val="21"/>
        </w:rPr>
      </w:pPr>
      <w:r>
        <w:rPr>
          <w:rFonts w:ascii="宋体" w:hAnsi="宋体"/>
          <w:b/>
          <w:color w:val="000000"/>
          <w:kern w:val="0"/>
          <w:szCs w:val="21"/>
        </w:rPr>
        <w:t/>
      </w: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Style w:val="28"/>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993"/>
        <w:gridCol w:w="992"/>
        <w:gridCol w:w="1843"/>
        <w:gridCol w:w="851"/>
        <w:gridCol w:w="850"/>
        <w:gridCol w:w="1134"/>
        <w:gridCol w:w="1419"/>
        <w:gridCol w:w="113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993"/>
            <w:vMerge w:val="restart"/>
            <w:vAlign w:val="center"/>
          </w:tcPr>
          <w:p>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type="dxa" w:w="5670"/>
            <w:gridSpan w:val="5"/>
            <w:vAlign w:val="center"/>
          </w:tcPr>
          <w:p>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vAlign w:val="center"/>
          </w:tcPr>
          <w:p>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993"/>
            <w:vMerge w:val="continue"/>
            <w:vAlign w:val="center"/>
          </w:tcPr>
          <w:p>
            <w:pPr>
              <w:autoSpaceDE w:val="0"/>
              <w:autoSpaceDN w:val="0"/>
              <w:adjustRightInd w:val="0"/>
              <w:jc w:val="center"/>
              <w:rPr>
                <w:rFonts w:ascii="宋体" w:hAnsi="宋体"/>
                <w:b/>
                <w:bCs/>
                <w:color w:val="000000"/>
                <w:kern w:val="0"/>
                <w:szCs w:val="21"/>
              </w:rPr>
            </w:pPr>
          </w:p>
        </w:tc>
        <w:tc>
          <w:tcPr>
            <w:tcW w:type="dxa" w:w="992"/>
            <w:vAlign w:val="center"/>
          </w:tcPr>
          <w:p>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vAlign w:val="center"/>
          </w:tcPr>
          <w:p>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vAlign w:val="center"/>
          </w:tcPr>
          <w:p>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vAlign w:val="center"/>
          </w:tcPr>
          <w:p>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vAlign w:val="center"/>
          </w:tcPr>
          <w:p>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vAlign w:val="center"/>
          </w:tcPr>
          <w:p>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vAlign w:val="center"/>
          </w:tcPr>
          <w:p>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color w:val="000000"/>
                <w:kern w:val="0"/>
                <w:szCs w:val="21"/>
              </w:rPr>
              <w:t>1</w:t>
            </w:r>
          </w:p>
        </w:tc>
        <w:tc>
          <w:tcPr>
            <w:vAlign w:val="center"/>
          </w:tcPr>
          <w:p>
            <w:pPr>
              <w:jc w:val="center"/>
            </w:pPr>
            <w:r>
              <w:rPr>
                <w:rFonts w:ascii="宋体" w:hAnsi="宋体"/>
                <w:color w:val="000000"/>
                <w:kern w:val="0"/>
                <w:szCs w:val="21"/>
              </w:rPr>
              <w:t>20190520-20190630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47,864,254.26</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47,864,254.26</w:t>
            </w:r>
          </w:p>
        </w:tc>
        <w:tc>
          <w:tcPr>
            <w:vAlign w:val="center"/>
          </w:tcPr>
          <w:p>
            <w:pPr>
              <w:jc w:val="center"/>
            </w:pPr>
            <w:r>
              <w:rPr>
                <w:rFonts w:ascii="宋体" w:hAnsi="宋体"/>
                <w:color w:val="000000"/>
                <w:kern w:val="0"/>
                <w:szCs w:val="21"/>
              </w:rPr>
              <w:t>21.31%</w:t>
            </w:r>
          </w:p>
        </w:tc>
      </w:tr>
      <w:tr>
        <w:tc>
          <w:tcPr>
            <w:vMerge/>
          </w:tcPr>
          <w:p/>
        </w:tc>
        <w:tc>
          <w:tcPr>
            <w:vAlign w:val="center"/>
          </w:tcPr>
          <w:p>
            <w:pPr>
              <w:jc w:val="center"/>
            </w:pPr>
            <w:r>
              <w:rPr>
                <w:rFonts w:ascii="宋体" w:hAnsi="宋体"/>
                <w:color w:val="000000"/>
                <w:kern w:val="0"/>
                <w:szCs w:val="21"/>
              </w:rPr>
              <w:t>2</w:t>
            </w:r>
          </w:p>
        </w:tc>
        <w:tc>
          <w:tcPr>
            <w:vAlign w:val="center"/>
          </w:tcPr>
          <w:p>
            <w:pPr>
              <w:jc w:val="center"/>
            </w:pPr>
            <w:r>
              <w:rPr>
                <w:rFonts w:ascii="宋体" w:hAnsi="宋体"/>
                <w:color w:val="000000"/>
                <w:kern w:val="0"/>
                <w:szCs w:val="21"/>
              </w:rPr>
              <w:t>20190627-20190630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47,595,430.75</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47,595,430.75</w:t>
            </w:r>
          </w:p>
        </w:tc>
        <w:tc>
          <w:tcPr>
            <w:vAlign w:val="center"/>
          </w:tcPr>
          <w:p>
            <w:pPr>
              <w:jc w:val="center"/>
            </w:pPr>
            <w:r>
              <w:rPr>
                <w:rFonts w:ascii="宋体" w:hAnsi="宋体"/>
                <w:color w:val="000000"/>
                <w:kern w:val="0"/>
                <w:szCs w:val="21"/>
              </w:rPr>
              <w:t>21.19%</w:t>
            </w:r>
          </w:p>
        </w:tc>
      </w:tr>
    </w:tbl>
    <w:tbl>
      <w:tblPr>
        <w:tblStyle w:val="28"/>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9212"/>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9212"/>
            <w:vAlign w:val="center"/>
          </w:tcPr>
          <w:p>
            <w:pPr>
              <w:autoSpaceDE w:val="0"/>
              <w:autoSpaceDN w:val="0"/>
              <w:adjustRightInd w:val="0"/>
              <w:jc w:val="center"/>
              <w:rPr>
                <w:rFonts w:ascii="宋体" w:hAnsi="宋体"/>
                <w:kern w:val="0"/>
                <w:szCs w:val="21"/>
              </w:rPr>
            </w:pPr>
            <w:r>
              <w:rPr>
                <w:rFonts w:ascii="宋体" w:hAnsi="宋体"/>
                <w:color w:val="000000"/>
                <w:kern w:val="0"/>
                <w:szCs w:val="21"/>
              </w:rPr>
              <w:t>产品特有风险</w:t>
            </w:r>
            <w:r>
              <w:rPr>
                <w:rFonts w:ascii="宋体" w:hAnsi="宋体"/>
                <w:kern w:val="0"/>
                <w:szCs w:val="21"/>
              </w:rPr>
              <w:t/>
            </w:r>
            <w:r>
              <w:rPr>
                <w:rFonts w:ascii="宋体" w:hAnsi="宋体" w:hint="eastAsia"/>
                <w:kern w:val="0"/>
                <w:szCs w:val="21"/>
              </w:rPr>
              <w:t/>
            </w:r>
            <w:r>
              <w:rPr>
                <w:rFonts w:ascii="宋体" w:hAnsi="宋体"/>
                <w:kern w:val="0"/>
                <w:szCs w:val="21"/>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9212"/>
            <w:vAlign w:val="center"/>
          </w:tcPr>
          <w:p>
            <w:pPr>
              <w:autoSpaceDE w:val="0"/>
              <w:autoSpaceDN w:val="0"/>
              <w:adjustRightInd w:val="0"/>
              <w:jc w:val="left"/>
              <w:rPr>
                <w:rFonts w:ascii="宋体" w:hAnsi="宋体"/>
                <w:kern w:val="0"/>
                <w:szCs w:val="21"/>
              </w:rPr>
            </w:pPr>
            <w:r>
              <w:rPr>
                <w:rFonts w:ascii="宋体" w:hAnsi="宋体" w:hint="eastAsia"/>
                <w:kern w:val="0"/>
                <w:szCs w:val="21"/>
              </w:rPr>
              <w:t/>
            </w:r>
            <w:r>
              <w:rPr>
                <w:rFonts w:ascii="宋体" w:hAnsi="宋体"/>
                <w:kern w:val="0"/>
                <w:szCs w:val="21"/>
              </w:rPr>
              <w:t/>
            </w: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r>
              <w:rPr>
                <w:rFonts w:ascii="宋体" w:hAnsi="宋体"/>
                <w:kern w:val="0"/>
                <w:szCs w:val="21"/>
              </w:rPr>
              <w:t/>
            </w:r>
          </w:p>
        </w:tc>
      </w:tr>
    </w:tbl>
    <w:p>
      <w:pPr>
        <w:pStyle w:val="2"/>
        <w:spacing w:afterLines="100"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§9 备查文件目录</w:t>
      </w:r>
    </w:p>
    <w:p>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9.1备查文件目录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1. 中国证监会批准上投摩根安隆回报混合型证券投资基金设立的文件；</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 《上投摩根安隆回报混合型证券投资基金基金合同》；</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3. 《上投摩根安隆回报混合型证券投资基金托管协议》；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4. 《上投摩根开放式基金业务规则》；</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5. 基金管理人业务资格批件、营业执照；</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6. 基金托管人业务资格批件和营业执照。</w:t>
      </w:r>
    </w:p>
    <w:p>
      <w:pPr>
        <w:autoSpaceDE w:val="0"/>
        <w:autoSpaceDN w:val="0"/>
        <w:adjustRightInd w:val="0"/>
        <w:spacing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9.2存放地点</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基金管理人或基金托管人住所。</w:t>
      </w:r>
    </w:p>
    <w:p>
      <w:pPr>
        <w:autoSpaceDE w:val="0"/>
        <w:autoSpaceDN w:val="0"/>
        <w:adjustRightInd w:val="0"/>
        <w:spacing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9.3查阅方式</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投资者可在营业时间免费查阅，也可按工本费购买复印件。</w:t>
      </w:r>
    </w:p>
    <w:p>
      <w:pPr>
        <w:spacing w:line="360" w:lineRule="auto"/>
        <w:ind w:left="840"/>
        <w:jc w:val="right"/>
        <w:rPr>
          <w:rFonts w:eastAsiaTheme="minorEastAsia"/>
          <w:color w:themeColor="text1" w:val="000000"/>
          <w:szCs w:val="21"/>
        </w:rPr>
      </w:pPr>
    </w:p>
    <w:p>
      <w:pPr>
        <w:spacing w:line="360" w:lineRule="auto"/>
        <w:ind w:left="840"/>
        <w:jc w:val="center"/>
        <w:rPr>
          <w:rFonts w:eastAsiaTheme="minorEastAsia"/>
          <w:b/>
          <w:color w:themeColor="text1" w:val="000000"/>
          <w:szCs w:val="21"/>
        </w:rPr>
      </w:pPr>
    </w:p>
    <w:p>
      <w:pPr>
        <w:spacing w:line="360" w:lineRule="auto"/>
        <w:jc w:val="right"/>
        <w:rPr>
          <w:rFonts w:eastAsiaTheme="minorEastAsia"/>
          <w:b/>
          <w:bCs/>
          <w:color w:themeColor="text1" w:val="000000"/>
          <w:szCs w:val="21"/>
        </w:rPr>
      </w:pPr>
      <w:r>
        <w:rPr>
          <w:rFonts w:eastAsiaTheme="minorEastAsia"/>
          <w:b/>
          <w:bCs/>
          <w:color w:themeColor="text1" w:val="000000"/>
          <w:szCs w:val="21"/>
        </w:rPr>
        <w:t>上投摩根基金管理有限公司</w:t>
      </w:r>
    </w:p>
    <w:p>
      <w:pPr>
        <w:spacing w:line="360" w:lineRule="auto"/>
        <w:jc w:val="right"/>
        <w:rPr>
          <w:rFonts w:eastAsiaTheme="minorEastAsia"/>
          <w:b/>
          <w:bCs/>
          <w:color w:themeColor="text1" w:val="000000"/>
          <w:szCs w:val="21"/>
        </w:rPr>
      </w:pPr>
      <w:r>
        <w:rPr>
          <w:rFonts w:eastAsiaTheme="minorEastAsia"/>
          <w:b/>
          <w:bCs/>
          <w:color w:themeColor="text1" w:val="000000"/>
          <w:szCs w:val="21"/>
        </w:rPr>
        <w:t>二〇一九年七月十六日</w:t>
      </w:r>
    </w:p>
    <w:sectPr>
      <w:footerReference r:id="rId5" w:type="default"/>
      <w:footerReference r:id="rId6" w:type="even"/>
      <w:pgSz w:h="16838" w:w="11906"/>
      <w:pgMar w:bottom="1440" w:footer="992" w:gutter="0" w:header="851" w:left="1800" w:right="1286"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4"/>
      </w:rPr>
    </w:pPr>
    <w:r>
      <w:rPr>
        <w:rStyle w:val="24"/>
      </w:rPr>
      <w:fldChar w:fldCharType="begin"/>
    </w:r>
    <w:r>
      <w:rPr>
        <w:rStyle w:val="24"/>
      </w:rPr>
      <w:instrText xml:space="preserve">PAGE  </w:instrText>
    </w:r>
    <w:r>
      <w:rPr>
        <w:rStyle w:val="24"/>
      </w:rPr>
      <w:fldChar w:fldCharType="separate"/>
    </w:r>
    <w:r>
      <w:rPr>
        <w:rStyle w:val="24"/>
      </w:rPr>
      <w:t>26</w:t>
    </w:r>
    <w:r>
      <w:rPr>
        <w:rStyle w:val="24"/>
      </w:rPr>
      <w:fldChar w:fldCharType="end"/>
    </w:r>
  </w:p>
  <w:p>
    <w:pPr>
      <w:pStyle w:val="15"/>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4"/>
      </w:rPr>
    </w:pPr>
    <w:r>
      <w:rPr>
        <w:rStyle w:val="24"/>
      </w:rPr>
      <w:fldChar w:fldCharType="begin"/>
    </w:r>
    <w:r>
      <w:rPr>
        <w:rStyle w:val="24"/>
      </w:rPr>
      <w:instrText xml:space="preserve">PAGE  </w:instrText>
    </w:r>
    <w:r>
      <w:rPr>
        <w:rStyle w:val="24"/>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t>上投摩根安隆回报混合型证券投资基金2019年第2季度报告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doNotDisplayPageBoundaries w:val="1"/>
  <w:printPostScriptOverText/>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imes New Roman" w:cs="Times New Roman" w:eastAsia="宋体" w:hAnsi="Times New Roman"/>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semiHidden="0" w:uiPriority="0" w:unhideWhenUsed="0"/>
    <w:lsdException w:name="heading 3" w:qFormat="1" w:semiHidden="0" w:uiPriority="9"/>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index 1" w:qFormat="1"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qFormat="1" w:semiHidden="0" w:uiPriority="99" w:unhideWhenUsed="0"/>
    <w:lsdException w:name="footnote text" w:qFormat="1" w:semiHidden="0" w:uiPriority="0" w:unhideWhenUsed="0"/>
    <w:lsdException w:name="annotation text" w:qFormat="1" w:uiPriority="0" w:unhideWhenUsed="0"/>
    <w:lsdException w:name="header" w:qFormat="1" w:semiHidden="0" w:uiPriority="99" w:unhideWhenUsed="0"/>
    <w:lsdException w:name="footer" w:qFormat="1" w:semiHidden="0" w:uiPriority="0" w:unhideWhenUsed="0"/>
    <w:lsdException w:name="index heading" w:semiHidden="0" w:uiPriority="0" w:unhideWhenUsed="0"/>
    <w:lsdException w:name="caption" w:qFormat="1" w:uiPriority="0"/>
    <w:lsdException w:name="table of figures" w:semiHidden="0" w:uiPriority="0" w:unhideWhenUsed="0"/>
    <w:lsdException w:name="envelope address" w:semiHidden="0" w:uiPriority="0" w:unhideWhenUsed="0"/>
    <w:lsdException w:name="envelope return" w:semiHidden="0" w:uiPriority="0" w:unhideWhenUsed="0"/>
    <w:lsdException w:name="footnote reference" w:qFormat="1" w:semiHidden="0" w:uiPriority="0" w:unhideWhenUsed="0"/>
    <w:lsdException w:name="annotation reference" w:qFormat="1" w:uiPriority="0" w:unhideWhenUsed="0"/>
    <w:lsdException w:name="line number" w:semiHidden="0" w:uiPriority="0" w:unhideWhenUsed="0"/>
    <w:lsdException w:name="page number" w:qFormat="1"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qFormat="1"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qFormat="1" w:semiHidden="0" w:uiPriority="0" w:unhideWhenUsed="0"/>
    <w:lsdException w:name="Closing" w:semiHidden="0" w:uiPriority="0" w:unhideWhenUsed="0"/>
    <w:lsdException w:name="Signature" w:semiHidden="0" w:uiPriority="0" w:unhideWhenUsed="0"/>
    <w:lsdException w:name="Default Paragraph Font" w:uiPriority="1"/>
    <w:lsdException w:name="Body Text" w:qFormat="1" w:semiHidden="0" w:uiPriority="0" w:unhideWhenUsed="0"/>
    <w:lsdException w:name="Body Text Indent" w:qFormat="1"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qFormat="1" w:semiHidden="0" w:uiPriority="0" w:unhideWhenUsed="0"/>
    <w:lsdException w:name="Salutation" w:semiHidden="0" w:uiPriority="0" w:unhideWhenUsed="0"/>
    <w:lsdException w:name="Date" w:qFormat="1"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qFormat="1" w:semiHidden="0" w:uiPriority="0" w:unhideWhenUsed="0"/>
    <w:lsdException w:name="Body Text Indent 3" w:qFormat="1" w:semiHidden="0" w:uiPriority="0" w:unhideWhenUsed="0"/>
    <w:lsdException w:name="Block Text" w:semiHidden="0" w:uiPriority="0" w:unhideWhenUsed="0"/>
    <w:lsdException w:name="Hyperlink" w:qFormat="1" w:semiHidden="0" w:uiPriority="0" w:unhideWhenUsed="0"/>
    <w:lsdException w:name="FollowedHyperlink" w:semiHidden="0" w:uiPriority="0" w:unhideWhenUsed="0"/>
    <w:lsdException w:name="Strong" w:qFormat="1" w:semiHidden="0" w:uiPriority="22" w:unhideWhenUsed="0"/>
    <w:lsdException w:name="Emphasis" w:qFormat="1" w:semiHidden="0" w:uiPriority="0" w:unhideWhenUsed="0"/>
    <w:lsdException w:name="Document Map" w:qFormat="1" w:uiPriority="0" w:unhideWhenUsed="0"/>
    <w:lsdException w:name="Plain Text" w:qFormat="1" w:semiHidden="0" w:uiPriority="99" w:unhideWhenUsed="0"/>
    <w:lsdException w:name="E-mail Signature" w:semiHidden="0" w:uiPriority="0" w:unhideWhenUsed="0"/>
    <w:lsdException w:name="Normal (Web)" w:qFormat="1"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uiPriority="99"/>
    <w:lsdException w:name="annotation subject" w:qFormat="1"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qFormat="1" w:uiPriority="0" w:unhideWhenUsed="0"/>
    <w:lsdException w:name="Table Grid" w:qFormat="1" w:semiHidden="0" w:uiPriority="99"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4"/>
      <w:lang w:bidi="ar-SA" w:eastAsia="zh-CN" w:val="en-US"/>
    </w:rPr>
  </w:style>
  <w:style w:styleId="2" w:type="paragraph">
    <w:name w:val="heading 1"/>
    <w:basedOn w:val="1"/>
    <w:next w:val="1"/>
    <w:link w:val="55"/>
    <w:qFormat/>
    <w:uiPriority w:val="0"/>
    <w:pPr>
      <w:keepNext/>
      <w:keepLines/>
      <w:spacing w:after="330" w:before="340" w:line="578" w:lineRule="auto"/>
      <w:outlineLvl w:val="0"/>
    </w:pPr>
    <w:rPr>
      <w:b/>
      <w:bCs/>
      <w:kern w:val="44"/>
      <w:sz w:val="44"/>
      <w:szCs w:val="44"/>
    </w:rPr>
  </w:style>
  <w:style w:styleId="3" w:type="paragraph">
    <w:name w:val="heading 2"/>
    <w:basedOn w:val="1"/>
    <w:next w:val="4"/>
    <w:qFormat/>
    <w:uiPriority w:val="0"/>
    <w:pPr>
      <w:keepNext/>
      <w:keepLines/>
      <w:spacing w:after="260" w:before="260" w:line="360" w:lineRule="auto"/>
      <w:outlineLvl w:val="1"/>
    </w:pPr>
    <w:rPr>
      <w:rFonts w:ascii="Arial" w:cs="Arial" w:hAnsi="Arial"/>
      <w:b/>
      <w:bCs/>
      <w:sz w:val="24"/>
      <w:szCs w:val="28"/>
    </w:rPr>
  </w:style>
  <w:style w:styleId="5" w:type="paragraph">
    <w:name w:val="heading 3"/>
    <w:basedOn w:val="1"/>
    <w:next w:val="1"/>
    <w:link w:val="57"/>
    <w:unhideWhenUsed/>
    <w:qFormat/>
    <w:uiPriority w:val="9"/>
    <w:pPr>
      <w:keepNext/>
      <w:keepLines/>
      <w:spacing w:after="260" w:before="260" w:line="416" w:lineRule="auto"/>
      <w:outlineLvl w:val="2"/>
    </w:pPr>
    <w:rPr>
      <w:rFonts w:asciiTheme="minorHAnsi" w:cstheme="minorBidi" w:eastAsiaTheme="minorEastAsia" w:hAnsiTheme="minorHAnsi"/>
      <w:b/>
      <w:bCs/>
      <w:sz w:val="32"/>
      <w:szCs w:val="32"/>
    </w:rPr>
  </w:style>
  <w:style w:default="1" w:styleId="22" w:type="character">
    <w:name w:val="Default Paragraph Font"/>
    <w:unhideWhenUsed/>
    <w:uiPriority w:val="1"/>
  </w:style>
  <w:style w:default="1" w:styleId="28"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qFormat/>
    <w:uiPriority w:val="99"/>
    <w:pPr>
      <w:ind w:firstLine="420" w:firstLineChars="200"/>
    </w:pPr>
  </w:style>
  <w:style w:styleId="6" w:type="paragraph">
    <w:name w:val="annotation subject"/>
    <w:basedOn w:val="7"/>
    <w:next w:val="7"/>
    <w:semiHidden/>
    <w:qFormat/>
    <w:uiPriority w:val="0"/>
    <w:rPr>
      <w:b/>
      <w:bCs/>
    </w:rPr>
  </w:style>
  <w:style w:styleId="7" w:type="paragraph">
    <w:name w:val="annotation text"/>
    <w:basedOn w:val="1"/>
    <w:semiHidden/>
    <w:qFormat/>
    <w:uiPriority w:val="0"/>
    <w:pPr>
      <w:jc w:val="left"/>
    </w:pPr>
  </w:style>
  <w:style w:styleId="8" w:type="paragraph">
    <w:name w:val="Document Map"/>
    <w:basedOn w:val="1"/>
    <w:semiHidden/>
    <w:qFormat/>
    <w:uiPriority w:val="0"/>
    <w:pPr>
      <w:shd w:color="auto" w:fill="000080" w:val="clear"/>
    </w:pPr>
  </w:style>
  <w:style w:styleId="9" w:type="paragraph">
    <w:name w:val="Body Text"/>
    <w:basedOn w:val="1"/>
    <w:qFormat/>
    <w:uiPriority w:val="0"/>
    <w:pPr>
      <w:spacing w:after="120"/>
    </w:pPr>
  </w:style>
  <w:style w:styleId="10" w:type="paragraph">
    <w:name w:val="Body Text Indent"/>
    <w:basedOn w:val="1"/>
    <w:qFormat/>
    <w:uiPriority w:val="0"/>
    <w:pPr>
      <w:widowControl/>
      <w:spacing w:after="100" w:afterAutospacing="1" w:before="100" w:beforeAutospacing="1"/>
      <w:jc w:val="left"/>
    </w:pPr>
    <w:rPr>
      <w:rFonts w:ascii="Arial Unicode MS" w:cs="Arial Unicode MS" w:eastAsia="Arial Unicode MS" w:hAnsi="Arial Unicode MS"/>
      <w:kern w:val="0"/>
      <w:sz w:val="24"/>
    </w:rPr>
  </w:style>
  <w:style w:styleId="11" w:type="paragraph">
    <w:name w:val="Plain Text"/>
    <w:basedOn w:val="1"/>
    <w:link w:val="51"/>
    <w:qFormat/>
    <w:uiPriority w:val="99"/>
    <w:rPr>
      <w:rFonts w:ascii="宋体" w:hAnsi="Courier New"/>
      <w:szCs w:val="21"/>
    </w:rPr>
  </w:style>
  <w:style w:styleId="12" w:type="paragraph">
    <w:name w:val="Date"/>
    <w:basedOn w:val="1"/>
    <w:next w:val="1"/>
    <w:link w:val="56"/>
    <w:qFormat/>
    <w:uiPriority w:val="0"/>
    <w:rPr>
      <w:sz w:val="24"/>
      <w:szCs w:val="20"/>
    </w:rPr>
  </w:style>
  <w:style w:styleId="13" w:type="paragraph">
    <w:name w:val="Body Text Indent 2"/>
    <w:basedOn w:val="1"/>
    <w:qFormat/>
    <w:uiPriority w:val="0"/>
    <w:pPr>
      <w:spacing w:line="560" w:lineRule="exact"/>
      <w:ind w:firstLine="480" w:firstLineChars="200"/>
    </w:pPr>
    <w:rPr>
      <w:rFonts w:ascii="宋体" w:hAnsi="宋体"/>
      <w:color w:val="FF0000"/>
      <w:sz w:val="24"/>
    </w:rPr>
  </w:style>
  <w:style w:styleId="14" w:type="paragraph">
    <w:name w:val="Balloon Text"/>
    <w:basedOn w:val="1"/>
    <w:semiHidden/>
    <w:qFormat/>
    <w:uiPriority w:val="0"/>
    <w:rPr>
      <w:sz w:val="18"/>
      <w:szCs w:val="18"/>
    </w:rPr>
  </w:style>
  <w:style w:styleId="15" w:type="paragraph">
    <w:name w:val="footer"/>
    <w:basedOn w:val="1"/>
    <w:qFormat/>
    <w:uiPriority w:val="0"/>
    <w:pPr>
      <w:tabs>
        <w:tab w:pos="4153" w:val="center"/>
        <w:tab w:pos="8306" w:val="right"/>
      </w:tabs>
      <w:snapToGrid w:val="0"/>
      <w:jc w:val="left"/>
    </w:pPr>
    <w:rPr>
      <w:sz w:val="18"/>
      <w:szCs w:val="18"/>
    </w:rPr>
  </w:style>
  <w:style w:styleId="16" w:type="paragraph">
    <w:name w:val="header"/>
    <w:basedOn w:val="1"/>
    <w:link w:val="54"/>
    <w:qFormat/>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qFormat/>
    <w:uiPriority w:val="0"/>
    <w:pPr>
      <w:spacing w:after="220" w:line="220" w:lineRule="atLeast"/>
      <w:ind w:hanging="360" w:left="1440"/>
    </w:pPr>
    <w:rPr>
      <w:szCs w:val="20"/>
    </w:rPr>
  </w:style>
  <w:style w:styleId="18" w:type="paragraph">
    <w:name w:val="footnote text"/>
    <w:basedOn w:val="1"/>
    <w:link w:val="52"/>
    <w:qFormat/>
    <w:uiPriority w:val="0"/>
    <w:pPr>
      <w:snapToGrid w:val="0"/>
      <w:jc w:val="left"/>
    </w:pPr>
    <w:rPr>
      <w:sz w:val="18"/>
      <w:szCs w:val="18"/>
    </w:rPr>
  </w:style>
  <w:style w:styleId="19" w:type="paragraph">
    <w:name w:val="Body Text Indent 3"/>
    <w:basedOn w:val="1"/>
    <w:qFormat/>
    <w:uiPriority w:val="0"/>
    <w:pPr>
      <w:spacing w:line="560" w:lineRule="exact"/>
      <w:ind w:firstLine="420" w:firstLineChars="200"/>
    </w:pPr>
    <w:rPr>
      <w:rFonts w:ascii="Arial" w:cs="Arial" w:hAnsi="Arial"/>
      <w:color w:val="FF0000"/>
    </w:rPr>
  </w:style>
  <w:style w:styleId="20" w:type="paragraph">
    <w:name w:val="Normal (Web)"/>
    <w:basedOn w:val="1"/>
    <w:qFormat/>
    <w:uiPriority w:val="0"/>
    <w:pPr>
      <w:widowControl/>
      <w:spacing w:after="100" w:afterAutospacing="1" w:before="100" w:beforeAutospacing="1"/>
      <w:jc w:val="left"/>
    </w:pPr>
    <w:rPr>
      <w:rFonts w:ascii="宋体" w:hAnsi="宋体"/>
      <w:kern w:val="0"/>
      <w:sz w:val="24"/>
    </w:rPr>
  </w:style>
  <w:style w:styleId="21" w:type="paragraph">
    <w:name w:val="index 1"/>
    <w:basedOn w:val="1"/>
    <w:next w:val="1"/>
    <w:semiHidden/>
    <w:qFormat/>
    <w:uiPriority w:val="0"/>
    <w:pPr>
      <w:jc w:val="right"/>
    </w:pPr>
    <w:rPr>
      <w:color w:val="008000"/>
    </w:rPr>
  </w:style>
  <w:style w:styleId="23" w:type="character">
    <w:name w:val="Strong"/>
    <w:basedOn w:val="22"/>
    <w:qFormat/>
    <w:uiPriority w:val="22"/>
    <w:rPr>
      <w:b/>
      <w:bCs/>
    </w:rPr>
  </w:style>
  <w:style w:styleId="24" w:type="character">
    <w:name w:val="page number"/>
    <w:basedOn w:val="22"/>
    <w:qFormat/>
    <w:uiPriority w:val="0"/>
  </w:style>
  <w:style w:styleId="25" w:type="character">
    <w:name w:val="Hyperlink"/>
    <w:basedOn w:val="22"/>
    <w:qFormat/>
    <w:uiPriority w:val="0"/>
    <w:rPr>
      <w:color w:val="0000FF"/>
      <w:u w:val="single"/>
    </w:rPr>
  </w:style>
  <w:style w:styleId="26" w:type="character">
    <w:name w:val="annotation reference"/>
    <w:basedOn w:val="22"/>
    <w:semiHidden/>
    <w:qFormat/>
    <w:uiPriority w:val="0"/>
    <w:rPr>
      <w:sz w:val="21"/>
      <w:szCs w:val="21"/>
    </w:rPr>
  </w:style>
  <w:style w:styleId="27" w:type="character">
    <w:name w:val="footnote reference"/>
    <w:basedOn w:val="22"/>
    <w:qFormat/>
    <w:uiPriority w:val="0"/>
    <w:rPr>
      <w:vertAlign w:val="superscript"/>
    </w:rPr>
  </w:style>
  <w:style w:styleId="29" w:type="table">
    <w:name w:val="Table Grid"/>
    <w:basedOn w:val="28"/>
    <w:qFormat/>
    <w:uiPriority w:val="99"/>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0" w:type="character">
    <w:name w:val="已访问的超链接1"/>
    <w:basedOn w:val="22"/>
    <w:qFormat/>
    <w:uiPriority w:val="0"/>
    <w:rPr>
      <w:color w:val="800080"/>
      <w:u w:val="single"/>
    </w:rPr>
  </w:style>
  <w:style w:customStyle="1" w:styleId="31" w:type="character">
    <w:name w:val="c1"/>
    <w:basedOn w:val="22"/>
    <w:qFormat/>
    <w:uiPriority w:val="0"/>
    <w:rPr>
      <w:color w:val="000000"/>
      <w:sz w:val="18"/>
      <w:szCs w:val="18"/>
    </w:rPr>
  </w:style>
  <w:style w:customStyle="1" w:styleId="32" w:type="paragraph">
    <w:name w:val="font5"/>
    <w:basedOn w:val="1"/>
    <w:qFormat/>
    <w:uiPriority w:val="0"/>
    <w:pPr>
      <w:widowControl/>
      <w:spacing w:after="100" w:afterAutospacing="1" w:before="100" w:beforeAutospacing="1"/>
      <w:jc w:val="left"/>
    </w:pPr>
    <w:rPr>
      <w:rFonts w:ascii="宋体" w:cs="Arial Unicode MS" w:hAnsi="宋体" w:hint="eastAsia"/>
      <w:kern w:val="0"/>
      <w:sz w:val="18"/>
      <w:szCs w:val="18"/>
    </w:rPr>
  </w:style>
  <w:style w:customStyle="1" w:styleId="33" w:type="paragraph">
    <w:name w:val="xl24"/>
    <w:basedOn w:val="1"/>
    <w:qFormat/>
    <w:uiPriority w:val="0"/>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34" w:type="paragraph">
    <w:name w:val="xl25"/>
    <w:basedOn w:val="1"/>
    <w:qFormat/>
    <w:uiPriority w:val="0"/>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35" w:type="paragraph">
    <w:name w:val="xl26"/>
    <w:basedOn w:val="1"/>
    <w:qFormat/>
    <w:uiPriority w:val="0"/>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36" w:type="paragraph">
    <w:name w:val="xl27"/>
    <w:basedOn w:val="1"/>
    <w:qFormat/>
    <w:uiPriority w:val="0"/>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37" w:type="paragraph">
    <w:name w:val="xl28"/>
    <w:basedOn w:val="1"/>
    <w:qFormat/>
    <w:uiPriority w:val="0"/>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38" w:type="paragraph">
    <w:name w:val="xl29"/>
    <w:basedOn w:val="1"/>
    <w:qFormat/>
    <w:uiPriority w:val="0"/>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39" w:type="paragraph">
    <w:name w:val="xl30"/>
    <w:basedOn w:val="1"/>
    <w:qFormat/>
    <w:uiPriority w:val="0"/>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40" w:type="paragraph">
    <w:name w:val="xl31"/>
    <w:basedOn w:val="1"/>
    <w:qFormat/>
    <w:uiPriority w:val="0"/>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41" w:type="paragraph">
    <w:name w:val="xl32"/>
    <w:basedOn w:val="1"/>
    <w:qFormat/>
    <w:uiPriority w:val="0"/>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42" w:type="paragraph">
    <w:name w:val="xl33"/>
    <w:basedOn w:val="1"/>
    <w:qFormat/>
    <w:uiPriority w:val="0"/>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43"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44" w:type="paragraph">
    <w:name w:val="xl35"/>
    <w:basedOn w:val="1"/>
    <w:qFormat/>
    <w:uiPriority w:val="0"/>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45" w:type="paragraph">
    <w:name w:val="xl36"/>
    <w:basedOn w:val="1"/>
    <w:qFormat/>
    <w:uiPriority w:val="0"/>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46" w:type="paragraph">
    <w:name w:val="xl37"/>
    <w:basedOn w:val="1"/>
    <w:qFormat/>
    <w:uiPriority w:val="0"/>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47" w:type="paragraph">
    <w:name w:val="xl38"/>
    <w:basedOn w:val="1"/>
    <w:qFormat/>
    <w:uiPriority w:val="0"/>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48" w:type="paragraph">
    <w:name w:val="Char"/>
    <w:basedOn w:val="1"/>
    <w:qFormat/>
    <w:uiPriority w:val="0"/>
  </w:style>
  <w:style w:customStyle="1" w:styleId="49" w:type="paragraph">
    <w:name w:val="Char1"/>
    <w:basedOn w:val="1"/>
    <w:qFormat/>
    <w:uiPriority w:val="0"/>
  </w:style>
  <w:style w:customStyle="1" w:styleId="50" w:type="character">
    <w:name w:val="t1"/>
    <w:basedOn w:val="22"/>
    <w:uiPriority w:val="0"/>
    <w:rPr>
      <w:color w:val="990000"/>
    </w:rPr>
  </w:style>
  <w:style w:customStyle="1" w:styleId="51" w:type="character">
    <w:name w:val="纯文本 Char"/>
    <w:basedOn w:val="22"/>
    <w:link w:val="11"/>
    <w:uiPriority w:val="99"/>
    <w:rPr>
      <w:rFonts w:ascii="宋体" w:hAnsi="Courier New"/>
      <w:kern w:val="2"/>
      <w:sz w:val="21"/>
      <w:szCs w:val="21"/>
    </w:rPr>
  </w:style>
  <w:style w:customStyle="1" w:styleId="52" w:type="character">
    <w:name w:val="脚注文本 Char"/>
    <w:basedOn w:val="22"/>
    <w:link w:val="18"/>
    <w:uiPriority w:val="0"/>
    <w:rPr>
      <w:kern w:val="2"/>
      <w:sz w:val="18"/>
      <w:szCs w:val="18"/>
    </w:rPr>
  </w:style>
  <w:style w:customStyle="1" w:styleId="53" w:type="paragraph">
    <w:name w:val="Default"/>
    <w:uiPriority w:val="0"/>
    <w:pPr>
      <w:widowControl w:val="0"/>
      <w:autoSpaceDE w:val="0"/>
      <w:autoSpaceDN w:val="0"/>
      <w:adjustRightInd w:val="0"/>
    </w:pPr>
    <w:rPr>
      <w:rFonts w:ascii="仿宋" w:cs="仿宋" w:eastAsia="宋体" w:hAnsi="仿宋"/>
      <w:color w:val="000000"/>
      <w:sz w:val="24"/>
      <w:szCs w:val="24"/>
      <w:lang w:bidi="ar-SA" w:eastAsia="zh-CN" w:val="en-US"/>
    </w:rPr>
  </w:style>
  <w:style w:customStyle="1" w:styleId="54" w:type="character">
    <w:name w:val="页眉 Char"/>
    <w:basedOn w:val="22"/>
    <w:link w:val="16"/>
    <w:uiPriority w:val="99"/>
    <w:rPr>
      <w:kern w:val="2"/>
      <w:sz w:val="18"/>
      <w:szCs w:val="18"/>
    </w:rPr>
  </w:style>
  <w:style w:customStyle="1" w:styleId="55" w:type="character">
    <w:name w:val="标题 1 Char"/>
    <w:basedOn w:val="22"/>
    <w:link w:val="2"/>
    <w:uiPriority w:val="0"/>
    <w:rPr>
      <w:b/>
      <w:bCs/>
      <w:kern w:val="44"/>
      <w:sz w:val="44"/>
      <w:szCs w:val="44"/>
    </w:rPr>
  </w:style>
  <w:style w:customStyle="1" w:styleId="56" w:type="character">
    <w:name w:val="日期 Char"/>
    <w:basedOn w:val="22"/>
    <w:link w:val="12"/>
    <w:uiPriority w:val="0"/>
    <w:rPr>
      <w:kern w:val="2"/>
      <w:sz w:val="24"/>
    </w:rPr>
  </w:style>
  <w:style w:customStyle="1" w:styleId="57" w:type="character">
    <w:name w:val="标题 3 Char"/>
    <w:basedOn w:val="22"/>
    <w:link w:val="5"/>
    <w:qFormat/>
    <w:uiPriority w:val="9"/>
    <w:rPr>
      <w:rFonts w:asciiTheme="minorHAnsi" w:cstheme="minorBidi" w:eastAsiaTheme="minorEastAsia" w:hAnsiTheme="minorHAnsi"/>
      <w:b/>
      <w:bCs/>
      <w:kern w:val="2"/>
      <w:sz w:val="32"/>
      <w:szCs w:val="32"/>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customXml/item1.xml" Type="http://schemas.openxmlformats.org/officeDocument/2006/relationships/customXml"/>
<Relationship Id="rId11" Target="../customXml/item2.xml" Type="http://schemas.openxmlformats.org/officeDocument/2006/relationships/customXml"/>
<Relationship Id="rId12"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footer3.xml" Type="http://schemas.openxmlformats.org/officeDocument/2006/relationships/footer"/>
<Relationship Id="rId7" Target="theme/theme1.xml" Type="http://schemas.openxmlformats.org/officeDocument/2006/relationships/theme"/>
<Relationship Id="rId8" Target="media/image1.jpeg" Type="http://schemas.openxmlformats.org/officeDocument/2006/relationships/image"/>
<Relationship Id="rId9" Target="media/image2.jpeg" Type="http://schemas.openxmlformats.org/officeDocument/2006/relationships/image"/>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67A46-E76F-43C9-AB15-79747C3FC533}">
  <ds:schemaRefs/>
</ds:datastoreItem>
</file>

<file path=docProps/app.xml><?xml version="1.0" encoding="utf-8"?>
<Properties xmlns="http://schemas.openxmlformats.org/officeDocument/2006/extended-properties" xmlns:vt="http://schemas.openxmlformats.org/officeDocument/2006/docPropsVTypes">
  <Template>abc季报.dot</Template>
  <Company>TRT. Ltd. Co.</Company>
  <Pages>27</Pages>
  <Words>4476</Words>
  <Characters>25515</Characters>
  <Lines>212</Lines>
  <Paragraphs>59</Paragraphs>
  <TotalTime>0</TotalTime>
  <ScaleCrop>false</ScaleCrop>
  <LinksUpToDate>false</LinksUpToDate>
  <CharactersWithSpaces>29932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Administrator</cp:lastModifiedBy>
  <cp:lastPrinted>2007-07-19T00:46:00Z</cp:lastPrinted>
  <dcterms:modified xsi:type="dcterms:W3CDTF">2017-07-11T07:04:17Z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