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FD2FB7">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上投摩根优选多因子股票型证券投资基金</w:t>
      </w:r>
    </w:p>
    <w:p w:rsidR="00AD2806" w:rsidRDefault="00FD2FB7">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AD2806" w:rsidRDefault="00FD2FB7">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jc w:val="center"/>
        <w:rPr>
          <w:rFonts w:asciiTheme="minorEastAsia" w:eastAsiaTheme="minorEastAsia" w:hAnsiTheme="minorEastAsia"/>
          <w:b/>
          <w:bCs/>
          <w:color w:val="000000" w:themeColor="text1"/>
          <w:sz w:val="24"/>
          <w:szCs w:val="24"/>
        </w:rPr>
      </w:pPr>
    </w:p>
    <w:p w:rsidR="00AD2806" w:rsidRDefault="00AD2806">
      <w:pPr>
        <w:spacing w:line="360" w:lineRule="auto"/>
        <w:rPr>
          <w:rFonts w:asciiTheme="minorEastAsia" w:eastAsiaTheme="minorEastAsia" w:hAnsiTheme="minorEastAsia"/>
          <w:b/>
          <w:bCs/>
          <w:color w:val="000000" w:themeColor="text1"/>
          <w:sz w:val="24"/>
          <w:szCs w:val="24"/>
        </w:rPr>
      </w:pPr>
    </w:p>
    <w:p w:rsidR="00AD2806" w:rsidRDefault="00FD2FB7">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AD2806" w:rsidRDefault="00FD2FB7">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AD2806" w:rsidRDefault="00FD2FB7">
      <w:pPr>
        <w:spacing w:line="360" w:lineRule="auto"/>
        <w:ind w:firstLineChars="900" w:firstLine="2168"/>
        <w:rPr>
          <w:rFonts w:asciiTheme="minorEastAsia" w:eastAsiaTheme="minorEastAsia" w:hAnsiTheme="minorEastAsia"/>
          <w:b/>
          <w:color w:val="000000" w:themeColor="text1"/>
          <w:sz w:val="24"/>
          <w:szCs w:val="24"/>
        </w:rPr>
        <w:sectPr w:rsidR="00AD2806">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AD2806" w:rsidRDefault="00FD2FB7">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基金托管人中国银行股份有限公司根据本基金合同规定，于2020年1月17日复核了本报告中的财务指标、净值表现和投资组合报告等内容，保证复核内容不存在虚假记载、误导性陈述或者重大遗漏。 </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AD2806" w:rsidRDefault="00FD2FB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上投摩根优选多因子股票</w:t>
            </w:r>
          </w:p>
        </w:tc>
      </w:tr>
      <w:tr w:rsidR="00AD2806">
        <w:tc>
          <w:tcPr>
            <w:tcW w:w="2835" w:type="dxa"/>
            <w:tcBorders>
              <w:top w:val="single" w:sz="4" w:space="0" w:color="auto"/>
              <w:left w:val="single" w:sz="4" w:space="0" w:color="auto"/>
              <w:bottom w:val="single" w:sz="4" w:space="0" w:color="auto"/>
              <w:right w:val="single" w:sz="4" w:space="0" w:color="auto"/>
            </w:tcBorders>
            <w:vAlign w:val="center"/>
          </w:tcPr>
          <w:p w:rsidR="00AD2806" w:rsidRDefault="00FD2FB7">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004606</w:t>
            </w:r>
          </w:p>
        </w:tc>
      </w:tr>
      <w:tr w:rsidR="00AD2806">
        <w:tc>
          <w:tcPr>
            <w:tcW w:w="2835" w:type="dxa"/>
            <w:tcBorders>
              <w:top w:val="single" w:sz="4" w:space="0" w:color="auto"/>
              <w:left w:val="single" w:sz="4" w:space="0" w:color="auto"/>
              <w:bottom w:val="single" w:sz="4" w:space="0" w:color="auto"/>
              <w:right w:val="single" w:sz="4" w:space="0" w:color="auto"/>
            </w:tcBorders>
            <w:vAlign w:val="center"/>
          </w:tcPr>
          <w:p w:rsidR="00AD2806" w:rsidRDefault="00FD2FB7">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004606</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2017年8月23日</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49,700,839.62</w:t>
            </w:r>
            <w:r>
              <w:rPr>
                <w:rFonts w:asciiTheme="minorEastAsia" w:eastAsiaTheme="minorEastAsia" w:hAnsiTheme="minorEastAsia" w:hint="eastAsia"/>
                <w:color w:val="000000" w:themeColor="text1"/>
                <w:kern w:val="0"/>
              </w:rPr>
              <w:t>份</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在严格控制风险的基础上，采用量化投资对基金资产进行积极管理，力争获取超越业绩基准的投资收益。</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本基金采用多因子模型进行个股选择，并结合适当的资产配置策略搭建基金投资组合。</w:t>
            </w:r>
          </w:p>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资产配置方面，本基金通过对宏观经济、国家政策、资金面和市场情绪等影响证券市场的等因素进行深入分析，确定基金资产在股票、债券及现金等类别资产间的分配比</w:t>
            </w:r>
            <w:r>
              <w:rPr>
                <w:rFonts w:asciiTheme="minorEastAsia" w:eastAsiaTheme="minorEastAsia" w:hAnsiTheme="minorEastAsia"/>
                <w:color w:val="000000" w:themeColor="text1"/>
                <w:kern w:val="0"/>
              </w:rPr>
              <w:lastRenderedPageBreak/>
              <w:t>例，并动态优化投资组合。</w:t>
            </w:r>
          </w:p>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在股票投资过程中，本基金将运用多因子模型选股构建股票投资组合的投资策略，对基金资产进行积极管理，力争获取超越业绩基准的投资收益。</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中证800指数收益率*85%+中债总指数收益率*15%</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AD2806">
        <w:tc>
          <w:tcPr>
            <w:tcW w:w="2835"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AD2806" w:rsidRDefault="00FD2FB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D2FB7" w:rsidTr="00FD2FB7">
        <w:tc>
          <w:tcPr>
            <w:tcW w:w="3402" w:type="dxa"/>
            <w:vAlign w:val="center"/>
          </w:tcPr>
          <w:p w:rsidR="00AD2806" w:rsidRDefault="00FD2FB7">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AD2806" w:rsidRDefault="00FD2FB7">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AD2806" w:rsidRDefault="00FD2FB7">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FD2FB7" w:rsidTr="00FD2FB7">
        <w:tc>
          <w:tcPr>
            <w:tcW w:w="3402"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AD2806" w:rsidRDefault="00FD2FB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2,343,123.01</w:t>
            </w:r>
          </w:p>
        </w:tc>
      </w:tr>
      <w:tr w:rsidR="00FD2FB7" w:rsidTr="00FD2FB7">
        <w:tc>
          <w:tcPr>
            <w:tcW w:w="3402"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AD2806" w:rsidRDefault="00FD2FB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3,507,222.59</w:t>
            </w:r>
          </w:p>
        </w:tc>
      </w:tr>
      <w:tr w:rsidR="00FD2FB7" w:rsidTr="00FD2FB7">
        <w:tc>
          <w:tcPr>
            <w:tcW w:w="3402"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AD2806" w:rsidRDefault="00FD2FB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0.0637</w:t>
            </w:r>
          </w:p>
        </w:tc>
      </w:tr>
      <w:tr w:rsidR="00FD2FB7" w:rsidTr="00FD2FB7">
        <w:tc>
          <w:tcPr>
            <w:tcW w:w="3402"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AD2806" w:rsidRDefault="00FD2FB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57,241,733.61</w:t>
            </w:r>
          </w:p>
        </w:tc>
      </w:tr>
      <w:tr w:rsidR="00FD2FB7" w:rsidTr="00FD2FB7">
        <w:trPr>
          <w:trHeight w:val="158"/>
        </w:trPr>
        <w:tc>
          <w:tcPr>
            <w:tcW w:w="3402" w:type="dxa"/>
            <w:vAlign w:val="center"/>
          </w:tcPr>
          <w:p w:rsidR="00AD2806" w:rsidRDefault="00FD2FB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AD2806" w:rsidRDefault="00FD2FB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1.1517</w:t>
            </w:r>
          </w:p>
        </w:tc>
      </w:tr>
    </w:tbl>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AD2806" w:rsidRDefault="00FD2FB7">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lastRenderedPageBreak/>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AD2806">
        <w:tc>
          <w:tcPr>
            <w:tcW w:w="1395"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AD2806">
        <w:tc>
          <w:tcPr>
            <w:tcW w:w="1395" w:type="dxa"/>
            <w:vAlign w:val="center"/>
          </w:tcPr>
          <w:p w:rsidR="00AD2806" w:rsidRDefault="00FD2FB7">
            <w:pPr>
              <w:jc w:val="left"/>
            </w:pPr>
            <w:r>
              <w:rPr>
                <w:rFonts w:asciiTheme="minorEastAsia" w:eastAsiaTheme="minorEastAsia" w:hAnsiTheme="minorEastAsia"/>
                <w:color w:val="000000" w:themeColor="text1"/>
                <w:kern w:val="0"/>
              </w:rPr>
              <w:t>过去三个月</w:t>
            </w:r>
          </w:p>
        </w:tc>
        <w:tc>
          <w:tcPr>
            <w:tcW w:w="1092" w:type="dxa"/>
            <w:vAlign w:val="center"/>
          </w:tcPr>
          <w:p w:rsidR="00AD2806" w:rsidRDefault="00FD2FB7">
            <w:pPr>
              <w:jc w:val="center"/>
            </w:pPr>
            <w:r>
              <w:rPr>
                <w:rFonts w:asciiTheme="minorEastAsia" w:eastAsiaTheme="minorEastAsia" w:hAnsiTheme="minorEastAsia"/>
                <w:color w:val="000000" w:themeColor="text1"/>
                <w:kern w:val="0"/>
              </w:rPr>
              <w:t>5.92%</w:t>
            </w:r>
          </w:p>
        </w:tc>
        <w:tc>
          <w:tcPr>
            <w:tcW w:w="1161" w:type="dxa"/>
            <w:vAlign w:val="center"/>
          </w:tcPr>
          <w:p w:rsidR="00AD2806" w:rsidRDefault="00FD2FB7">
            <w:pPr>
              <w:jc w:val="center"/>
            </w:pPr>
            <w:r>
              <w:rPr>
                <w:rFonts w:asciiTheme="minorEastAsia" w:eastAsiaTheme="minorEastAsia" w:hAnsiTheme="minorEastAsia"/>
                <w:color w:val="000000" w:themeColor="text1"/>
                <w:kern w:val="0"/>
              </w:rPr>
              <w:t>0.65%</w:t>
            </w:r>
          </w:p>
        </w:tc>
        <w:tc>
          <w:tcPr>
            <w:tcW w:w="1181" w:type="dxa"/>
            <w:vAlign w:val="center"/>
          </w:tcPr>
          <w:p w:rsidR="00AD2806" w:rsidRDefault="00FD2FB7">
            <w:pPr>
              <w:jc w:val="center"/>
            </w:pPr>
            <w:r>
              <w:rPr>
                <w:rFonts w:asciiTheme="minorEastAsia" w:eastAsiaTheme="minorEastAsia" w:hAnsiTheme="minorEastAsia"/>
                <w:color w:val="000000" w:themeColor="text1"/>
                <w:kern w:val="0"/>
              </w:rPr>
              <w:t>6.26%</w:t>
            </w:r>
          </w:p>
        </w:tc>
        <w:tc>
          <w:tcPr>
            <w:tcW w:w="1188" w:type="dxa"/>
            <w:vAlign w:val="center"/>
          </w:tcPr>
          <w:p w:rsidR="00AD2806" w:rsidRDefault="00FD2FB7">
            <w:pPr>
              <w:jc w:val="center"/>
            </w:pPr>
            <w:r>
              <w:rPr>
                <w:rFonts w:asciiTheme="minorEastAsia" w:eastAsiaTheme="minorEastAsia" w:hAnsiTheme="minorEastAsia"/>
                <w:color w:val="000000" w:themeColor="text1"/>
                <w:kern w:val="0"/>
              </w:rPr>
              <w:t>0.64%</w:t>
            </w:r>
          </w:p>
        </w:tc>
        <w:tc>
          <w:tcPr>
            <w:tcW w:w="1199" w:type="dxa"/>
            <w:vAlign w:val="center"/>
          </w:tcPr>
          <w:p w:rsidR="00AD2806" w:rsidRDefault="00FD2FB7">
            <w:pPr>
              <w:jc w:val="center"/>
            </w:pPr>
            <w:r>
              <w:rPr>
                <w:rFonts w:asciiTheme="minorEastAsia" w:eastAsiaTheme="minorEastAsia" w:hAnsiTheme="minorEastAsia"/>
                <w:color w:val="000000" w:themeColor="text1"/>
                <w:kern w:val="0"/>
              </w:rPr>
              <w:t>-0.34%</w:t>
            </w:r>
          </w:p>
        </w:tc>
        <w:tc>
          <w:tcPr>
            <w:tcW w:w="1204" w:type="dxa"/>
            <w:vAlign w:val="center"/>
          </w:tcPr>
          <w:p w:rsidR="00AD2806" w:rsidRDefault="00FD2FB7">
            <w:pPr>
              <w:jc w:val="center"/>
            </w:pPr>
            <w:r>
              <w:rPr>
                <w:rFonts w:asciiTheme="minorEastAsia" w:eastAsiaTheme="minorEastAsia" w:hAnsiTheme="minorEastAsia"/>
                <w:color w:val="000000" w:themeColor="text1"/>
                <w:kern w:val="0"/>
              </w:rPr>
              <w:t>0.01%</w:t>
            </w:r>
          </w:p>
        </w:tc>
      </w:tr>
    </w:tbl>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AD2806" w:rsidRDefault="00FD2FB7">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上投摩根优选多因子股票型证券投资基金</w:t>
      </w:r>
    </w:p>
    <w:p w:rsidR="00AD2806" w:rsidRDefault="00FD2FB7">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AD2806" w:rsidRDefault="00FD2FB7">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2017年8月23日</w:t>
      </w:r>
      <w:r>
        <w:rPr>
          <w:rFonts w:asciiTheme="minorEastAsia" w:eastAsiaTheme="minorEastAsia" w:hAnsiTheme="minorEastAsia" w:hint="eastAsia"/>
          <w:color w:val="000000" w:themeColor="text1"/>
        </w:rPr>
        <w:t>至2019年12月31日)</w:t>
      </w:r>
    </w:p>
    <w:p w:rsidR="00AD2806" w:rsidRDefault="00FD2FB7">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注：本基金合同生效日为2017年8月23日，图示时间段为2017年8月23日至2019年12月31日。</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本基金建仓期自2017年8月23日至2018年2月22日，建仓期结束时资产配置比例符合本基金基金合同规定。</w:t>
      </w:r>
    </w:p>
    <w:p w:rsidR="00AD2806" w:rsidRDefault="00AD2806">
      <w:pPr>
        <w:tabs>
          <w:tab w:val="left" w:pos="1800"/>
        </w:tabs>
        <w:spacing w:line="360" w:lineRule="auto"/>
        <w:rPr>
          <w:rFonts w:asciiTheme="minorEastAsia" w:eastAsiaTheme="minorEastAsia" w:hAnsiTheme="minorEastAsia"/>
          <w:color w:val="000000" w:themeColor="text1"/>
          <w:sz w:val="24"/>
          <w:szCs w:val="24"/>
        </w:rPr>
      </w:pPr>
    </w:p>
    <w:p w:rsidR="00AD2806" w:rsidRDefault="00FD2FB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AD2806">
        <w:trPr>
          <w:cantSplit/>
          <w:trHeight w:val="292"/>
        </w:trPr>
        <w:tc>
          <w:tcPr>
            <w:tcW w:w="851" w:type="dxa"/>
            <w:vMerge w:val="restart"/>
            <w:vAlign w:val="center"/>
          </w:tcPr>
          <w:p w:rsidR="00AD2806" w:rsidRDefault="00FD2FB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姓名</w:t>
            </w:r>
          </w:p>
        </w:tc>
        <w:tc>
          <w:tcPr>
            <w:tcW w:w="850" w:type="dxa"/>
            <w:vMerge w:val="restart"/>
            <w:vAlign w:val="center"/>
          </w:tcPr>
          <w:p w:rsidR="00AD2806" w:rsidRDefault="00FD2FB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AD2806" w:rsidRDefault="00FD2FB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AD2806">
        <w:trPr>
          <w:cantSplit/>
        </w:trPr>
        <w:tc>
          <w:tcPr>
            <w:tcW w:w="851" w:type="dxa"/>
            <w:vMerge/>
            <w:vAlign w:val="center"/>
          </w:tcPr>
          <w:p w:rsidR="00AD2806" w:rsidRDefault="00AD2806">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AD2806" w:rsidRDefault="00AD2806">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AD2806" w:rsidRDefault="00AD2806">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AD2806" w:rsidRDefault="00AD2806">
            <w:pPr>
              <w:widowControl/>
              <w:spacing w:line="360" w:lineRule="auto"/>
              <w:jc w:val="left"/>
              <w:rPr>
                <w:rFonts w:asciiTheme="minorEastAsia" w:eastAsiaTheme="minorEastAsia" w:hAnsiTheme="minorEastAsia"/>
                <w:color w:val="000000" w:themeColor="text1"/>
                <w:kern w:val="0"/>
              </w:rPr>
            </w:pPr>
          </w:p>
        </w:tc>
      </w:tr>
      <w:tr w:rsidR="00AD2806">
        <w:tc>
          <w:tcPr>
            <w:tcW w:w="851" w:type="dxa"/>
            <w:vAlign w:val="center"/>
          </w:tcPr>
          <w:p w:rsidR="00AD2806" w:rsidRDefault="00FD2FB7">
            <w:pPr>
              <w:jc w:val="center"/>
            </w:pPr>
            <w:r>
              <w:rPr>
                <w:rFonts w:asciiTheme="minorEastAsia" w:eastAsiaTheme="minorEastAsia" w:hAnsiTheme="minorEastAsia"/>
                <w:color w:val="000000" w:themeColor="text1"/>
              </w:rPr>
              <w:t>黄栋</w:t>
            </w:r>
          </w:p>
        </w:tc>
        <w:tc>
          <w:tcPr>
            <w:tcW w:w="850" w:type="dxa"/>
            <w:vAlign w:val="center"/>
          </w:tcPr>
          <w:p w:rsidR="00AD2806" w:rsidRDefault="00FD2FB7">
            <w:pPr>
              <w:jc w:val="center"/>
            </w:pPr>
            <w:r>
              <w:rPr>
                <w:rFonts w:asciiTheme="minorEastAsia" w:eastAsiaTheme="minorEastAsia" w:hAnsiTheme="minorEastAsia"/>
                <w:color w:val="000000" w:themeColor="text1"/>
              </w:rPr>
              <w:t>本基金基金经理、量化投资部总监</w:t>
            </w:r>
          </w:p>
        </w:tc>
        <w:tc>
          <w:tcPr>
            <w:tcW w:w="1560" w:type="dxa"/>
            <w:vAlign w:val="center"/>
          </w:tcPr>
          <w:p w:rsidR="00AD2806" w:rsidRDefault="00FD2FB7">
            <w:pPr>
              <w:jc w:val="center"/>
            </w:pPr>
            <w:r>
              <w:rPr>
                <w:rFonts w:asciiTheme="minorEastAsia" w:eastAsiaTheme="minorEastAsia" w:hAnsiTheme="minorEastAsia"/>
                <w:color w:val="000000" w:themeColor="text1"/>
              </w:rPr>
              <w:t>2017-08-23</w:t>
            </w:r>
          </w:p>
        </w:tc>
        <w:tc>
          <w:tcPr>
            <w:tcW w:w="1559" w:type="dxa"/>
            <w:vAlign w:val="center"/>
          </w:tcPr>
          <w:p w:rsidR="00AD2806" w:rsidRDefault="00FD2FB7">
            <w:pPr>
              <w:jc w:val="center"/>
            </w:pPr>
            <w:r>
              <w:rPr>
                <w:rFonts w:asciiTheme="minorEastAsia" w:eastAsiaTheme="minorEastAsia" w:hAnsiTheme="minorEastAsia"/>
                <w:color w:val="000000" w:themeColor="text1"/>
              </w:rPr>
              <w:t>2019-12-27</w:t>
            </w:r>
          </w:p>
        </w:tc>
        <w:tc>
          <w:tcPr>
            <w:tcW w:w="1417" w:type="dxa"/>
            <w:vAlign w:val="center"/>
          </w:tcPr>
          <w:p w:rsidR="00AD2806" w:rsidRDefault="00FD2FB7">
            <w:pPr>
              <w:jc w:val="center"/>
            </w:pPr>
            <w:r>
              <w:rPr>
                <w:rFonts w:asciiTheme="minorEastAsia" w:eastAsiaTheme="minorEastAsia" w:hAnsiTheme="minorEastAsia"/>
                <w:color w:val="000000" w:themeColor="text1"/>
              </w:rPr>
              <w:t>15年</w:t>
            </w:r>
          </w:p>
        </w:tc>
        <w:tc>
          <w:tcPr>
            <w:tcW w:w="2694" w:type="dxa"/>
            <w:vAlign w:val="center"/>
          </w:tcPr>
          <w:p w:rsidR="00AD2806" w:rsidRDefault="00FD2FB7">
            <w:r>
              <w:rPr>
                <w:rFonts w:asciiTheme="minorEastAsia" w:eastAsiaTheme="minorEastAsia" w:hAnsiTheme="minorEastAsia"/>
                <w:color w:val="000000" w:themeColor="text1"/>
              </w:rPr>
              <w:t>黄栋先生，上海财经大学经济学硕士； 2005年至2010年先后在东方证券、工银瑞信基金从事金融工程研究工作；2010年7月起加入上投摩根基金管理有限公司，现担任量化投资部总监，主要负责金融工程研究方面的工作。2012年9月至2019年12月担任上投摩根中证消费服务领先指数证券投资基金基金经理，2013年7月至2016年8月同时担任上证180高贝塔交易型开放式指数证券投资基金基金经理，2015年6月至2019年12月同时担任上投摩根动态多因子策略灵活配置混合型证券投资基金基金经理，2016年8月至2019年4月同时担任上投摩根安鑫回报混合型证券投资基金基金经理，自2017年1月至2018年12月同时担任上投摩根安瑞回报混合型证券投资基金基金经理，自2017年4月至2019年4月同时担任上投摩根安通回报混合型证券投资基金基金经理，自2017年8月至2019年12月同时担任上投摩根优选多因子股票型证券投资基金基金经理，自2018年1月至2019年12月同时担任上投摩根量化多因子灵活配置混合型证券投资基金基金经理。</w:t>
            </w:r>
          </w:p>
        </w:tc>
      </w:tr>
      <w:tr w:rsidR="00AD2806">
        <w:tc>
          <w:tcPr>
            <w:tcW w:w="851" w:type="dxa"/>
            <w:vAlign w:val="center"/>
          </w:tcPr>
          <w:p w:rsidR="00AD2806" w:rsidRDefault="00FD2FB7">
            <w:pPr>
              <w:jc w:val="center"/>
            </w:pPr>
            <w:r>
              <w:rPr>
                <w:rFonts w:asciiTheme="minorEastAsia" w:eastAsiaTheme="minorEastAsia" w:hAnsiTheme="minorEastAsia"/>
                <w:color w:val="000000" w:themeColor="text1"/>
              </w:rPr>
              <w:t>施虓文</w:t>
            </w:r>
          </w:p>
        </w:tc>
        <w:tc>
          <w:tcPr>
            <w:tcW w:w="850" w:type="dxa"/>
            <w:vAlign w:val="center"/>
          </w:tcPr>
          <w:p w:rsidR="00AD2806" w:rsidRDefault="00FD2FB7">
            <w:pPr>
              <w:jc w:val="center"/>
            </w:pPr>
            <w:r>
              <w:rPr>
                <w:rFonts w:asciiTheme="minorEastAsia" w:eastAsiaTheme="minorEastAsia" w:hAnsiTheme="minorEastAsia"/>
                <w:color w:val="000000" w:themeColor="text1"/>
              </w:rPr>
              <w:t>本基金基金经理</w:t>
            </w:r>
          </w:p>
        </w:tc>
        <w:tc>
          <w:tcPr>
            <w:tcW w:w="1560" w:type="dxa"/>
            <w:vAlign w:val="center"/>
          </w:tcPr>
          <w:p w:rsidR="00AD2806" w:rsidRDefault="00FD2FB7">
            <w:pPr>
              <w:jc w:val="center"/>
            </w:pPr>
            <w:r>
              <w:rPr>
                <w:rFonts w:asciiTheme="minorEastAsia" w:eastAsiaTheme="minorEastAsia" w:hAnsiTheme="minorEastAsia"/>
                <w:color w:val="000000" w:themeColor="text1"/>
              </w:rPr>
              <w:t>2019-12-27</w:t>
            </w:r>
          </w:p>
        </w:tc>
        <w:tc>
          <w:tcPr>
            <w:tcW w:w="1559" w:type="dxa"/>
            <w:vAlign w:val="center"/>
          </w:tcPr>
          <w:p w:rsidR="00AD2806" w:rsidRDefault="00FD2FB7">
            <w:pPr>
              <w:jc w:val="center"/>
            </w:pPr>
            <w:r>
              <w:rPr>
                <w:rFonts w:asciiTheme="minorEastAsia" w:eastAsiaTheme="minorEastAsia" w:hAnsiTheme="minorEastAsia"/>
                <w:color w:val="000000" w:themeColor="text1"/>
              </w:rPr>
              <w:t>-</w:t>
            </w:r>
          </w:p>
        </w:tc>
        <w:tc>
          <w:tcPr>
            <w:tcW w:w="1417" w:type="dxa"/>
            <w:vAlign w:val="center"/>
          </w:tcPr>
          <w:p w:rsidR="00AD2806" w:rsidRDefault="00FD2FB7">
            <w:pPr>
              <w:jc w:val="center"/>
            </w:pPr>
            <w:r>
              <w:rPr>
                <w:rFonts w:asciiTheme="minorEastAsia" w:eastAsiaTheme="minorEastAsia" w:hAnsiTheme="minorEastAsia"/>
                <w:color w:val="000000" w:themeColor="text1"/>
              </w:rPr>
              <w:t>8年</w:t>
            </w:r>
          </w:p>
        </w:tc>
        <w:tc>
          <w:tcPr>
            <w:tcW w:w="2694" w:type="dxa"/>
            <w:vAlign w:val="center"/>
          </w:tcPr>
          <w:p w:rsidR="00AD2806" w:rsidRDefault="00FD2FB7">
            <w:r>
              <w:rPr>
                <w:rFonts w:asciiTheme="minorEastAsia" w:eastAsiaTheme="minorEastAsia" w:hAnsiTheme="minorEastAsia"/>
                <w:color w:val="000000" w:themeColor="text1"/>
              </w:rPr>
              <w:t>基金经理施虓文先生，北京大学经济学硕士，2012年7月起加入上投摩根基金管理有限公司，先后担任助理</w:t>
            </w:r>
            <w:r>
              <w:rPr>
                <w:rFonts w:asciiTheme="minorEastAsia" w:eastAsiaTheme="minorEastAsia" w:hAnsiTheme="minorEastAsia"/>
                <w:color w:val="000000" w:themeColor="text1"/>
              </w:rPr>
              <w:lastRenderedPageBreak/>
              <w:t>研究员、研究员/基金经理助理、基金经理，主要承担量化支持方面的工作。自2017年1月至2019年9月担任上投摩根安丰回报混合型证券投资基金基金经理，2017年1月至2018年10月担任上投摩根安泽回报混合型证券投资基金基金经理，自2017年12月起同时担任上投摩根标普港股通低波红利指数型证券投资基金基金经理，自2018年2月至2019年4月同时担任上投摩根安隆回报混合型证券投资基金基金经理，2018年2月至7月担任上投摩根安腾回报混合型证券投资基金基金经理，2018年4月起同时担任上投摩根富时发达市场REITs指数型证券投资基金（QDII）基金经理，2018年9月起同时担任上投摩根安裕回报混合型证券投资基金基金经理，自2019年4月起同时担任上投摩根安通回报混合型证券投资基金基金经理，自2019年12月起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p>
        </w:tc>
      </w:tr>
    </w:tbl>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注：1.任职日期和离任日期均指根据公司决定确定的聘任日期和解聘日期。</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优选多因子股票型证券投资基金基金合同》的规定。基金经理对个股和投资组合的比例遵循了投资决策委员会的授权限制，基金投资比例符合基金合同和法律法规的要求。</w:t>
      </w: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AD2806" w:rsidRDefault="00FD2FB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AD2806" w:rsidRDefault="00FD2FB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AD2806" w:rsidRDefault="00AD2806">
      <w:pPr>
        <w:spacing w:line="360" w:lineRule="auto"/>
        <w:ind w:firstLineChars="200" w:firstLine="480"/>
        <w:rPr>
          <w:rFonts w:asciiTheme="minorEastAsia" w:eastAsiaTheme="minorEastAsia" w:hAnsiTheme="minorEastAsia"/>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AD2806" w:rsidRDefault="00FD2FB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宏观经济增速依旧缓步下行的背景下，CPI在4季度显著抬升，与PPI之间的背离愈发显著。由于近期的通胀上行主要源于食品价格的上涨，宽货币的空间并没有受到太多挤压，在央行主导下LPR利率继续下行。4季度贸易摩擦有所缓和；随着美联储年内第三次降息落地，11月美国非农就业超预期，显示美国经济成长仍然坚韧，美股迭创新高。横向比较下，A股估值优势显现，外资持续通过陆股通流入，为A股市场提供了支撑。4季度市场整体呈现震荡格局，建材、家电、电子、传媒等行业表现较佳。从风格来看，四季度小盘、低估值、反转特性较强，而盈利类因子在连续多个季度上涨后表现趋弱。本基金选股从多因子角度出发，偏重基本面因素，在板块分布上相对均衡。</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可以说风险与机会并存。年内美国将举行大选，中美贸易摩擦更增添了不确定性；充分就业的美国经济进入晚周期，衰退风险隐现，为A股市场带来外部的不确定。另一方面，中国经济增速可能继续趋势性回落，在1季度通胀继续上行的背景下，货币宽松略为受限，财政政策将相对更为积极。鉴于中央坚持房住不炒的调控政策不动摇，房地产产业链对经济的拉动作用将不断弱化，基建投资领域将是稳增长的重要抓手。我们相对看好一季度低估值龙头的估值修复行情，以及全年景气上行的新兴科技行业投资机会，重点关注5G、半导体、消费电子、新能源车等行业板块。在具体投资策略上，我们仍将坚持基本面出发的量化多因子选股策略，综合考虑个股的成长性、盈利能力、估值及交易属性等多方面因素。</w:t>
      </w:r>
    </w:p>
    <w:p w:rsidR="00AD2806" w:rsidRDefault="00FD2FB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本报告期优选多因子份额净值增长率为:5.92%，同期业绩比较基准收益率为:6.26%。</w:t>
      </w:r>
    </w:p>
    <w:p w:rsidR="00AD2806" w:rsidRDefault="00AD2806">
      <w:pPr>
        <w:spacing w:line="360" w:lineRule="auto"/>
        <w:ind w:firstLineChars="200" w:firstLine="480"/>
        <w:rPr>
          <w:rFonts w:asciiTheme="minorEastAsia" w:eastAsiaTheme="minorEastAsia" w:hAnsiTheme="minorEastAsia"/>
          <w:color w:val="000000" w:themeColor="text1"/>
          <w:sz w:val="24"/>
          <w:szCs w:val="24"/>
        </w:rPr>
      </w:pPr>
    </w:p>
    <w:p w:rsidR="00AD2806" w:rsidRDefault="00FD2FB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AD2806" w:rsidRDefault="00FD2FB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AD2806">
        <w:trPr>
          <w:jc w:val="center"/>
        </w:trPr>
        <w:tc>
          <w:tcPr>
            <w:tcW w:w="720"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AD2806">
        <w:trPr>
          <w:jc w:val="center"/>
        </w:trPr>
        <w:tc>
          <w:tcPr>
            <w:tcW w:w="720"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AD2806" w:rsidRDefault="00FD2FB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53,449,339.49</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92.68</w:t>
            </w:r>
          </w:p>
        </w:tc>
      </w:tr>
      <w:tr w:rsidR="00AD2806">
        <w:trPr>
          <w:jc w:val="center"/>
        </w:trPr>
        <w:tc>
          <w:tcPr>
            <w:tcW w:w="720" w:type="dxa"/>
            <w:vAlign w:val="center"/>
          </w:tcPr>
          <w:p w:rsidR="00AD2806" w:rsidRDefault="00AD2806">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D2806" w:rsidRDefault="00FD2FB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53,449,339.49</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92.68</w:t>
            </w:r>
          </w:p>
        </w:tc>
      </w:tr>
      <w:tr w:rsidR="00AD2806">
        <w:trPr>
          <w:jc w:val="center"/>
        </w:trPr>
        <w:tc>
          <w:tcPr>
            <w:tcW w:w="720"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AD2806" w:rsidRDefault="00FD2FB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D2806">
        <w:trPr>
          <w:jc w:val="center"/>
        </w:trPr>
        <w:tc>
          <w:tcPr>
            <w:tcW w:w="720" w:type="dxa"/>
            <w:vAlign w:val="center"/>
          </w:tcPr>
          <w:p w:rsidR="00AD2806" w:rsidRDefault="00AD2806">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D2806" w:rsidRDefault="00FD2FB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D2806">
        <w:trPr>
          <w:jc w:val="center"/>
        </w:trPr>
        <w:tc>
          <w:tcPr>
            <w:tcW w:w="720" w:type="dxa"/>
            <w:vAlign w:val="center"/>
          </w:tcPr>
          <w:p w:rsidR="00AD2806" w:rsidRDefault="00AD2806">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D2806" w:rsidRDefault="00FD2FB7">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D2806">
        <w:trPr>
          <w:jc w:val="center"/>
        </w:trPr>
        <w:tc>
          <w:tcPr>
            <w:tcW w:w="720" w:type="dxa"/>
          </w:tcPr>
          <w:p w:rsidR="00AD2806" w:rsidRDefault="00FD2FB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AD2806" w:rsidRDefault="00FD2FB7">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D2806">
        <w:trPr>
          <w:jc w:val="center"/>
        </w:trPr>
        <w:tc>
          <w:tcPr>
            <w:tcW w:w="720" w:type="dxa"/>
            <w:vAlign w:val="center"/>
          </w:tcPr>
          <w:p w:rsidR="00AD2806" w:rsidRDefault="00FD2FB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AD2806" w:rsidRDefault="00FD2FB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D2806">
        <w:trPr>
          <w:jc w:val="center"/>
        </w:trPr>
        <w:tc>
          <w:tcPr>
            <w:tcW w:w="720"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AD2806" w:rsidRDefault="00FD2FB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D2806">
        <w:trPr>
          <w:jc w:val="center"/>
        </w:trPr>
        <w:tc>
          <w:tcPr>
            <w:tcW w:w="720" w:type="dxa"/>
            <w:vAlign w:val="center"/>
          </w:tcPr>
          <w:p w:rsidR="00AD2806" w:rsidRDefault="00AD2806">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D2806" w:rsidRDefault="00FD2FB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D2806">
        <w:trPr>
          <w:jc w:val="center"/>
        </w:trPr>
        <w:tc>
          <w:tcPr>
            <w:tcW w:w="720"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AD2806" w:rsidRDefault="00FD2FB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4,181,935.96</w:t>
            </w:r>
          </w:p>
        </w:tc>
        <w:tc>
          <w:tcPr>
            <w:tcW w:w="1843" w:type="dxa"/>
            <w:vAlign w:val="center"/>
          </w:tcPr>
          <w:p w:rsidR="00AD2806" w:rsidRDefault="00FD2FB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7.25</w:t>
            </w:r>
          </w:p>
        </w:tc>
      </w:tr>
      <w:tr w:rsidR="00AD2806">
        <w:trPr>
          <w:jc w:val="center"/>
        </w:trPr>
        <w:tc>
          <w:tcPr>
            <w:tcW w:w="720"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AD2806" w:rsidRDefault="00FD2FB7">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40,047.88</w:t>
            </w:r>
          </w:p>
        </w:tc>
        <w:tc>
          <w:tcPr>
            <w:tcW w:w="1843" w:type="dxa"/>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0.07</w:t>
            </w:r>
          </w:p>
        </w:tc>
      </w:tr>
      <w:tr w:rsidR="00AD2806">
        <w:trPr>
          <w:jc w:val="center"/>
        </w:trPr>
        <w:tc>
          <w:tcPr>
            <w:tcW w:w="720" w:type="dxa"/>
            <w:vAlign w:val="center"/>
          </w:tcPr>
          <w:p w:rsidR="00AD2806" w:rsidRDefault="00FD2FB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AD2806" w:rsidRDefault="00FD2FB7">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57,671,323.33</w:t>
            </w:r>
          </w:p>
        </w:tc>
        <w:tc>
          <w:tcPr>
            <w:tcW w:w="1843" w:type="dxa"/>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AD2806" w:rsidRDefault="00AD2806">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AD2806" w:rsidRDefault="00FD2FB7">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AD2806">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749,773.35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1.31</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766,719.35</w:t>
            </w:r>
          </w:p>
          <w:p w:rsidR="00AD2806" w:rsidRDefault="00AD2806">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1.34</w:t>
            </w:r>
          </w:p>
          <w:p w:rsidR="00AD2806" w:rsidRDefault="00AD2806">
            <w:pPr>
              <w:jc w:val="right"/>
              <w:rPr>
                <w:rFonts w:asciiTheme="minorEastAsia" w:eastAsiaTheme="minorEastAsia" w:hAnsiTheme="minorEastAsia" w:cs="宋体"/>
                <w:color w:val="000000" w:themeColor="text1"/>
                <w:kern w:val="0"/>
              </w:rPr>
            </w:pP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24,197,252.74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42.27</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1,514,206.02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2.65</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707,646.00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1.24</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643,387.00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1.12</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4,093,232.28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7.15</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13,407,281.00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23.42</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5,145,672.25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8.99</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916,896.60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1.60</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1,082,655.72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1.89</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218,039.14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0.38</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D280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AD2806">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2806" w:rsidRDefault="00FD2FB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53,449,339.49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D2806" w:rsidRDefault="00FD2FB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93.37</w:t>
            </w:r>
          </w:p>
        </w:tc>
      </w:tr>
    </w:tbl>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AD2806">
        <w:tc>
          <w:tcPr>
            <w:tcW w:w="817" w:type="dxa"/>
            <w:vAlign w:val="center"/>
          </w:tcPr>
          <w:p w:rsidR="00AD2806" w:rsidRDefault="00FD2FB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AD2806" w:rsidRDefault="00FD2FB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AD2806" w:rsidRDefault="00FD2FB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AD2806" w:rsidRDefault="00FD2FB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AD2806" w:rsidRDefault="00FD2FB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1</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601398</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工商银行</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293,700.00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1,726,956.00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3.02</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2</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600585</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海螺水泥</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29,108.00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1,595,118.40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2.79</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3</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002353</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杰瑞股份</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43,000.00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1,589,280.00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2.78</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4</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600048</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保利地产</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86,000.00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1,391,480.00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2.43</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5</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603338</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浙江鼎力</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19,048.00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1,361,932.00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2.38</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6</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600837</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海通证券</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87,800.00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1,357,388.00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2.37</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7</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601009</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南京银行</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150,400.00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1,319,008.00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2.30</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8</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001979</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招商蛇口</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66,375.00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1,318,871.25</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2.30</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9</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601166</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兴业银行</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65,900.00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1,304,820.00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2.28</w:t>
            </w:r>
          </w:p>
        </w:tc>
      </w:tr>
      <w:tr w:rsidR="00AD2806">
        <w:tc>
          <w:tcPr>
            <w:tcW w:w="817" w:type="dxa"/>
            <w:vAlign w:val="center"/>
          </w:tcPr>
          <w:p w:rsidR="00AD2806" w:rsidRDefault="00FD2FB7">
            <w:pPr>
              <w:jc w:val="center"/>
            </w:pPr>
            <w:r>
              <w:rPr>
                <w:rFonts w:asciiTheme="minorEastAsia" w:eastAsiaTheme="minorEastAsia" w:hAnsiTheme="minorEastAsia" w:cs="宋体"/>
                <w:color w:val="000000" w:themeColor="text1"/>
                <w:kern w:val="0"/>
              </w:rPr>
              <w:t>10</w:t>
            </w:r>
          </w:p>
        </w:tc>
        <w:tc>
          <w:tcPr>
            <w:tcW w:w="1276" w:type="dxa"/>
            <w:vAlign w:val="center"/>
          </w:tcPr>
          <w:p w:rsidR="00AD2806" w:rsidRDefault="00FD2FB7">
            <w:pPr>
              <w:jc w:val="center"/>
            </w:pPr>
            <w:r>
              <w:rPr>
                <w:rFonts w:asciiTheme="minorEastAsia" w:eastAsiaTheme="minorEastAsia" w:hAnsiTheme="minorEastAsia" w:cs="宋体"/>
                <w:color w:val="000000" w:themeColor="text1"/>
                <w:kern w:val="0"/>
              </w:rPr>
              <w:t>601318</w:t>
            </w:r>
          </w:p>
        </w:tc>
        <w:tc>
          <w:tcPr>
            <w:tcW w:w="1701" w:type="dxa"/>
            <w:vAlign w:val="center"/>
          </w:tcPr>
          <w:p w:rsidR="00AD2806" w:rsidRDefault="00FD2FB7">
            <w:pPr>
              <w:jc w:val="center"/>
            </w:pPr>
            <w:r>
              <w:rPr>
                <w:rFonts w:asciiTheme="minorEastAsia" w:eastAsiaTheme="minorEastAsia" w:hAnsiTheme="minorEastAsia" w:cs="宋体"/>
                <w:color w:val="000000" w:themeColor="text1"/>
                <w:kern w:val="0"/>
              </w:rPr>
              <w:t>中国平安</w:t>
            </w:r>
          </w:p>
        </w:tc>
        <w:tc>
          <w:tcPr>
            <w:tcW w:w="1276" w:type="dxa"/>
            <w:vAlign w:val="center"/>
          </w:tcPr>
          <w:p w:rsidR="00AD2806" w:rsidRDefault="00FD2FB7">
            <w:pPr>
              <w:jc w:val="right"/>
            </w:pPr>
            <w:r>
              <w:rPr>
                <w:rFonts w:asciiTheme="minorEastAsia" w:eastAsiaTheme="minorEastAsia" w:hAnsiTheme="minorEastAsia" w:cs="宋体"/>
                <w:color w:val="000000" w:themeColor="text1"/>
                <w:kern w:val="0"/>
              </w:rPr>
              <w:t>14,900.00</w:t>
            </w:r>
          </w:p>
        </w:tc>
        <w:tc>
          <w:tcPr>
            <w:tcW w:w="1842" w:type="dxa"/>
            <w:vAlign w:val="center"/>
          </w:tcPr>
          <w:p w:rsidR="00AD2806" w:rsidRDefault="00FD2FB7">
            <w:pPr>
              <w:jc w:val="right"/>
            </w:pPr>
            <w:r>
              <w:rPr>
                <w:rFonts w:asciiTheme="minorEastAsia" w:eastAsiaTheme="minorEastAsia" w:hAnsiTheme="minorEastAsia" w:cs="宋体"/>
                <w:color w:val="000000" w:themeColor="text1"/>
                <w:kern w:val="0"/>
              </w:rPr>
              <w:t>1,273,354.00</w:t>
            </w:r>
          </w:p>
        </w:tc>
        <w:tc>
          <w:tcPr>
            <w:tcW w:w="1616" w:type="dxa"/>
            <w:vAlign w:val="center"/>
          </w:tcPr>
          <w:p w:rsidR="00AD2806" w:rsidRDefault="00FD2FB7">
            <w:pPr>
              <w:jc w:val="right"/>
            </w:pPr>
            <w:r>
              <w:rPr>
                <w:rFonts w:asciiTheme="minorEastAsia" w:eastAsiaTheme="minorEastAsia" w:hAnsiTheme="minorEastAsia" w:cs="宋体"/>
                <w:color w:val="000000" w:themeColor="text1"/>
                <w:kern w:val="0"/>
              </w:rPr>
              <w:t>2.22</w:t>
            </w:r>
          </w:p>
        </w:tc>
      </w:tr>
    </w:tbl>
    <w:p w:rsidR="00AD2806" w:rsidRDefault="00AD280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AD2806" w:rsidRDefault="00AD280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AD2806" w:rsidRDefault="00FD2FB7">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AD2806" w:rsidRDefault="00AD2806">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AD2806" w:rsidRDefault="00AD2806">
      <w:pPr>
        <w:adjustRightInd w:val="0"/>
        <w:snapToGrid w:val="0"/>
        <w:spacing w:line="360" w:lineRule="exact"/>
        <w:rPr>
          <w:rFonts w:asciiTheme="minorEastAsia" w:eastAsiaTheme="minorEastAsia" w:hAnsiTheme="minorEastAsia"/>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AD2806" w:rsidRDefault="00FD2FB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AD2806" w:rsidRDefault="00FD2FB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AD2806">
        <w:tc>
          <w:tcPr>
            <w:tcW w:w="1235"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AD2806" w:rsidRDefault="00FD2FB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33,604.66</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1,110.87</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5,332.35</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D2806">
        <w:tc>
          <w:tcPr>
            <w:tcW w:w="1235" w:type="dxa"/>
            <w:vAlign w:val="center"/>
          </w:tcPr>
          <w:p w:rsidR="00AD2806" w:rsidRDefault="00FD2FB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AD2806" w:rsidRDefault="00FD2FB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40,047.88</w:t>
            </w:r>
          </w:p>
        </w:tc>
      </w:tr>
    </w:tbl>
    <w:p w:rsidR="00AD2806" w:rsidRDefault="00AD2806">
      <w:pPr>
        <w:autoSpaceDE w:val="0"/>
        <w:autoSpaceDN w:val="0"/>
        <w:adjustRightInd w:val="0"/>
        <w:spacing w:line="360" w:lineRule="auto"/>
        <w:rPr>
          <w:rFonts w:asciiTheme="minorEastAsia" w:eastAsiaTheme="minorEastAsia" w:hAnsiTheme="minorEastAsia"/>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AD2806" w:rsidRDefault="00AD2806">
      <w:pPr>
        <w:autoSpaceDE w:val="0"/>
        <w:autoSpaceDN w:val="0"/>
        <w:adjustRightInd w:val="0"/>
        <w:spacing w:line="360" w:lineRule="auto"/>
        <w:rPr>
          <w:rFonts w:asciiTheme="minorEastAsia" w:eastAsiaTheme="minorEastAsia" w:hAnsiTheme="minorEastAsia"/>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AD2806" w:rsidRDefault="00AD2806">
      <w:pPr>
        <w:autoSpaceDE w:val="0"/>
        <w:autoSpaceDN w:val="0"/>
        <w:adjustRightInd w:val="0"/>
        <w:spacing w:line="360" w:lineRule="auto"/>
        <w:rPr>
          <w:rFonts w:asciiTheme="minorEastAsia" w:eastAsiaTheme="minorEastAsia" w:hAnsiTheme="minorEastAsia"/>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AD2806" w:rsidRDefault="00FD2FB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AD2806" w:rsidRDefault="00FD2FB7">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AD2806">
        <w:tc>
          <w:tcPr>
            <w:tcW w:w="4609"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61,324,459.94</w:t>
            </w:r>
          </w:p>
        </w:tc>
      </w:tr>
      <w:tr w:rsidR="00AD2806">
        <w:tc>
          <w:tcPr>
            <w:tcW w:w="4609"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849,326.59</w:t>
            </w:r>
          </w:p>
        </w:tc>
      </w:tr>
      <w:tr w:rsidR="00AD2806">
        <w:tc>
          <w:tcPr>
            <w:tcW w:w="4609"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12,472,946.91</w:t>
            </w:r>
          </w:p>
        </w:tc>
      </w:tr>
      <w:tr w:rsidR="00AD2806">
        <w:tc>
          <w:tcPr>
            <w:tcW w:w="4609"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AD2806">
        <w:tc>
          <w:tcPr>
            <w:tcW w:w="4609"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D2806" w:rsidRDefault="00FD2FB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49,700,839.62</w:t>
            </w:r>
          </w:p>
        </w:tc>
      </w:tr>
    </w:tbl>
    <w:p w:rsidR="00AD2806" w:rsidRDefault="00FD2FB7">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AD2806" w:rsidRDefault="00FD2FB7">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AD2806" w:rsidRDefault="00FD2FB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AD2806" w:rsidRDefault="00AD2806">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AD2806" w:rsidRDefault="00FD2FB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1、中国证监会批准上投摩根优选多因子股票型证券投资基金设立的文件；</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2、《上投摩根优选多因子股票型证券投资基金基金合同》；</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3、《上投摩根优选多因子股票型证券投资基金托管协议》；</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4、《上投摩根开放式基金业务规则》；</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AD2806" w:rsidRDefault="00AD2806">
      <w:pPr>
        <w:spacing w:line="360" w:lineRule="auto"/>
        <w:ind w:firstLineChars="200" w:firstLine="480"/>
        <w:rPr>
          <w:rFonts w:asciiTheme="minorEastAsia" w:eastAsiaTheme="minorEastAsia" w:hAnsiTheme="minorEastAsia"/>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基金管理人处或基金托管人住所。</w:t>
      </w:r>
    </w:p>
    <w:p w:rsidR="00AD2806" w:rsidRDefault="00AD2806">
      <w:pPr>
        <w:spacing w:line="360" w:lineRule="auto"/>
        <w:ind w:firstLineChars="200" w:firstLine="480"/>
        <w:rPr>
          <w:rFonts w:asciiTheme="minorEastAsia" w:eastAsiaTheme="minorEastAsia" w:hAnsiTheme="minorEastAsia"/>
          <w:color w:val="000000" w:themeColor="text1"/>
          <w:sz w:val="24"/>
          <w:szCs w:val="24"/>
        </w:rPr>
      </w:pPr>
    </w:p>
    <w:p w:rsidR="00AD2806" w:rsidRDefault="00FD2FB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AD2806" w:rsidRDefault="00FD2FB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AD2806" w:rsidRDefault="00AD2806">
      <w:pPr>
        <w:spacing w:line="360" w:lineRule="auto"/>
        <w:ind w:left="840"/>
        <w:jc w:val="right"/>
        <w:rPr>
          <w:rFonts w:asciiTheme="minorEastAsia" w:eastAsiaTheme="minorEastAsia" w:hAnsiTheme="minorEastAsia"/>
          <w:color w:val="000000" w:themeColor="text1"/>
          <w:sz w:val="24"/>
          <w:szCs w:val="24"/>
        </w:rPr>
      </w:pPr>
    </w:p>
    <w:p w:rsidR="00AD2806" w:rsidRDefault="00AD2806">
      <w:pPr>
        <w:spacing w:line="360" w:lineRule="auto"/>
        <w:ind w:left="840"/>
        <w:jc w:val="right"/>
        <w:rPr>
          <w:rFonts w:asciiTheme="minorEastAsia" w:eastAsiaTheme="minorEastAsia" w:hAnsiTheme="minorEastAsia"/>
          <w:color w:val="000000" w:themeColor="text1"/>
          <w:sz w:val="24"/>
          <w:szCs w:val="24"/>
        </w:rPr>
      </w:pPr>
    </w:p>
    <w:p w:rsidR="00AD2806" w:rsidRDefault="00AD2806">
      <w:pPr>
        <w:spacing w:line="360" w:lineRule="auto"/>
        <w:ind w:left="840"/>
        <w:jc w:val="right"/>
        <w:rPr>
          <w:rFonts w:asciiTheme="minorEastAsia" w:eastAsiaTheme="minorEastAsia" w:hAnsiTheme="minorEastAsia"/>
          <w:color w:val="000000" w:themeColor="text1"/>
          <w:sz w:val="24"/>
          <w:szCs w:val="24"/>
        </w:rPr>
      </w:pPr>
    </w:p>
    <w:p w:rsidR="00AD2806" w:rsidRDefault="00AD2806">
      <w:pPr>
        <w:spacing w:line="360" w:lineRule="auto"/>
        <w:ind w:left="840"/>
        <w:jc w:val="right"/>
        <w:rPr>
          <w:rFonts w:asciiTheme="minorEastAsia" w:eastAsiaTheme="minorEastAsia" w:hAnsiTheme="minorEastAsia"/>
          <w:color w:val="000000" w:themeColor="text1"/>
          <w:sz w:val="24"/>
          <w:szCs w:val="24"/>
        </w:rPr>
      </w:pPr>
    </w:p>
    <w:p w:rsidR="00AD2806" w:rsidRDefault="00AD2806">
      <w:pPr>
        <w:spacing w:line="360" w:lineRule="auto"/>
        <w:ind w:left="840"/>
        <w:jc w:val="right"/>
        <w:rPr>
          <w:rFonts w:asciiTheme="minorEastAsia" w:eastAsiaTheme="minorEastAsia" w:hAnsiTheme="minorEastAsia"/>
          <w:color w:val="000000" w:themeColor="text1"/>
          <w:sz w:val="24"/>
          <w:szCs w:val="24"/>
        </w:rPr>
      </w:pPr>
    </w:p>
    <w:p w:rsidR="00AD2806" w:rsidRDefault="00AD2806">
      <w:pPr>
        <w:spacing w:line="360" w:lineRule="auto"/>
        <w:ind w:left="840"/>
        <w:jc w:val="right"/>
        <w:rPr>
          <w:rFonts w:asciiTheme="minorEastAsia" w:eastAsiaTheme="minorEastAsia" w:hAnsiTheme="minorEastAsia"/>
          <w:color w:val="000000" w:themeColor="text1"/>
          <w:sz w:val="24"/>
          <w:szCs w:val="24"/>
        </w:rPr>
      </w:pPr>
    </w:p>
    <w:p w:rsidR="00AD2806" w:rsidRDefault="00AD2806">
      <w:pPr>
        <w:spacing w:line="360" w:lineRule="auto"/>
        <w:ind w:left="840"/>
        <w:jc w:val="right"/>
        <w:rPr>
          <w:rFonts w:asciiTheme="minorEastAsia" w:eastAsiaTheme="minorEastAsia" w:hAnsiTheme="minorEastAsia"/>
          <w:color w:val="000000" w:themeColor="text1"/>
          <w:sz w:val="24"/>
          <w:szCs w:val="24"/>
        </w:rPr>
      </w:pPr>
    </w:p>
    <w:p w:rsidR="00AD2806" w:rsidRDefault="00AD2806">
      <w:pPr>
        <w:spacing w:line="360" w:lineRule="auto"/>
        <w:ind w:left="840"/>
        <w:jc w:val="right"/>
        <w:rPr>
          <w:rFonts w:asciiTheme="minorEastAsia" w:eastAsiaTheme="minorEastAsia" w:hAnsiTheme="minorEastAsia"/>
          <w:color w:val="000000" w:themeColor="text1"/>
          <w:sz w:val="24"/>
          <w:szCs w:val="24"/>
        </w:rPr>
      </w:pPr>
    </w:p>
    <w:p w:rsidR="00AD2806" w:rsidRDefault="00FD2FB7">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AD2806" w:rsidRDefault="00FD2FB7">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AD2806" w:rsidRDefault="00AD2806">
      <w:pPr>
        <w:spacing w:line="360" w:lineRule="auto"/>
        <w:ind w:left="840"/>
        <w:jc w:val="right"/>
        <w:rPr>
          <w:rFonts w:asciiTheme="minorEastAsia" w:eastAsiaTheme="minorEastAsia" w:hAnsiTheme="minorEastAsia"/>
          <w:b/>
          <w:bCs/>
          <w:color w:val="000000" w:themeColor="text1"/>
          <w:sz w:val="24"/>
          <w:szCs w:val="24"/>
        </w:rPr>
      </w:pPr>
    </w:p>
    <w:p w:rsidR="00AD2806" w:rsidRDefault="00AD2806">
      <w:pPr>
        <w:rPr>
          <w:rFonts w:asciiTheme="minorEastAsia" w:eastAsiaTheme="minorEastAsia" w:hAnsiTheme="minorEastAsia"/>
          <w:color w:val="000000" w:themeColor="text1"/>
          <w:sz w:val="24"/>
          <w:szCs w:val="24"/>
        </w:rPr>
      </w:pPr>
    </w:p>
    <w:sectPr w:rsidR="00AD2806">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80" w:rsidRDefault="00FD2FB7">
      <w:r>
        <w:separator/>
      </w:r>
    </w:p>
  </w:endnote>
  <w:endnote w:type="continuationSeparator" w:id="0">
    <w:p w:rsidR="00E37480" w:rsidRDefault="00FD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06" w:rsidRDefault="00FD2FB7">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2E08B9" w:rsidRPr="002E08B9">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06" w:rsidRDefault="00FD2FB7">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2E08B9">
      <w:rPr>
        <w:rStyle w:val="aff"/>
        <w:noProof/>
      </w:rPr>
      <w:t>2</w:t>
    </w:r>
    <w:r>
      <w:rPr>
        <w:rStyle w:val="aff"/>
      </w:rPr>
      <w:fldChar w:fldCharType="end"/>
    </w:r>
  </w:p>
  <w:p w:rsidR="00AD2806" w:rsidRDefault="00AD280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80" w:rsidRDefault="00FD2FB7">
      <w:r>
        <w:separator/>
      </w:r>
    </w:p>
  </w:footnote>
  <w:footnote w:type="continuationSeparator" w:id="0">
    <w:p w:rsidR="00E37480" w:rsidRDefault="00FD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06" w:rsidRDefault="00FD2FB7">
    <w:pPr>
      <w:pStyle w:val="af6"/>
      <w:pBdr>
        <w:bottom w:val="single" w:sz="6" w:space="0" w:color="auto"/>
      </w:pBdr>
      <w:jc w:val="right"/>
    </w:pPr>
    <w:r>
      <w:rPr>
        <w:rFonts w:hint="eastAsia"/>
      </w:rPr>
      <w:t>上投摩根优选多因子股票型证券投资基金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08B9"/>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D2806"/>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37480"/>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2FB7"/>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3CB17-661B-48B0-8D04-EBFC4E8B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107C1-AAE5-4EE9-B0F7-88101173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1044</Words>
  <Characters>5954</Characters>
  <Application>Microsoft Office Word</Application>
  <DocSecurity>0</DocSecurity>
  <Lines>49</Lines>
  <Paragraphs>13</Paragraphs>
  <ScaleCrop>false</ScaleCrop>
  <Company>Microsoft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266</cp:revision>
  <dcterms:created xsi:type="dcterms:W3CDTF">2012-10-16T06:07:00Z</dcterms:created>
  <dcterms:modified xsi:type="dcterms:W3CDTF">2020-01-17T07:22:00Z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