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上投摩根安通回报混合型证券投资基金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2020年第3季度报告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2020年9月30日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交通银行股份有限公司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二〇二〇年十月二十八日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基金托管人交通银行股份有限公司根据本基金合同规定，于2020年10月27日复核了本报告中的财务指标、净值表现和投资组合报告等内容，保证复核内容不存在虚假记载、误导性陈述或者重大遗漏。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本报告期自2020年7月1日起至9月30日止。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上投摩根安通回报混合</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004361</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2017年4月26日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572,114,937.67</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以追求稳健收益作为基金的投资目标，通过严格的风险控制，力争实现基金资产的稳健增值。</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1、资产配置策略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2、债券投资策略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3、股票投资策略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本基金将采用自下而上的分析方法，根据上市公司财务分析、盈利预期、治理结构等因素，结合股票的价值评估，以及对公司经营有实质性影响的事件，精选个股，构建投资组合。</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4、股指期货投资策略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本基金在进行股指期货投资时，将通过对证券市场和期货市场运行趋势的研究，并结合股指期货的定价模型寻求其合理的估值水平。</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5、股票期权投资策略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本基金将基于对证券市场的预判，并结合股指期权定价模型，选择估值合理的期权合约。</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6、资产支持证券投资策略</w:t>
            </w:r>
          </w:p>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沪深300指数收益率×15%+中证综合债券指数收益率×85%</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本基金属于混合型基金产品，预期风险和收益水平高于债券型基金和货币市场基金，低于股票型基金，属于中等风险收益水平的基金产品。</w:t>
            </w:r>
          </w:p>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交通银行股份有限公司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上投摩根安通回报混合A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上投摩根安通回报混合C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004361</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004362</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311,371,991.01</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260,742,946.66</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2020年7月1日-</w:t>
            </w:r>
            <w:proofErr w:type="spellStart"/>
            <w:r>
              <w:rPr>
                <w:rFonts w:eastAsiaTheme="minorEastAsia"/>
                <w:color w:themeColor="text1" w:val="000000"/>
                <w:szCs w:val="21"/>
              </w:rPr>
              <w:t/>
            </w:r>
            <w:proofErr w:type="spellEnd"/>
            <w:r>
              <w:rPr>
                <w:rFonts w:eastAsiaTheme="minorEastAsia"/>
                <w:color w:themeColor="text1" w:val="000000"/>
                <w:szCs w:val="21"/>
              </w:rPr>
              <w:t>2020年9月30日)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上投摩根安通回报混合A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上投摩根安通回报混合C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-2,009,731.55</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-2,421,789.45</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-3,738,621.75</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-4,276,083.64</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-0.0456</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-0.0592</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366,229,863.35</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300,984,631.92</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1.1762</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1.1543</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上投摩根安通回报混合A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2.41%</w:t>
            </w:r>
          </w:p>
        </w:tc>
        <w:tc>
          <w:tcPr>
            <w:vAlign w:val="center"/>
          </w:tcPr>
          <w:p>
            <w:pPr>
              <w:jc w:val="right"/>
            </w:pPr>
            <w:r>
              <w:rPr>
                <w:rFonts w:eastAsiaTheme="minorEastAsia"/>
                <w:color w:themeColor="text1" w:val="000000"/>
                <w:szCs w:val="21"/>
              </w:rPr>
              <w:t>0.55%</w:t>
            </w:r>
          </w:p>
        </w:tc>
        <w:tc>
          <w:tcPr>
            <w:vAlign w:val="center"/>
          </w:tcPr>
          <w:p>
            <w:pPr>
              <w:jc w:val="right"/>
            </w:pPr>
            <w:r>
              <w:rPr>
                <w:rFonts w:eastAsiaTheme="minorEastAsia"/>
                <w:color w:themeColor="text1" w:val="000000"/>
                <w:szCs w:val="21"/>
              </w:rPr>
              <w:t>1.04%</w:t>
            </w:r>
          </w:p>
        </w:tc>
        <w:tc>
          <w:tcPr>
            <w:vAlign w:val="center"/>
          </w:tcPr>
          <w:p>
            <w:pPr>
              <w:jc w:val="right"/>
            </w:pPr>
            <w:r>
              <w:rPr>
                <w:rFonts w:eastAsiaTheme="minorEastAsia"/>
                <w:color w:themeColor="text1" w:val="000000"/>
                <w:szCs w:val="21"/>
              </w:rPr>
              <w:t>0.23%</w:t>
            </w:r>
          </w:p>
        </w:tc>
        <w:tc>
          <w:tcPr>
            <w:vAlign w:val="center"/>
          </w:tcPr>
          <w:p>
            <w:pPr>
              <w:jc w:val="right"/>
            </w:pPr>
            <w:r>
              <w:rPr>
                <w:rFonts w:eastAsiaTheme="minorEastAsia"/>
                <w:color w:themeColor="text1" w:val="000000"/>
                <w:szCs w:val="21"/>
              </w:rPr>
              <w:t>1.37%</w:t>
            </w:r>
          </w:p>
        </w:tc>
        <w:tc>
          <w:tcPr>
            <w:vAlign w:val="center"/>
          </w:tcPr>
          <w:p>
            <w:pPr>
              <w:jc w:val="right"/>
            </w:pPr>
            <w:r>
              <w:rPr>
                <w:rFonts w:eastAsiaTheme="minorEastAsia"/>
                <w:color w:themeColor="text1" w:val="000000"/>
                <w:szCs w:val="21"/>
              </w:rPr>
              <w:t>0.32%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4.12%</w:t>
            </w:r>
          </w:p>
        </w:tc>
        <w:tc>
          <w:tcPr>
            <w:vAlign w:val="center"/>
          </w:tcPr>
          <w:p>
            <w:pPr>
              <w:jc w:val="right"/>
            </w:pPr>
            <w:r>
              <w:rPr>
                <w:rFonts w:eastAsiaTheme="minorEastAsia"/>
                <w:color w:themeColor="text1" w:val="000000"/>
                <w:szCs w:val="21"/>
              </w:rPr>
              <w:t>0.45%</w:t>
            </w:r>
          </w:p>
        </w:tc>
        <w:tc>
          <w:tcPr>
            <w:vAlign w:val="center"/>
          </w:tcPr>
          <w:p>
            <w:pPr>
              <w:jc w:val="right"/>
            </w:pPr>
            <w:r>
              <w:rPr>
                <w:rFonts w:eastAsiaTheme="minorEastAsia"/>
                <w:color w:themeColor="text1" w:val="000000"/>
                <w:szCs w:val="21"/>
              </w:rPr>
              <w:t>2.96%</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1.16%</w:t>
            </w:r>
          </w:p>
        </w:tc>
        <w:tc>
          <w:tcPr>
            <w:vAlign w:val="center"/>
          </w:tcPr>
          <w:p>
            <w:pPr>
              <w:jc w:val="right"/>
            </w:pPr>
            <w:r>
              <w:rPr>
                <w:rFonts w:eastAsiaTheme="minorEastAsia"/>
                <w:color w:themeColor="text1" w:val="000000"/>
                <w:szCs w:val="21"/>
              </w:rPr>
              <w:t>0.25%</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9.39%</w:t>
            </w:r>
          </w:p>
        </w:tc>
        <w:tc>
          <w:tcPr>
            <w:vAlign w:val="center"/>
          </w:tcPr>
          <w:p>
            <w:pPr>
              <w:jc w:val="right"/>
            </w:pPr>
            <w:r>
              <w:rPr>
                <w:rFonts w:eastAsiaTheme="minorEastAsia"/>
                <w:color w:themeColor="text1" w:val="000000"/>
                <w:szCs w:val="21"/>
              </w:rPr>
              <w:t>0.51%</w:t>
            </w:r>
          </w:p>
        </w:tc>
        <w:tc>
          <w:tcPr>
            <w:vAlign w:val="center"/>
          </w:tcPr>
          <w:p>
            <w:pPr>
              <w:jc w:val="right"/>
            </w:pPr>
            <w:r>
              <w:rPr>
                <w:rFonts w:eastAsiaTheme="minorEastAsia"/>
                <w:color w:themeColor="text1" w:val="000000"/>
                <w:szCs w:val="21"/>
              </w:rPr>
              <w:t>5.56%</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3.83%</w:t>
            </w:r>
          </w:p>
        </w:tc>
        <w:tc>
          <w:tcPr>
            <w:vAlign w:val="center"/>
          </w:tcPr>
          <w:p>
            <w:pPr>
              <w:jc w:val="right"/>
            </w:pPr>
            <w:r>
              <w:rPr>
                <w:rFonts w:eastAsiaTheme="minorEastAsia"/>
                <w:color w:themeColor="text1" w:val="000000"/>
                <w:szCs w:val="21"/>
              </w:rPr>
              <w:t>0.31%</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16.13%</w:t>
            </w:r>
          </w:p>
        </w:tc>
        <w:tc>
          <w:tcPr>
            <w:vAlign w:val="center"/>
          </w:tcPr>
          <w:p>
            <w:pPr>
              <w:jc w:val="right"/>
            </w:pPr>
            <w:r>
              <w:rPr>
                <w:rFonts w:eastAsiaTheme="minorEastAsia"/>
                <w:color w:themeColor="text1" w:val="000000"/>
                <w:szCs w:val="21"/>
              </w:rPr>
              <w:t>0.36%</w:t>
            </w:r>
          </w:p>
        </w:tc>
        <w:tc>
          <w:tcPr>
            <w:vAlign w:val="center"/>
          </w:tcPr>
          <w:p>
            <w:pPr>
              <w:jc w:val="right"/>
            </w:pPr>
            <w:r>
              <w:rPr>
                <w:rFonts w:eastAsiaTheme="minorEastAsia"/>
                <w:color w:themeColor="text1" w:val="000000"/>
                <w:szCs w:val="21"/>
              </w:rPr>
              <w:t>15.34%</w:t>
            </w:r>
          </w:p>
        </w:tc>
        <w:tc>
          <w:tcPr>
            <w:vAlign w:val="center"/>
          </w:tcPr>
          <w:p>
            <w:pPr>
              <w:jc w:val="right"/>
            </w:pPr>
            <w:r>
              <w:rPr>
                <w:rFonts w:eastAsiaTheme="minorEastAsia"/>
                <w:color w:themeColor="text1" w:val="000000"/>
                <w:szCs w:val="21"/>
              </w:rPr>
              <w:t>0.19%</w:t>
            </w:r>
          </w:p>
        </w:tc>
        <w:tc>
          <w:tcPr>
            <w:vAlign w:val="center"/>
          </w:tcPr>
          <w:p>
            <w:pPr>
              <w:jc w:val="right"/>
            </w:pPr>
            <w:r>
              <w:rPr>
                <w:rFonts w:eastAsiaTheme="minorEastAsia"/>
                <w:color w:themeColor="text1" w:val="000000"/>
                <w:szCs w:val="21"/>
              </w:rPr>
              <w:t>0.79%</w:t>
            </w:r>
          </w:p>
        </w:tc>
        <w:tc>
          <w:tcPr>
            <w:vAlign w:val="center"/>
          </w:tcPr>
          <w:p>
            <w:pPr>
              <w:jc w:val="right"/>
            </w:pPr>
            <w:r>
              <w:rPr>
                <w:rFonts w:eastAsiaTheme="minorEastAsia"/>
                <w:color w:themeColor="text1" w:val="000000"/>
                <w:szCs w:val="21"/>
              </w:rPr>
              <w:t>0.17%</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21.17%</w:t>
            </w:r>
          </w:p>
        </w:tc>
        <w:tc>
          <w:tcPr>
            <w:vAlign w:val="center"/>
          </w:tcPr>
          <w:p>
            <w:pPr>
              <w:jc w:val="right"/>
            </w:pPr>
            <w:r>
              <w:rPr>
                <w:rFonts w:eastAsiaTheme="minorEastAsia"/>
                <w:color w:themeColor="text1" w:val="000000"/>
                <w:szCs w:val="21"/>
              </w:rPr>
              <w:t>0.34%</w:t>
            </w:r>
          </w:p>
        </w:tc>
        <w:tc>
          <w:tcPr>
            <w:vAlign w:val="center"/>
          </w:tcPr>
          <w:p>
            <w:pPr>
              <w:jc w:val="right"/>
            </w:pPr>
            <w:r>
              <w:rPr>
                <w:rFonts w:eastAsiaTheme="minorEastAsia"/>
                <w:color w:themeColor="text1" w:val="000000"/>
                <w:szCs w:val="21"/>
              </w:rPr>
              <w:t>18.56%</w:t>
            </w:r>
          </w:p>
        </w:tc>
        <w:tc>
          <w:tcPr>
            <w:vAlign w:val="center"/>
          </w:tcPr>
          <w:p>
            <w:pPr>
              <w:jc w:val="right"/>
            </w:pPr>
            <w:r>
              <w:rPr>
                <w:rFonts w:eastAsiaTheme="minorEastAsia"/>
                <w:color w:themeColor="text1" w:val="000000"/>
                <w:szCs w:val="21"/>
              </w:rPr>
              <w:t>0.18%</w:t>
            </w:r>
          </w:p>
        </w:tc>
        <w:tc>
          <w:tcPr>
            <w:vAlign w:val="center"/>
          </w:tcPr>
          <w:p>
            <w:pPr>
              <w:jc w:val="right"/>
            </w:pPr>
            <w:r>
              <w:rPr>
                <w:rFonts w:eastAsiaTheme="minorEastAsia"/>
                <w:color w:themeColor="text1" w:val="000000"/>
                <w:szCs w:val="21"/>
              </w:rPr>
              <w:t>2.61%</w:t>
            </w:r>
          </w:p>
        </w:tc>
        <w:tc>
          <w:tcPr>
            <w:vAlign w:val="center"/>
          </w:tcPr>
          <w:p>
            <w:pPr>
              <w:jc w:val="right"/>
            </w:pPr>
            <w:r>
              <w:rPr>
                <w:rFonts w:eastAsiaTheme="minorEastAsia"/>
                <w:color w:themeColor="text1" w:val="000000"/>
                <w:szCs w:val="21"/>
              </w:rPr>
              <w:t>0.16%</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上投摩根安通回报混合C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2.28%</w:t>
            </w:r>
          </w:p>
        </w:tc>
        <w:tc>
          <w:tcPr>
            <w:vAlign w:val="center"/>
          </w:tcPr>
          <w:p>
            <w:pPr>
              <w:jc w:val="right"/>
            </w:pPr>
            <w:r>
              <w:rPr>
                <w:rFonts w:eastAsiaTheme="minorEastAsia"/>
                <w:color w:themeColor="text1" w:val="000000"/>
                <w:szCs w:val="21"/>
              </w:rPr>
              <w:t>0.55%</w:t>
            </w:r>
          </w:p>
        </w:tc>
        <w:tc>
          <w:tcPr>
            <w:vAlign w:val="center"/>
          </w:tcPr>
          <w:p>
            <w:pPr>
              <w:jc w:val="right"/>
            </w:pPr>
            <w:r>
              <w:rPr>
                <w:rFonts w:eastAsiaTheme="minorEastAsia"/>
                <w:color w:themeColor="text1" w:val="000000"/>
                <w:szCs w:val="21"/>
              </w:rPr>
              <w:t>1.04%</w:t>
            </w:r>
          </w:p>
        </w:tc>
        <w:tc>
          <w:tcPr>
            <w:vAlign w:val="center"/>
          </w:tcPr>
          <w:p>
            <w:pPr>
              <w:jc w:val="right"/>
            </w:pPr>
            <w:r>
              <w:rPr>
                <w:rFonts w:eastAsiaTheme="minorEastAsia"/>
                <w:color w:themeColor="text1" w:val="000000"/>
                <w:szCs w:val="21"/>
              </w:rPr>
              <w:t>0.23%</w:t>
            </w:r>
          </w:p>
        </w:tc>
        <w:tc>
          <w:tcPr>
            <w:vAlign w:val="center"/>
          </w:tcPr>
          <w:p>
            <w:pPr>
              <w:jc w:val="right"/>
            </w:pPr>
            <w:r>
              <w:rPr>
                <w:rFonts w:eastAsiaTheme="minorEastAsia"/>
                <w:color w:themeColor="text1" w:val="000000"/>
                <w:szCs w:val="21"/>
              </w:rPr>
              <w:t>1.24%</w:t>
            </w:r>
          </w:p>
        </w:tc>
        <w:tc>
          <w:tcPr>
            <w:vAlign w:val="center"/>
          </w:tcPr>
          <w:p>
            <w:pPr>
              <w:jc w:val="right"/>
            </w:pPr>
            <w:r>
              <w:rPr>
                <w:rFonts w:eastAsiaTheme="minorEastAsia"/>
                <w:color w:themeColor="text1" w:val="000000"/>
                <w:szCs w:val="21"/>
              </w:rPr>
              <w:t>0.32%</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3.85%</w:t>
            </w:r>
          </w:p>
        </w:tc>
        <w:tc>
          <w:tcPr>
            <w:vAlign w:val="center"/>
          </w:tcPr>
          <w:p>
            <w:pPr>
              <w:jc w:val="right"/>
            </w:pPr>
            <w:r>
              <w:rPr>
                <w:rFonts w:eastAsiaTheme="minorEastAsia"/>
                <w:color w:themeColor="text1" w:val="000000"/>
                <w:szCs w:val="21"/>
              </w:rPr>
              <w:t>0.45%</w:t>
            </w:r>
          </w:p>
        </w:tc>
        <w:tc>
          <w:tcPr>
            <w:vAlign w:val="center"/>
          </w:tcPr>
          <w:p>
            <w:pPr>
              <w:jc w:val="right"/>
            </w:pPr>
            <w:r>
              <w:rPr>
                <w:rFonts w:eastAsiaTheme="minorEastAsia"/>
                <w:color w:themeColor="text1" w:val="000000"/>
                <w:szCs w:val="21"/>
              </w:rPr>
              <w:t>2.96%</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0.89%</w:t>
            </w:r>
          </w:p>
        </w:tc>
        <w:tc>
          <w:tcPr>
            <w:vAlign w:val="center"/>
          </w:tcPr>
          <w:p>
            <w:pPr>
              <w:jc w:val="right"/>
            </w:pPr>
            <w:r>
              <w:rPr>
                <w:rFonts w:eastAsiaTheme="minorEastAsia"/>
                <w:color w:themeColor="text1" w:val="000000"/>
                <w:szCs w:val="21"/>
              </w:rPr>
              <w:t>0.25%</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8.82%</w:t>
            </w:r>
          </w:p>
        </w:tc>
        <w:tc>
          <w:tcPr>
            <w:vAlign w:val="center"/>
          </w:tcPr>
          <w:p>
            <w:pPr>
              <w:jc w:val="right"/>
            </w:pPr>
            <w:r>
              <w:rPr>
                <w:rFonts w:eastAsiaTheme="minorEastAsia"/>
                <w:color w:themeColor="text1" w:val="000000"/>
                <w:szCs w:val="21"/>
              </w:rPr>
              <w:t>0.51%</w:t>
            </w:r>
          </w:p>
        </w:tc>
        <w:tc>
          <w:tcPr>
            <w:vAlign w:val="center"/>
          </w:tcPr>
          <w:p>
            <w:pPr>
              <w:jc w:val="right"/>
            </w:pPr>
            <w:r>
              <w:rPr>
                <w:rFonts w:eastAsiaTheme="minorEastAsia"/>
                <w:color w:themeColor="text1" w:val="000000"/>
                <w:szCs w:val="21"/>
              </w:rPr>
              <w:t>5.56%</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3.26%</w:t>
            </w:r>
          </w:p>
        </w:tc>
        <w:tc>
          <w:tcPr>
            <w:vAlign w:val="center"/>
          </w:tcPr>
          <w:p>
            <w:pPr>
              <w:jc w:val="right"/>
            </w:pPr>
            <w:r>
              <w:rPr>
                <w:rFonts w:eastAsiaTheme="minorEastAsia"/>
                <w:color w:themeColor="text1" w:val="000000"/>
                <w:szCs w:val="21"/>
              </w:rPr>
              <w:t>0.31%</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14.13%</w:t>
            </w:r>
          </w:p>
        </w:tc>
        <w:tc>
          <w:tcPr>
            <w:vAlign w:val="center"/>
          </w:tcPr>
          <w:p>
            <w:pPr>
              <w:jc w:val="right"/>
            </w:pPr>
            <w:r>
              <w:rPr>
                <w:rFonts w:eastAsiaTheme="minorEastAsia"/>
                <w:color w:themeColor="text1" w:val="000000"/>
                <w:szCs w:val="21"/>
              </w:rPr>
              <w:t>0.36%</w:t>
            </w:r>
          </w:p>
        </w:tc>
        <w:tc>
          <w:tcPr>
            <w:vAlign w:val="center"/>
          </w:tcPr>
          <w:p>
            <w:pPr>
              <w:jc w:val="right"/>
            </w:pPr>
            <w:r>
              <w:rPr>
                <w:rFonts w:eastAsiaTheme="minorEastAsia"/>
                <w:color w:themeColor="text1" w:val="000000"/>
                <w:szCs w:val="21"/>
              </w:rPr>
              <w:t>15.34%</w:t>
            </w:r>
          </w:p>
        </w:tc>
        <w:tc>
          <w:tcPr>
            <w:vAlign w:val="center"/>
          </w:tcPr>
          <w:p>
            <w:pPr>
              <w:jc w:val="right"/>
            </w:pPr>
            <w:r>
              <w:rPr>
                <w:rFonts w:eastAsiaTheme="minorEastAsia"/>
                <w:color w:themeColor="text1" w:val="000000"/>
                <w:szCs w:val="21"/>
              </w:rPr>
              <w:t>0.19%</w:t>
            </w:r>
          </w:p>
        </w:tc>
        <w:tc>
          <w:tcPr>
            <w:vAlign w:val="center"/>
          </w:tcPr>
          <w:p>
            <w:pPr>
              <w:jc w:val="right"/>
            </w:pPr>
            <w:r>
              <w:rPr>
                <w:rFonts w:eastAsiaTheme="minorEastAsia"/>
                <w:color w:themeColor="text1" w:val="000000"/>
                <w:szCs w:val="21"/>
              </w:rPr>
              <w:t>-1.21%</w:t>
            </w:r>
          </w:p>
        </w:tc>
        <w:tc>
          <w:tcPr>
            <w:vAlign w:val="center"/>
          </w:tcPr>
          <w:p>
            <w:pPr>
              <w:jc w:val="right"/>
            </w:pPr>
            <w:r>
              <w:rPr>
                <w:rFonts w:eastAsiaTheme="minorEastAsia"/>
                <w:color w:themeColor="text1" w:val="000000"/>
                <w:szCs w:val="21"/>
              </w:rPr>
              <w:t>0.17%</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18.68%</w:t>
            </w:r>
          </w:p>
        </w:tc>
        <w:tc>
          <w:tcPr>
            <w:vAlign w:val="center"/>
          </w:tcPr>
          <w:p>
            <w:pPr>
              <w:jc w:val="right"/>
            </w:pPr>
            <w:r>
              <w:rPr>
                <w:rFonts w:eastAsiaTheme="minorEastAsia"/>
                <w:color w:themeColor="text1" w:val="000000"/>
                <w:szCs w:val="21"/>
              </w:rPr>
              <w:t>0.34%</w:t>
            </w:r>
          </w:p>
        </w:tc>
        <w:tc>
          <w:tcPr>
            <w:vAlign w:val="center"/>
          </w:tcPr>
          <w:p>
            <w:pPr>
              <w:jc w:val="right"/>
            </w:pPr>
            <w:r>
              <w:rPr>
                <w:rFonts w:eastAsiaTheme="minorEastAsia"/>
                <w:color w:themeColor="text1" w:val="000000"/>
                <w:szCs w:val="21"/>
              </w:rPr>
              <w:t>18.56%</w:t>
            </w:r>
          </w:p>
        </w:tc>
        <w:tc>
          <w:tcPr>
            <w:vAlign w:val="center"/>
          </w:tcPr>
          <w:p>
            <w:pPr>
              <w:jc w:val="right"/>
            </w:pPr>
            <w:r>
              <w:rPr>
                <w:rFonts w:eastAsiaTheme="minorEastAsia"/>
                <w:color w:themeColor="text1" w:val="000000"/>
                <w:szCs w:val="21"/>
              </w:rPr>
              <w:t>0.18%</w:t>
            </w:r>
          </w:p>
        </w:tc>
        <w:tc>
          <w:tcPr>
            <w:vAlign w:val="center"/>
          </w:tcPr>
          <w:p>
            <w:pPr>
              <w:jc w:val="right"/>
            </w:pPr>
            <w:r>
              <w:rPr>
                <w:rFonts w:eastAsiaTheme="minorEastAsia"/>
                <w:color w:themeColor="text1" w:val="000000"/>
                <w:szCs w:val="21"/>
              </w:rPr>
              <w:t>0.12%</w:t>
            </w:r>
          </w:p>
        </w:tc>
        <w:tc>
          <w:tcPr>
            <w:vAlign w:val="center"/>
          </w:tcPr>
          <w:p>
            <w:pPr>
              <w:jc w:val="right"/>
            </w:pPr>
            <w:r>
              <w:rPr>
                <w:rFonts w:eastAsiaTheme="minorEastAsia"/>
                <w:color w:themeColor="text1" w:val="000000"/>
                <w:szCs w:val="21"/>
              </w:rPr>
              <w:t>0.16%</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上投摩根安通回报混合型证券投资基金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2017年4月26日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2020年9月30日)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上投摩根安通回报混合A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注：本基金合同生效日为2017年4月26日，图示时间段为2017年4月26日至2020年9月30日。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本基金建仓期自2017年4月26日至2017年10月25日，建仓期结束时资产配置比例符合本基金基金合同规定。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上投摩根安通回报混合C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注：本基金合同生效日为2017年4月26日，图示时间段为2017年4月26日至2020年9月30日。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本基金建仓期自2017年4月26日至2017年10月25日，建仓期结束时资产配置比例符合本基金基金合同规定。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聂曙光</w:t>
            </w:r>
          </w:p>
        </w:tc>
        <w:tc>
          <w:tcPr>
            <w:vAlign w:val="center"/>
          </w:tcPr>
          <w:p>
            <w:pPr>
              <w:jc w:val="center"/>
            </w:pPr>
            <w:r>
              <w:rPr>
                <w:rFonts w:eastAsiaTheme="minorEastAsia"/>
                <w:color w:themeColor="text1" w:val="000000"/>
                <w:szCs w:val="21"/>
              </w:rPr>
              <w:t>本基金基金经理、债券投资部总监</w:t>
            </w:r>
          </w:p>
        </w:tc>
        <w:tc>
          <w:tcPr>
            <w:vAlign w:val="center"/>
          </w:tcPr>
          <w:p>
            <w:pPr>
              <w:jc w:val="center"/>
            </w:pPr>
            <w:r>
              <w:rPr>
                <w:rFonts w:eastAsiaTheme="minorEastAsia"/>
                <w:color w:themeColor="text1" w:val="000000"/>
                <w:szCs w:val="21"/>
              </w:rPr>
              <w:t>2017-04-26</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15年</w:t>
            </w:r>
          </w:p>
        </w:tc>
        <w:tc>
          <w:tcPr>
            <w:vAlign w:val="center"/>
          </w:tcPr>
          <w:p>
            <w:pPr>
              <w:jc w:val="both"/>
            </w:pPr>
            <w:r>
              <w:rPr>
                <w:rFonts w:eastAsiaTheme="minorEastAsia"/>
                <w:color w:themeColor="text1" w:val="000000"/>
                <w:szCs w:val="21"/>
              </w:rPr>
              <w:t>聂曙光先生，自2004年8月至2006年3月在南京银行任债券分析师；2006年3月至2009年9月在兴业银行任债券投资经理；2009年9月至2014年5月在中欧基金管理有限公司先后担任研究员、基金经理助理、基金经理、固定收益部总监、固定收益事业部临时负责人等职务，自2014年5月起加入上投摩根基金管理有限公司，先后担任基金经理、债券投资部总监兼资深基金经理，自2014年8月起担任上投摩根纯债债券型证券投资基金基金经理，自2014年10月起担任上投摩根红利回报混合型证券投资基金基金经理，自2014年11月起担任上投摩根纯债丰利债券型证券投资基金基金经理，自2015年1月起同时担任上投摩根稳进回报混合型证券投资基金基金经理，自2015年4月至2018年11月同时担任上投摩根天颐年丰混合型证券投资基金基金经理，自2016年6月至2020年1月同时担任上投摩根优信增利债券型证券投资基金基金经理，自2016年8月至2020年7月同时担任上投摩根安鑫回报混合型证券投资基金基金经理，2016年8月至2018年9月担任上投摩根岁岁丰定期开放债券型证券投资基金基金经理，自2017年1月至2018年12月同时担任上投摩根安瑞回报混合型证券投资基金基金经理，自2017年4月起同时担任上投摩根安通回报混合型证券投资基金基金经理，自2018年9月至2020年5月同时担任上投摩根安裕回报混合型证券投资基金基金经理，自2019年8月起同时担任上投摩根岁岁益定期开放债券型证券投资基金和上投摩根丰瑞债券型证券投资基金基金经理，自2020年8月起同时担任上投摩根瑞盛87个月定期开放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2. 聂曙光先生为本基金首任基金经理，其任职日期为本基金基金合同生效之日；</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3.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安通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2020年三季度，股票市场宽幅震荡，上证综指上涨7.82%，创业板指上涨5.6%，表现弱于主板。债券市场延续跌势，利率债各期限收益率持续上行，10年期国债/国开债分别上行30bp/60bp；而信用债调整幅度较小。7-9月经济指标整体延续恢复，改善力度边际放缓；增长结构上，房地产土地成交与新房销售较好，资金端改善支撑基建投资稳健反弹，汽车产销同步出现大幅改善。消费整体修复偏缓。年内实际GDP同比延续反弹。央行货币政策表述更趋中性，总量上，下半年社融、新增信贷增速面临回落；价格工具上，短端利率趋于稳定，9月季末资金面平稳度过。海外疫情虽有反弹，但并未出现大力度的经济关停政策，疫苗相关进展积极。</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本基金在报告期内债券部分以短久期高等级信用债配置为主，权益仓位维持中性偏高的配置。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展望四季度，国内经济预计继续缓慢恢复。全国疫情基本受控，虽有局部发生但不会改变整体局势，疫苗研制进展良好。对于国内来说，为了控制宏观杠杆率因疫情导致的快速上升，货币政策早已向回归常态转变，但出现过紧的可能性不高。由于货币政策的收紧，以及中芯、蚂蚁等大盘股的发行，股市和债市在三季度同时承压。后续市场走势预计将回归由基本面驱动。</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本基金将继续保持当前的股票和债券配置，力争提供稳健收益。</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本报告期安通回报A份额净值增长率为:2.41%，同期业绩比较基准收益率为:1.04%,</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安通回报C份额净值增长率为:2.28%，同期业绩比较基准收益率为:1.04%。</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报告期内，本基金存在连续六十个工作日基金资产净值低于五千万元的情况，出现该情况的时间范围为2018年11月22日至2020年08月31日。</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基金管理人拟调整本基金运作方式，加大营销力度，提升基金规模，方案已报监管机关。</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165,381,076.88</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23.11</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165,381,076.88</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23.11</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488,202,361.40</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68.22</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488,202,361.40</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68.22</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50,227,375.32</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7.02</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11,814,587.23</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1.65</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715,625,400.83</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1ECAE379" w14:textId="77777777" w:rsidR="005E6DF3">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0AC96F6A"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代码</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CC3FED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3615377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FD4EF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占基金资产净值比例（％）</w:t>
            </w:r>
          </w:p>
        </w:tc>
      </w:tr>
      <w:tr w14:paraId="6590882E"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8563F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058A7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1A64B2"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95D170"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374162"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4C54C6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0105F96"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1F2FCD7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07E93AA0" w14:textId="77777777" w:rsidR="005E6DF3" w:rsidRDefault="005E6DF3">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97AC60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160C7D7F" w14:textId="77777777" w:rsidR="005E6DF3" w:rsidRDefault="005E6DF3">
            <w:pPr>
              <w:jc w:val="right"/>
              <w:rPr>
                <w:rFonts w:eastAsiaTheme="minorEastAsia"/>
                <w:color w:themeColor="text1" w:val="000000"/>
                <w:szCs w:val="21"/>
              </w:rPr>
            </w:pPr>
          </w:p>
        </w:tc>
      </w:tr>
      <w:tr w14:paraId="75458CB8"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AD43B0B"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AEA0B4F"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3FC0A8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106,605,178.41</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071F3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15.98</w:t>
            </w:r>
          </w:p>
        </w:tc>
      </w:tr>
      <w:tr w14:paraId="4409511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83465D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D3360F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171AB8BF"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72E3DE4"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r>
      <w:tr w14:paraId="51906F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4796D9F"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16F4D6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F9E7D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F4051D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327CAE1"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D01770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3F321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705B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4,078,608.47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46CF60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0.61</w:t>
            </w:r>
          </w:p>
        </w:tc>
      </w:tr>
      <w:tr w14:paraId="60915CC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9EED2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3FC119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683A7D7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2,466,377.00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ECAC0E" w14:textId="77777777" w:rsidR="005E6DF3" w:rsidRDefault="005C671B">
            <w:pPr>
              <w:jc w:val="right"/>
              <w:rPr>
                <w:rFonts w:eastAsiaTheme="minorEastAsia"/>
                <w:color w:themeColor="text1" w:val="000000"/>
                <w:szCs w:val="21"/>
              </w:rPr>
            </w:pPr>
            <w:r>
              <w:rPr>
                <w:rFonts w:eastAsiaTheme="minorEastAsia"/>
                <w:color w:themeColor="text1" w:val="000000"/>
                <w:szCs w:val="21"/>
              </w:rPr>
              <w:t>0.37</w:t>
            </w:r>
          </w:p>
        </w:tc>
      </w:tr>
      <w:tr w14:paraId="32E073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A1AB1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2C846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E0BD2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2C5A1E4"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3DC29D8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AAC80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lastRenderedPageBreak/>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DC7F275"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1AAD446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8,491,214.00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425EB5A" w14:textId="77777777" w:rsidR="005E6DF3" w:rsidRDefault="005C671B">
            <w:pPr>
              <w:jc w:val="right"/>
              <w:rPr>
                <w:rFonts w:eastAsiaTheme="minorEastAsia"/>
                <w:color w:themeColor="text1" w:val="000000"/>
                <w:szCs w:val="21"/>
              </w:rPr>
            </w:pPr>
            <w:r>
              <w:rPr>
                <w:rFonts w:eastAsiaTheme="minorEastAsia"/>
                <w:color w:themeColor="text1" w:val="000000"/>
                <w:szCs w:val="21"/>
              </w:rPr>
              <w:t>1.27</w:t>
            </w:r>
          </w:p>
        </w:tc>
      </w:tr>
      <w:tr w14:paraId="227F68A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E2343D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9EDDD6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548E7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20,709,301.00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EA4C56"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3.10</w:t>
            </w:r>
          </w:p>
        </w:tc>
      </w:tr>
      <w:tr w14:paraId="070935FD"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CDF3168"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977089E"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16928B3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9,438,403.00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F2789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1.41</w:t>
            </w:r>
          </w:p>
        </w:tc>
      </w:tr>
      <w:tr w14:paraId="259E14B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768EB6D"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F1C7722"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213389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5,323,775.00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6E6ED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0.80</w:t>
            </w:r>
          </w:p>
        </w:tc>
      </w:tr>
      <w:tr w14:paraId="5343ADB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8E046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4ACACA"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3528125"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2,358,240.00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1598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0.35</w:t>
            </w:r>
          </w:p>
        </w:tc>
      </w:tr>
      <w:tr w14:paraId="6808911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6CF98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DACE5D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6CFB2FDE"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2,483,600.00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B6836BB" w14:textId="77777777" w:rsidR="005E6DF3" w:rsidRDefault="005C671B">
            <w:pPr>
              <w:jc w:val="right"/>
              <w:rPr>
                <w:rFonts w:eastAsiaTheme="minorEastAsia"/>
                <w:color w:themeColor="text1" w:val="000000"/>
                <w:szCs w:val="21"/>
              </w:rPr>
            </w:pPr>
            <w:r>
              <w:rPr>
                <w:rFonts w:eastAsiaTheme="minorEastAsia"/>
                <w:color w:themeColor="text1" w:val="000000"/>
                <w:szCs w:val="21"/>
              </w:rPr>
              <w:t>0.37</w:t>
            </w:r>
          </w:p>
        </w:tc>
      </w:tr>
      <w:tr w14:paraId="29DA128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BB38550"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0E130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3FB9EA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70304C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4AD531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E061B57"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539EF7"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120632B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2D446D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D8DAA0"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5A1FD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483ECF1"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0425CD1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3,426,380.00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39C8CB"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0.51</w:t>
            </w:r>
          </w:p>
        </w:tc>
      </w:tr>
      <w:tr w14:paraId="14DA41B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24825E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4E22F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40AC1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01731B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5E36F96"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4190C3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FF55FB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2366457F"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584E21E"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21DEFFE9"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13CD3C4" w14:textId="77777777" w:rsidR="005E6DF3" w:rsidRDefault="005E6DF3">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0594CCD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3883F8C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165,381,076.88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EBB08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24.79</w:t>
            </w:r>
          </w:p>
        </w:tc>
      </w:tr>
    </w:tbl>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1276"/>
        <w:gridCol w:w="1701"/>
        <w:gridCol w:w="1276"/>
        <w:gridCol w:w="1842"/>
        <w:gridCol w:w="1616"/>
      </w:tblGrid>
      <w:tr w14:paraId="0ED22E2B" w14:textId="77777777" w:rsidR="005E6DF3">
        <w:tc>
          <w:tcPr>
            <w:tcW w:type="dxa" w:w="817"/>
            <w:vAlign w:val="center"/>
          </w:tcPr>
          <w:p w14:paraId="4F43E9C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1276"/>
            <w:vAlign w:val="center"/>
          </w:tcPr>
          <w:p w14:paraId="7B6D212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股票代码</w:t>
            </w:r>
          </w:p>
        </w:tc>
        <w:tc>
          <w:tcPr>
            <w:tcW w:type="dxa" w:w="1701"/>
            <w:vAlign w:val="center"/>
          </w:tcPr>
          <w:p w14:paraId="249CF00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股票名称</w:t>
            </w:r>
          </w:p>
        </w:tc>
        <w:tc>
          <w:tcPr>
            <w:tcW w:type="dxa" w:w="1276"/>
            <w:vAlign w:val="center"/>
          </w:tcPr>
          <w:p w14:paraId="33B09B3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数量</w:t>
            </w:r>
            <w:r>
              <w:rPr>
                <w:rFonts w:eastAsiaTheme="minorEastAsia"/>
                <w:color w:themeColor="text1" w:val="000000"/>
                <w:szCs w:val="21"/>
              </w:rPr>
              <w:t>(</w:t>
            </w:r>
            <w:r>
              <w:rPr>
                <w:rFonts w:eastAsiaTheme="minorEastAsia"/>
                <w:color w:themeColor="text1" w:val="000000"/>
                <w:szCs w:val="21"/>
              </w:rPr>
              <w:t>股</w:t>
            </w:r>
            <w:r>
              <w:rPr>
                <w:rFonts w:eastAsiaTheme="minorEastAsia"/>
                <w:color w:themeColor="text1" w:val="000000"/>
                <w:szCs w:val="21"/>
              </w:rPr>
              <w:t>)</w:t>
            </w:r>
          </w:p>
        </w:tc>
        <w:tc>
          <w:tcPr>
            <w:tcW w:type="dxa" w:w="1842"/>
            <w:vAlign w:val="center"/>
          </w:tcPr>
          <w:p w14:paraId="193ED3E3" w14:textId="77777777" w:rsidR="005E6DF3" w:rsidRDefault="005C671B">
            <w:pPr>
              <w:autoSpaceDE w:val="0"/>
              <w:autoSpaceDN w:val="0"/>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1A53759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002142</w:t>
            </w:r>
          </w:p>
        </w:tc>
        <w:tc>
          <w:tcPr>
            <w:vAlign w:val="center"/>
          </w:tcPr>
          <w:p>
            <w:pPr>
              <w:jc w:val="center"/>
            </w:pPr>
            <w:r>
              <w:rPr>
                <w:rFonts w:eastAsiaTheme="minorEastAsia"/>
                <w:color w:themeColor="text1" w:val="000000"/>
                <w:szCs w:val="21"/>
              </w:rPr>
              <w:t>宁波银行</w:t>
            </w:r>
          </w:p>
        </w:tc>
        <w:tc>
          <w:tcPr>
            <w:vAlign w:val="center"/>
          </w:tcPr>
          <w:p>
            <w:pPr>
              <w:jc w:val="right"/>
            </w:pPr>
            <w:r>
              <w:rPr>
                <w:rFonts w:eastAsiaTheme="minorEastAsia"/>
                <w:color w:themeColor="text1" w:val="000000"/>
                <w:szCs w:val="21"/>
              </w:rPr>
              <w:t>257,500.00</w:t>
            </w:r>
          </w:p>
        </w:tc>
        <w:tc>
          <w:tcPr>
            <w:vAlign w:val="center"/>
          </w:tcPr>
          <w:p>
            <w:pPr>
              <w:jc w:val="right"/>
            </w:pPr>
            <w:r>
              <w:rPr>
                <w:rFonts w:eastAsiaTheme="minorEastAsia"/>
                <w:color w:themeColor="text1" w:val="000000"/>
                <w:szCs w:val="21"/>
              </w:rPr>
              <w:t>8,106,100.00</w:t>
            </w:r>
          </w:p>
        </w:tc>
        <w:tc>
          <w:tcPr>
            <w:vAlign w:val="center"/>
          </w:tcPr>
          <w:p>
            <w:pPr>
              <w:jc w:val="right"/>
            </w:pPr>
            <w:r>
              <w:rPr>
                <w:rFonts w:eastAsiaTheme="minorEastAsia"/>
                <w:color w:themeColor="text1" w:val="000000"/>
                <w:szCs w:val="21"/>
              </w:rPr>
              <w:t>1.21</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601633</w:t>
            </w:r>
          </w:p>
        </w:tc>
        <w:tc>
          <w:tcPr>
            <w:vAlign w:val="center"/>
          </w:tcPr>
          <w:p>
            <w:pPr>
              <w:jc w:val="center"/>
            </w:pPr>
            <w:r>
              <w:rPr>
                <w:rFonts w:eastAsiaTheme="minorEastAsia"/>
                <w:color w:themeColor="text1" w:val="000000"/>
                <w:szCs w:val="21"/>
              </w:rPr>
              <w:t>长城汽车</w:t>
            </w:r>
          </w:p>
        </w:tc>
        <w:tc>
          <w:tcPr>
            <w:vAlign w:val="center"/>
          </w:tcPr>
          <w:p>
            <w:pPr>
              <w:jc w:val="right"/>
            </w:pPr>
            <w:r>
              <w:rPr>
                <w:rFonts w:eastAsiaTheme="minorEastAsia"/>
                <w:color w:themeColor="text1" w:val="000000"/>
                <w:szCs w:val="21"/>
              </w:rPr>
              <w:t>258,900.00</w:t>
            </w:r>
          </w:p>
        </w:tc>
        <w:tc>
          <w:tcPr>
            <w:vAlign w:val="center"/>
          </w:tcPr>
          <w:p>
            <w:pPr>
              <w:jc w:val="right"/>
            </w:pPr>
            <w:r>
              <w:rPr>
                <w:rFonts w:eastAsiaTheme="minorEastAsia"/>
                <w:color w:themeColor="text1" w:val="000000"/>
                <w:szCs w:val="21"/>
              </w:rPr>
              <w:t>4,950,168.00</w:t>
            </w:r>
          </w:p>
        </w:tc>
        <w:tc>
          <w:tcPr>
            <w:vAlign w:val="center"/>
          </w:tcPr>
          <w:p>
            <w:pPr>
              <w:jc w:val="right"/>
            </w:pPr>
            <w:r>
              <w:rPr>
                <w:rFonts w:eastAsiaTheme="minorEastAsia"/>
                <w:color w:themeColor="text1" w:val="000000"/>
                <w:szCs w:val="21"/>
              </w:rPr>
              <w:t>0.74</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000002</w:t>
            </w:r>
          </w:p>
        </w:tc>
        <w:tc>
          <w:tcPr>
            <w:vAlign w:val="center"/>
          </w:tcPr>
          <w:p>
            <w:pPr>
              <w:jc w:val="center"/>
            </w:pPr>
            <w:r>
              <w:rPr>
                <w:rFonts w:eastAsiaTheme="minorEastAsia"/>
                <w:color w:themeColor="text1" w:val="000000"/>
                <w:szCs w:val="21"/>
              </w:rPr>
              <w:t>万  科Ａ</w:t>
            </w:r>
          </w:p>
        </w:tc>
        <w:tc>
          <w:tcPr>
            <w:vAlign w:val="center"/>
          </w:tcPr>
          <w:p>
            <w:pPr>
              <w:jc w:val="right"/>
            </w:pPr>
            <w:r>
              <w:rPr>
                <w:rFonts w:eastAsiaTheme="minorEastAsia"/>
                <w:color w:themeColor="text1" w:val="000000"/>
                <w:szCs w:val="21"/>
              </w:rPr>
              <w:t>173,900.00</w:t>
            </w:r>
          </w:p>
        </w:tc>
        <w:tc>
          <w:tcPr>
            <w:vAlign w:val="center"/>
          </w:tcPr>
          <w:p>
            <w:pPr>
              <w:jc w:val="right"/>
            </w:pPr>
            <w:r>
              <w:rPr>
                <w:rFonts w:eastAsiaTheme="minorEastAsia"/>
                <w:color w:themeColor="text1" w:val="000000"/>
                <w:szCs w:val="21"/>
              </w:rPr>
              <w:t>4,872,678.00</w:t>
            </w:r>
          </w:p>
        </w:tc>
        <w:tc>
          <w:tcPr>
            <w:vAlign w:val="center"/>
          </w:tcPr>
          <w:p>
            <w:pPr>
              <w:jc w:val="right"/>
            </w:pPr>
            <w:r>
              <w:rPr>
                <w:rFonts w:eastAsiaTheme="minorEastAsia"/>
                <w:color w:themeColor="text1" w:val="000000"/>
                <w:szCs w:val="21"/>
              </w:rPr>
              <w:t>0.73</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002475</w:t>
            </w:r>
          </w:p>
        </w:tc>
        <w:tc>
          <w:tcPr>
            <w:vAlign w:val="center"/>
          </w:tcPr>
          <w:p>
            <w:pPr>
              <w:jc w:val="center"/>
            </w:pPr>
            <w:r>
              <w:rPr>
                <w:rFonts w:eastAsiaTheme="minorEastAsia"/>
                <w:color w:themeColor="text1" w:val="000000"/>
                <w:szCs w:val="21"/>
              </w:rPr>
              <w:t>立讯精密</w:t>
            </w:r>
          </w:p>
        </w:tc>
        <w:tc>
          <w:tcPr>
            <w:vAlign w:val="center"/>
          </w:tcPr>
          <w:p>
            <w:pPr>
              <w:jc w:val="right"/>
            </w:pPr>
            <w:r>
              <w:rPr>
                <w:rFonts w:eastAsiaTheme="minorEastAsia"/>
                <w:color w:themeColor="text1" w:val="000000"/>
                <w:szCs w:val="21"/>
              </w:rPr>
              <w:t>81,600.00</w:t>
            </w:r>
          </w:p>
        </w:tc>
        <w:tc>
          <w:tcPr>
            <w:vAlign w:val="center"/>
          </w:tcPr>
          <w:p>
            <w:pPr>
              <w:jc w:val="right"/>
            </w:pPr>
            <w:r>
              <w:rPr>
                <w:rFonts w:eastAsiaTheme="minorEastAsia"/>
                <w:color w:themeColor="text1" w:val="000000"/>
                <w:szCs w:val="21"/>
              </w:rPr>
              <w:t>4,661,808.00</w:t>
            </w:r>
          </w:p>
        </w:tc>
        <w:tc>
          <w:tcPr>
            <w:vAlign w:val="center"/>
          </w:tcPr>
          <w:p>
            <w:pPr>
              <w:jc w:val="right"/>
            </w:pPr>
            <w:r>
              <w:rPr>
                <w:rFonts w:eastAsiaTheme="minorEastAsia"/>
                <w:color w:themeColor="text1" w:val="000000"/>
                <w:szCs w:val="21"/>
              </w:rPr>
              <w:t>0.70</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000656</w:t>
            </w:r>
          </w:p>
        </w:tc>
        <w:tc>
          <w:tcPr>
            <w:vAlign w:val="center"/>
          </w:tcPr>
          <w:p>
            <w:pPr>
              <w:jc w:val="center"/>
            </w:pPr>
            <w:r>
              <w:rPr>
                <w:rFonts w:eastAsiaTheme="minorEastAsia"/>
                <w:color w:themeColor="text1" w:val="000000"/>
                <w:szCs w:val="21"/>
              </w:rPr>
              <w:t>金科股份</w:t>
            </w:r>
          </w:p>
        </w:tc>
        <w:tc>
          <w:tcPr>
            <w:vAlign w:val="center"/>
          </w:tcPr>
          <w:p>
            <w:pPr>
              <w:jc w:val="right"/>
            </w:pPr>
            <w:r>
              <w:rPr>
                <w:rFonts w:eastAsiaTheme="minorEastAsia"/>
                <w:color w:themeColor="text1" w:val="000000"/>
                <w:szCs w:val="21"/>
              </w:rPr>
              <w:t>504,500.00</w:t>
            </w:r>
          </w:p>
        </w:tc>
        <w:tc>
          <w:tcPr>
            <w:vAlign w:val="center"/>
          </w:tcPr>
          <w:p>
            <w:pPr>
              <w:jc w:val="right"/>
            </w:pPr>
            <w:r>
              <w:rPr>
                <w:rFonts w:eastAsiaTheme="minorEastAsia"/>
                <w:color w:themeColor="text1" w:val="000000"/>
                <w:szCs w:val="21"/>
              </w:rPr>
              <w:t>4,565,725.00</w:t>
            </w:r>
          </w:p>
        </w:tc>
        <w:tc>
          <w:tcPr>
            <w:vAlign w:val="center"/>
          </w:tcPr>
          <w:p>
            <w:pPr>
              <w:jc w:val="right"/>
            </w:pPr>
            <w:r>
              <w:rPr>
                <w:rFonts w:eastAsiaTheme="minorEastAsia"/>
                <w:color w:themeColor="text1" w:val="000000"/>
                <w:szCs w:val="21"/>
              </w:rPr>
              <w:t>0.68</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000001</w:t>
            </w:r>
          </w:p>
        </w:tc>
        <w:tc>
          <w:tcPr>
            <w:vAlign w:val="center"/>
          </w:tcPr>
          <w:p>
            <w:pPr>
              <w:jc w:val="center"/>
            </w:pPr>
            <w:r>
              <w:rPr>
                <w:rFonts w:eastAsiaTheme="minorEastAsia"/>
                <w:color w:themeColor="text1" w:val="000000"/>
                <w:szCs w:val="21"/>
              </w:rPr>
              <w:t>平安银行</w:t>
            </w:r>
          </w:p>
        </w:tc>
        <w:tc>
          <w:tcPr>
            <w:vAlign w:val="center"/>
          </w:tcPr>
          <w:p>
            <w:pPr>
              <w:jc w:val="right"/>
            </w:pPr>
            <w:r>
              <w:rPr>
                <w:rFonts w:eastAsiaTheme="minorEastAsia"/>
                <w:color w:themeColor="text1" w:val="000000"/>
                <w:szCs w:val="21"/>
              </w:rPr>
              <w:t>286,100.00</w:t>
            </w:r>
          </w:p>
        </w:tc>
        <w:tc>
          <w:tcPr>
            <w:vAlign w:val="center"/>
          </w:tcPr>
          <w:p>
            <w:pPr>
              <w:jc w:val="right"/>
            </w:pPr>
            <w:r>
              <w:rPr>
                <w:rFonts w:eastAsiaTheme="minorEastAsia"/>
                <w:color w:themeColor="text1" w:val="000000"/>
                <w:szCs w:val="21"/>
              </w:rPr>
              <w:t>4,340,137.00</w:t>
            </w:r>
          </w:p>
        </w:tc>
        <w:tc>
          <w:tcPr>
            <w:vAlign w:val="center"/>
          </w:tcPr>
          <w:p>
            <w:pPr>
              <w:jc w:val="right"/>
            </w:pPr>
            <w:r>
              <w:rPr>
                <w:rFonts w:eastAsiaTheme="minorEastAsia"/>
                <w:color w:themeColor="text1" w:val="000000"/>
                <w:szCs w:val="21"/>
              </w:rPr>
              <w:t>0.65</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603233</w:t>
            </w:r>
          </w:p>
        </w:tc>
        <w:tc>
          <w:tcPr>
            <w:vAlign w:val="center"/>
          </w:tcPr>
          <w:p>
            <w:pPr>
              <w:jc w:val="center"/>
            </w:pPr>
            <w:r>
              <w:rPr>
                <w:rFonts w:eastAsiaTheme="minorEastAsia"/>
                <w:color w:themeColor="text1" w:val="000000"/>
                <w:szCs w:val="21"/>
              </w:rPr>
              <w:t>大参林</w:t>
            </w:r>
          </w:p>
        </w:tc>
        <w:tc>
          <w:tcPr>
            <w:vAlign w:val="center"/>
          </w:tcPr>
          <w:p>
            <w:pPr>
              <w:jc w:val="right"/>
            </w:pPr>
            <w:r>
              <w:rPr>
                <w:rFonts w:eastAsiaTheme="minorEastAsia"/>
                <w:color w:themeColor="text1" w:val="000000"/>
                <w:szCs w:val="21"/>
              </w:rPr>
              <w:t>49,258.00</w:t>
            </w:r>
          </w:p>
        </w:tc>
        <w:tc>
          <w:tcPr>
            <w:vAlign w:val="center"/>
          </w:tcPr>
          <w:p>
            <w:pPr>
              <w:jc w:val="right"/>
            </w:pPr>
            <w:r>
              <w:rPr>
                <w:rFonts w:eastAsiaTheme="minorEastAsia"/>
                <w:color w:themeColor="text1" w:val="000000"/>
                <w:szCs w:val="21"/>
              </w:rPr>
              <w:t>4,061,814.68</w:t>
            </w:r>
          </w:p>
        </w:tc>
        <w:tc>
          <w:tcPr>
            <w:vAlign w:val="center"/>
          </w:tcPr>
          <w:p>
            <w:pPr>
              <w:jc w:val="right"/>
            </w:pPr>
            <w:r>
              <w:rPr>
                <w:rFonts w:eastAsiaTheme="minorEastAsia"/>
                <w:color w:themeColor="text1" w:val="000000"/>
                <w:szCs w:val="21"/>
              </w:rPr>
              <w:t>0.61</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603520</w:t>
            </w:r>
          </w:p>
        </w:tc>
        <w:tc>
          <w:tcPr>
            <w:vAlign w:val="center"/>
          </w:tcPr>
          <w:p>
            <w:pPr>
              <w:jc w:val="center"/>
            </w:pPr>
            <w:r>
              <w:rPr>
                <w:rFonts w:eastAsiaTheme="minorEastAsia"/>
                <w:color w:themeColor="text1" w:val="000000"/>
                <w:szCs w:val="21"/>
              </w:rPr>
              <w:t>司太立</w:t>
            </w:r>
          </w:p>
        </w:tc>
        <w:tc>
          <w:tcPr>
            <w:vAlign w:val="center"/>
          </w:tcPr>
          <w:p>
            <w:pPr>
              <w:jc w:val="right"/>
            </w:pPr>
            <w:r>
              <w:rPr>
                <w:rFonts w:eastAsiaTheme="minorEastAsia"/>
                <w:color w:themeColor="text1" w:val="000000"/>
                <w:szCs w:val="21"/>
              </w:rPr>
              <w:t>44,100.00</w:t>
            </w:r>
          </w:p>
        </w:tc>
        <w:tc>
          <w:tcPr>
            <w:vAlign w:val="center"/>
          </w:tcPr>
          <w:p>
            <w:pPr>
              <w:jc w:val="right"/>
            </w:pPr>
            <w:r>
              <w:rPr>
                <w:rFonts w:eastAsiaTheme="minorEastAsia"/>
                <w:color w:themeColor="text1" w:val="000000"/>
                <w:szCs w:val="21"/>
              </w:rPr>
              <w:t>3,488,751.00</w:t>
            </w:r>
          </w:p>
        </w:tc>
        <w:tc>
          <w:tcPr>
            <w:vAlign w:val="center"/>
          </w:tcPr>
          <w:p>
            <w:pPr>
              <w:jc w:val="right"/>
            </w:pPr>
            <w:r>
              <w:rPr>
                <w:rFonts w:eastAsiaTheme="minorEastAsia"/>
                <w:color w:themeColor="text1" w:val="000000"/>
                <w:szCs w:val="21"/>
              </w:rPr>
              <w:t>0.52</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603882</w:t>
            </w:r>
          </w:p>
        </w:tc>
        <w:tc>
          <w:tcPr>
            <w:vAlign w:val="center"/>
          </w:tcPr>
          <w:p>
            <w:pPr>
              <w:jc w:val="center"/>
            </w:pPr>
            <w:r>
              <w:rPr>
                <w:rFonts w:eastAsiaTheme="minorEastAsia"/>
                <w:color w:themeColor="text1" w:val="000000"/>
                <w:szCs w:val="21"/>
              </w:rPr>
              <w:t>金域医学</w:t>
            </w:r>
          </w:p>
        </w:tc>
        <w:tc>
          <w:tcPr>
            <w:vAlign w:val="center"/>
          </w:tcPr>
          <w:p>
            <w:pPr>
              <w:jc w:val="right"/>
            </w:pPr>
            <w:r>
              <w:rPr>
                <w:rFonts w:eastAsiaTheme="minorEastAsia"/>
                <w:color w:themeColor="text1" w:val="000000"/>
                <w:szCs w:val="21"/>
              </w:rPr>
              <w:t>33,500.00</w:t>
            </w:r>
          </w:p>
        </w:tc>
        <w:tc>
          <w:tcPr>
            <w:vAlign w:val="center"/>
          </w:tcPr>
          <w:p>
            <w:pPr>
              <w:jc w:val="right"/>
            </w:pPr>
            <w:r>
              <w:rPr>
                <w:rFonts w:eastAsiaTheme="minorEastAsia"/>
                <w:color w:themeColor="text1" w:val="000000"/>
                <w:szCs w:val="21"/>
              </w:rPr>
              <w:t>3,426,380.00</w:t>
            </w:r>
          </w:p>
        </w:tc>
        <w:tc>
          <w:tcPr>
            <w:vAlign w:val="center"/>
          </w:tcPr>
          <w:p>
            <w:pPr>
              <w:jc w:val="right"/>
            </w:pPr>
            <w:r>
              <w:rPr>
                <w:rFonts w:eastAsiaTheme="minorEastAsia"/>
                <w:color w:themeColor="text1" w:val="000000"/>
                <w:szCs w:val="21"/>
              </w:rPr>
              <w:t>0.51</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601865</w:t>
            </w:r>
          </w:p>
        </w:tc>
        <w:tc>
          <w:tcPr>
            <w:vAlign w:val="center"/>
          </w:tcPr>
          <w:p>
            <w:pPr>
              <w:jc w:val="center"/>
            </w:pPr>
            <w:r>
              <w:rPr>
                <w:rFonts w:eastAsiaTheme="minorEastAsia"/>
                <w:color w:themeColor="text1" w:val="000000"/>
                <w:szCs w:val="21"/>
              </w:rPr>
              <w:t>福莱特</w:t>
            </w:r>
          </w:p>
        </w:tc>
        <w:tc>
          <w:tcPr>
            <w:vAlign w:val="center"/>
          </w:tcPr>
          <w:p>
            <w:pPr>
              <w:jc w:val="right"/>
            </w:pPr>
            <w:r>
              <w:rPr>
                <w:rFonts w:eastAsiaTheme="minorEastAsia"/>
                <w:color w:themeColor="text1" w:val="000000"/>
                <w:szCs w:val="21"/>
              </w:rPr>
              <w:t>112,600.00</w:t>
            </w:r>
          </w:p>
        </w:tc>
        <w:tc>
          <w:tcPr>
            <w:vAlign w:val="center"/>
          </w:tcPr>
          <w:p>
            <w:pPr>
              <w:jc w:val="right"/>
            </w:pPr>
            <w:r>
              <w:rPr>
                <w:rFonts w:eastAsiaTheme="minorEastAsia"/>
                <w:color w:themeColor="text1" w:val="000000"/>
                <w:szCs w:val="21"/>
              </w:rPr>
              <w:t>3,368,992.00</w:t>
            </w:r>
          </w:p>
        </w:tc>
        <w:tc>
          <w:tcPr>
            <w:vAlign w:val="center"/>
          </w:tcPr>
          <w:p>
            <w:pPr>
              <w:jc w:val="right"/>
            </w:pPr>
            <w:r>
              <w:rPr>
                <w:rFonts w:eastAsiaTheme="minorEastAsia"/>
                <w:color w:themeColor="text1" w:val="000000"/>
                <w:szCs w:val="21"/>
              </w:rPr>
              <w:t>0.50</w:t>
            </w:r>
          </w:p>
        </w:tc>
      </w:tr>
    </w:tbl>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40,047,912.00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6.00</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128,135,965.80</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19.20</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159,351,000.00</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23.88</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80,964,000.00</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12.13</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739,483.60</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0.11</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78,964,000.00</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11.83</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488,202,361.40</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73.17</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101800466</w:t>
            </w:r>
          </w:p>
        </w:tc>
        <w:tc>
          <w:tcPr>
            <w:vAlign w:val="center"/>
          </w:tcPr>
          <w:p>
            <w:pPr>
              <w:jc w:val="center"/>
            </w:pPr>
            <w:r>
              <w:rPr>
                <w:rFonts w:eastAsiaTheme="minorEastAsia"/>
                <w:color w:themeColor="text1" w:val="000000"/>
                <w:szCs w:val="21"/>
              </w:rPr>
              <w:t>18锡产业MTN003</w:t>
            </w:r>
          </w:p>
        </w:tc>
        <w:tc>
          <w:tcPr>
            <w:vAlign w:val="center"/>
          </w:tcPr>
          <w:p>
            <w:pPr>
              <w:jc w:val="right"/>
            </w:pPr>
            <w:r>
              <w:rPr>
                <w:rFonts w:eastAsiaTheme="minorEastAsia"/>
                <w:color w:themeColor="text1" w:val="000000"/>
                <w:szCs w:val="21"/>
              </w:rPr>
              <w:t>500,000</w:t>
            </w:r>
          </w:p>
        </w:tc>
        <w:tc>
          <w:tcPr>
            <w:vAlign w:val="center"/>
          </w:tcPr>
          <w:p>
            <w:pPr>
              <w:jc w:val="right"/>
            </w:pPr>
            <w:r>
              <w:rPr>
                <w:rFonts w:eastAsiaTheme="minorEastAsia"/>
                <w:color w:themeColor="text1" w:val="000000"/>
                <w:szCs w:val="21"/>
              </w:rPr>
              <w:t>50,585,000.00</w:t>
            </w:r>
          </w:p>
        </w:tc>
        <w:tc>
          <w:tcPr>
            <w:vAlign w:val="center"/>
          </w:tcPr>
          <w:p>
            <w:pPr>
              <w:jc w:val="right"/>
            </w:pPr>
            <w:r>
              <w:rPr>
                <w:rFonts w:eastAsiaTheme="minorEastAsia"/>
                <w:color w:themeColor="text1" w:val="000000"/>
                <w:szCs w:val="21"/>
              </w:rPr>
              <w:t>7.58</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143791</w:t>
            </w:r>
          </w:p>
        </w:tc>
        <w:tc>
          <w:tcPr>
            <w:vAlign w:val="center"/>
          </w:tcPr>
          <w:p>
            <w:pPr>
              <w:jc w:val="center"/>
            </w:pPr>
            <w:r>
              <w:rPr>
                <w:rFonts w:eastAsiaTheme="minorEastAsia"/>
                <w:color w:themeColor="text1" w:val="000000"/>
                <w:szCs w:val="21"/>
              </w:rPr>
              <w:t>18电投06</w:t>
            </w:r>
          </w:p>
        </w:tc>
        <w:tc>
          <w:tcPr>
            <w:vAlign w:val="center"/>
          </w:tcPr>
          <w:p>
            <w:pPr>
              <w:jc w:val="right"/>
            </w:pPr>
            <w:r>
              <w:rPr>
                <w:rFonts w:eastAsiaTheme="minorEastAsia"/>
                <w:color w:themeColor="text1" w:val="000000"/>
                <w:szCs w:val="21"/>
              </w:rPr>
              <w:t>500,000</w:t>
            </w:r>
          </w:p>
        </w:tc>
        <w:tc>
          <w:tcPr>
            <w:vAlign w:val="center"/>
          </w:tcPr>
          <w:p>
            <w:pPr>
              <w:jc w:val="right"/>
            </w:pPr>
            <w:r>
              <w:rPr>
                <w:rFonts w:eastAsiaTheme="minorEastAsia"/>
                <w:color w:themeColor="text1" w:val="000000"/>
                <w:szCs w:val="21"/>
              </w:rPr>
              <w:t>50,505,000.00</w:t>
            </w:r>
          </w:p>
        </w:tc>
        <w:tc>
          <w:tcPr>
            <w:vAlign w:val="center"/>
          </w:tcPr>
          <w:p>
            <w:pPr>
              <w:jc w:val="right"/>
            </w:pPr>
            <w:r>
              <w:rPr>
                <w:rFonts w:eastAsiaTheme="minorEastAsia"/>
                <w:color w:themeColor="text1" w:val="000000"/>
                <w:szCs w:val="21"/>
              </w:rPr>
              <w:t>7.57</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012002482</w:t>
            </w:r>
          </w:p>
        </w:tc>
        <w:tc>
          <w:tcPr>
            <w:vAlign w:val="center"/>
          </w:tcPr>
          <w:p>
            <w:pPr>
              <w:jc w:val="center"/>
            </w:pPr>
            <w:r>
              <w:rPr>
                <w:rFonts w:eastAsiaTheme="minorEastAsia"/>
                <w:color w:themeColor="text1" w:val="000000"/>
                <w:szCs w:val="21"/>
              </w:rPr>
              <w:t>20苏国信SCP018</w:t>
            </w:r>
          </w:p>
        </w:tc>
        <w:tc>
          <w:tcPr>
            <w:vAlign w:val="center"/>
          </w:tcPr>
          <w:p>
            <w:pPr>
              <w:jc w:val="right"/>
            </w:pPr>
            <w:r>
              <w:rPr>
                <w:rFonts w:eastAsiaTheme="minorEastAsia"/>
                <w:color w:themeColor="text1" w:val="000000"/>
                <w:szCs w:val="21"/>
              </w:rPr>
              <w:t>500,000</w:t>
            </w:r>
          </w:p>
        </w:tc>
        <w:tc>
          <w:tcPr>
            <w:vAlign w:val="center"/>
          </w:tcPr>
          <w:p>
            <w:pPr>
              <w:jc w:val="right"/>
            </w:pPr>
            <w:r>
              <w:rPr>
                <w:rFonts w:eastAsiaTheme="minorEastAsia"/>
                <w:color w:themeColor="text1" w:val="000000"/>
                <w:szCs w:val="21"/>
              </w:rPr>
              <w:t>49,680,000.00</w:t>
            </w:r>
          </w:p>
        </w:tc>
        <w:tc>
          <w:tcPr>
            <w:vAlign w:val="center"/>
          </w:tcPr>
          <w:p>
            <w:pPr>
              <w:jc w:val="right"/>
            </w:pPr>
            <w:r>
              <w:rPr>
                <w:rFonts w:eastAsiaTheme="minorEastAsia"/>
                <w:color w:themeColor="text1" w:val="000000"/>
                <w:szCs w:val="21"/>
              </w:rPr>
              <w:t>7.45</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019627</w:t>
            </w:r>
          </w:p>
        </w:tc>
        <w:tc>
          <w:tcPr>
            <w:vAlign w:val="center"/>
          </w:tcPr>
          <w:p>
            <w:pPr>
              <w:jc w:val="center"/>
            </w:pPr>
            <w:r>
              <w:rPr>
                <w:rFonts w:eastAsiaTheme="minorEastAsia"/>
                <w:color w:themeColor="text1" w:val="000000"/>
                <w:szCs w:val="21"/>
              </w:rPr>
              <w:t>20国债01</w:t>
            </w:r>
          </w:p>
        </w:tc>
        <w:tc>
          <w:tcPr>
            <w:vAlign w:val="center"/>
          </w:tcPr>
          <w:p>
            <w:pPr>
              <w:jc w:val="right"/>
            </w:pPr>
            <w:r>
              <w:rPr>
                <w:rFonts w:eastAsiaTheme="minorEastAsia"/>
                <w:color w:themeColor="text1" w:val="000000"/>
                <w:szCs w:val="21"/>
              </w:rPr>
              <w:t>400,880</w:t>
            </w:r>
          </w:p>
        </w:tc>
        <w:tc>
          <w:tcPr>
            <w:vAlign w:val="center"/>
          </w:tcPr>
          <w:p>
            <w:pPr>
              <w:jc w:val="right"/>
            </w:pPr>
            <w:r>
              <w:rPr>
                <w:rFonts w:eastAsiaTheme="minorEastAsia"/>
                <w:color w:themeColor="text1" w:val="000000"/>
                <w:szCs w:val="21"/>
              </w:rPr>
              <w:t>40,047,912.00</w:t>
            </w:r>
          </w:p>
        </w:tc>
        <w:tc>
          <w:tcPr>
            <w:vAlign w:val="center"/>
          </w:tcPr>
          <w:p>
            <w:pPr>
              <w:jc w:val="right"/>
            </w:pPr>
            <w:r>
              <w:rPr>
                <w:rFonts w:eastAsiaTheme="minorEastAsia"/>
                <w:color w:themeColor="text1" w:val="000000"/>
                <w:szCs w:val="21"/>
              </w:rPr>
              <w:t>6.00</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136519</w:t>
            </w:r>
          </w:p>
        </w:tc>
        <w:tc>
          <w:tcPr>
            <w:vAlign w:val="center"/>
          </w:tcPr>
          <w:p>
            <w:pPr>
              <w:jc w:val="center"/>
            </w:pPr>
            <w:r>
              <w:rPr>
                <w:rFonts w:eastAsiaTheme="minorEastAsia"/>
                <w:color w:themeColor="text1" w:val="000000"/>
                <w:szCs w:val="21"/>
              </w:rPr>
              <w:t>16陆嘴01</w:t>
            </w:r>
          </w:p>
        </w:tc>
        <w:tc>
          <w:tcPr>
            <w:vAlign w:val="center"/>
          </w:tcPr>
          <w:p>
            <w:pPr>
              <w:jc w:val="right"/>
            </w:pPr>
            <w:r>
              <w:rPr>
                <w:rFonts w:eastAsiaTheme="minorEastAsia"/>
                <w:color w:themeColor="text1" w:val="000000"/>
                <w:szCs w:val="21"/>
              </w:rPr>
              <w:t>300,000</w:t>
            </w:r>
          </w:p>
        </w:tc>
        <w:tc>
          <w:tcPr>
            <w:vAlign w:val="center"/>
          </w:tcPr>
          <w:p>
            <w:pPr>
              <w:jc w:val="right"/>
            </w:pPr>
            <w:r>
              <w:rPr>
                <w:rFonts w:eastAsiaTheme="minorEastAsia"/>
                <w:color w:themeColor="text1" w:val="000000"/>
                <w:szCs w:val="21"/>
              </w:rPr>
              <w:t>30,168,000.00</w:t>
            </w:r>
          </w:p>
        </w:tc>
        <w:tc>
          <w:tcPr>
            <w:vAlign w:val="center"/>
          </w:tcPr>
          <w:p>
            <w:pPr>
              <w:jc w:val="right"/>
            </w:pPr>
            <w:r>
              <w:rPr>
                <w:rFonts w:eastAsiaTheme="minorEastAsia"/>
                <w:color w:themeColor="text1" w:val="000000"/>
                <w:szCs w:val="21"/>
              </w:rPr>
              <w:t>4.52</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11.1本基金投资的前十名证券的发行主体本期未出现被监管部门立案调查，或在报告编制日前一年内受到公开谴责、处罚的情形。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3,734.38</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8,013,453.15</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3,796,323.74</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1,075.96</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11,814,587.23</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tbl>
      <w:tblPr>
        <w:tblStyle w:val="afa"/>
        <w:tblW w:type="dxa" w:w="8928"/>
        <w:tblInd w:type="dxa" w:w="108"/>
        <w:tblLayout w:type="fixed"/>
        <w:tblLook w:firstColumn="1" w:firstRow="1" w:lastColumn="0" w:lastRow="0" w:noHBand="0" w:noVBand="1" w:val="04A0"/>
      </w:tblPr>
      <w:tblGrid>
        <w:gridCol w:w="1181"/>
        <w:gridCol w:w="2497"/>
        <w:gridCol w:w="1746"/>
        <w:gridCol w:w="1825"/>
        <w:gridCol w:w="1679"/>
      </w:tblGrid>
      <w:tr w14:paraId="6F5330CA" w14:textId="77777777" w:rsidR="005E6DF3">
        <w:tc>
          <w:tcPr>
            <w:tcW w:type="dxa" w:w="1181"/>
            <w:vAlign w:val="center"/>
          </w:tcPr>
          <w:p w14:paraId="5C00B0F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2497"/>
            <w:vAlign w:val="center"/>
          </w:tcPr>
          <w:p w14:paraId="2191642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债券代码</w:t>
            </w:r>
          </w:p>
        </w:tc>
        <w:tc>
          <w:tcPr>
            <w:tcW w:type="dxa" w:w="1746"/>
            <w:vAlign w:val="center"/>
          </w:tcPr>
          <w:p w14:paraId="61BBC1A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债券名称</w:t>
            </w:r>
          </w:p>
        </w:tc>
        <w:tc>
          <w:tcPr>
            <w:tcW w:type="dxa" w:w="1825"/>
            <w:vAlign w:val="center"/>
          </w:tcPr>
          <w:p w14:paraId="7B01C25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79"/>
            <w:vAlign w:val="center"/>
          </w:tcPr>
          <w:p w14:paraId="0D89822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123044</w:t>
            </w:r>
          </w:p>
        </w:tc>
        <w:tc>
          <w:tcPr>
            <w:vAlign w:val="center"/>
          </w:tcPr>
          <w:p>
            <w:pPr>
              <w:jc w:val="center"/>
            </w:pPr>
            <w:r>
              <w:rPr>
                <w:rFonts w:eastAsiaTheme="minorEastAsia"/>
                <w:color w:themeColor="text1" w:val="000000"/>
                <w:szCs w:val="21"/>
              </w:rPr>
              <w:t>红相转债</w:t>
            </w:r>
          </w:p>
        </w:tc>
        <w:tc>
          <w:tcPr>
            <w:vAlign w:val="center"/>
          </w:tcPr>
          <w:p>
            <w:pPr>
              <w:jc w:val="right"/>
            </w:pPr>
            <w:r>
              <w:rPr>
                <w:rFonts w:eastAsiaTheme="minorEastAsia"/>
                <w:color w:themeColor="text1" w:val="000000"/>
                <w:szCs w:val="21"/>
              </w:rPr>
              <w:t>148,575.00</w:t>
            </w:r>
          </w:p>
        </w:tc>
        <w:tc>
          <w:tcPr>
            <w:vAlign w:val="center"/>
          </w:tcPr>
          <w:p>
            <w:pPr>
              <w:jc w:val="right"/>
            </w:pPr>
            <w:r>
              <w:rPr>
                <w:rFonts w:eastAsiaTheme="minorEastAsia"/>
                <w:color w:themeColor="text1" w:val="000000"/>
                <w:szCs w:val="21"/>
              </w:rPr>
              <w:t>0.02</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113516</w:t>
            </w:r>
          </w:p>
        </w:tc>
        <w:tc>
          <w:tcPr>
            <w:vAlign w:val="center"/>
          </w:tcPr>
          <w:p>
            <w:pPr>
              <w:jc w:val="center"/>
            </w:pPr>
            <w:r>
              <w:rPr>
                <w:rFonts w:eastAsiaTheme="minorEastAsia"/>
                <w:color w:themeColor="text1" w:val="000000"/>
                <w:szCs w:val="21"/>
              </w:rPr>
              <w:t>苏农转债</w:t>
            </w:r>
          </w:p>
        </w:tc>
        <w:tc>
          <w:tcPr>
            <w:vAlign w:val="center"/>
          </w:tcPr>
          <w:p>
            <w:pPr>
              <w:jc w:val="right"/>
            </w:pPr>
            <w:r>
              <w:rPr>
                <w:rFonts w:eastAsiaTheme="minorEastAsia"/>
                <w:color w:themeColor="text1" w:val="000000"/>
                <w:szCs w:val="21"/>
              </w:rPr>
              <w:t>55,793.10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128048</w:t>
            </w:r>
          </w:p>
        </w:tc>
        <w:tc>
          <w:tcPr>
            <w:vAlign w:val="center"/>
          </w:tcPr>
          <w:p>
            <w:pPr>
              <w:jc w:val="center"/>
            </w:pPr>
            <w:r>
              <w:rPr>
                <w:rFonts w:eastAsiaTheme="minorEastAsia"/>
                <w:color w:themeColor="text1" w:val="000000"/>
                <w:szCs w:val="21"/>
              </w:rPr>
              <w:t>张行转债</w:t>
            </w:r>
          </w:p>
        </w:tc>
        <w:tc>
          <w:tcPr>
            <w:vAlign w:val="center"/>
          </w:tcPr>
          <w:p>
            <w:pPr>
              <w:jc w:val="right"/>
            </w:pPr>
            <w:r>
              <w:rPr>
                <w:rFonts w:eastAsiaTheme="minorEastAsia"/>
                <w:color w:themeColor="text1" w:val="000000"/>
                <w:szCs w:val="21"/>
              </w:rPr>
              <w:t>43,837.60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128102</w:t>
            </w:r>
          </w:p>
        </w:tc>
        <w:tc>
          <w:tcPr>
            <w:vAlign w:val="center"/>
          </w:tcPr>
          <w:p>
            <w:pPr>
              <w:jc w:val="center"/>
            </w:pPr>
            <w:r>
              <w:rPr>
                <w:rFonts w:eastAsiaTheme="minorEastAsia"/>
                <w:color w:themeColor="text1" w:val="000000"/>
                <w:szCs w:val="21"/>
              </w:rPr>
              <w:t>海大转债</w:t>
            </w:r>
          </w:p>
        </w:tc>
        <w:tc>
          <w:tcPr>
            <w:vAlign w:val="center"/>
          </w:tcPr>
          <w:p>
            <w:pPr>
              <w:jc w:val="right"/>
            </w:pPr>
            <w:r>
              <w:rPr>
                <w:rFonts w:eastAsiaTheme="minorEastAsia"/>
                <w:color w:themeColor="text1" w:val="000000"/>
                <w:szCs w:val="21"/>
              </w:rPr>
              <w:t>42,530.40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128058</w:t>
            </w:r>
          </w:p>
        </w:tc>
        <w:tc>
          <w:tcPr>
            <w:vAlign w:val="center"/>
          </w:tcPr>
          <w:p>
            <w:pPr>
              <w:jc w:val="center"/>
            </w:pPr>
            <w:r>
              <w:rPr>
                <w:rFonts w:eastAsiaTheme="minorEastAsia"/>
                <w:color w:themeColor="text1" w:val="000000"/>
                <w:szCs w:val="21"/>
              </w:rPr>
              <w:t>拓邦转债</w:t>
            </w:r>
          </w:p>
        </w:tc>
        <w:tc>
          <w:tcPr>
            <w:vAlign w:val="center"/>
          </w:tcPr>
          <w:p>
            <w:pPr>
              <w:jc w:val="right"/>
            </w:pPr>
            <w:r>
              <w:rPr>
                <w:rFonts w:eastAsiaTheme="minorEastAsia"/>
                <w:color w:themeColor="text1" w:val="000000"/>
                <w:szCs w:val="21"/>
              </w:rPr>
              <w:t>42,012.30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113543</w:t>
            </w:r>
          </w:p>
        </w:tc>
        <w:tc>
          <w:tcPr>
            <w:vAlign w:val="center"/>
          </w:tcPr>
          <w:p>
            <w:pPr>
              <w:jc w:val="center"/>
            </w:pPr>
            <w:r>
              <w:rPr>
                <w:rFonts w:eastAsiaTheme="minorEastAsia"/>
                <w:color w:themeColor="text1" w:val="000000"/>
                <w:szCs w:val="21"/>
              </w:rPr>
              <w:t>欧派转债</w:t>
            </w:r>
          </w:p>
        </w:tc>
        <w:tc>
          <w:tcPr>
            <w:vAlign w:val="center"/>
          </w:tcPr>
          <w:p>
            <w:pPr>
              <w:jc w:val="right"/>
            </w:pPr>
            <w:r>
              <w:rPr>
                <w:rFonts w:eastAsiaTheme="minorEastAsia"/>
                <w:color w:themeColor="text1" w:val="000000"/>
                <w:szCs w:val="21"/>
              </w:rPr>
              <w:t>38,953.20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128095</w:t>
            </w:r>
          </w:p>
        </w:tc>
        <w:tc>
          <w:tcPr>
            <w:vAlign w:val="center"/>
          </w:tcPr>
          <w:p>
            <w:pPr>
              <w:jc w:val="center"/>
            </w:pPr>
            <w:r>
              <w:rPr>
                <w:rFonts w:eastAsiaTheme="minorEastAsia"/>
                <w:color w:themeColor="text1" w:val="000000"/>
                <w:szCs w:val="21"/>
              </w:rPr>
              <w:t>恩捷转债</w:t>
            </w:r>
          </w:p>
        </w:tc>
        <w:tc>
          <w:tcPr>
            <w:vAlign w:val="center"/>
          </w:tcPr>
          <w:p>
            <w:pPr>
              <w:jc w:val="right"/>
            </w:pPr>
            <w:r>
              <w:rPr>
                <w:rFonts w:eastAsiaTheme="minorEastAsia"/>
                <w:color w:themeColor="text1" w:val="000000"/>
                <w:szCs w:val="21"/>
              </w:rPr>
              <w:t>38,207.70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113553</w:t>
            </w:r>
          </w:p>
        </w:tc>
        <w:tc>
          <w:tcPr>
            <w:vAlign w:val="center"/>
          </w:tcPr>
          <w:p>
            <w:pPr>
              <w:jc w:val="center"/>
            </w:pPr>
            <w:r>
              <w:rPr>
                <w:rFonts w:eastAsiaTheme="minorEastAsia"/>
                <w:color w:themeColor="text1" w:val="000000"/>
                <w:szCs w:val="21"/>
              </w:rPr>
              <w:t>金牌转债</w:t>
            </w:r>
          </w:p>
        </w:tc>
        <w:tc>
          <w:tcPr>
            <w:vAlign w:val="center"/>
          </w:tcPr>
          <w:p>
            <w:pPr>
              <w:jc w:val="right"/>
            </w:pPr>
            <w:r>
              <w:rPr>
                <w:rFonts w:eastAsiaTheme="minorEastAsia"/>
                <w:color w:themeColor="text1" w:val="000000"/>
                <w:szCs w:val="21"/>
              </w:rPr>
              <w:t>36,142.20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110055</w:t>
            </w:r>
          </w:p>
        </w:tc>
        <w:tc>
          <w:tcPr>
            <w:vAlign w:val="center"/>
          </w:tcPr>
          <w:p>
            <w:pPr>
              <w:jc w:val="center"/>
            </w:pPr>
            <w:r>
              <w:rPr>
                <w:rFonts w:eastAsiaTheme="minorEastAsia"/>
                <w:color w:themeColor="text1" w:val="000000"/>
                <w:szCs w:val="21"/>
              </w:rPr>
              <w:t>伊力转债</w:t>
            </w:r>
          </w:p>
        </w:tc>
        <w:tc>
          <w:tcPr>
            <w:vAlign w:val="center"/>
          </w:tcPr>
          <w:p>
            <w:pPr>
              <w:jc w:val="right"/>
            </w:pPr>
            <w:r>
              <w:rPr>
                <w:rFonts w:eastAsiaTheme="minorEastAsia"/>
                <w:color w:themeColor="text1" w:val="000000"/>
                <w:szCs w:val="21"/>
              </w:rPr>
              <w:t>36,015.10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113562</w:t>
            </w:r>
          </w:p>
        </w:tc>
        <w:tc>
          <w:tcPr>
            <w:vAlign w:val="center"/>
          </w:tcPr>
          <w:p>
            <w:pPr>
              <w:jc w:val="center"/>
            </w:pPr>
            <w:r>
              <w:rPr>
                <w:rFonts w:eastAsiaTheme="minorEastAsia"/>
                <w:color w:themeColor="text1" w:val="000000"/>
                <w:szCs w:val="21"/>
              </w:rPr>
              <w:t>璞泰转债</w:t>
            </w:r>
          </w:p>
        </w:tc>
        <w:tc>
          <w:tcPr>
            <w:vAlign w:val="center"/>
          </w:tcPr>
          <w:p>
            <w:pPr>
              <w:jc w:val="right"/>
            </w:pPr>
            <w:r>
              <w:rPr>
                <w:rFonts w:eastAsiaTheme="minorEastAsia"/>
                <w:color w:themeColor="text1" w:val="000000"/>
                <w:szCs w:val="21"/>
              </w:rPr>
              <w:t>34,460.00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11</w:t>
            </w:r>
          </w:p>
        </w:tc>
        <w:tc>
          <w:tcPr>
            <w:vAlign w:val="center"/>
          </w:tcPr>
          <w:p>
            <w:pPr>
              <w:jc w:val="center"/>
            </w:pPr>
            <w:r>
              <w:rPr>
                <w:rFonts w:eastAsiaTheme="minorEastAsia"/>
                <w:color w:themeColor="text1" w:val="000000"/>
                <w:szCs w:val="21"/>
              </w:rPr>
              <w:t>113571</w:t>
            </w:r>
          </w:p>
        </w:tc>
        <w:tc>
          <w:tcPr>
            <w:vAlign w:val="center"/>
          </w:tcPr>
          <w:p>
            <w:pPr>
              <w:jc w:val="center"/>
            </w:pPr>
            <w:r>
              <w:rPr>
                <w:rFonts w:eastAsiaTheme="minorEastAsia"/>
                <w:color w:themeColor="text1" w:val="000000"/>
                <w:szCs w:val="21"/>
              </w:rPr>
              <w:t>博特转债</w:t>
            </w:r>
          </w:p>
        </w:tc>
        <w:tc>
          <w:tcPr>
            <w:vAlign w:val="center"/>
          </w:tcPr>
          <w:p>
            <w:pPr>
              <w:jc w:val="right"/>
            </w:pPr>
            <w:r>
              <w:rPr>
                <w:rFonts w:eastAsiaTheme="minorEastAsia"/>
                <w:color w:themeColor="text1" w:val="000000"/>
                <w:szCs w:val="21"/>
              </w:rPr>
              <w:t>33,465.00</w:t>
            </w:r>
          </w:p>
        </w:tc>
        <w:tc>
          <w:tcPr>
            <w:vAlign w:val="center"/>
          </w:tcPr>
          <w:p>
            <w:pPr>
              <w:jc w:val="right"/>
            </w:pPr>
            <w:r>
              <w:rPr>
                <w:rFonts w:eastAsiaTheme="minorEastAsia"/>
                <w:color w:themeColor="text1" w:val="000000"/>
                <w:szCs w:val="21"/>
              </w:rPr>
              <w:t>0.01</w:t>
            </w:r>
          </w:p>
        </w:tc>
      </w:tr>
      <w:tr>
        <w:tc>
          <w:tcPr>
            <w:vAlign w:val="center"/>
          </w:tcPr>
          <w:p>
            <w:pPr>
              <w:jc w:val="center"/>
            </w:pPr>
            <w:r>
              <w:rPr>
                <w:rFonts w:eastAsiaTheme="minorEastAsia"/>
                <w:color w:themeColor="text1" w:val="000000"/>
                <w:szCs w:val="21"/>
              </w:rPr>
              <w:t>12</w:t>
            </w:r>
          </w:p>
        </w:tc>
        <w:tc>
          <w:tcPr>
            <w:vAlign w:val="center"/>
          </w:tcPr>
          <w:p>
            <w:pPr>
              <w:jc w:val="center"/>
            </w:pPr>
            <w:r>
              <w:rPr>
                <w:rFonts w:eastAsiaTheme="minorEastAsia"/>
                <w:color w:themeColor="text1" w:val="000000"/>
                <w:szCs w:val="21"/>
              </w:rPr>
              <w:t>123017</w:t>
            </w:r>
          </w:p>
        </w:tc>
        <w:tc>
          <w:tcPr>
            <w:vAlign w:val="center"/>
          </w:tcPr>
          <w:p>
            <w:pPr>
              <w:jc w:val="center"/>
            </w:pPr>
            <w:r>
              <w:rPr>
                <w:rFonts w:eastAsiaTheme="minorEastAsia"/>
                <w:color w:themeColor="text1" w:val="000000"/>
                <w:szCs w:val="21"/>
              </w:rPr>
              <w:t>寒锐转债</w:t>
            </w:r>
          </w:p>
        </w:tc>
        <w:tc>
          <w:tcPr>
            <w:vAlign w:val="center"/>
          </w:tcPr>
          <w:p>
            <w:pPr>
              <w:jc w:val="right"/>
            </w:pPr>
            <w:r>
              <w:rPr>
                <w:rFonts w:eastAsiaTheme="minorEastAsia"/>
                <w:color w:themeColor="text1" w:val="000000"/>
                <w:szCs w:val="21"/>
              </w:rPr>
              <w:t>32,630.00</w:t>
            </w:r>
          </w:p>
        </w:tc>
        <w:tc>
          <w:tcPr>
            <w:vAlign w:val="center"/>
          </w:tcPr>
          <w:p>
            <w:pPr>
              <w:jc w:val="right"/>
            </w:pPr>
            <w:r>
              <w:rPr>
                <w:rFonts w:eastAsiaTheme="minorEastAsia"/>
                <w:color w:themeColor="text1" w:val="000000"/>
                <w:szCs w:val="21"/>
              </w:rPr>
              <w:t>0.00</w:t>
            </w:r>
          </w:p>
        </w:tc>
      </w:tr>
      <w:tr>
        <w:tc>
          <w:tcPr>
            <w:vAlign w:val="center"/>
          </w:tcPr>
          <w:p>
            <w:pPr>
              <w:jc w:val="center"/>
            </w:pPr>
            <w:r>
              <w:rPr>
                <w:rFonts w:eastAsiaTheme="minorEastAsia"/>
                <w:color w:themeColor="text1" w:val="000000"/>
                <w:szCs w:val="21"/>
              </w:rPr>
              <w:t>13</w:t>
            </w:r>
          </w:p>
        </w:tc>
        <w:tc>
          <w:tcPr>
            <w:vAlign w:val="center"/>
          </w:tcPr>
          <w:p>
            <w:pPr>
              <w:jc w:val="center"/>
            </w:pPr>
            <w:r>
              <w:rPr>
                <w:rFonts w:eastAsiaTheme="minorEastAsia"/>
                <w:color w:themeColor="text1" w:val="000000"/>
                <w:szCs w:val="21"/>
              </w:rPr>
              <w:t>127015</w:t>
            </w:r>
          </w:p>
        </w:tc>
        <w:tc>
          <w:tcPr>
            <w:vAlign w:val="center"/>
          </w:tcPr>
          <w:p>
            <w:pPr>
              <w:jc w:val="center"/>
            </w:pPr>
            <w:r>
              <w:rPr>
                <w:rFonts w:eastAsiaTheme="minorEastAsia"/>
                <w:color w:themeColor="text1" w:val="000000"/>
                <w:szCs w:val="21"/>
              </w:rPr>
              <w:t>希望转债</w:t>
            </w:r>
          </w:p>
        </w:tc>
        <w:tc>
          <w:tcPr>
            <w:vAlign w:val="center"/>
          </w:tcPr>
          <w:p>
            <w:pPr>
              <w:jc w:val="right"/>
            </w:pPr>
            <w:r>
              <w:rPr>
                <w:rFonts w:eastAsiaTheme="minorEastAsia"/>
                <w:color w:themeColor="text1" w:val="000000"/>
                <w:szCs w:val="21"/>
              </w:rPr>
              <w:t>31,873.60</w:t>
            </w:r>
          </w:p>
        </w:tc>
        <w:tc>
          <w:tcPr>
            <w:vAlign w:val="center"/>
          </w:tcPr>
          <w:p>
            <w:pPr>
              <w:jc w:val="right"/>
            </w:pPr>
            <w:r>
              <w:rPr>
                <w:rFonts w:eastAsiaTheme="minorEastAsia"/>
                <w:color w:themeColor="text1" w:val="000000"/>
                <w:szCs w:val="21"/>
              </w:rPr>
              <w:t>0.00</w:t>
            </w:r>
          </w:p>
        </w:tc>
      </w:tr>
      <w:tr>
        <w:tc>
          <w:tcPr>
            <w:vAlign w:val="center"/>
          </w:tcPr>
          <w:p>
            <w:pPr>
              <w:jc w:val="center"/>
            </w:pPr>
            <w:r>
              <w:rPr>
                <w:rFonts w:eastAsiaTheme="minorEastAsia"/>
                <w:color w:themeColor="text1" w:val="000000"/>
                <w:szCs w:val="21"/>
              </w:rPr>
              <w:t>14</w:t>
            </w:r>
          </w:p>
        </w:tc>
        <w:tc>
          <w:tcPr>
            <w:vAlign w:val="center"/>
          </w:tcPr>
          <w:p>
            <w:pPr>
              <w:jc w:val="center"/>
            </w:pPr>
            <w:r>
              <w:rPr>
                <w:rFonts w:eastAsiaTheme="minorEastAsia"/>
                <w:color w:themeColor="text1" w:val="000000"/>
                <w:szCs w:val="21"/>
              </w:rPr>
              <w:t>113545</w:t>
            </w:r>
          </w:p>
        </w:tc>
        <w:tc>
          <w:tcPr>
            <w:vAlign w:val="center"/>
          </w:tcPr>
          <w:p>
            <w:pPr>
              <w:jc w:val="center"/>
            </w:pPr>
            <w:r>
              <w:rPr>
                <w:rFonts w:eastAsiaTheme="minorEastAsia"/>
                <w:color w:themeColor="text1" w:val="000000"/>
                <w:szCs w:val="21"/>
              </w:rPr>
              <w:t>金能转债</w:t>
            </w:r>
          </w:p>
        </w:tc>
        <w:tc>
          <w:tcPr>
            <w:vAlign w:val="center"/>
          </w:tcPr>
          <w:p>
            <w:pPr>
              <w:jc w:val="right"/>
            </w:pPr>
            <w:r>
              <w:rPr>
                <w:rFonts w:eastAsiaTheme="minorEastAsia"/>
                <w:color w:themeColor="text1" w:val="000000"/>
                <w:szCs w:val="21"/>
              </w:rPr>
              <w:t>31,806.00</w:t>
            </w:r>
          </w:p>
        </w:tc>
        <w:tc>
          <w:tcPr>
            <w:vAlign w:val="center"/>
          </w:tcPr>
          <w:p>
            <w:pPr>
              <w:jc w:val="right"/>
            </w:pPr>
            <w:r>
              <w:rPr>
                <w:rFonts w:eastAsiaTheme="minorEastAsia"/>
                <w:color w:themeColor="text1" w:val="000000"/>
                <w:szCs w:val="21"/>
              </w:rPr>
              <w:t>0.00</w:t>
            </w:r>
          </w:p>
        </w:tc>
      </w:tr>
    </w:tbl>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因四舍五入的原因，投资组合报告中分项之和与合计数可能存在尾差。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上投摩根安通回报混合A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上投摩根安通回报混合C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10,178,913.79</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175,008.84</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302,932,092.52</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260,668,407.08</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1,739,015.30</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100,469.26</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311,371,991.01</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260,742,946.66</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21DE2B24"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 xml:space="preserve">§8 </w:t>
      </w:r>
      <w:r>
        <w:rPr>
          <w:rFonts w:eastAsiaTheme="minorEastAsia"/>
          <w:color w:themeColor="text1" w:val="000000"/>
          <w:kern w:val="0"/>
          <w:sz w:val="21"/>
          <w:szCs w:val="21"/>
        </w:rPr>
        <w:t>影响投资者决策的其他重要信息</w:t>
      </w:r>
    </w:p>
    <w:p w14:paraId="6329C796" w14:textId="77777777" w:rsidR="005E6DF3" w:rsidRDefault="005C671B">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proofErr w:type="spellStart"/>
      <w:r>
        <w:rPr>
          <w:rFonts w:ascii="宋体" w:hAnsi="宋体"/>
          <w:b/>
          <w:color w:val="000000"/>
          <w:kern w:val="0"/>
          <w:szCs w:val="21"/>
        </w:rPr>
        <w:t/>
      </w:r>
      <w:proofErr w:type="gramStart"/>
      <w:r>
        <w:rPr>
          <w:rFonts w:ascii="宋体" w:hAnsi="宋体"/>
          <w:b/>
          <w:color w:val="000000"/>
          <w:kern w:val="0"/>
          <w:szCs w:val="21"/>
        </w:rPr>
        <w:t/>
      </w:r>
      <w:proofErr w:type="spellEnd"/>
      <w:r>
        <w:rPr>
          <w:rFonts w:ascii="宋体" w:hAnsi="宋体"/>
          <w:b/>
          <w:color w:val="000000"/>
          <w:kern w:val="0"/>
          <w:szCs w:val="21"/>
        </w:rPr>
        <w:t/>
      </w:r>
      <w:r>
        <w:rPr>
          <w:rFonts w:ascii="宋体" w:hAnsi="宋体"/>
          <w:b/>
          <w:bCs/>
          <w:color w:val="000000"/>
          <w:kern w:val="0"/>
          <w:szCs w:val="21"/>
        </w:rPr>
        <w:t/>
      </w:r>
      <w:proofErr w:type="gramEnd"/>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14:paraId="71715497" w14:textId="77777777" w:rsidR="005E6DF3">
        <w:tc>
          <w:tcPr>
            <w:tcW w:type="dxa" w:w="993"/>
            <w:vMerge w:val="restart"/>
            <w:vAlign w:val="center"/>
          </w:tcPr>
          <w:p w14:paraId="54DAB89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w:r>
            <w:proofErr w:type="spellStart"/>
            <w:r>
              <w:rPr>
                <w:rFonts w:ascii="宋体" w:hAnsi="宋体"/>
                <w:color w:val="000000"/>
                <w:kern w:val="0"/>
                <w:szCs w:val="21"/>
              </w:rPr>
              <w:t/>
            </w:r>
            <w:proofErr w:type="spellEnd"/>
            <w:r>
              <w:rPr>
                <w:rFonts w:ascii="宋体" w:hAnsi="宋体"/>
                <w:color w:val="000000"/>
                <w:kern w:val="0"/>
                <w:szCs w:val="21"/>
              </w:rPr>
              <w:t xml:space="preserve">  </w:t>
            </w:r>
          </w:p>
        </w:tc>
        <w:tc>
          <w:tcPr>
            <w:tcW w:type="dxa" w:w="5670"/>
            <w:gridSpan w:val="5"/>
            <w:vAlign w:val="center"/>
          </w:tcPr>
          <w:p w14:paraId="65E805F7"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vAlign w:val="center"/>
          </w:tcPr>
          <w:p w14:paraId="1139CC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14:paraId="68859831" w14:textId="77777777" w:rsidR="005E6DF3">
        <w:tc>
          <w:tcPr>
            <w:tcW w:type="dxa" w:w="993"/>
            <w:vMerge/>
            <w:vAlign w:val="center"/>
          </w:tcPr>
          <w:p w14:paraId="23C71972" w14:textId="77777777" w:rsidR="005E6DF3" w:rsidRDefault="005E6DF3">
            <w:pPr>
              <w:autoSpaceDE w:val="0"/>
              <w:autoSpaceDN w:val="0"/>
              <w:adjustRightInd w:val="0"/>
              <w:jc w:val="center"/>
              <w:rPr>
                <w:rFonts w:ascii="宋体" w:hAnsi="宋体"/>
                <w:b/>
                <w:bCs/>
                <w:color w:val="000000"/>
                <w:kern w:val="0"/>
                <w:szCs w:val="21"/>
              </w:rPr>
            </w:pPr>
          </w:p>
        </w:tc>
        <w:tc>
          <w:tcPr>
            <w:tcW w:type="dxa" w:w="992"/>
            <w:vAlign w:val="center"/>
          </w:tcPr>
          <w:p w14:paraId="2827F62B"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vAlign w:val="center"/>
          </w:tcPr>
          <w:p w14:paraId="201B9B9A"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vAlign w:val="center"/>
          </w:tcPr>
          <w:p w14:paraId="5E2D1D76"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vAlign w:val="center"/>
          </w:tcPr>
          <w:p w14:paraId="03D032C1"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vAlign w:val="center"/>
          </w:tcPr>
          <w:p w14:paraId="6537C564" w14:textId="77777777" w:rsidR="005E6DF3" w:rsidRDefault="005C671B">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vAlign w:val="center"/>
          </w:tcPr>
          <w:p w14:paraId="279C7EC5"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vAlign w:val="center"/>
          </w:tcPr>
          <w:p w14:paraId="39B8258E" w14:textId="77777777" w:rsidR="005E6DF3" w:rsidRDefault="005C671B">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vAlign w:val="center"/>
          </w:tcPr>
          <w:p>
            <w:r>
              <w:rPr>
                <w:rFonts w:ascii="宋体" w:hAnsi="宋体" w:hint="eastAsia"/>
                <w:bCs/>
                <w:color w:val="000000"/>
                <w:kern w:val="0"/>
                <w:szCs w:val="21"/>
              </w:rPr>
              <w:t>机构</w:t>
            </w:r>
          </w:p>
        </w:tc>
        <w:tc>
          <w:tcPr>
            <w:vAlign w:val="center"/>
          </w:tcPr>
          <w:p>
            <w:pPr>
              <w:jc w:val="center"/>
            </w:pPr>
            <w:r>
              <w:rPr>
                <w:rFonts w:ascii="宋体" w:hAnsi="宋体"/>
                <w:color w:val="000000"/>
                <w:kern w:val="0"/>
                <w:szCs w:val="21"/>
              </w:rPr>
              <w:t>1</w:t>
            </w:r>
          </w:p>
        </w:tc>
        <w:tc>
          <w:tcPr>
            <w:vAlign w:val="center"/>
          </w:tcPr>
          <w:p>
            <w:pPr>
              <w:jc w:val="center"/>
            </w:pPr>
            <w:r>
              <w:rPr>
                <w:rFonts w:ascii="宋体" w:hAnsi="宋体"/>
                <w:color w:val="000000"/>
                <w:kern w:val="0"/>
                <w:szCs w:val="21"/>
              </w:rPr>
              <w:t>20200901-20200930</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125,398,937.01</w:t>
            </w:r>
          </w:p>
        </w:tc>
        <w:tc>
          <w:tcPr>
            <w:vAlign w:val="center"/>
          </w:tcPr>
          <w:p>
            <w:pPr>
              <w:jc w:val="center"/>
            </w:pPr>
            <w:r>
              <w:rPr>
                <w:rFonts w:ascii="宋体" w:hAnsi="宋体"/>
                <w:color w:val="000000"/>
                <w:kern w:val="0"/>
                <w:szCs w:val="21"/>
              </w:rPr>
              <w:t>0.00</w:t>
            </w:r>
          </w:p>
        </w:tc>
        <w:tc>
          <w:tcPr>
            <w:vAlign w:val="center"/>
          </w:tcPr>
          <w:p>
            <w:pPr>
              <w:jc w:val="center"/>
            </w:pPr>
            <w:r>
              <w:rPr>
                <w:rFonts w:ascii="宋体" w:hAnsi="宋体"/>
                <w:color w:val="000000"/>
                <w:kern w:val="0"/>
                <w:szCs w:val="21"/>
              </w:rPr>
              <w:t>125,398,937.01</w:t>
            </w:r>
          </w:p>
        </w:tc>
        <w:tc>
          <w:tcPr>
            <w:vAlign w:val="center"/>
          </w:tcPr>
          <w:p>
            <w:pPr>
              <w:jc w:val="center"/>
            </w:pPr>
            <w:r>
              <w:rPr>
                <w:rFonts w:ascii="宋体" w:hAnsi="宋体"/>
                <w:color w:val="000000"/>
                <w:kern w:val="0"/>
                <w:szCs w:val="21"/>
              </w:rPr>
              <w:t>21.92%</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14:paraId="5181AB41" w14:textId="77777777" w:rsidR="005E6DF3">
        <w:tc>
          <w:tcPr>
            <w:tcW w:type="dxa" w:w="9212"/>
            <w:vAlign w:val="center"/>
          </w:tcPr>
          <w:p w14:paraId="6D96E951" w14:textId="77777777" w:rsidR="005E6DF3" w:rsidRDefault="005C671B">
            <w:pPr>
              <w:autoSpaceDE w:val="0"/>
              <w:autoSpaceDN w:val="0"/>
              <w:adjustRightInd w:val="0"/>
              <w:jc w:val="center"/>
              <w:rPr>
                <w:rFonts w:ascii="宋体" w:hAnsi="宋体"/>
                <w:kern w:val="0"/>
                <w:szCs w:val="21"/>
              </w:rPr>
            </w:pPr>
            <w:r>
              <w:rPr>
                <w:rFonts w:ascii="宋体" w:hAnsi="宋体"/>
                <w:color w:val="000000"/>
                <w:kern w:val="0"/>
                <w:szCs w:val="21"/>
              </w:rPr>
              <w:t>产品特有风险</w:t>
            </w:r>
            <w:r>
              <w:rPr>
                <w:rFonts w:ascii="宋体" w:hAnsi="宋体"/>
                <w:kern w:val="0"/>
                <w:szCs w:val="21"/>
              </w:rPr>
              <w:t/>
            </w:r>
            <w:proofErr w:type="spellStart"/>
            <w:r>
              <w:rPr>
                <w:rFonts w:ascii="宋体" w:hAnsi="宋体" w:hint="eastAsia"/>
                <w:kern w:val="0"/>
                <w:szCs w:val="21"/>
              </w:rPr>
              <w:t/>
            </w:r>
            <w:proofErr w:type="spellEnd"/>
            <w:r>
              <w:rPr>
                <w:rFonts w:ascii="宋体" w:hAnsi="宋体"/>
                <w:kern w:val="0"/>
                <w:szCs w:val="21"/>
              </w:rPr>
              <w:t/>
            </w:r>
          </w:p>
        </w:tc>
      </w:tr>
      <w:tr w14:paraId="1F29AB04" w14:textId="77777777" w:rsidR="005E6DF3">
        <w:tc>
          <w:tcPr>
            <w:tcW w:type="dxa" w:w="9212"/>
            <w:vAlign w:val="center"/>
          </w:tcPr>
          <w:p w14:paraId="7693CCEE" w14:textId="77777777" w:rsidR="005E6DF3" w:rsidRDefault="005C671B">
            <w:pPr>
              <w:autoSpaceDE w:val="0"/>
              <w:autoSpaceDN w:val="0"/>
              <w:adjustRightInd w:val="0"/>
              <w:jc w:val="left"/>
              <w:rPr>
                <w:rFonts w:ascii="宋体" w:hAnsi="宋体"/>
                <w:kern w:val="0"/>
                <w:szCs w:val="21"/>
              </w:rPr>
            </w:pPr>
            <w:r>
              <w:rPr>
                <w:rFonts w:ascii="宋体" w:hAnsi="宋体" w:hint="eastAsia"/>
                <w:kern w:val="0"/>
                <w:szCs w:val="21"/>
              </w:rPr>
              <w:t/>
            </w:r>
            <w:r>
              <w:rPr>
                <w:rFonts w:ascii="宋体" w:hAnsi="宋体"/>
                <w:kern w:val="0"/>
                <w:szCs w:val="21"/>
              </w:rPr>
              <w:t/>
            </w:r>
            <w:proofErr w:type="gramStart"/>
            <w:r>
              <w:rPr>
                <w:rFonts w:ascii="宋体" w:hAnsi="宋体"/>
                <w:kern w:val="0"/>
                <w:szCs w:val="21"/>
              </w:rPr>
              <w:t/>
            </w: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r>
              <w:rPr>
                <w:rFonts w:ascii="宋体" w:hAnsi="宋体"/>
                <w:kern w:val="0"/>
                <w:szCs w:val="21"/>
              </w:rPr>
              <w:t/>
            </w:r>
            <w:proofErr w:type="gramEnd"/>
            <w:r>
              <w:rPr>
                <w:rFonts w:ascii="宋体" w:hAnsi="宋体"/>
                <w:kern w:val="0"/>
                <w:szCs w:val="21"/>
              </w:rPr>
              <w:t/>
            </w:r>
          </w:p>
        </w:tc>
      </w:tr>
    </w:tbl>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§9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中国证监会准予上投摩根安通回报混合型证券投资基金募集注册的文件；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《上投摩根安通回报混合型证券投资基金基金合同》；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《上投摩根安通回报混合型证券投资基金托管协议》；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 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9.</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二〇二〇年十月二十八日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上投摩根安通回报混合型证券投资基金</w:t>
    </w:r>
    <w:proofErr w:type="spellStart"/>
    <w:proofErr w:type="gramEnd"/>
    <w:r>
      <w:t/>
    </w:r>
    <w:proofErr w:type="spellEnd"/>
    <w:r>
      <w:t>2020年第3季度报告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