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3F" w:rsidRDefault="00F2463F">
      <w:pPr>
        <w:autoSpaceDE w:val="0"/>
        <w:autoSpaceDN w:val="0"/>
        <w:adjustRightInd w:val="0"/>
        <w:spacing w:line="360" w:lineRule="auto"/>
        <w:jc w:val="left"/>
        <w:rPr>
          <w:rFonts w:eastAsiaTheme="minorEastAsia"/>
          <w:color w:val="000000" w:themeColor="text1"/>
          <w:kern w:val="0"/>
          <w:szCs w:val="21"/>
        </w:rPr>
      </w:pPr>
    </w:p>
    <w:p w:rsidR="00F2463F" w:rsidRDefault="00F2463F">
      <w:pPr>
        <w:autoSpaceDE w:val="0"/>
        <w:autoSpaceDN w:val="0"/>
        <w:adjustRightInd w:val="0"/>
        <w:spacing w:line="360" w:lineRule="auto"/>
        <w:jc w:val="left"/>
        <w:rPr>
          <w:rFonts w:eastAsiaTheme="minorEastAsia"/>
          <w:color w:val="000000" w:themeColor="text1"/>
          <w:kern w:val="0"/>
          <w:szCs w:val="21"/>
        </w:rPr>
      </w:pPr>
    </w:p>
    <w:p w:rsidR="00F2463F" w:rsidRDefault="00F2463F">
      <w:pPr>
        <w:autoSpaceDE w:val="0"/>
        <w:autoSpaceDN w:val="0"/>
        <w:adjustRightInd w:val="0"/>
        <w:spacing w:line="360" w:lineRule="auto"/>
        <w:jc w:val="left"/>
        <w:rPr>
          <w:rFonts w:eastAsiaTheme="minorEastAsia"/>
          <w:color w:val="000000" w:themeColor="text1"/>
          <w:kern w:val="0"/>
          <w:szCs w:val="21"/>
        </w:rPr>
      </w:pPr>
    </w:p>
    <w:p w:rsidR="00F2463F" w:rsidRDefault="00F2463F">
      <w:pPr>
        <w:autoSpaceDE w:val="0"/>
        <w:autoSpaceDN w:val="0"/>
        <w:adjustRightInd w:val="0"/>
        <w:spacing w:line="360" w:lineRule="auto"/>
        <w:jc w:val="left"/>
        <w:rPr>
          <w:rFonts w:eastAsiaTheme="minorEastAsia"/>
          <w:color w:val="000000" w:themeColor="text1"/>
          <w:kern w:val="0"/>
          <w:szCs w:val="21"/>
        </w:rPr>
      </w:pPr>
    </w:p>
    <w:p w:rsidR="00F2463F" w:rsidRDefault="00F2463F">
      <w:pPr>
        <w:autoSpaceDE w:val="0"/>
        <w:autoSpaceDN w:val="0"/>
        <w:adjustRightInd w:val="0"/>
        <w:spacing w:line="360" w:lineRule="auto"/>
        <w:jc w:val="left"/>
        <w:rPr>
          <w:rFonts w:eastAsiaTheme="minorEastAsia"/>
          <w:color w:val="000000" w:themeColor="text1"/>
          <w:kern w:val="0"/>
          <w:szCs w:val="21"/>
        </w:rPr>
      </w:pPr>
    </w:p>
    <w:p w:rsidR="00F2463F" w:rsidRDefault="00DA6186">
      <w:pPr>
        <w:spacing w:line="360" w:lineRule="auto"/>
        <w:jc w:val="center"/>
        <w:rPr>
          <w:rFonts w:eastAsiaTheme="minorEastAsia"/>
          <w:b/>
          <w:color w:val="000000" w:themeColor="text1"/>
          <w:sz w:val="36"/>
          <w:szCs w:val="36"/>
        </w:rPr>
      </w:pPr>
      <w:r>
        <w:rPr>
          <w:rFonts w:eastAsiaTheme="minorEastAsia"/>
          <w:b/>
          <w:color w:val="000000" w:themeColor="text1"/>
          <w:sz w:val="36"/>
          <w:szCs w:val="36"/>
        </w:rPr>
        <w:t>上投摩根岁岁金定期开放债券型证券投资基金</w:t>
      </w:r>
    </w:p>
    <w:p w:rsidR="00F2463F" w:rsidRDefault="00DA6186">
      <w:pPr>
        <w:spacing w:line="360" w:lineRule="auto"/>
        <w:jc w:val="center"/>
        <w:rPr>
          <w:rFonts w:eastAsiaTheme="minorEastAsia"/>
          <w:b/>
          <w:color w:val="000000" w:themeColor="text1"/>
          <w:sz w:val="36"/>
          <w:szCs w:val="36"/>
        </w:rPr>
      </w:pPr>
      <w:r>
        <w:rPr>
          <w:rFonts w:eastAsiaTheme="minorEastAsia"/>
          <w:b/>
          <w:color w:val="000000" w:themeColor="text1"/>
          <w:sz w:val="36"/>
          <w:szCs w:val="36"/>
        </w:rPr>
        <w:t>2019</w:t>
      </w:r>
      <w:r>
        <w:rPr>
          <w:rFonts w:eastAsiaTheme="minorEastAsia"/>
          <w:b/>
          <w:color w:val="000000" w:themeColor="text1"/>
          <w:sz w:val="36"/>
          <w:szCs w:val="36"/>
        </w:rPr>
        <w:t>年第</w:t>
      </w:r>
      <w:r>
        <w:rPr>
          <w:rFonts w:eastAsiaTheme="minorEastAsia"/>
          <w:b/>
          <w:color w:val="000000" w:themeColor="text1"/>
          <w:sz w:val="36"/>
          <w:szCs w:val="36"/>
        </w:rPr>
        <w:t>1</w:t>
      </w:r>
      <w:r>
        <w:rPr>
          <w:rFonts w:eastAsiaTheme="minorEastAsia"/>
          <w:b/>
          <w:color w:val="000000" w:themeColor="text1"/>
          <w:sz w:val="36"/>
          <w:szCs w:val="36"/>
        </w:rPr>
        <w:t>季度报告</w:t>
      </w:r>
    </w:p>
    <w:p w:rsidR="00F2463F" w:rsidRDefault="00DA6186">
      <w:pPr>
        <w:spacing w:line="360" w:lineRule="auto"/>
        <w:jc w:val="center"/>
        <w:rPr>
          <w:rFonts w:eastAsiaTheme="minorEastAsia"/>
          <w:b/>
          <w:color w:val="000000" w:themeColor="text1"/>
          <w:szCs w:val="21"/>
        </w:rPr>
      </w:pPr>
      <w:r>
        <w:rPr>
          <w:rFonts w:eastAsiaTheme="minorEastAsia"/>
          <w:b/>
          <w:color w:val="000000" w:themeColor="text1"/>
          <w:sz w:val="36"/>
          <w:szCs w:val="36"/>
        </w:rPr>
        <w:t>2019</w:t>
      </w:r>
      <w:r>
        <w:rPr>
          <w:rFonts w:eastAsiaTheme="minorEastAsia"/>
          <w:b/>
          <w:color w:val="000000" w:themeColor="text1"/>
          <w:sz w:val="36"/>
          <w:szCs w:val="36"/>
        </w:rPr>
        <w:t>年</w:t>
      </w:r>
      <w:r>
        <w:rPr>
          <w:rFonts w:eastAsiaTheme="minorEastAsia"/>
          <w:b/>
          <w:color w:val="000000" w:themeColor="text1"/>
          <w:sz w:val="36"/>
          <w:szCs w:val="36"/>
        </w:rPr>
        <w:t>3</w:t>
      </w:r>
      <w:r>
        <w:rPr>
          <w:rFonts w:eastAsiaTheme="minorEastAsia"/>
          <w:b/>
          <w:color w:val="000000" w:themeColor="text1"/>
          <w:sz w:val="36"/>
          <w:szCs w:val="36"/>
        </w:rPr>
        <w:t>月</w:t>
      </w:r>
      <w:r>
        <w:rPr>
          <w:rFonts w:eastAsiaTheme="minorEastAsia"/>
          <w:b/>
          <w:color w:val="000000" w:themeColor="text1"/>
          <w:sz w:val="36"/>
          <w:szCs w:val="36"/>
        </w:rPr>
        <w:t>31</w:t>
      </w:r>
      <w:r>
        <w:rPr>
          <w:rFonts w:eastAsiaTheme="minorEastAsia"/>
          <w:b/>
          <w:color w:val="000000" w:themeColor="text1"/>
          <w:sz w:val="36"/>
          <w:szCs w:val="36"/>
        </w:rPr>
        <w:t>日</w:t>
      </w: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bookmarkStart w:id="0" w:name="_GoBack"/>
      <w:bookmarkEnd w:id="0"/>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jc w:val="center"/>
        <w:rPr>
          <w:rFonts w:eastAsiaTheme="minorEastAsia"/>
          <w:b/>
          <w:color w:val="000000" w:themeColor="text1"/>
          <w:szCs w:val="21"/>
        </w:rPr>
      </w:pPr>
    </w:p>
    <w:p w:rsidR="00F2463F" w:rsidRDefault="00F2463F">
      <w:pPr>
        <w:spacing w:line="360" w:lineRule="auto"/>
        <w:rPr>
          <w:rFonts w:eastAsiaTheme="minorEastAsia"/>
          <w:b/>
          <w:color w:val="000000" w:themeColor="text1"/>
          <w:szCs w:val="21"/>
        </w:rPr>
      </w:pPr>
    </w:p>
    <w:p w:rsidR="00F2463F" w:rsidRDefault="00DA6186">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基金管理人：上投摩根基金管理有限公司</w:t>
      </w:r>
    </w:p>
    <w:p w:rsidR="00F2463F" w:rsidRDefault="00DA6186">
      <w:pPr>
        <w:spacing w:line="360" w:lineRule="auto"/>
        <w:ind w:firstLineChars="900" w:firstLine="2168"/>
        <w:rPr>
          <w:rFonts w:eastAsiaTheme="minorEastAsia"/>
          <w:b/>
          <w:color w:val="000000" w:themeColor="text1"/>
          <w:sz w:val="24"/>
        </w:rPr>
      </w:pPr>
      <w:r>
        <w:rPr>
          <w:rFonts w:eastAsiaTheme="minorEastAsia"/>
          <w:b/>
          <w:color w:val="000000" w:themeColor="text1"/>
          <w:sz w:val="24"/>
        </w:rPr>
        <w:t>基金托管人：平安银行股份有限公司</w:t>
      </w:r>
    </w:p>
    <w:p w:rsidR="00F2463F" w:rsidRDefault="00DA6186">
      <w:pPr>
        <w:spacing w:line="360" w:lineRule="auto"/>
        <w:ind w:firstLineChars="900" w:firstLine="2168"/>
        <w:rPr>
          <w:rFonts w:eastAsiaTheme="minorEastAsia"/>
          <w:color w:val="000000" w:themeColor="text1"/>
          <w:szCs w:val="21"/>
        </w:rPr>
        <w:sectPr w:rsidR="00F2463F">
          <w:headerReference w:type="default" r:id="rId8"/>
          <w:footerReference w:type="default" r:id="rId9"/>
          <w:pgSz w:w="11926" w:h="15840"/>
          <w:pgMar w:top="1418" w:right="1418" w:bottom="851" w:left="1418" w:header="851" w:footer="992" w:gutter="0"/>
          <w:cols w:space="720"/>
        </w:sectPr>
      </w:pPr>
      <w:r>
        <w:rPr>
          <w:rFonts w:eastAsiaTheme="minorEastAsia"/>
          <w:b/>
          <w:color w:val="000000" w:themeColor="text1"/>
          <w:sz w:val="24"/>
        </w:rPr>
        <w:t>报告送出日期：二〇一九年四月十九日</w:t>
      </w:r>
    </w:p>
    <w:p w:rsidR="00F2463F" w:rsidRDefault="00DA6186">
      <w:pPr>
        <w:pStyle w:val="1"/>
        <w:spacing w:beforeLines="100" w:before="312" w:afterLines="100" w:after="312" w:line="360" w:lineRule="auto"/>
        <w:jc w:val="center"/>
        <w:rPr>
          <w:rFonts w:eastAsiaTheme="minorEastAsia"/>
          <w:b w:val="0"/>
          <w:color w:val="000000" w:themeColor="text1"/>
          <w:kern w:val="0"/>
          <w:sz w:val="21"/>
          <w:szCs w:val="21"/>
        </w:rPr>
      </w:pPr>
      <w:r>
        <w:rPr>
          <w:rFonts w:eastAsiaTheme="minorEastAsia"/>
          <w:color w:val="000000" w:themeColor="text1"/>
          <w:kern w:val="0"/>
          <w:sz w:val="21"/>
          <w:szCs w:val="21"/>
        </w:rPr>
        <w:lastRenderedPageBreak/>
        <w:t xml:space="preserve">§1  </w:t>
      </w:r>
      <w:r>
        <w:rPr>
          <w:rFonts w:eastAsiaTheme="minorEastAsia"/>
          <w:color w:val="000000" w:themeColor="text1"/>
          <w:kern w:val="0"/>
          <w:sz w:val="21"/>
          <w:szCs w:val="21"/>
        </w:rPr>
        <w:t>重要提示</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Cs w:val="21"/>
        </w:rPr>
        <w:t xml:space="preserve"> </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基金托管人平安银行股份有限公司根据本基金合同规定，于</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18</w:t>
      </w:r>
      <w:r>
        <w:rPr>
          <w:rFonts w:eastAsiaTheme="minorEastAsia"/>
          <w:color w:val="000000" w:themeColor="text1"/>
          <w:szCs w:val="21"/>
        </w:rPr>
        <w:t>日复核了本报告中的财务指标、净值表现和投资组合报告等内容，保证复核内容不存在虚假记载、误导性陈述或者重大遗漏。</w:t>
      </w:r>
      <w:r>
        <w:rPr>
          <w:rFonts w:eastAsiaTheme="minorEastAsia"/>
          <w:color w:val="000000" w:themeColor="text1"/>
          <w:szCs w:val="21"/>
        </w:rPr>
        <w:t xml:space="preserve"> </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基金管理人承诺以诚实信用、勤勉尽责的原则管理和运用基金资产，但不保证基金一定盈利。</w:t>
      </w:r>
      <w:r>
        <w:rPr>
          <w:rFonts w:eastAsiaTheme="minorEastAsia"/>
          <w:color w:val="000000" w:themeColor="text1"/>
          <w:szCs w:val="21"/>
        </w:rPr>
        <w:t xml:space="preserve"> </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基金的过往业绩并不代表其未来表现。投资有风险，投资者在作出投资决策前应仔细阅读本基金的招募说明书。</w:t>
      </w:r>
      <w:r>
        <w:rPr>
          <w:rFonts w:eastAsiaTheme="minorEastAsia"/>
          <w:color w:val="000000" w:themeColor="text1"/>
          <w:szCs w:val="21"/>
        </w:rPr>
        <w:t xml:space="preserve"> </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本报告中财务资料未经审计。</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本报告期自</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日起至</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日止。</w:t>
      </w: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§2  </w:t>
      </w:r>
      <w:r>
        <w:rPr>
          <w:rFonts w:eastAsiaTheme="minorEastAsia"/>
          <w:color w:val="000000" w:themeColor="text1"/>
          <w:kern w:val="0"/>
          <w:sz w:val="21"/>
          <w:szCs w:val="21"/>
        </w:rPr>
        <w:t>基金产品概况</w:t>
      </w:r>
    </w:p>
    <w:tbl>
      <w:tblPr>
        <w:tblW w:w="8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39"/>
        <w:gridCol w:w="2740"/>
      </w:tblGrid>
      <w:tr w:rsidR="00F2463F">
        <w:tc>
          <w:tcPr>
            <w:tcW w:w="2835"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基金简称</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上投摩根岁岁金定期开放债券</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基金主代码</w:t>
            </w:r>
          </w:p>
        </w:tc>
        <w:tc>
          <w:tcPr>
            <w:tcW w:w="5479" w:type="dxa"/>
            <w:gridSpan w:val="2"/>
            <w:tcBorders>
              <w:bottom w:val="single" w:sz="4" w:space="0" w:color="auto"/>
            </w:tcBorders>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004203</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基金运作方式</w:t>
            </w:r>
          </w:p>
        </w:tc>
        <w:tc>
          <w:tcPr>
            <w:tcW w:w="5479" w:type="dxa"/>
            <w:gridSpan w:val="2"/>
            <w:tcBorders>
              <w:top w:val="single" w:sz="4" w:space="0" w:color="auto"/>
            </w:tcBorders>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契约型定期开放式</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基金合同生效日</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10</w:t>
            </w:r>
            <w:r>
              <w:rPr>
                <w:rFonts w:eastAsiaTheme="minorEastAsia"/>
                <w:color w:val="000000" w:themeColor="text1"/>
                <w:kern w:val="0"/>
                <w:szCs w:val="21"/>
              </w:rPr>
              <w:t>日</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报告期末基金份额总额</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37,452,613.39</w:t>
            </w:r>
            <w:r>
              <w:rPr>
                <w:rFonts w:eastAsiaTheme="minorEastAsia"/>
                <w:color w:val="000000" w:themeColor="text1"/>
                <w:kern w:val="0"/>
                <w:szCs w:val="21"/>
              </w:rPr>
              <w:t>份</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投资目标</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在合理充分的定量分析及定性研究基础上，在风险可控的原则下，通过参与固定收益类资产的投资封闭运作，力争获取超越基准的稳健回报。</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投资策略</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1</w:t>
            </w:r>
            <w:r>
              <w:rPr>
                <w:rFonts w:eastAsiaTheme="minorEastAsia"/>
                <w:color w:val="000000" w:themeColor="text1"/>
                <w:kern w:val="0"/>
                <w:szCs w:val="21"/>
              </w:rPr>
              <w:t>、债券类属配置策略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对不同类型固定收益品种的信用风险、税赋水平、市场流动性、市场风险等因素进行分析，研究同期限的国债、金融债、企业债、交易所和银行间市场投资品种的利差和变化趋势，评估不同债券板块之间的相对投资价值，确定债券类属配置策略，并根据市场变化及时进行调</w:t>
            </w:r>
            <w:r>
              <w:rPr>
                <w:rFonts w:eastAsiaTheme="minorEastAsia"/>
                <w:color w:val="000000" w:themeColor="text1"/>
                <w:kern w:val="0"/>
                <w:szCs w:val="21"/>
              </w:rPr>
              <w:lastRenderedPageBreak/>
              <w:t>整。</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2</w:t>
            </w:r>
            <w:r>
              <w:rPr>
                <w:rFonts w:eastAsiaTheme="minorEastAsia"/>
                <w:color w:val="000000" w:themeColor="text1"/>
                <w:kern w:val="0"/>
                <w:szCs w:val="21"/>
              </w:rPr>
              <w:t>、久期管理策略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3</w:t>
            </w:r>
            <w:r>
              <w:rPr>
                <w:rFonts w:eastAsiaTheme="minorEastAsia"/>
                <w:color w:val="000000" w:themeColor="text1"/>
                <w:kern w:val="0"/>
                <w:szCs w:val="21"/>
              </w:rPr>
              <w:t>、收益率曲线策略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资产组合中的长、中、短期债券主要根据收益率曲线形状的变化进行合理配置。本基金在确定固定收益资产组合平均久期的基础上，将结合收益率曲线变化的预测，适时采用跟踪收益率曲线的骑乘策略或者基于收益率曲线变化的子弹、杠铃及梯形策略构造组合，并进行动态调整。</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4</w:t>
            </w:r>
            <w:r>
              <w:rPr>
                <w:rFonts w:eastAsiaTheme="minorEastAsia"/>
                <w:color w:val="000000" w:themeColor="text1"/>
                <w:kern w:val="0"/>
                <w:szCs w:val="21"/>
              </w:rPr>
              <w:t>、信用策略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5</w:t>
            </w:r>
            <w:r>
              <w:rPr>
                <w:rFonts w:eastAsiaTheme="minorEastAsia"/>
                <w:color w:val="000000" w:themeColor="text1"/>
                <w:kern w:val="0"/>
                <w:szCs w:val="21"/>
              </w:rPr>
              <w:t>、回购策略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通过对回购利率和现券收益率以及其他投资品种收益率的比较，通过回购融入短期资金滚动操作，投资于收益率高于回购成本的债券以及其他获利机会，从而获得杠杆放大收益，并根据市场利率水平以及对利率期限结构的预期等，对回购放大的杠杆比例适时进行调整。</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6</w:t>
            </w:r>
            <w:r>
              <w:rPr>
                <w:rFonts w:eastAsiaTheme="minorEastAsia"/>
                <w:color w:val="000000" w:themeColor="text1"/>
                <w:kern w:val="0"/>
                <w:szCs w:val="21"/>
              </w:rPr>
              <w:t>、中小企业私募债券投资策略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本基金投资中小企业私募债券，基金管理人将根据审慎原</w:t>
            </w:r>
            <w:r>
              <w:rPr>
                <w:rFonts w:eastAsiaTheme="minorEastAsia"/>
                <w:color w:val="000000" w:themeColor="text1"/>
                <w:kern w:val="0"/>
                <w:szCs w:val="21"/>
              </w:rPr>
              <w:lastRenderedPageBreak/>
              <w:t>则，制定严格的投资决策流程、风险控制制度和信用风险、流动性风险处置预案，以防范信用风险、流动性风险等各种风险。</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7</w:t>
            </w:r>
            <w:r>
              <w:rPr>
                <w:rFonts w:eastAsiaTheme="minorEastAsia"/>
                <w:color w:val="000000" w:themeColor="text1"/>
                <w:kern w:val="0"/>
                <w:szCs w:val="21"/>
              </w:rPr>
              <w:t>、资产支持证券投资策略</w:t>
            </w:r>
            <w:r>
              <w:rPr>
                <w:rFonts w:eastAsiaTheme="minorEastAsia"/>
                <w:color w:val="000000" w:themeColor="text1"/>
                <w:kern w:val="0"/>
                <w:szCs w:val="21"/>
              </w:rPr>
              <w:t xml:space="preserve"> </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将在严格控制组合投资风险的前提下投资于资产支持证券。本基金综合考虑市场利率、发行条款、支持资产的构成及质量等因素，在严格控制风险的情况下，确定资产合理配置比例，在保证资产安全性的前提条件下，以期获得长期稳定收益。</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8</w:t>
            </w:r>
            <w:r>
              <w:rPr>
                <w:rFonts w:eastAsiaTheme="minorEastAsia"/>
                <w:color w:val="000000" w:themeColor="text1"/>
                <w:kern w:val="0"/>
                <w:szCs w:val="21"/>
              </w:rPr>
              <w:t>、证券公司短期公司债券投资策略</w:t>
            </w:r>
          </w:p>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本基金投资证券公司短期公司债券，将主要从自上而下判断景气周期和自下而上精选标的两个角度出发，结合信用分析和信用评估进行，同时通过有纪律的风险监控实现对投资组合风险的有效管理。</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lastRenderedPageBreak/>
              <w:t>业绩比较基准</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中债总指数</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风险收益特征</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本基金为债券型基金，属于证券投资基金中的较低风险品种，预期风险和预期收益高于货币市场基金，低于混合型基金和股票型基金。本基金风险收益特征会定期评估并在公司网站发布，请投资者关注。</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基金管理人</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上投摩根基金管理有限公司</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基金托管人</w:t>
            </w:r>
          </w:p>
        </w:tc>
        <w:tc>
          <w:tcPr>
            <w:tcW w:w="5479" w:type="dxa"/>
            <w:gridSpan w:val="2"/>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kern w:val="0"/>
                <w:szCs w:val="21"/>
              </w:rPr>
              <w:t>平安银行股份有限公司</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hint="eastAsia"/>
                <w:color w:val="000000" w:themeColor="text1"/>
                <w:szCs w:val="21"/>
              </w:rPr>
              <w:t>下属分级</w:t>
            </w:r>
            <w:r>
              <w:rPr>
                <w:rFonts w:eastAsiaTheme="minorEastAsia"/>
                <w:color w:val="000000" w:themeColor="text1"/>
                <w:szCs w:val="21"/>
              </w:rPr>
              <w:t>基金的基金简称</w:t>
            </w:r>
          </w:p>
        </w:tc>
        <w:tc>
          <w:tcPr>
            <w:tcW w:w="2739" w:type="dxa"/>
            <w:vAlign w:val="center"/>
          </w:tcPr>
          <w:p w:rsidR="00F2463F" w:rsidRDefault="00DA6186">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740" w:type="dxa"/>
            <w:vAlign w:val="center"/>
          </w:tcPr>
          <w:p w:rsidR="00F2463F" w:rsidRDefault="00DA6186">
            <w:pP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下属</w:t>
            </w:r>
            <w:r>
              <w:rPr>
                <w:rFonts w:eastAsiaTheme="minorEastAsia" w:hint="eastAsia"/>
                <w:color w:val="000000" w:themeColor="text1"/>
                <w:szCs w:val="21"/>
              </w:rPr>
              <w:t>分</w:t>
            </w:r>
            <w:r>
              <w:rPr>
                <w:rFonts w:eastAsiaTheme="minorEastAsia"/>
                <w:color w:val="000000" w:themeColor="text1"/>
                <w:szCs w:val="21"/>
              </w:rPr>
              <w:t>级基金的交易代码</w:t>
            </w:r>
          </w:p>
        </w:tc>
        <w:tc>
          <w:tcPr>
            <w:tcW w:w="2739" w:type="dxa"/>
            <w:vAlign w:val="center"/>
          </w:tcPr>
          <w:p w:rsidR="00F2463F" w:rsidRDefault="00DA6186">
            <w:pPr>
              <w:rPr>
                <w:rFonts w:eastAsiaTheme="minorEastAsia"/>
                <w:color w:val="000000" w:themeColor="text1"/>
                <w:szCs w:val="21"/>
              </w:rPr>
            </w:pPr>
            <w:r>
              <w:rPr>
                <w:rFonts w:eastAsiaTheme="minorEastAsia"/>
                <w:color w:val="000000" w:themeColor="text1"/>
                <w:szCs w:val="21"/>
              </w:rPr>
              <w:t>004203</w:t>
            </w:r>
          </w:p>
        </w:tc>
        <w:tc>
          <w:tcPr>
            <w:tcW w:w="2740" w:type="dxa"/>
            <w:vAlign w:val="center"/>
          </w:tcPr>
          <w:p w:rsidR="00F2463F" w:rsidRDefault="00DA6186">
            <w:pPr>
              <w:rPr>
                <w:rFonts w:eastAsiaTheme="minorEastAsia"/>
                <w:color w:val="000000" w:themeColor="text1"/>
                <w:szCs w:val="21"/>
              </w:rPr>
            </w:pPr>
            <w:r>
              <w:rPr>
                <w:rFonts w:eastAsiaTheme="minorEastAsia"/>
                <w:color w:val="000000" w:themeColor="text1"/>
                <w:szCs w:val="21"/>
              </w:rPr>
              <w:t>004204</w:t>
            </w:r>
          </w:p>
        </w:tc>
      </w:tr>
      <w:tr w:rsidR="00F2463F">
        <w:tc>
          <w:tcPr>
            <w:tcW w:w="2835" w:type="dxa"/>
            <w:vAlign w:val="center"/>
          </w:tcPr>
          <w:p w:rsidR="00F2463F" w:rsidRDefault="00DA6186">
            <w:pPr>
              <w:adjustRightInd w:val="0"/>
              <w:spacing w:before="29" w:line="360" w:lineRule="auto"/>
              <w:ind w:left="17"/>
              <w:rPr>
                <w:rFonts w:eastAsiaTheme="minorEastAsia"/>
                <w:color w:val="000000" w:themeColor="text1"/>
                <w:szCs w:val="21"/>
              </w:rPr>
            </w:pPr>
            <w:r>
              <w:rPr>
                <w:rFonts w:eastAsiaTheme="minorEastAsia"/>
                <w:color w:val="000000" w:themeColor="text1"/>
                <w:szCs w:val="21"/>
              </w:rPr>
              <w:t>报告期末下属</w:t>
            </w:r>
            <w:r>
              <w:rPr>
                <w:rFonts w:eastAsiaTheme="minorEastAsia" w:hint="eastAsia"/>
                <w:color w:val="000000" w:themeColor="text1"/>
                <w:szCs w:val="21"/>
              </w:rPr>
              <w:t>分</w:t>
            </w:r>
            <w:r>
              <w:rPr>
                <w:rFonts w:eastAsiaTheme="minorEastAsia"/>
                <w:color w:val="000000" w:themeColor="text1"/>
                <w:szCs w:val="21"/>
              </w:rPr>
              <w:t>级基金的份额总额</w:t>
            </w:r>
          </w:p>
        </w:tc>
        <w:tc>
          <w:tcPr>
            <w:tcW w:w="2739" w:type="dxa"/>
            <w:vAlign w:val="center"/>
          </w:tcPr>
          <w:p w:rsidR="00F2463F" w:rsidRDefault="00DA6186">
            <w:pPr>
              <w:rPr>
                <w:rFonts w:eastAsiaTheme="minorEastAsia"/>
                <w:color w:val="000000" w:themeColor="text1"/>
                <w:szCs w:val="21"/>
              </w:rPr>
            </w:pPr>
            <w:r>
              <w:rPr>
                <w:rFonts w:eastAsiaTheme="minorEastAsia"/>
                <w:color w:val="000000" w:themeColor="text1"/>
                <w:szCs w:val="21"/>
              </w:rPr>
              <w:t>35,800,354.70</w:t>
            </w:r>
            <w:r>
              <w:rPr>
                <w:rFonts w:eastAsiaTheme="minorEastAsia"/>
                <w:color w:val="000000" w:themeColor="text1"/>
                <w:kern w:val="0"/>
                <w:szCs w:val="21"/>
              </w:rPr>
              <w:t>份</w:t>
            </w:r>
          </w:p>
        </w:tc>
        <w:tc>
          <w:tcPr>
            <w:tcW w:w="2740" w:type="dxa"/>
            <w:vAlign w:val="center"/>
          </w:tcPr>
          <w:p w:rsidR="00F2463F" w:rsidRDefault="00DA6186">
            <w:pPr>
              <w:rPr>
                <w:rFonts w:eastAsiaTheme="minorEastAsia"/>
                <w:color w:val="000000" w:themeColor="text1"/>
                <w:szCs w:val="21"/>
              </w:rPr>
            </w:pPr>
            <w:r>
              <w:rPr>
                <w:rFonts w:eastAsiaTheme="minorEastAsia"/>
                <w:color w:val="000000" w:themeColor="text1"/>
                <w:szCs w:val="21"/>
              </w:rPr>
              <w:t>1,652,258.69</w:t>
            </w:r>
            <w:r>
              <w:rPr>
                <w:rFonts w:eastAsiaTheme="minorEastAsia"/>
                <w:color w:val="000000" w:themeColor="text1"/>
                <w:kern w:val="0"/>
                <w:szCs w:val="21"/>
              </w:rPr>
              <w:t>份</w:t>
            </w:r>
          </w:p>
        </w:tc>
      </w:tr>
    </w:tbl>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§3  </w:t>
      </w:r>
      <w:r>
        <w:rPr>
          <w:rFonts w:eastAsiaTheme="minorEastAsia"/>
          <w:color w:val="000000" w:themeColor="text1"/>
          <w:kern w:val="0"/>
          <w:sz w:val="21"/>
          <w:szCs w:val="21"/>
        </w:rPr>
        <w:t>主要财务指标和基金净值表现</w:t>
      </w:r>
    </w:p>
    <w:p w:rsidR="00F2463F" w:rsidRDefault="00DA6186">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3.1 </w:t>
      </w:r>
      <w:r>
        <w:rPr>
          <w:rFonts w:eastAsiaTheme="minorEastAsia"/>
          <w:b/>
          <w:color w:val="000000" w:themeColor="text1"/>
          <w:kern w:val="0"/>
          <w:szCs w:val="21"/>
        </w:rPr>
        <w:t>主要财务指标</w:t>
      </w:r>
    </w:p>
    <w:p w:rsidR="00F2463F" w:rsidRDefault="00DA6186">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lastRenderedPageBreak/>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481"/>
        <w:gridCol w:w="2481"/>
      </w:tblGrid>
      <w:tr w:rsidR="00F2463F">
        <w:tc>
          <w:tcPr>
            <w:tcW w:w="3402" w:type="dxa"/>
            <w:vMerge w:val="restart"/>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主要财务指标</w:t>
            </w:r>
          </w:p>
        </w:tc>
        <w:tc>
          <w:tcPr>
            <w:tcW w:w="4962" w:type="dxa"/>
            <w:gridSpan w:val="2"/>
            <w:vAlign w:val="center"/>
          </w:tcPr>
          <w:p w:rsidR="00F2463F" w:rsidRDefault="00DA6186">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报告期</w:t>
            </w:r>
          </w:p>
          <w:p w:rsidR="00F2463F" w:rsidRDefault="00DA6186">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w:t>
            </w:r>
            <w:r>
              <w:rPr>
                <w:rFonts w:eastAsiaTheme="minorEastAsia"/>
                <w:color w:val="000000" w:themeColor="text1"/>
                <w:szCs w:val="21"/>
              </w:rPr>
              <w:t>1</w:t>
            </w:r>
            <w:r>
              <w:rPr>
                <w:rFonts w:eastAsiaTheme="minorEastAsia"/>
                <w:color w:val="000000" w:themeColor="text1"/>
                <w:szCs w:val="21"/>
              </w:rPr>
              <w:t>日</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r>
              <w:rPr>
                <w:rFonts w:eastAsiaTheme="minorEastAsia"/>
                <w:color w:val="000000" w:themeColor="text1"/>
                <w:szCs w:val="21"/>
              </w:rPr>
              <w:t>)</w:t>
            </w:r>
          </w:p>
        </w:tc>
      </w:tr>
      <w:tr w:rsidR="00F2463F">
        <w:tc>
          <w:tcPr>
            <w:tcW w:w="3402" w:type="dxa"/>
            <w:vMerge/>
            <w:vAlign w:val="center"/>
          </w:tcPr>
          <w:p w:rsidR="00F2463F" w:rsidRDefault="00F2463F">
            <w:pPr>
              <w:adjustRightInd w:val="0"/>
              <w:spacing w:before="29" w:line="360" w:lineRule="auto"/>
              <w:ind w:left="17"/>
              <w:rPr>
                <w:rFonts w:eastAsiaTheme="minorEastAsia"/>
                <w:color w:val="000000" w:themeColor="text1"/>
                <w:kern w:val="0"/>
                <w:szCs w:val="21"/>
              </w:rPr>
            </w:pPr>
          </w:p>
        </w:tc>
        <w:tc>
          <w:tcPr>
            <w:tcW w:w="2481" w:type="dxa"/>
            <w:vAlign w:val="center"/>
          </w:tcPr>
          <w:p w:rsidR="00F2463F" w:rsidRDefault="00DA6186">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481" w:type="dxa"/>
            <w:vAlign w:val="center"/>
          </w:tcPr>
          <w:p w:rsidR="00F2463F" w:rsidRDefault="00DA6186">
            <w:pPr>
              <w:adjustRightInd w:val="0"/>
              <w:spacing w:before="29" w:line="360" w:lineRule="auto"/>
              <w:ind w:left="17"/>
              <w:jc w:val="center"/>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F2463F">
        <w:tc>
          <w:tcPr>
            <w:tcW w:w="3402"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1.</w:t>
            </w:r>
            <w:r>
              <w:rPr>
                <w:rFonts w:eastAsiaTheme="minorEastAsia"/>
                <w:color w:val="000000" w:themeColor="text1"/>
                <w:kern w:val="0"/>
                <w:szCs w:val="21"/>
              </w:rPr>
              <w:t>本期已实现收益</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306,214.48</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12,537.95</w:t>
            </w:r>
          </w:p>
        </w:tc>
      </w:tr>
      <w:tr w:rsidR="00F2463F">
        <w:tc>
          <w:tcPr>
            <w:tcW w:w="3402"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2.</w:t>
            </w:r>
            <w:r>
              <w:rPr>
                <w:rFonts w:eastAsiaTheme="minorEastAsia"/>
                <w:color w:val="000000" w:themeColor="text1"/>
                <w:kern w:val="0"/>
                <w:szCs w:val="21"/>
              </w:rPr>
              <w:t>本期利润</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337,923.03</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13,992.21</w:t>
            </w:r>
          </w:p>
        </w:tc>
      </w:tr>
      <w:tr w:rsidR="00F2463F">
        <w:tc>
          <w:tcPr>
            <w:tcW w:w="3402"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3.</w:t>
            </w:r>
            <w:r>
              <w:rPr>
                <w:rFonts w:eastAsiaTheme="minorEastAsia"/>
                <w:color w:val="000000" w:themeColor="text1"/>
                <w:kern w:val="0"/>
                <w:szCs w:val="21"/>
              </w:rPr>
              <w:t>加权平均基金份额本期利润</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0.0094</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0.0085</w:t>
            </w:r>
          </w:p>
        </w:tc>
      </w:tr>
      <w:tr w:rsidR="00F2463F">
        <w:tc>
          <w:tcPr>
            <w:tcW w:w="3402"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4.</w:t>
            </w:r>
            <w:r>
              <w:rPr>
                <w:rFonts w:eastAsiaTheme="minorEastAsia"/>
                <w:color w:val="000000" w:themeColor="text1"/>
                <w:kern w:val="0"/>
                <w:szCs w:val="21"/>
              </w:rPr>
              <w:t>期末基金资产净值</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38,310,650.10</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1,756,733.48</w:t>
            </w:r>
          </w:p>
        </w:tc>
      </w:tr>
      <w:tr w:rsidR="00F2463F">
        <w:trPr>
          <w:trHeight w:val="158"/>
        </w:trPr>
        <w:tc>
          <w:tcPr>
            <w:tcW w:w="3402" w:type="dxa"/>
            <w:vAlign w:val="center"/>
          </w:tcPr>
          <w:p w:rsidR="00F2463F" w:rsidRDefault="00DA6186">
            <w:pPr>
              <w:adjustRightInd w:val="0"/>
              <w:spacing w:before="29" w:line="360" w:lineRule="auto"/>
              <w:ind w:left="17"/>
              <w:rPr>
                <w:rFonts w:eastAsiaTheme="minorEastAsia"/>
                <w:color w:val="000000" w:themeColor="text1"/>
                <w:kern w:val="0"/>
                <w:szCs w:val="21"/>
              </w:rPr>
            </w:pPr>
            <w:r>
              <w:rPr>
                <w:rFonts w:eastAsiaTheme="minorEastAsia"/>
                <w:color w:val="000000" w:themeColor="text1"/>
                <w:kern w:val="0"/>
                <w:szCs w:val="21"/>
              </w:rPr>
              <w:t>5.</w:t>
            </w:r>
            <w:r>
              <w:rPr>
                <w:rFonts w:eastAsiaTheme="minorEastAsia"/>
                <w:color w:val="000000" w:themeColor="text1"/>
                <w:kern w:val="0"/>
                <w:szCs w:val="21"/>
              </w:rPr>
              <w:t>期末基金份额净值</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1.0701</w:t>
            </w:r>
          </w:p>
        </w:tc>
        <w:tc>
          <w:tcPr>
            <w:tcW w:w="2481" w:type="dxa"/>
            <w:vAlign w:val="center"/>
          </w:tcPr>
          <w:p w:rsidR="00F2463F" w:rsidRDefault="00DA6186">
            <w:pPr>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1.0632</w:t>
            </w:r>
          </w:p>
        </w:tc>
      </w:tr>
    </w:tbl>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注：本期已实现收益指基金本期利息收入、投资收益、其他收入</w:t>
      </w:r>
      <w:r>
        <w:rPr>
          <w:rFonts w:eastAsiaTheme="minorEastAsia"/>
          <w:color w:val="000000" w:themeColor="text1"/>
          <w:szCs w:val="21"/>
        </w:rPr>
        <w:t>(</w:t>
      </w:r>
      <w:r>
        <w:rPr>
          <w:rFonts w:eastAsiaTheme="minorEastAsia"/>
          <w:color w:val="000000" w:themeColor="text1"/>
          <w:szCs w:val="21"/>
        </w:rPr>
        <w:t>不含公允价值变动收益</w:t>
      </w:r>
      <w:r>
        <w:rPr>
          <w:rFonts w:eastAsiaTheme="minorEastAsia"/>
          <w:color w:val="000000" w:themeColor="text1"/>
          <w:szCs w:val="21"/>
        </w:rPr>
        <w:t>)</w:t>
      </w:r>
      <w:r>
        <w:rPr>
          <w:rFonts w:eastAsiaTheme="minorEastAsia"/>
          <w:color w:val="000000" w:themeColor="text1"/>
          <w:szCs w:val="21"/>
        </w:rPr>
        <w:t>扣除相关费用后的余额，本期利润为本期已实现收益加上本期公允价值变动收益。</w:t>
      </w:r>
      <w:r>
        <w:rPr>
          <w:rFonts w:eastAsiaTheme="minorEastAsia"/>
          <w:color w:val="000000" w:themeColor="text1"/>
          <w:szCs w:val="21"/>
        </w:rPr>
        <w:t xml:space="preserve"> </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上述基金业绩指标不包括持有人认购或交易基金的各项费用（例如，开放式基金的申购赎回费、红利再投资费、基金转换费等），计入费用后实际收益水平要低于所列数字。</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3.2 </w:t>
      </w:r>
      <w:r>
        <w:rPr>
          <w:rFonts w:eastAsiaTheme="minorEastAsia"/>
          <w:b/>
          <w:color w:val="000000" w:themeColor="text1"/>
          <w:kern w:val="0"/>
          <w:szCs w:val="21"/>
        </w:rPr>
        <w:t>基金净值表现</w:t>
      </w:r>
    </w:p>
    <w:p w:rsidR="00F2463F" w:rsidRDefault="00DA6186">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3.2.1</w:t>
      </w:r>
      <w:r>
        <w:rPr>
          <w:rFonts w:eastAsiaTheme="minorEastAsia"/>
          <w:b/>
          <w:color w:val="000000" w:themeColor="text1"/>
          <w:kern w:val="0"/>
          <w:szCs w:val="21"/>
        </w:rPr>
        <w:t>本报告期基金份额净值增长率及其与同期业绩比较基准收益率的比较</w:t>
      </w:r>
    </w:p>
    <w:p w:rsidR="00F2463F" w:rsidRDefault="00DA6186">
      <w:pPr>
        <w:spacing w:line="360" w:lineRule="auto"/>
        <w:rPr>
          <w:rFonts w:eastAsiaTheme="minorEastAsia"/>
          <w:b/>
          <w:color w:val="000000" w:themeColor="text1"/>
          <w:szCs w:val="21"/>
        </w:rPr>
      </w:pPr>
      <w:r>
        <w:rPr>
          <w:rFonts w:eastAsiaTheme="minorEastAsia"/>
          <w:b/>
          <w:color w:val="000000" w:themeColor="text1"/>
          <w:szCs w:val="21"/>
        </w:rPr>
        <w:t>1</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A</w:t>
      </w:r>
      <w:r>
        <w:rPr>
          <w:rFonts w:eastAsiaTheme="minorEastAsia"/>
          <w:b/>
          <w:color w:val="000000" w:themeColor="text1"/>
          <w:szCs w:val="21"/>
        </w:rPr>
        <w:t>：</w:t>
      </w:r>
    </w:p>
    <w:tbl>
      <w:tblPr>
        <w:tblStyle w:val="af6"/>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F2463F">
        <w:tc>
          <w:tcPr>
            <w:tcW w:w="1290"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F2463F">
        <w:tc>
          <w:tcPr>
            <w:tcW w:w="1290" w:type="dxa"/>
            <w:vAlign w:val="center"/>
          </w:tcPr>
          <w:p w:rsidR="00F2463F" w:rsidRDefault="00DA6186">
            <w:pPr>
              <w:jc w:val="left"/>
            </w:pPr>
            <w:r>
              <w:rPr>
                <w:rFonts w:eastAsiaTheme="minorEastAsia"/>
                <w:color w:val="000000" w:themeColor="text1"/>
                <w:szCs w:val="21"/>
              </w:rPr>
              <w:t>过去三个月</w:t>
            </w:r>
          </w:p>
        </w:tc>
        <w:tc>
          <w:tcPr>
            <w:tcW w:w="1291" w:type="dxa"/>
            <w:vAlign w:val="center"/>
          </w:tcPr>
          <w:p w:rsidR="00F2463F" w:rsidRDefault="00DA6186">
            <w:pPr>
              <w:jc w:val="right"/>
            </w:pPr>
            <w:r>
              <w:rPr>
                <w:rFonts w:eastAsiaTheme="minorEastAsia"/>
                <w:color w:val="000000" w:themeColor="text1"/>
                <w:szCs w:val="21"/>
              </w:rPr>
              <w:t>0.89%</w:t>
            </w:r>
          </w:p>
        </w:tc>
        <w:tc>
          <w:tcPr>
            <w:tcW w:w="1291" w:type="dxa"/>
            <w:vAlign w:val="center"/>
          </w:tcPr>
          <w:p w:rsidR="00F2463F" w:rsidRDefault="00DA6186">
            <w:pPr>
              <w:jc w:val="right"/>
            </w:pPr>
            <w:r>
              <w:rPr>
                <w:rFonts w:eastAsiaTheme="minorEastAsia"/>
                <w:color w:val="000000" w:themeColor="text1"/>
                <w:szCs w:val="21"/>
              </w:rPr>
              <w:t>0.10%</w:t>
            </w:r>
          </w:p>
        </w:tc>
        <w:tc>
          <w:tcPr>
            <w:tcW w:w="1291" w:type="dxa"/>
            <w:vAlign w:val="center"/>
          </w:tcPr>
          <w:p w:rsidR="00F2463F" w:rsidRDefault="00DA6186">
            <w:pPr>
              <w:jc w:val="right"/>
            </w:pPr>
            <w:r>
              <w:rPr>
                <w:rFonts w:eastAsiaTheme="minorEastAsia"/>
                <w:color w:val="000000" w:themeColor="text1"/>
                <w:szCs w:val="21"/>
              </w:rPr>
              <w:t>0.15%</w:t>
            </w:r>
          </w:p>
        </w:tc>
        <w:tc>
          <w:tcPr>
            <w:tcW w:w="1291" w:type="dxa"/>
            <w:vAlign w:val="center"/>
          </w:tcPr>
          <w:p w:rsidR="00F2463F" w:rsidRDefault="00DA6186">
            <w:pPr>
              <w:jc w:val="right"/>
            </w:pPr>
            <w:r>
              <w:rPr>
                <w:rFonts w:eastAsiaTheme="minorEastAsia"/>
                <w:color w:val="000000" w:themeColor="text1"/>
                <w:szCs w:val="21"/>
              </w:rPr>
              <w:t>0.09%</w:t>
            </w:r>
          </w:p>
        </w:tc>
        <w:tc>
          <w:tcPr>
            <w:tcW w:w="1291" w:type="dxa"/>
            <w:vAlign w:val="center"/>
          </w:tcPr>
          <w:p w:rsidR="00F2463F" w:rsidRDefault="00DA6186">
            <w:pPr>
              <w:jc w:val="right"/>
            </w:pPr>
            <w:r>
              <w:rPr>
                <w:rFonts w:eastAsiaTheme="minorEastAsia"/>
                <w:color w:val="000000" w:themeColor="text1"/>
                <w:szCs w:val="21"/>
              </w:rPr>
              <w:t>0.74%</w:t>
            </w:r>
          </w:p>
        </w:tc>
        <w:tc>
          <w:tcPr>
            <w:tcW w:w="1291" w:type="dxa"/>
            <w:vAlign w:val="center"/>
          </w:tcPr>
          <w:p w:rsidR="00F2463F" w:rsidRDefault="00DA6186">
            <w:pPr>
              <w:jc w:val="right"/>
            </w:pPr>
            <w:r>
              <w:rPr>
                <w:rFonts w:eastAsiaTheme="minorEastAsia"/>
                <w:color w:val="000000" w:themeColor="text1"/>
                <w:szCs w:val="21"/>
              </w:rPr>
              <w:t>0.01%</w:t>
            </w:r>
          </w:p>
        </w:tc>
      </w:tr>
    </w:tbl>
    <w:p w:rsidR="00F2463F" w:rsidRDefault="00DA6186">
      <w:pPr>
        <w:adjustRightInd w:val="0"/>
        <w:spacing w:beforeLines="100" w:before="312" w:line="360" w:lineRule="auto"/>
        <w:rPr>
          <w:rFonts w:eastAsiaTheme="minorEastAsia"/>
          <w:b/>
          <w:color w:val="000000" w:themeColor="text1"/>
          <w:kern w:val="0"/>
          <w:szCs w:val="21"/>
        </w:rPr>
      </w:pPr>
      <w:r>
        <w:rPr>
          <w:rFonts w:eastAsiaTheme="minorEastAsia"/>
          <w:b/>
          <w:color w:val="000000" w:themeColor="text1"/>
          <w:szCs w:val="21"/>
        </w:rPr>
        <w:t>2</w:t>
      </w:r>
      <w:r>
        <w:rPr>
          <w:rFonts w:eastAsiaTheme="minorEastAsia"/>
          <w:b/>
          <w:color w:val="000000" w:themeColor="text1"/>
          <w:szCs w:val="21"/>
        </w:rPr>
        <w:t>、</w:t>
      </w:r>
      <w:r>
        <w:rPr>
          <w:rFonts w:eastAsiaTheme="minorEastAsia"/>
          <w:b/>
          <w:color w:val="000000" w:themeColor="text1"/>
          <w:kern w:val="0"/>
          <w:szCs w:val="21"/>
        </w:rPr>
        <w:t>上投摩根岁岁金定期开放债券</w:t>
      </w:r>
      <w:r>
        <w:rPr>
          <w:rFonts w:eastAsiaTheme="minorEastAsia"/>
          <w:b/>
          <w:color w:val="000000" w:themeColor="text1"/>
          <w:kern w:val="0"/>
          <w:szCs w:val="21"/>
        </w:rPr>
        <w:t>C</w:t>
      </w:r>
      <w:r>
        <w:rPr>
          <w:rFonts w:eastAsiaTheme="minorEastAsia"/>
          <w:b/>
          <w:color w:val="000000" w:themeColor="text1"/>
          <w:kern w:val="0"/>
          <w:szCs w:val="21"/>
        </w:rPr>
        <w:t>：</w:t>
      </w:r>
    </w:p>
    <w:tbl>
      <w:tblPr>
        <w:tblStyle w:val="af6"/>
        <w:tblW w:w="9036" w:type="dxa"/>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F2463F">
        <w:tc>
          <w:tcPr>
            <w:tcW w:w="1290"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阶段</w:t>
            </w:r>
          </w:p>
        </w:tc>
        <w:tc>
          <w:tcPr>
            <w:tcW w:w="1291" w:type="dxa"/>
            <w:vAlign w:val="center"/>
          </w:tcPr>
          <w:p w:rsidR="00F2463F" w:rsidRDefault="00DA6186">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w:t>
            </w:r>
            <w:r>
              <w:rPr>
                <w:rFonts w:ascii="宋体" w:hAnsi="宋体" w:cs="宋体" w:hint="eastAsia"/>
                <w:color w:val="000000" w:themeColor="text1"/>
                <w:szCs w:val="21"/>
              </w:rPr>
              <w:t>①</w:t>
            </w:r>
          </w:p>
        </w:tc>
        <w:tc>
          <w:tcPr>
            <w:tcW w:w="1291" w:type="dxa"/>
            <w:vAlign w:val="center"/>
          </w:tcPr>
          <w:p w:rsidR="00F2463F" w:rsidRDefault="00DA6186">
            <w:pPr>
              <w:snapToGrid w:val="0"/>
              <w:spacing w:line="288" w:lineRule="auto"/>
              <w:jc w:val="center"/>
              <w:rPr>
                <w:rFonts w:eastAsiaTheme="minorEastAsia"/>
                <w:color w:val="000000" w:themeColor="text1"/>
                <w:szCs w:val="21"/>
                <w:highlight w:val="green"/>
              </w:rPr>
            </w:pPr>
            <w:r>
              <w:rPr>
                <w:rFonts w:eastAsiaTheme="minorEastAsia"/>
                <w:color w:val="000000" w:themeColor="text1"/>
                <w:szCs w:val="21"/>
              </w:rPr>
              <w:t>净值增长率标准差</w:t>
            </w:r>
            <w:r>
              <w:rPr>
                <w:rFonts w:ascii="宋体" w:hAnsi="宋体" w:cs="宋体" w:hint="eastAsia"/>
                <w:color w:val="000000" w:themeColor="text1"/>
                <w:szCs w:val="21"/>
              </w:rPr>
              <w:t>②</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w:t>
            </w:r>
            <w:r>
              <w:rPr>
                <w:rFonts w:ascii="宋体" w:hAnsi="宋体" w:cs="宋体" w:hint="eastAsia"/>
                <w:color w:val="000000" w:themeColor="text1"/>
                <w:szCs w:val="21"/>
              </w:rPr>
              <w:t>③</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eastAsiaTheme="minorEastAsia"/>
                <w:color w:val="000000" w:themeColor="text1"/>
                <w:szCs w:val="21"/>
              </w:rPr>
              <w:t>业绩比较基准收益率标准差</w:t>
            </w:r>
            <w:r>
              <w:rPr>
                <w:rFonts w:ascii="宋体" w:hAnsi="宋体" w:cs="宋体" w:hint="eastAsia"/>
                <w:color w:val="000000" w:themeColor="text1"/>
                <w:szCs w:val="21"/>
              </w:rPr>
              <w:t>④</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①</w:t>
            </w:r>
            <w:r>
              <w:rPr>
                <w:rFonts w:eastAsiaTheme="minorEastAsia"/>
                <w:color w:val="000000" w:themeColor="text1"/>
                <w:szCs w:val="21"/>
              </w:rPr>
              <w:t>－</w:t>
            </w:r>
            <w:r>
              <w:rPr>
                <w:rFonts w:ascii="宋体" w:hAnsi="宋体" w:cs="宋体" w:hint="eastAsia"/>
                <w:color w:val="000000" w:themeColor="text1"/>
                <w:szCs w:val="21"/>
              </w:rPr>
              <w:t>③</w:t>
            </w:r>
          </w:p>
        </w:tc>
        <w:tc>
          <w:tcPr>
            <w:tcW w:w="1291" w:type="dxa"/>
            <w:vAlign w:val="center"/>
          </w:tcPr>
          <w:p w:rsidR="00F2463F" w:rsidRDefault="00DA6186">
            <w:pPr>
              <w:snapToGrid w:val="0"/>
              <w:spacing w:line="288" w:lineRule="auto"/>
              <w:jc w:val="center"/>
              <w:rPr>
                <w:rFonts w:eastAsiaTheme="minorEastAsia"/>
                <w:color w:val="000000" w:themeColor="text1"/>
                <w:szCs w:val="21"/>
              </w:rPr>
            </w:pPr>
            <w:r>
              <w:rPr>
                <w:rFonts w:ascii="宋体" w:hAnsi="宋体" w:cs="宋体" w:hint="eastAsia"/>
                <w:color w:val="000000" w:themeColor="text1"/>
                <w:szCs w:val="21"/>
              </w:rPr>
              <w:t>②</w:t>
            </w:r>
            <w:r>
              <w:rPr>
                <w:rFonts w:eastAsiaTheme="minorEastAsia"/>
                <w:color w:val="000000" w:themeColor="text1"/>
                <w:szCs w:val="21"/>
              </w:rPr>
              <w:t>－</w:t>
            </w:r>
            <w:r>
              <w:rPr>
                <w:rFonts w:ascii="宋体" w:hAnsi="宋体" w:cs="宋体" w:hint="eastAsia"/>
                <w:color w:val="000000" w:themeColor="text1"/>
                <w:szCs w:val="21"/>
              </w:rPr>
              <w:t>④</w:t>
            </w:r>
          </w:p>
        </w:tc>
      </w:tr>
      <w:tr w:rsidR="00F2463F">
        <w:tc>
          <w:tcPr>
            <w:tcW w:w="1290" w:type="dxa"/>
            <w:vAlign w:val="center"/>
          </w:tcPr>
          <w:p w:rsidR="00F2463F" w:rsidRDefault="00DA6186">
            <w:pPr>
              <w:jc w:val="left"/>
            </w:pPr>
            <w:r>
              <w:rPr>
                <w:rFonts w:eastAsiaTheme="minorEastAsia"/>
                <w:color w:val="000000" w:themeColor="text1"/>
                <w:szCs w:val="21"/>
              </w:rPr>
              <w:t>过去三个月</w:t>
            </w:r>
          </w:p>
        </w:tc>
        <w:tc>
          <w:tcPr>
            <w:tcW w:w="1291" w:type="dxa"/>
            <w:vAlign w:val="center"/>
          </w:tcPr>
          <w:p w:rsidR="00F2463F" w:rsidRDefault="00DA6186">
            <w:pPr>
              <w:jc w:val="right"/>
            </w:pPr>
            <w:r>
              <w:rPr>
                <w:rFonts w:eastAsiaTheme="minorEastAsia"/>
                <w:color w:val="000000" w:themeColor="text1"/>
                <w:szCs w:val="21"/>
              </w:rPr>
              <w:t>0.80%</w:t>
            </w:r>
          </w:p>
        </w:tc>
        <w:tc>
          <w:tcPr>
            <w:tcW w:w="1291" w:type="dxa"/>
            <w:vAlign w:val="center"/>
          </w:tcPr>
          <w:p w:rsidR="00F2463F" w:rsidRDefault="00DA6186">
            <w:pPr>
              <w:jc w:val="right"/>
            </w:pPr>
            <w:r>
              <w:rPr>
                <w:rFonts w:eastAsiaTheme="minorEastAsia"/>
                <w:color w:val="000000" w:themeColor="text1"/>
                <w:szCs w:val="21"/>
              </w:rPr>
              <w:t>0.10%</w:t>
            </w:r>
          </w:p>
        </w:tc>
        <w:tc>
          <w:tcPr>
            <w:tcW w:w="1291" w:type="dxa"/>
            <w:vAlign w:val="center"/>
          </w:tcPr>
          <w:p w:rsidR="00F2463F" w:rsidRDefault="00DA6186">
            <w:pPr>
              <w:jc w:val="right"/>
            </w:pPr>
            <w:r>
              <w:rPr>
                <w:rFonts w:eastAsiaTheme="minorEastAsia"/>
                <w:color w:val="000000" w:themeColor="text1"/>
                <w:szCs w:val="21"/>
              </w:rPr>
              <w:t>0.15%</w:t>
            </w:r>
          </w:p>
        </w:tc>
        <w:tc>
          <w:tcPr>
            <w:tcW w:w="1291" w:type="dxa"/>
            <w:vAlign w:val="center"/>
          </w:tcPr>
          <w:p w:rsidR="00F2463F" w:rsidRDefault="00DA6186">
            <w:pPr>
              <w:jc w:val="right"/>
            </w:pPr>
            <w:r>
              <w:rPr>
                <w:rFonts w:eastAsiaTheme="minorEastAsia"/>
                <w:color w:val="000000" w:themeColor="text1"/>
                <w:szCs w:val="21"/>
              </w:rPr>
              <w:t>0.09%</w:t>
            </w:r>
          </w:p>
        </w:tc>
        <w:tc>
          <w:tcPr>
            <w:tcW w:w="1291" w:type="dxa"/>
            <w:vAlign w:val="center"/>
          </w:tcPr>
          <w:p w:rsidR="00F2463F" w:rsidRDefault="00DA6186">
            <w:pPr>
              <w:jc w:val="right"/>
            </w:pPr>
            <w:r>
              <w:rPr>
                <w:rFonts w:eastAsiaTheme="minorEastAsia"/>
                <w:color w:val="000000" w:themeColor="text1"/>
                <w:szCs w:val="21"/>
              </w:rPr>
              <w:t>0.65%</w:t>
            </w:r>
          </w:p>
        </w:tc>
        <w:tc>
          <w:tcPr>
            <w:tcW w:w="1291" w:type="dxa"/>
            <w:vAlign w:val="center"/>
          </w:tcPr>
          <w:p w:rsidR="00F2463F" w:rsidRDefault="00DA6186">
            <w:pPr>
              <w:jc w:val="right"/>
            </w:pPr>
            <w:r>
              <w:rPr>
                <w:rFonts w:eastAsiaTheme="minorEastAsia"/>
                <w:color w:val="000000" w:themeColor="text1"/>
                <w:szCs w:val="21"/>
              </w:rPr>
              <w:t>0.01%</w:t>
            </w:r>
          </w:p>
        </w:tc>
      </w:tr>
    </w:tbl>
    <w:p w:rsidR="00F2463F" w:rsidRDefault="00DA6186">
      <w:pPr>
        <w:spacing w:beforeLines="100" w:before="312" w:line="360" w:lineRule="auto"/>
        <w:rPr>
          <w:rFonts w:eastAsiaTheme="minorEastAsia"/>
          <w:b/>
          <w:color w:val="000000" w:themeColor="text1"/>
          <w:kern w:val="0"/>
          <w:szCs w:val="21"/>
        </w:rPr>
      </w:pPr>
      <w:r>
        <w:rPr>
          <w:rFonts w:eastAsiaTheme="minorEastAsia"/>
          <w:b/>
          <w:color w:val="000000" w:themeColor="text1"/>
          <w:kern w:val="0"/>
          <w:szCs w:val="21"/>
        </w:rPr>
        <w:t>3.2.2</w:t>
      </w:r>
      <w:r>
        <w:rPr>
          <w:rFonts w:eastAsiaTheme="minorEastAsia"/>
          <w:b/>
          <w:color w:val="000000" w:themeColor="text1"/>
          <w:kern w:val="0"/>
          <w:szCs w:val="21"/>
        </w:rPr>
        <w:t xml:space="preserve">　</w:t>
      </w:r>
      <w:r>
        <w:rPr>
          <w:rStyle w:val="af1"/>
          <w:color w:val="000000" w:themeColor="text1"/>
          <w:szCs w:val="21"/>
          <w:shd w:val="clear" w:color="auto" w:fill="FFFFFF"/>
        </w:rPr>
        <w:t>自基金合同生效以来</w:t>
      </w:r>
      <w:r>
        <w:rPr>
          <w:rFonts w:eastAsiaTheme="minorEastAsia"/>
          <w:b/>
          <w:color w:val="000000" w:themeColor="text1"/>
          <w:szCs w:val="21"/>
        </w:rPr>
        <w:t>基金累计净值增长率变动及其与同期业绩比较基准收益率变动的比较</w:t>
      </w:r>
    </w:p>
    <w:p w:rsidR="00F2463F" w:rsidRDefault="00DA6186">
      <w:pPr>
        <w:spacing w:line="360" w:lineRule="auto"/>
        <w:jc w:val="center"/>
        <w:rPr>
          <w:rFonts w:eastAsiaTheme="minorEastAsia"/>
          <w:color w:val="000000" w:themeColor="text1"/>
          <w:szCs w:val="21"/>
        </w:rPr>
      </w:pPr>
      <w:r>
        <w:rPr>
          <w:rFonts w:eastAsiaTheme="minorEastAsia"/>
          <w:color w:val="000000" w:themeColor="text1"/>
          <w:szCs w:val="21"/>
        </w:rPr>
        <w:t>上投摩根岁岁金定期开放债券型证券投资基金</w:t>
      </w:r>
    </w:p>
    <w:p w:rsidR="00F2463F" w:rsidRDefault="00DA6186">
      <w:pPr>
        <w:pStyle w:val="a9"/>
        <w:snapToGrid w:val="0"/>
        <w:spacing w:line="360" w:lineRule="auto"/>
        <w:jc w:val="center"/>
        <w:rPr>
          <w:rFonts w:ascii="Times New Roman" w:eastAsiaTheme="minorEastAsia" w:hAnsi="Times New Roman"/>
          <w:color w:val="000000" w:themeColor="text1"/>
        </w:rPr>
      </w:pPr>
      <w:r>
        <w:rPr>
          <w:rFonts w:ascii="Times New Roman" w:eastAsiaTheme="minorEastAsia" w:hAnsi="Times New Roman"/>
          <w:color w:val="000000" w:themeColor="text1"/>
        </w:rPr>
        <w:t>累计净值增长率与业绩比较基准收益率的历史走势对比图</w:t>
      </w:r>
    </w:p>
    <w:p w:rsidR="00F2463F" w:rsidRDefault="00DA6186">
      <w:pPr>
        <w:pStyle w:val="a9"/>
        <w:snapToGrid w:val="0"/>
        <w:spacing w:line="360" w:lineRule="auto"/>
        <w:ind w:firstLine="480"/>
        <w:jc w:val="center"/>
        <w:rPr>
          <w:rFonts w:ascii="Times New Roman" w:eastAsiaTheme="minorEastAsia" w:hAnsi="Times New Roman"/>
          <w:color w:val="000000" w:themeColor="text1"/>
        </w:rPr>
      </w:pPr>
      <w:r>
        <w:rPr>
          <w:rFonts w:ascii="Times New Roman" w:eastAsiaTheme="minorEastAsia" w:hAnsi="Times New Roman"/>
          <w:color w:val="000000" w:themeColor="text1"/>
        </w:rPr>
        <w:lastRenderedPageBreak/>
        <w:t>(2017</w:t>
      </w:r>
      <w:r>
        <w:rPr>
          <w:rFonts w:ascii="Times New Roman" w:eastAsiaTheme="minorEastAsia" w:hAnsi="Times New Roman"/>
          <w:color w:val="000000" w:themeColor="text1"/>
        </w:rPr>
        <w:t>年</w:t>
      </w:r>
      <w:r>
        <w:rPr>
          <w:rFonts w:ascii="Times New Roman" w:eastAsiaTheme="minorEastAsia" w:hAnsi="Times New Roman"/>
          <w:color w:val="000000" w:themeColor="text1"/>
        </w:rPr>
        <w:t>4</w:t>
      </w:r>
      <w:r>
        <w:rPr>
          <w:rFonts w:ascii="Times New Roman" w:eastAsiaTheme="minorEastAsia" w:hAnsi="Times New Roman"/>
          <w:color w:val="000000" w:themeColor="text1"/>
        </w:rPr>
        <w:t>月</w:t>
      </w:r>
      <w:r>
        <w:rPr>
          <w:rFonts w:ascii="Times New Roman" w:eastAsiaTheme="minorEastAsia" w:hAnsi="Times New Roman"/>
          <w:color w:val="000000" w:themeColor="text1"/>
        </w:rPr>
        <w:t>10</w:t>
      </w:r>
      <w:r>
        <w:rPr>
          <w:rFonts w:ascii="Times New Roman" w:eastAsiaTheme="minorEastAsia" w:hAnsi="Times New Roman"/>
          <w:color w:val="000000" w:themeColor="text1"/>
        </w:rPr>
        <w:t>日至</w:t>
      </w:r>
      <w:r>
        <w:rPr>
          <w:rFonts w:ascii="Times New Roman" w:eastAsiaTheme="minorEastAsia" w:hAnsi="Times New Roman"/>
          <w:color w:val="000000" w:themeColor="text1"/>
        </w:rPr>
        <w:t>2019</w:t>
      </w:r>
      <w:r>
        <w:rPr>
          <w:rFonts w:ascii="Times New Roman" w:eastAsiaTheme="minorEastAsia" w:hAnsi="Times New Roman"/>
          <w:color w:val="000000" w:themeColor="text1"/>
        </w:rPr>
        <w:t>年</w:t>
      </w:r>
      <w:r>
        <w:rPr>
          <w:rFonts w:ascii="Times New Roman" w:eastAsiaTheme="minorEastAsia" w:hAnsi="Times New Roman"/>
          <w:color w:val="000000" w:themeColor="text1"/>
        </w:rPr>
        <w:t>3</w:t>
      </w:r>
      <w:r>
        <w:rPr>
          <w:rFonts w:ascii="Times New Roman" w:eastAsiaTheme="minorEastAsia" w:hAnsi="Times New Roman"/>
          <w:color w:val="000000" w:themeColor="text1"/>
        </w:rPr>
        <w:t>月</w:t>
      </w:r>
      <w:r>
        <w:rPr>
          <w:rFonts w:ascii="Times New Roman" w:eastAsiaTheme="minorEastAsia" w:hAnsi="Times New Roman"/>
          <w:color w:val="000000" w:themeColor="text1"/>
        </w:rPr>
        <w:t>31</w:t>
      </w:r>
      <w:r>
        <w:rPr>
          <w:rFonts w:ascii="Times New Roman" w:eastAsiaTheme="minorEastAsia" w:hAnsi="Times New Roman"/>
          <w:color w:val="000000" w:themeColor="text1"/>
        </w:rPr>
        <w:t>日</w:t>
      </w:r>
      <w:r>
        <w:rPr>
          <w:rFonts w:ascii="Times New Roman" w:eastAsiaTheme="minorEastAsia" w:hAnsi="Times New Roman"/>
          <w:color w:val="000000" w:themeColor="text1"/>
        </w:rPr>
        <w:t>)</w:t>
      </w:r>
    </w:p>
    <w:p w:rsidR="00F2463F" w:rsidRDefault="00DA6186">
      <w:pPr>
        <w:snapToGrid w:val="0"/>
        <w:spacing w:line="360" w:lineRule="auto"/>
        <w:rPr>
          <w:rFonts w:eastAsiaTheme="minorEastAsia"/>
          <w:color w:val="000000" w:themeColor="text1"/>
          <w:szCs w:val="21"/>
        </w:rPr>
      </w:pPr>
      <w:r>
        <w:rPr>
          <w:rFonts w:eastAsiaTheme="minorEastAsia"/>
          <w:color w:val="000000" w:themeColor="text1"/>
          <w:szCs w:val="21"/>
        </w:rPr>
        <w:t>1</w:t>
      </w:r>
      <w:r>
        <w:rPr>
          <w:rFonts w:eastAsiaTheme="minorEastAsia"/>
          <w:color w:val="000000" w:themeColor="text1"/>
          <w:szCs w:val="21"/>
        </w:rPr>
        <w:t>．上投摩根岁岁金定期开放债券</w:t>
      </w:r>
      <w:r>
        <w:rPr>
          <w:rFonts w:eastAsiaTheme="minorEastAsia"/>
          <w:color w:val="000000" w:themeColor="text1"/>
          <w:szCs w:val="21"/>
        </w:rPr>
        <w:t>A</w:t>
      </w:r>
      <w:r>
        <w:rPr>
          <w:rFonts w:eastAsiaTheme="minorEastAsia"/>
          <w:color w:val="000000" w:themeColor="text1"/>
          <w:szCs w:val="21"/>
        </w:rPr>
        <w:t>：</w:t>
      </w:r>
    </w:p>
    <w:p w:rsidR="00F2463F" w:rsidRDefault="00DA6186">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浏览器下载\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F2463F" w:rsidRDefault="00DA6186">
      <w:pPr>
        <w:snapToGrid w:val="0"/>
        <w:spacing w:beforeLines="100" w:before="312" w:line="360" w:lineRule="auto"/>
        <w:rPr>
          <w:rFonts w:eastAsiaTheme="minorEastAsia"/>
          <w:color w:val="000000" w:themeColor="text1"/>
          <w:szCs w:val="21"/>
        </w:rPr>
      </w:pPr>
      <w:r>
        <w:rPr>
          <w:rFonts w:eastAsiaTheme="minorEastAsia"/>
          <w:color w:val="000000" w:themeColor="text1"/>
          <w:szCs w:val="21"/>
        </w:rPr>
        <w:t>2</w:t>
      </w:r>
      <w:r>
        <w:rPr>
          <w:rFonts w:eastAsiaTheme="minorEastAsia"/>
          <w:color w:val="000000" w:themeColor="text1"/>
          <w:szCs w:val="21"/>
        </w:rPr>
        <w:t>．上投摩根岁岁金定期开放债券</w:t>
      </w:r>
      <w:r>
        <w:rPr>
          <w:rFonts w:eastAsiaTheme="minorEastAsia"/>
          <w:color w:val="000000" w:themeColor="text1"/>
          <w:szCs w:val="21"/>
        </w:rPr>
        <w:t>C</w:t>
      </w:r>
      <w:r>
        <w:rPr>
          <w:rFonts w:eastAsiaTheme="minorEastAsia"/>
          <w:color w:val="000000" w:themeColor="text1"/>
          <w:szCs w:val="21"/>
        </w:rPr>
        <w:t>：</w:t>
      </w:r>
    </w:p>
    <w:p w:rsidR="00F2463F" w:rsidRDefault="00DA6186">
      <w:pPr>
        <w:pStyle w:val="20"/>
        <w:spacing w:line="288" w:lineRule="auto"/>
        <w:ind w:firstLineChars="0" w:firstLine="0"/>
        <w:jc w:val="center"/>
        <w:rPr>
          <w:rFonts w:ascii="Times New Roman" w:eastAsiaTheme="minorEastAsia" w:hAnsi="Times New Roman"/>
          <w:color w:val="000000" w:themeColor="text1"/>
          <w:sz w:val="21"/>
          <w:szCs w:val="21"/>
        </w:rPr>
      </w:pPr>
      <w:r>
        <w:rPr>
          <w:rFonts w:ascii="Times New Roman" w:eastAsiaTheme="minorEastAsia" w:hAnsi="Times New Roman"/>
          <w:noProof/>
          <w:color w:val="000000" w:themeColor="text1"/>
          <w:sz w:val="21"/>
          <w:szCs w:val="2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浏览器下载\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591175" cy="3276600"/>
                    </a:xfrm>
                    <a:prstGeom prst="rect">
                      <a:avLst/>
                    </a:prstGeom>
                    <a:noFill/>
                    <a:ln>
                      <a:noFill/>
                    </a:ln>
                  </pic:spPr>
                </pic:pic>
              </a:graphicData>
            </a:graphic>
          </wp:inline>
        </w:drawing>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lastRenderedPageBreak/>
        <w:t>注：本基金合同生效日为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日，图示时间段为</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3</w:t>
      </w:r>
      <w:r>
        <w:rPr>
          <w:rFonts w:eastAsiaTheme="minorEastAsia"/>
          <w:color w:val="000000" w:themeColor="text1"/>
          <w:szCs w:val="21"/>
        </w:rPr>
        <w:t>月</w:t>
      </w:r>
      <w:r>
        <w:rPr>
          <w:rFonts w:eastAsiaTheme="minorEastAsia"/>
          <w:color w:val="000000" w:themeColor="text1"/>
          <w:szCs w:val="21"/>
        </w:rPr>
        <w:t>31</w:t>
      </w:r>
      <w:r>
        <w:rPr>
          <w:rFonts w:eastAsiaTheme="minorEastAsia"/>
          <w:color w:val="000000" w:themeColor="text1"/>
          <w:szCs w:val="21"/>
        </w:rPr>
        <w:t>日。</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本基金建仓期自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w:t>
      </w:r>
      <w:r>
        <w:rPr>
          <w:rFonts w:eastAsiaTheme="minorEastAsia"/>
          <w:color w:val="000000" w:themeColor="text1"/>
          <w:szCs w:val="21"/>
        </w:rPr>
        <w:t>10</w:t>
      </w:r>
      <w:r>
        <w:rPr>
          <w:rFonts w:eastAsiaTheme="minorEastAsia"/>
          <w:color w:val="000000" w:themeColor="text1"/>
          <w:szCs w:val="21"/>
        </w:rPr>
        <w:t>日至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10</w:t>
      </w:r>
      <w:r>
        <w:rPr>
          <w:rFonts w:eastAsiaTheme="minorEastAsia"/>
          <w:color w:val="000000" w:themeColor="text1"/>
          <w:szCs w:val="21"/>
        </w:rPr>
        <w:t>月</w:t>
      </w:r>
      <w:r>
        <w:rPr>
          <w:rFonts w:eastAsiaTheme="minorEastAsia"/>
          <w:color w:val="000000" w:themeColor="text1"/>
          <w:szCs w:val="21"/>
        </w:rPr>
        <w:t>9</w:t>
      </w:r>
      <w:r>
        <w:rPr>
          <w:rFonts w:eastAsiaTheme="minorEastAsia"/>
          <w:color w:val="000000" w:themeColor="text1"/>
          <w:szCs w:val="21"/>
        </w:rPr>
        <w:t>日，建仓期结束时资产配置比例符合本基金基金合同规定。</w:t>
      </w:r>
    </w:p>
    <w:p w:rsidR="00F2463F" w:rsidRDefault="00F2463F">
      <w:pPr>
        <w:spacing w:line="360" w:lineRule="auto"/>
        <w:ind w:firstLineChars="200" w:firstLine="420"/>
        <w:rPr>
          <w:rFonts w:eastAsiaTheme="minorEastAsia"/>
          <w:color w:val="000000" w:themeColor="text1"/>
          <w:szCs w:val="21"/>
        </w:rPr>
      </w:pP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§4  </w:t>
      </w:r>
      <w:r>
        <w:rPr>
          <w:rFonts w:eastAsiaTheme="minorEastAsia"/>
          <w:color w:val="000000" w:themeColor="text1"/>
          <w:kern w:val="0"/>
          <w:sz w:val="21"/>
          <w:szCs w:val="21"/>
        </w:rPr>
        <w:t>管理人报告</w:t>
      </w:r>
    </w:p>
    <w:p w:rsidR="00F2463F" w:rsidRDefault="00DA6186">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4.1 </w:t>
      </w:r>
      <w:r>
        <w:rPr>
          <w:rFonts w:eastAsiaTheme="minorEastAsia"/>
          <w:b/>
          <w:color w:val="000000" w:themeColor="text1"/>
          <w:kern w:val="0"/>
          <w:szCs w:val="21"/>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930"/>
        <w:gridCol w:w="1210"/>
        <w:gridCol w:w="1309"/>
        <w:gridCol w:w="1254"/>
        <w:gridCol w:w="3276"/>
      </w:tblGrid>
      <w:tr w:rsidR="00F2463F">
        <w:tc>
          <w:tcPr>
            <w:tcW w:w="952" w:type="dxa"/>
            <w:vMerge w:val="restart"/>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姓名</w:t>
            </w:r>
          </w:p>
        </w:tc>
        <w:tc>
          <w:tcPr>
            <w:tcW w:w="930" w:type="dxa"/>
            <w:vMerge w:val="restart"/>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职务</w:t>
            </w:r>
          </w:p>
        </w:tc>
        <w:tc>
          <w:tcPr>
            <w:tcW w:w="2519" w:type="dxa"/>
            <w:gridSpan w:val="2"/>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任本基金的基金经理期限</w:t>
            </w:r>
          </w:p>
        </w:tc>
        <w:tc>
          <w:tcPr>
            <w:tcW w:w="1254" w:type="dxa"/>
            <w:vMerge w:val="restart"/>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证券从业年限</w:t>
            </w:r>
          </w:p>
        </w:tc>
        <w:tc>
          <w:tcPr>
            <w:tcW w:w="3276" w:type="dxa"/>
            <w:vMerge w:val="restart"/>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说明</w:t>
            </w:r>
          </w:p>
        </w:tc>
      </w:tr>
      <w:tr w:rsidR="00F2463F">
        <w:tc>
          <w:tcPr>
            <w:tcW w:w="952" w:type="dxa"/>
            <w:vMerge/>
            <w:vAlign w:val="center"/>
          </w:tcPr>
          <w:p w:rsidR="00F2463F" w:rsidRDefault="00F2463F">
            <w:pPr>
              <w:autoSpaceDE w:val="0"/>
              <w:autoSpaceDN w:val="0"/>
              <w:adjustRightInd w:val="0"/>
              <w:spacing w:before="29" w:line="288" w:lineRule="auto"/>
              <w:ind w:left="15"/>
              <w:jc w:val="center"/>
              <w:rPr>
                <w:rFonts w:eastAsiaTheme="minorEastAsia"/>
                <w:color w:val="000000" w:themeColor="text1"/>
                <w:kern w:val="0"/>
                <w:szCs w:val="21"/>
              </w:rPr>
            </w:pPr>
          </w:p>
        </w:tc>
        <w:tc>
          <w:tcPr>
            <w:tcW w:w="930" w:type="dxa"/>
            <w:vMerge/>
          </w:tcPr>
          <w:p w:rsidR="00F2463F" w:rsidRDefault="00F2463F">
            <w:pPr>
              <w:autoSpaceDE w:val="0"/>
              <w:autoSpaceDN w:val="0"/>
              <w:adjustRightInd w:val="0"/>
              <w:spacing w:before="29" w:line="288" w:lineRule="auto"/>
              <w:ind w:left="15"/>
              <w:jc w:val="center"/>
              <w:rPr>
                <w:rFonts w:eastAsiaTheme="minorEastAsia"/>
                <w:color w:val="000000" w:themeColor="text1"/>
                <w:kern w:val="0"/>
                <w:szCs w:val="21"/>
              </w:rPr>
            </w:pPr>
          </w:p>
        </w:tc>
        <w:tc>
          <w:tcPr>
            <w:tcW w:w="1210"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任职日期</w:t>
            </w:r>
          </w:p>
        </w:tc>
        <w:tc>
          <w:tcPr>
            <w:tcW w:w="1309"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离任日期</w:t>
            </w:r>
          </w:p>
        </w:tc>
        <w:tc>
          <w:tcPr>
            <w:tcW w:w="1254" w:type="dxa"/>
            <w:vMerge/>
            <w:vAlign w:val="center"/>
          </w:tcPr>
          <w:p w:rsidR="00F2463F" w:rsidRDefault="00F2463F">
            <w:pPr>
              <w:autoSpaceDE w:val="0"/>
              <w:autoSpaceDN w:val="0"/>
              <w:adjustRightInd w:val="0"/>
              <w:spacing w:before="29" w:line="288" w:lineRule="auto"/>
              <w:ind w:left="15"/>
              <w:jc w:val="center"/>
              <w:rPr>
                <w:rFonts w:eastAsiaTheme="minorEastAsia"/>
                <w:color w:val="000000" w:themeColor="text1"/>
                <w:kern w:val="0"/>
                <w:szCs w:val="21"/>
              </w:rPr>
            </w:pPr>
          </w:p>
        </w:tc>
        <w:tc>
          <w:tcPr>
            <w:tcW w:w="3276" w:type="dxa"/>
            <w:vMerge/>
            <w:vAlign w:val="center"/>
          </w:tcPr>
          <w:p w:rsidR="00F2463F" w:rsidRDefault="00F2463F">
            <w:pPr>
              <w:autoSpaceDE w:val="0"/>
              <w:autoSpaceDN w:val="0"/>
              <w:adjustRightInd w:val="0"/>
              <w:spacing w:before="29" w:line="288" w:lineRule="auto"/>
              <w:ind w:left="15"/>
              <w:jc w:val="center"/>
              <w:rPr>
                <w:rFonts w:eastAsiaTheme="minorEastAsia"/>
                <w:color w:val="000000" w:themeColor="text1"/>
                <w:kern w:val="0"/>
                <w:szCs w:val="21"/>
              </w:rPr>
            </w:pPr>
          </w:p>
        </w:tc>
      </w:tr>
      <w:tr w:rsidR="00F2463F">
        <w:tc>
          <w:tcPr>
            <w:tcW w:w="952" w:type="dxa"/>
            <w:vAlign w:val="center"/>
          </w:tcPr>
          <w:p w:rsidR="00F2463F" w:rsidRDefault="00DA6186">
            <w:pPr>
              <w:jc w:val="center"/>
            </w:pPr>
            <w:r>
              <w:rPr>
                <w:rFonts w:eastAsiaTheme="minorEastAsia"/>
                <w:color w:val="000000" w:themeColor="text1"/>
                <w:szCs w:val="21"/>
              </w:rPr>
              <w:t>刘阳</w:t>
            </w:r>
          </w:p>
        </w:tc>
        <w:tc>
          <w:tcPr>
            <w:tcW w:w="930" w:type="dxa"/>
            <w:vAlign w:val="center"/>
          </w:tcPr>
          <w:p w:rsidR="00F2463F" w:rsidRDefault="00DA6186">
            <w:pPr>
              <w:jc w:val="center"/>
            </w:pPr>
            <w:r>
              <w:rPr>
                <w:rFonts w:eastAsiaTheme="minorEastAsia"/>
                <w:color w:val="000000" w:themeColor="text1"/>
                <w:szCs w:val="21"/>
              </w:rPr>
              <w:t>本基金基金经理</w:t>
            </w:r>
          </w:p>
        </w:tc>
        <w:tc>
          <w:tcPr>
            <w:tcW w:w="1210" w:type="dxa"/>
            <w:vAlign w:val="center"/>
          </w:tcPr>
          <w:p w:rsidR="00F2463F" w:rsidRDefault="00DA6186">
            <w:pPr>
              <w:jc w:val="center"/>
            </w:pPr>
            <w:r>
              <w:rPr>
                <w:rFonts w:eastAsiaTheme="minorEastAsia"/>
                <w:color w:val="000000" w:themeColor="text1"/>
                <w:szCs w:val="21"/>
              </w:rPr>
              <w:t>2017-04-10</w:t>
            </w:r>
          </w:p>
        </w:tc>
        <w:tc>
          <w:tcPr>
            <w:tcW w:w="1309" w:type="dxa"/>
            <w:vAlign w:val="center"/>
          </w:tcPr>
          <w:p w:rsidR="00F2463F" w:rsidRDefault="00DA6186">
            <w:pPr>
              <w:jc w:val="center"/>
            </w:pPr>
            <w:r>
              <w:rPr>
                <w:rFonts w:eastAsiaTheme="minorEastAsia"/>
                <w:color w:val="000000" w:themeColor="text1"/>
                <w:szCs w:val="21"/>
              </w:rPr>
              <w:t>-</w:t>
            </w:r>
          </w:p>
        </w:tc>
        <w:tc>
          <w:tcPr>
            <w:tcW w:w="1254" w:type="dxa"/>
            <w:vAlign w:val="center"/>
          </w:tcPr>
          <w:p w:rsidR="00F2463F" w:rsidRDefault="00DA6186">
            <w:pPr>
              <w:jc w:val="center"/>
            </w:pPr>
            <w:r>
              <w:rPr>
                <w:rFonts w:eastAsiaTheme="minorEastAsia"/>
                <w:color w:val="000000" w:themeColor="text1"/>
                <w:szCs w:val="21"/>
              </w:rPr>
              <w:t>8</w:t>
            </w:r>
            <w:r>
              <w:rPr>
                <w:rFonts w:eastAsiaTheme="minorEastAsia"/>
                <w:color w:val="000000" w:themeColor="text1"/>
                <w:szCs w:val="21"/>
              </w:rPr>
              <w:t>年</w:t>
            </w:r>
          </w:p>
        </w:tc>
        <w:tc>
          <w:tcPr>
            <w:tcW w:w="3276" w:type="dxa"/>
            <w:vAlign w:val="center"/>
          </w:tcPr>
          <w:p w:rsidR="00F2463F" w:rsidRDefault="00DA6186">
            <w:r>
              <w:rPr>
                <w:rFonts w:eastAsiaTheme="minorEastAsia"/>
                <w:color w:val="000000" w:themeColor="text1"/>
                <w:szCs w:val="21"/>
              </w:rPr>
              <w:t>刘阳女士自</w:t>
            </w:r>
            <w:r>
              <w:rPr>
                <w:rFonts w:eastAsiaTheme="minorEastAsia"/>
                <w:color w:val="000000" w:themeColor="text1"/>
                <w:szCs w:val="21"/>
              </w:rPr>
              <w:t>2011</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月至</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月在申银万国证券研究所担任分析师，</w:t>
            </w:r>
            <w:r>
              <w:rPr>
                <w:rFonts w:eastAsiaTheme="minorEastAsia"/>
                <w:color w:val="000000" w:themeColor="text1"/>
                <w:szCs w:val="21"/>
              </w:rPr>
              <w:t>2012</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月至</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5</w:t>
            </w:r>
            <w:r>
              <w:rPr>
                <w:rFonts w:eastAsiaTheme="minorEastAsia"/>
                <w:color w:val="000000" w:themeColor="text1"/>
                <w:szCs w:val="21"/>
              </w:rPr>
              <w:t>月在广发证券研发中心担任高级分析师，</w:t>
            </w:r>
            <w:r>
              <w:rPr>
                <w:rFonts w:eastAsiaTheme="minorEastAsia"/>
                <w:color w:val="000000" w:themeColor="text1"/>
                <w:szCs w:val="21"/>
              </w:rPr>
              <w:t>2013</w:t>
            </w:r>
            <w:r>
              <w:rPr>
                <w:rFonts w:eastAsiaTheme="minorEastAsia"/>
                <w:color w:val="000000" w:themeColor="text1"/>
                <w:szCs w:val="21"/>
              </w:rPr>
              <w:t>年</w:t>
            </w:r>
            <w:r>
              <w:rPr>
                <w:rFonts w:eastAsiaTheme="minorEastAsia"/>
                <w:color w:val="000000" w:themeColor="text1"/>
                <w:szCs w:val="21"/>
              </w:rPr>
              <w:t>6</w:t>
            </w:r>
            <w:r>
              <w:rPr>
                <w:rFonts w:eastAsiaTheme="minorEastAsia"/>
                <w:color w:val="000000" w:themeColor="text1"/>
                <w:szCs w:val="21"/>
              </w:rPr>
              <w:t>月起加入上投摩根基金管理有限公司，历任投资经理助理兼研究员、投资经理；自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8</w:t>
            </w:r>
            <w:r>
              <w:rPr>
                <w:rFonts w:eastAsiaTheme="minorEastAsia"/>
                <w:color w:val="000000" w:themeColor="text1"/>
                <w:szCs w:val="21"/>
              </w:rPr>
              <w:t>月期间、</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月至今担任上投摩根纯债丰利债券型证券投资基金</w:t>
            </w:r>
            <w:r>
              <w:rPr>
                <w:rFonts w:eastAsiaTheme="minorEastAsia" w:hint="eastAsia"/>
                <w:color w:val="000000" w:themeColor="text1"/>
                <w:szCs w:val="21"/>
              </w:rPr>
              <w:t>基金经理</w:t>
            </w:r>
            <w:r>
              <w:rPr>
                <w:rFonts w:eastAsiaTheme="minorEastAsia"/>
                <w:color w:val="000000" w:themeColor="text1"/>
                <w:szCs w:val="21"/>
              </w:rPr>
              <w:t>，自</w:t>
            </w:r>
            <w:r>
              <w:rPr>
                <w:rFonts w:eastAsiaTheme="minorEastAsia"/>
                <w:color w:val="000000" w:themeColor="text1"/>
                <w:szCs w:val="21"/>
              </w:rPr>
              <w:t>2015</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月起担任上投摩根双债增利债券型证券投资基金基金经理，自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月起同时担任上投摩根纯债添利债券型证券投资基金基金经理，自</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月起同时担任上投摩根强化回报债券型证券投资基金基金经理，</w:t>
            </w:r>
            <w:r>
              <w:rPr>
                <w:rFonts w:eastAsiaTheme="minorEastAsia"/>
                <w:color w:val="000000" w:themeColor="text1"/>
                <w:szCs w:val="21"/>
              </w:rPr>
              <w:t>2016</w:t>
            </w:r>
            <w:r>
              <w:rPr>
                <w:rFonts w:eastAsiaTheme="minorEastAsia"/>
                <w:color w:val="000000" w:themeColor="text1"/>
                <w:szCs w:val="21"/>
              </w:rPr>
              <w:t>年</w:t>
            </w:r>
            <w:r>
              <w:rPr>
                <w:rFonts w:eastAsiaTheme="minorEastAsia"/>
                <w:color w:val="000000" w:themeColor="text1"/>
                <w:szCs w:val="21"/>
              </w:rPr>
              <w:t>12</w:t>
            </w:r>
            <w:r>
              <w:rPr>
                <w:rFonts w:eastAsiaTheme="minorEastAsia"/>
                <w:color w:val="000000" w:themeColor="text1"/>
                <w:szCs w:val="21"/>
              </w:rPr>
              <w:t>月至</w:t>
            </w:r>
            <w:r>
              <w:rPr>
                <w:rFonts w:eastAsiaTheme="minorEastAsia"/>
                <w:color w:val="000000" w:themeColor="text1"/>
                <w:szCs w:val="21"/>
              </w:rPr>
              <w:t>2019</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月同时担任上投摩根岁岁盈定期开放债券型证券投资基金基金经理，自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4</w:t>
            </w:r>
            <w:r>
              <w:rPr>
                <w:rFonts w:eastAsiaTheme="minorEastAsia"/>
                <w:color w:val="000000" w:themeColor="text1"/>
                <w:szCs w:val="21"/>
              </w:rPr>
              <w:t>月起同时担任上投摩根岁岁金定期开放债券型证券投资基金基金经理，自</w:t>
            </w:r>
            <w:r>
              <w:rPr>
                <w:rFonts w:eastAsiaTheme="minorEastAsia"/>
                <w:color w:val="000000" w:themeColor="text1"/>
                <w:szCs w:val="21"/>
              </w:rPr>
              <w:t>2017</w:t>
            </w:r>
            <w:r>
              <w:rPr>
                <w:rFonts w:eastAsiaTheme="minorEastAsia"/>
                <w:color w:val="000000" w:themeColor="text1"/>
                <w:szCs w:val="21"/>
              </w:rPr>
              <w:t>年</w:t>
            </w:r>
            <w:r>
              <w:rPr>
                <w:rFonts w:eastAsiaTheme="minorEastAsia"/>
                <w:color w:val="000000" w:themeColor="text1"/>
                <w:szCs w:val="21"/>
              </w:rPr>
              <w:t>11</w:t>
            </w:r>
            <w:r>
              <w:rPr>
                <w:rFonts w:eastAsiaTheme="minorEastAsia"/>
                <w:color w:val="000000" w:themeColor="text1"/>
                <w:szCs w:val="21"/>
              </w:rPr>
              <w:t>月起同时担任上投摩根丰瑞债券型证券投资基金基金经理，自</w:t>
            </w:r>
            <w:r>
              <w:rPr>
                <w:rFonts w:eastAsiaTheme="minorEastAsia"/>
                <w:color w:val="000000" w:themeColor="text1"/>
                <w:szCs w:val="21"/>
              </w:rPr>
              <w:t>2018</w:t>
            </w:r>
            <w:r>
              <w:rPr>
                <w:rFonts w:eastAsiaTheme="minorEastAsia"/>
                <w:color w:val="000000" w:themeColor="text1"/>
                <w:szCs w:val="21"/>
              </w:rPr>
              <w:t>年</w:t>
            </w:r>
            <w:r>
              <w:rPr>
                <w:rFonts w:eastAsiaTheme="minorEastAsia"/>
                <w:color w:val="000000" w:themeColor="text1"/>
                <w:szCs w:val="21"/>
              </w:rPr>
              <w:t>1</w:t>
            </w:r>
            <w:r>
              <w:rPr>
                <w:rFonts w:eastAsiaTheme="minorEastAsia"/>
                <w:color w:val="000000" w:themeColor="text1"/>
                <w:szCs w:val="21"/>
              </w:rPr>
              <w:t>月起同时担任上投摩根岁岁益定期开放债券型证券投资基金基金经理。</w:t>
            </w:r>
          </w:p>
        </w:tc>
      </w:tr>
    </w:tbl>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注：</w:t>
      </w:r>
      <w:r>
        <w:rPr>
          <w:rFonts w:eastAsiaTheme="minorEastAsia"/>
          <w:color w:val="000000" w:themeColor="text1"/>
          <w:szCs w:val="21"/>
        </w:rPr>
        <w:t xml:space="preserve">1. </w:t>
      </w:r>
      <w:r>
        <w:rPr>
          <w:rFonts w:eastAsiaTheme="minorEastAsia"/>
          <w:color w:val="000000" w:themeColor="text1"/>
          <w:szCs w:val="21"/>
        </w:rPr>
        <w:t>任职日期和离任日期均指根据公司决定确定的聘任日期和解聘日期。</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2. </w:t>
      </w:r>
      <w:r>
        <w:rPr>
          <w:rFonts w:eastAsiaTheme="minorEastAsia"/>
          <w:color w:val="000000" w:themeColor="text1"/>
          <w:szCs w:val="21"/>
        </w:rPr>
        <w:t>刘阳女士为本基金首任基金经理，其任职日期为本基金基金合同生效之日；</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 xml:space="preserve">3. </w:t>
      </w:r>
      <w:r>
        <w:rPr>
          <w:rFonts w:eastAsiaTheme="minorEastAsia"/>
          <w:color w:val="000000" w:themeColor="text1"/>
          <w:szCs w:val="21"/>
        </w:rPr>
        <w:t>证券从业的含义遵从行业协会《证券业从业人员资格管理办法》的相关规定。</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4.2</w:t>
      </w:r>
      <w:r>
        <w:rPr>
          <w:rFonts w:eastAsiaTheme="minorEastAsia" w:hint="eastAsia"/>
          <w:b/>
          <w:color w:val="000000" w:themeColor="text1"/>
          <w:kern w:val="0"/>
          <w:szCs w:val="21"/>
        </w:rPr>
        <w:t>管理人对报告期内本基金运作遵规守信情况的说明</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在本报告期内，基金管理人不存在损害基金份额持有人利益的行为，勤勉尽责地为基金份额持有人谋求利益。基金管理人遵守了《证券投资基金法》及其他有关法律法规、《上投摩根岁岁金定期开放债券型证券投资基金基金合同》的规定。基金经理对个股和投资组合的比例遵循了投资决策委员会的授权限制，基金投资比例符合基金合同和法律法规的要求。</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4.3 </w:t>
      </w:r>
      <w:r>
        <w:rPr>
          <w:rFonts w:eastAsiaTheme="minorEastAsia"/>
          <w:b/>
          <w:color w:val="000000" w:themeColor="text1"/>
          <w:kern w:val="0"/>
          <w:szCs w:val="21"/>
        </w:rPr>
        <w:t>公平交易专项说明</w:t>
      </w:r>
    </w:p>
    <w:p w:rsidR="00F2463F" w:rsidRDefault="00DA6186">
      <w:pPr>
        <w:spacing w:line="360" w:lineRule="auto"/>
        <w:rPr>
          <w:rFonts w:eastAsiaTheme="minorEastAsia"/>
          <w:color w:val="000000" w:themeColor="text1"/>
          <w:szCs w:val="21"/>
        </w:rPr>
      </w:pPr>
      <w:r>
        <w:rPr>
          <w:rFonts w:eastAsiaTheme="minorEastAsia"/>
          <w:color w:val="000000" w:themeColor="text1"/>
          <w:szCs w:val="21"/>
        </w:rPr>
        <w:t xml:space="preserve">4.3.1 </w:t>
      </w:r>
      <w:r>
        <w:rPr>
          <w:rFonts w:eastAsiaTheme="minorEastAsia"/>
          <w:color w:val="000000" w:themeColor="text1"/>
          <w:szCs w:val="21"/>
        </w:rPr>
        <w:t>公平交易制度的执行情况</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报告期内，通过对不同投资组合之间的收益率差异比较、对同向交易和反向交易的交易时机和交易价差监控分析，未发现整体公平交易执行出现异常的情况。</w:t>
      </w:r>
    </w:p>
    <w:p w:rsidR="00F2463F" w:rsidRDefault="00DA6186">
      <w:pPr>
        <w:spacing w:line="360" w:lineRule="auto"/>
        <w:rPr>
          <w:rFonts w:eastAsiaTheme="minorEastAsia"/>
          <w:color w:val="000000" w:themeColor="text1"/>
          <w:szCs w:val="21"/>
        </w:rPr>
      </w:pPr>
      <w:r>
        <w:rPr>
          <w:rFonts w:eastAsiaTheme="minorEastAsia"/>
          <w:color w:val="000000" w:themeColor="text1"/>
          <w:szCs w:val="21"/>
        </w:rPr>
        <w:t xml:space="preserve">4.3.2 </w:t>
      </w:r>
      <w:r>
        <w:rPr>
          <w:rFonts w:eastAsiaTheme="minorEastAsia"/>
          <w:color w:val="000000" w:themeColor="text1"/>
          <w:szCs w:val="21"/>
        </w:rPr>
        <w:t>异常交易行为的专项说明</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报告期内，通过对交易价格、交易时间、交易方向等的分析，未发现有可能导致不公平交易和利益输送的异常交易行为。</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所有投资组合参与的交易所公开竞价同日反向交易成交较少的单边交易量超过该证券当日成交量的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的情形：报告期内，所有投资组合参与的交易所公开竞价同日反向交易成交较少的单边交易量超过该证券当日成交量的</w:t>
      </w:r>
      <w:r>
        <w:rPr>
          <w:rFonts w:eastAsiaTheme="minorEastAsia"/>
          <w:color w:val="000000" w:themeColor="text1"/>
          <w:szCs w:val="21"/>
        </w:rPr>
        <w:t>5%</w:t>
      </w:r>
      <w:r>
        <w:rPr>
          <w:rFonts w:eastAsiaTheme="minorEastAsia"/>
          <w:color w:val="000000" w:themeColor="text1"/>
          <w:szCs w:val="21"/>
        </w:rPr>
        <w:t>的次数为一次，发生在量化投资组合与主动管理投资组合</w:t>
      </w:r>
      <w:r>
        <w:rPr>
          <w:rFonts w:eastAsiaTheme="minorEastAsia"/>
          <w:color w:val="000000" w:themeColor="text1"/>
          <w:szCs w:val="21"/>
        </w:rPr>
        <w:lastRenderedPageBreak/>
        <w:t>之间。</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4.4 </w:t>
      </w:r>
      <w:r>
        <w:rPr>
          <w:rFonts w:eastAsiaTheme="minorEastAsia"/>
          <w:b/>
          <w:color w:val="000000" w:themeColor="text1"/>
          <w:kern w:val="0"/>
          <w:szCs w:val="21"/>
        </w:rPr>
        <w:t>报告期内基金的投资策略和业绩表现说明</w:t>
      </w:r>
    </w:p>
    <w:p w:rsidR="00F2463F" w:rsidRDefault="00DA6186">
      <w:pPr>
        <w:spacing w:line="360" w:lineRule="auto"/>
        <w:rPr>
          <w:rFonts w:eastAsiaTheme="minorEastAsia"/>
          <w:color w:val="000000" w:themeColor="text1"/>
          <w:szCs w:val="21"/>
        </w:rPr>
      </w:pPr>
      <w:r>
        <w:rPr>
          <w:rFonts w:eastAsiaTheme="minorEastAsia"/>
          <w:color w:val="000000" w:themeColor="text1"/>
          <w:szCs w:val="21"/>
        </w:rPr>
        <w:t>4.4.1</w:t>
      </w:r>
      <w:r>
        <w:rPr>
          <w:rFonts w:eastAsiaTheme="minorEastAsia"/>
          <w:color w:val="000000" w:themeColor="text1"/>
          <w:szCs w:val="21"/>
        </w:rPr>
        <w:t>报告期内基金投资策略和运作分析</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经历</w:t>
      </w:r>
      <w:r>
        <w:rPr>
          <w:rFonts w:eastAsiaTheme="minorEastAsia"/>
          <w:color w:val="000000" w:themeColor="text1"/>
          <w:szCs w:val="21"/>
        </w:rPr>
        <w:t>2018</w:t>
      </w:r>
      <w:r>
        <w:rPr>
          <w:rFonts w:eastAsiaTheme="minorEastAsia"/>
          <w:color w:val="000000" w:themeColor="text1"/>
          <w:szCs w:val="21"/>
        </w:rPr>
        <w:t>年牛市后，</w:t>
      </w:r>
      <w:r>
        <w:rPr>
          <w:rFonts w:eastAsiaTheme="minorEastAsia"/>
          <w:color w:val="000000" w:themeColor="text1"/>
          <w:szCs w:val="21"/>
        </w:rPr>
        <w:t>2019</w:t>
      </w:r>
      <w:r>
        <w:rPr>
          <w:rFonts w:eastAsiaTheme="minorEastAsia"/>
          <w:color w:val="000000" w:themeColor="text1"/>
          <w:szCs w:val="21"/>
        </w:rPr>
        <w:t>年开年，债券市场整体步入震荡行情。一季度整体来看，</w:t>
      </w:r>
      <w:r>
        <w:rPr>
          <w:rFonts w:eastAsiaTheme="minorEastAsia"/>
          <w:color w:val="000000" w:themeColor="text1"/>
          <w:szCs w:val="21"/>
        </w:rPr>
        <w:t>10</w:t>
      </w:r>
      <w:r>
        <w:rPr>
          <w:rFonts w:eastAsiaTheme="minorEastAsia"/>
          <w:color w:val="000000" w:themeColor="text1"/>
          <w:szCs w:val="21"/>
        </w:rPr>
        <w:t>年期国开债收益率围绕开年</w:t>
      </w:r>
      <w:r>
        <w:rPr>
          <w:rFonts w:eastAsiaTheme="minorEastAsia"/>
          <w:color w:val="000000" w:themeColor="text1"/>
          <w:szCs w:val="21"/>
        </w:rPr>
        <w:t>3.65%</w:t>
      </w:r>
      <w:r>
        <w:rPr>
          <w:rFonts w:eastAsiaTheme="minorEastAsia"/>
          <w:color w:val="000000" w:themeColor="text1"/>
          <w:szCs w:val="21"/>
        </w:rPr>
        <w:t>的中枢，在</w:t>
      </w:r>
      <w:r>
        <w:rPr>
          <w:rFonts w:eastAsiaTheme="minorEastAsia"/>
          <w:color w:val="000000" w:themeColor="text1"/>
          <w:szCs w:val="21"/>
        </w:rPr>
        <w:t>3.47%-3.70%</w:t>
      </w:r>
      <w:r>
        <w:rPr>
          <w:rFonts w:eastAsiaTheme="minorEastAsia"/>
          <w:color w:val="000000" w:themeColor="text1"/>
          <w:szCs w:val="21"/>
        </w:rPr>
        <w:t>的区间运行；短端收益率受益于宽松流动性，整体维持低位，</w:t>
      </w:r>
      <w:r>
        <w:rPr>
          <w:rFonts w:eastAsiaTheme="minorEastAsia"/>
          <w:color w:val="000000" w:themeColor="text1"/>
          <w:szCs w:val="21"/>
        </w:rPr>
        <w:t>1</w:t>
      </w:r>
      <w:r>
        <w:rPr>
          <w:rFonts w:eastAsiaTheme="minorEastAsia"/>
          <w:color w:val="000000" w:themeColor="text1"/>
          <w:szCs w:val="21"/>
        </w:rPr>
        <w:t>年期国开债收益率从开年的</w:t>
      </w:r>
      <w:r>
        <w:rPr>
          <w:rFonts w:eastAsiaTheme="minorEastAsia"/>
          <w:color w:val="000000" w:themeColor="text1"/>
          <w:szCs w:val="21"/>
        </w:rPr>
        <w:t>2.65%</w:t>
      </w:r>
      <w:r>
        <w:rPr>
          <w:rFonts w:eastAsiaTheme="minorEastAsia"/>
          <w:color w:val="000000" w:themeColor="text1"/>
          <w:szCs w:val="21"/>
        </w:rPr>
        <w:t>附近小幅下行，在</w:t>
      </w:r>
      <w:r>
        <w:rPr>
          <w:rFonts w:eastAsiaTheme="minorEastAsia"/>
          <w:color w:val="000000" w:themeColor="text1"/>
          <w:szCs w:val="21"/>
        </w:rPr>
        <w:t>2.48%-2.66%</w:t>
      </w:r>
      <w:r>
        <w:rPr>
          <w:rFonts w:eastAsiaTheme="minorEastAsia"/>
          <w:color w:val="000000" w:themeColor="text1"/>
          <w:szCs w:val="21"/>
        </w:rPr>
        <w:t>的区间窄幅波动，收益率曲线进一步陡峭化；</w:t>
      </w:r>
      <w:r>
        <w:rPr>
          <w:rFonts w:eastAsiaTheme="minorEastAsia"/>
          <w:color w:val="000000" w:themeColor="text1"/>
          <w:szCs w:val="21"/>
        </w:rPr>
        <w:t>10-1</w:t>
      </w:r>
      <w:r>
        <w:rPr>
          <w:rFonts w:eastAsiaTheme="minorEastAsia"/>
          <w:color w:val="000000" w:themeColor="text1"/>
          <w:szCs w:val="21"/>
        </w:rPr>
        <w:t>年期限利差至一季末在</w:t>
      </w:r>
      <w:r>
        <w:rPr>
          <w:rFonts w:eastAsiaTheme="minorEastAsia"/>
          <w:color w:val="000000" w:themeColor="text1"/>
          <w:szCs w:val="21"/>
        </w:rPr>
        <w:t>103BP</w:t>
      </w:r>
      <w:r>
        <w:rPr>
          <w:rFonts w:eastAsiaTheme="minorEastAsia"/>
          <w:color w:val="000000" w:themeColor="text1"/>
          <w:szCs w:val="21"/>
        </w:rPr>
        <w:t>，处于历史</w:t>
      </w:r>
      <w:r>
        <w:rPr>
          <w:rFonts w:eastAsiaTheme="minorEastAsia"/>
          <w:color w:val="000000" w:themeColor="text1"/>
          <w:szCs w:val="21"/>
        </w:rPr>
        <w:t>60%</w:t>
      </w:r>
      <w:r>
        <w:rPr>
          <w:rFonts w:eastAsiaTheme="minorEastAsia"/>
          <w:color w:val="000000" w:themeColor="text1"/>
          <w:szCs w:val="21"/>
        </w:rPr>
        <w:t>分位以上。信用债方面，表现进一步分化。高等级品种持续受资金追捧，弱资质，尤其是民企债券，信用利差依然较高。综合来看，一季度长债走势较为纠结，杠杆策略表现优于久期策略。导致长债弱势震荡的主要原因在于：第一，</w:t>
      </w:r>
      <w:r>
        <w:rPr>
          <w:rFonts w:eastAsiaTheme="minorEastAsia"/>
          <w:color w:val="000000" w:themeColor="text1"/>
          <w:szCs w:val="21"/>
        </w:rPr>
        <w:t>1</w:t>
      </w:r>
      <w:r>
        <w:rPr>
          <w:rFonts w:eastAsiaTheme="minorEastAsia"/>
          <w:color w:val="000000" w:themeColor="text1"/>
          <w:szCs w:val="21"/>
        </w:rPr>
        <w:t>月天量信贷引发市场宽信用预期，</w:t>
      </w:r>
      <w:r>
        <w:rPr>
          <w:rFonts w:eastAsiaTheme="minorEastAsia"/>
          <w:color w:val="000000" w:themeColor="text1"/>
          <w:szCs w:val="21"/>
        </w:rPr>
        <w:t>1</w:t>
      </w:r>
      <w:r>
        <w:rPr>
          <w:rFonts w:eastAsiaTheme="minorEastAsia"/>
          <w:color w:val="000000" w:themeColor="text1"/>
          <w:szCs w:val="21"/>
        </w:rPr>
        <w:t>月新增社融</w:t>
      </w:r>
      <w:r>
        <w:rPr>
          <w:rFonts w:eastAsiaTheme="minorEastAsia"/>
          <w:color w:val="000000" w:themeColor="text1"/>
          <w:szCs w:val="21"/>
        </w:rPr>
        <w:t>4.64</w:t>
      </w:r>
      <w:r>
        <w:rPr>
          <w:rFonts w:eastAsiaTheme="minorEastAsia"/>
          <w:color w:val="000000" w:themeColor="text1"/>
          <w:szCs w:val="21"/>
        </w:rPr>
        <w:t>万亿，其中新增信贷</w:t>
      </w:r>
      <w:r>
        <w:rPr>
          <w:rFonts w:eastAsiaTheme="minorEastAsia"/>
          <w:color w:val="000000" w:themeColor="text1"/>
          <w:szCs w:val="21"/>
        </w:rPr>
        <w:t>3.23</w:t>
      </w:r>
      <w:r>
        <w:rPr>
          <w:rFonts w:eastAsiaTheme="minorEastAsia"/>
          <w:color w:val="000000" w:themeColor="text1"/>
          <w:szCs w:val="21"/>
        </w:rPr>
        <w:t>万亿，创历史新高，并且无论总量抑或结构均出现明显改善，企业债券和非标融资也相应恢复，市场对社融信贷见底到经济见底的路径预期明显上升，债市观望情绪抬头；第二，一季度地方债发行提前，分流了部分配置资金，对市场形成一定供给压力；第三，开年以来权益市场表现强势，尤其春节后指数出现明显上涨，对风险偏好形成提振，资金分流效应显现，股债出现跷跷板走势。在以上因素的联合共振下，长债结束了去年四季度以来的强势上涨转入震荡，但整体并未步入熊市，原因在于，</w:t>
      </w:r>
      <w:r>
        <w:rPr>
          <w:rFonts w:eastAsiaTheme="minorEastAsia"/>
          <w:color w:val="000000" w:themeColor="text1"/>
          <w:szCs w:val="21"/>
        </w:rPr>
        <w:t>2</w:t>
      </w:r>
      <w:r>
        <w:rPr>
          <w:rFonts w:eastAsiaTheme="minorEastAsia"/>
          <w:color w:val="000000" w:themeColor="text1"/>
          <w:szCs w:val="21"/>
        </w:rPr>
        <w:t>月货币信贷数据迅速回落，反应整体融资需求企稳仍需时日，地产调控未全面放松、预算赤字率未出现显著提升，经济基本面企稳的难度仍较大，市场对货币政策降准降息的预期依然存在，股债双牛在充裕流动性环境下存在实现的基础。岁岁金基金整体维持以利率债投资为主的策略操作，在信用债部分精选个券，以短久期、高等级信用债持有为主，同时阶段性参与长债交易。</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展望二季度，债市面临的机遇和挑战并存。一方面，经济金融数据受开年季节性扰动因素的影响而降低，</w:t>
      </w:r>
      <w:r>
        <w:rPr>
          <w:rFonts w:eastAsiaTheme="minorEastAsia"/>
          <w:color w:val="000000" w:themeColor="text1"/>
          <w:szCs w:val="21"/>
        </w:rPr>
        <w:t>4</w:t>
      </w:r>
      <w:r>
        <w:rPr>
          <w:rFonts w:eastAsiaTheme="minorEastAsia"/>
          <w:color w:val="000000" w:themeColor="text1"/>
          <w:szCs w:val="21"/>
        </w:rPr>
        <w:t>、</w:t>
      </w:r>
      <w:r>
        <w:rPr>
          <w:rFonts w:eastAsiaTheme="minorEastAsia"/>
          <w:color w:val="000000" w:themeColor="text1"/>
          <w:szCs w:val="21"/>
        </w:rPr>
        <w:t>5</w:t>
      </w:r>
      <w:r>
        <w:rPr>
          <w:rFonts w:eastAsiaTheme="minorEastAsia"/>
          <w:color w:val="000000" w:themeColor="text1"/>
          <w:szCs w:val="21"/>
        </w:rPr>
        <w:t>两月的数据有望证伪当前对经济金融见底回升的乐观预期，降准的必要性仍存，流动性拐头的可能性不高；另一方面，通胀压力抬头，食品尤其是猪肉价格在</w:t>
      </w:r>
      <w:r>
        <w:rPr>
          <w:rFonts w:eastAsiaTheme="minorEastAsia"/>
          <w:color w:val="000000" w:themeColor="text1"/>
          <w:szCs w:val="21"/>
        </w:rPr>
        <w:t>4</w:t>
      </w:r>
      <w:r>
        <w:rPr>
          <w:rFonts w:eastAsiaTheme="minorEastAsia"/>
          <w:color w:val="000000" w:themeColor="text1"/>
          <w:szCs w:val="21"/>
        </w:rPr>
        <w:t>月下旬后可能对整体通胀形成一定压力，从而一定程度制约央行货币政策宽松空间，并对债券市场形成短期压力。整体来看，债券市场仍处慢牛格局当中，但绝对收益率已经降至低位的情况下，市场波动增大，超额收益的空间也相应压缩。在此过程当中，本基金将维持当前以利率债为主、整体高杠杆的策略操作，紧密跟踪市场，把握预期偏差带来的交易波段机会，力争为组合实现稳健收益。</w:t>
      </w:r>
    </w:p>
    <w:p w:rsidR="00F2463F" w:rsidRDefault="00DA6186">
      <w:pPr>
        <w:spacing w:line="360" w:lineRule="auto"/>
        <w:rPr>
          <w:rFonts w:eastAsiaTheme="minorEastAsia"/>
          <w:color w:val="000000" w:themeColor="text1"/>
          <w:szCs w:val="21"/>
        </w:rPr>
      </w:pPr>
      <w:r>
        <w:rPr>
          <w:rFonts w:eastAsiaTheme="minorEastAsia"/>
          <w:color w:val="000000" w:themeColor="text1"/>
          <w:szCs w:val="21"/>
        </w:rPr>
        <w:t>4.4.2</w:t>
      </w:r>
      <w:r>
        <w:rPr>
          <w:rFonts w:eastAsiaTheme="minorEastAsia"/>
          <w:color w:val="000000" w:themeColor="text1"/>
          <w:szCs w:val="21"/>
        </w:rPr>
        <w:t>报告期内基金的业绩表现</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本报告期上投摩根岁岁金定期开放债券</w:t>
      </w:r>
      <w:r>
        <w:rPr>
          <w:rFonts w:eastAsiaTheme="minorEastAsia"/>
          <w:color w:val="000000" w:themeColor="text1"/>
          <w:szCs w:val="21"/>
        </w:rPr>
        <w:t>A</w:t>
      </w:r>
      <w:r>
        <w:rPr>
          <w:rFonts w:eastAsiaTheme="minorEastAsia"/>
          <w:color w:val="000000" w:themeColor="text1"/>
          <w:szCs w:val="21"/>
        </w:rPr>
        <w:t>份额净值增长率为</w:t>
      </w:r>
      <w:r>
        <w:rPr>
          <w:rFonts w:eastAsiaTheme="minorEastAsia"/>
          <w:color w:val="000000" w:themeColor="text1"/>
          <w:szCs w:val="21"/>
        </w:rPr>
        <w:t>:0.89%</w:t>
      </w:r>
      <w:r>
        <w:rPr>
          <w:rFonts w:eastAsiaTheme="minorEastAsia"/>
          <w:color w:val="000000" w:themeColor="text1"/>
          <w:szCs w:val="21"/>
        </w:rPr>
        <w:t>，同期业绩比较基准收益</w:t>
      </w:r>
      <w:r>
        <w:rPr>
          <w:rFonts w:eastAsiaTheme="minorEastAsia"/>
          <w:color w:val="000000" w:themeColor="text1"/>
          <w:szCs w:val="21"/>
        </w:rPr>
        <w:lastRenderedPageBreak/>
        <w:t>率为</w:t>
      </w:r>
      <w:r>
        <w:rPr>
          <w:rFonts w:eastAsiaTheme="minorEastAsia"/>
          <w:color w:val="000000" w:themeColor="text1"/>
          <w:szCs w:val="21"/>
        </w:rPr>
        <w:t>:0.15%,</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r>
        <w:rPr>
          <w:rFonts w:eastAsiaTheme="minorEastAsia"/>
          <w:color w:val="000000" w:themeColor="text1"/>
          <w:szCs w:val="21"/>
        </w:rPr>
        <w:t>份额净值增长率为</w:t>
      </w:r>
      <w:r>
        <w:rPr>
          <w:rFonts w:eastAsiaTheme="minorEastAsia"/>
          <w:color w:val="000000" w:themeColor="text1"/>
          <w:szCs w:val="21"/>
        </w:rPr>
        <w:t>:0.80%</w:t>
      </w:r>
      <w:r>
        <w:rPr>
          <w:rFonts w:eastAsiaTheme="minorEastAsia"/>
          <w:color w:val="000000" w:themeColor="text1"/>
          <w:szCs w:val="21"/>
        </w:rPr>
        <w:t>，同期业绩比较基准收益率为</w:t>
      </w:r>
      <w:r>
        <w:rPr>
          <w:rFonts w:eastAsiaTheme="minorEastAsia"/>
          <w:color w:val="000000" w:themeColor="text1"/>
          <w:szCs w:val="21"/>
        </w:rPr>
        <w:t>:0.15%</w:t>
      </w:r>
      <w:r>
        <w:rPr>
          <w:rFonts w:eastAsiaTheme="minorEastAsia"/>
          <w:color w:val="000000" w:themeColor="text1"/>
          <w:szCs w:val="21"/>
        </w:rPr>
        <w:t>。</w:t>
      </w:r>
    </w:p>
    <w:p w:rsidR="00F2463F" w:rsidRDefault="00F2463F">
      <w:pPr>
        <w:spacing w:line="360" w:lineRule="auto"/>
        <w:ind w:firstLineChars="200" w:firstLine="420"/>
        <w:rPr>
          <w:rFonts w:eastAsiaTheme="minorEastAsia"/>
          <w:color w:val="000000" w:themeColor="text1"/>
          <w:szCs w:val="21"/>
        </w:rPr>
      </w:pPr>
    </w:p>
    <w:p w:rsidR="00F2463F" w:rsidRDefault="00DA6186">
      <w:pPr>
        <w:spacing w:line="360" w:lineRule="auto"/>
        <w:rPr>
          <w:rFonts w:eastAsiaTheme="minorEastAsia"/>
          <w:color w:val="000000" w:themeColor="text1"/>
          <w:szCs w:val="21"/>
        </w:rPr>
      </w:pPr>
      <w:r>
        <w:rPr>
          <w:rFonts w:eastAsiaTheme="minorEastAsia"/>
          <w:b/>
          <w:color w:val="000000" w:themeColor="text1"/>
          <w:kern w:val="0"/>
          <w:szCs w:val="21"/>
        </w:rPr>
        <w:t>4</w:t>
      </w:r>
      <w:r>
        <w:rPr>
          <w:rFonts w:eastAsiaTheme="minorEastAsia" w:hint="eastAsia"/>
          <w:b/>
          <w:color w:val="000000" w:themeColor="text1"/>
          <w:kern w:val="0"/>
          <w:szCs w:val="21"/>
        </w:rPr>
        <w:t>.5</w:t>
      </w:r>
      <w:r>
        <w:rPr>
          <w:rFonts w:asciiTheme="minorEastAsia" w:eastAsiaTheme="minorEastAsia" w:hAnsiTheme="minorEastAsia" w:hint="eastAsia"/>
          <w:b/>
          <w:color w:val="000000" w:themeColor="text1"/>
          <w:kern w:val="0"/>
          <w:szCs w:val="21"/>
        </w:rPr>
        <w:t>报告期内基金持有人数或基金资产净值预警说明</w:t>
      </w:r>
    </w:p>
    <w:p w:rsidR="00F2463F" w:rsidRDefault="00DA6186">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报告期内，本基金存在连续六十个工作日基金资产净值低于五千万元的情况，出现该情况的时间范围为</w:t>
      </w:r>
      <w:r>
        <w:rPr>
          <w:rFonts w:eastAsiaTheme="minorEastAsia"/>
          <w:color w:val="000000" w:themeColor="text1"/>
          <w:kern w:val="0"/>
          <w:szCs w:val="21"/>
        </w:rPr>
        <w:t>2018</w:t>
      </w:r>
      <w:r>
        <w:rPr>
          <w:rFonts w:eastAsiaTheme="minorEastAsia"/>
          <w:color w:val="000000" w:themeColor="text1"/>
          <w:kern w:val="0"/>
          <w:szCs w:val="21"/>
        </w:rPr>
        <w:t>年</w:t>
      </w:r>
      <w:r>
        <w:rPr>
          <w:rFonts w:eastAsiaTheme="minorEastAsia"/>
          <w:color w:val="000000" w:themeColor="text1"/>
          <w:kern w:val="0"/>
          <w:szCs w:val="21"/>
        </w:rPr>
        <w:t>4</w:t>
      </w:r>
      <w:r>
        <w:rPr>
          <w:rFonts w:eastAsiaTheme="minorEastAsia"/>
          <w:color w:val="000000" w:themeColor="text1"/>
          <w:kern w:val="0"/>
          <w:szCs w:val="21"/>
        </w:rPr>
        <w:t>月</w:t>
      </w:r>
      <w:r>
        <w:rPr>
          <w:rFonts w:eastAsiaTheme="minorEastAsia"/>
          <w:color w:val="000000" w:themeColor="text1"/>
          <w:kern w:val="0"/>
          <w:szCs w:val="21"/>
        </w:rPr>
        <w:t>16</w:t>
      </w:r>
      <w:r>
        <w:rPr>
          <w:rFonts w:eastAsiaTheme="minorEastAsia"/>
          <w:color w:val="000000" w:themeColor="text1"/>
          <w:kern w:val="0"/>
          <w:szCs w:val="21"/>
        </w:rPr>
        <w:t>日至</w:t>
      </w:r>
      <w:r>
        <w:rPr>
          <w:rFonts w:eastAsiaTheme="minorEastAsia"/>
          <w:color w:val="000000" w:themeColor="text1"/>
          <w:kern w:val="0"/>
          <w:szCs w:val="21"/>
        </w:rPr>
        <w:t>2019</w:t>
      </w:r>
      <w:r>
        <w:rPr>
          <w:rFonts w:eastAsiaTheme="minorEastAsia"/>
          <w:color w:val="000000" w:themeColor="text1"/>
          <w:kern w:val="0"/>
          <w:szCs w:val="21"/>
        </w:rPr>
        <w:t>年</w:t>
      </w:r>
      <w:r>
        <w:rPr>
          <w:rFonts w:eastAsiaTheme="minorEastAsia"/>
          <w:color w:val="000000" w:themeColor="text1"/>
          <w:kern w:val="0"/>
          <w:szCs w:val="21"/>
        </w:rPr>
        <w:t>03</w:t>
      </w:r>
      <w:r>
        <w:rPr>
          <w:rFonts w:eastAsiaTheme="minorEastAsia"/>
          <w:color w:val="000000" w:themeColor="text1"/>
          <w:kern w:val="0"/>
          <w:szCs w:val="21"/>
        </w:rPr>
        <w:t>月</w:t>
      </w:r>
      <w:r>
        <w:rPr>
          <w:rFonts w:eastAsiaTheme="minorEastAsia"/>
          <w:color w:val="000000" w:themeColor="text1"/>
          <w:kern w:val="0"/>
          <w:szCs w:val="21"/>
        </w:rPr>
        <w:t>31</w:t>
      </w:r>
      <w:r>
        <w:rPr>
          <w:rFonts w:eastAsiaTheme="minorEastAsia"/>
          <w:color w:val="000000" w:themeColor="text1"/>
          <w:kern w:val="0"/>
          <w:szCs w:val="21"/>
        </w:rPr>
        <w:t>日。</w:t>
      </w:r>
    </w:p>
    <w:p w:rsidR="00F2463F" w:rsidRDefault="00DA6186">
      <w:pPr>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基金管理人拟调整本基金运作方式，加大营销力度，提升基金规模，方案已报监管机关。</w:t>
      </w:r>
    </w:p>
    <w:p w:rsidR="00F2463F" w:rsidRDefault="00F2463F">
      <w:pPr>
        <w:spacing w:line="360" w:lineRule="auto"/>
        <w:ind w:firstLineChars="200" w:firstLine="420"/>
        <w:rPr>
          <w:rFonts w:asciiTheme="minorEastAsia" w:eastAsiaTheme="minorEastAsia" w:hAnsiTheme="minorEastAsia"/>
          <w:color w:val="000000" w:themeColor="text1"/>
          <w:szCs w:val="21"/>
        </w:rPr>
      </w:pP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§5  </w:t>
      </w:r>
      <w:r>
        <w:rPr>
          <w:rFonts w:eastAsiaTheme="minorEastAsia"/>
          <w:color w:val="000000" w:themeColor="text1"/>
          <w:kern w:val="0"/>
          <w:sz w:val="21"/>
          <w:szCs w:val="21"/>
        </w:rPr>
        <w:t>投资组合报告</w:t>
      </w:r>
    </w:p>
    <w:p w:rsidR="00F2463F" w:rsidRDefault="00DA6186">
      <w:pPr>
        <w:autoSpaceDE w:val="0"/>
        <w:autoSpaceDN w:val="0"/>
        <w:adjustRightInd w:val="0"/>
        <w:spacing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5.1 </w:t>
      </w:r>
      <w:r>
        <w:rPr>
          <w:rFonts w:eastAsiaTheme="minorEastAsia"/>
          <w:b/>
          <w:color w:val="000000" w:themeColor="text1"/>
          <w:kern w:val="0"/>
          <w:szCs w:val="21"/>
        </w:rPr>
        <w:t>报告期末基金资产组合情况</w:t>
      </w:r>
    </w:p>
    <w:tbl>
      <w:tblPr>
        <w:tblStyle w:val="af6"/>
        <w:tblW w:w="8897" w:type="dxa"/>
        <w:tblInd w:w="108" w:type="dxa"/>
        <w:tblLayout w:type="fixed"/>
        <w:tblLook w:val="04A0" w:firstRow="1" w:lastRow="0" w:firstColumn="1" w:lastColumn="0" w:noHBand="0" w:noVBand="1"/>
      </w:tblPr>
      <w:tblGrid>
        <w:gridCol w:w="720"/>
        <w:gridCol w:w="3357"/>
        <w:gridCol w:w="2977"/>
        <w:gridCol w:w="1843"/>
      </w:tblGrid>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35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项目</w:t>
            </w:r>
          </w:p>
        </w:tc>
        <w:tc>
          <w:tcPr>
            <w:tcW w:w="297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金额</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843"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占基金总资产的比例</w:t>
            </w:r>
            <w:r>
              <w:rPr>
                <w:rFonts w:eastAsiaTheme="minorEastAsia"/>
                <w:color w:val="000000" w:themeColor="text1"/>
                <w:szCs w:val="21"/>
              </w:rPr>
              <w:t>(%)</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权益投资</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F2463F">
            <w:pPr>
              <w:spacing w:before="29" w:line="360" w:lineRule="auto"/>
              <w:ind w:left="17"/>
              <w:jc w:val="center"/>
              <w:rPr>
                <w:rFonts w:eastAsiaTheme="minorEastAsia"/>
                <w:color w:val="000000" w:themeColor="text1"/>
                <w:szCs w:val="21"/>
              </w:rPr>
            </w:pP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其中：股票</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固定收益投资</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52,490,985.50</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93.39</w:t>
            </w:r>
          </w:p>
        </w:tc>
      </w:tr>
      <w:tr w:rsidR="00F2463F">
        <w:tc>
          <w:tcPr>
            <w:tcW w:w="720" w:type="dxa"/>
            <w:vAlign w:val="center"/>
          </w:tcPr>
          <w:p w:rsidR="00F2463F" w:rsidRDefault="00F2463F">
            <w:pPr>
              <w:spacing w:before="29" w:line="360" w:lineRule="auto"/>
              <w:ind w:left="17"/>
              <w:jc w:val="center"/>
              <w:rPr>
                <w:rFonts w:eastAsiaTheme="minorEastAsia"/>
                <w:color w:val="000000" w:themeColor="text1"/>
                <w:szCs w:val="21"/>
              </w:rPr>
            </w:pP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其中：债券</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52,490,985.50</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93.39</w:t>
            </w:r>
          </w:p>
        </w:tc>
      </w:tr>
      <w:tr w:rsidR="00F2463F">
        <w:tc>
          <w:tcPr>
            <w:tcW w:w="720" w:type="dxa"/>
            <w:vAlign w:val="center"/>
          </w:tcPr>
          <w:p w:rsidR="00F2463F" w:rsidRDefault="00F2463F">
            <w:pPr>
              <w:spacing w:before="29" w:line="360" w:lineRule="auto"/>
              <w:ind w:left="17"/>
              <w:jc w:val="center"/>
              <w:rPr>
                <w:rFonts w:eastAsiaTheme="minorEastAsia"/>
                <w:color w:val="000000" w:themeColor="text1"/>
                <w:szCs w:val="21"/>
              </w:rPr>
            </w:pPr>
          </w:p>
        </w:tc>
        <w:tc>
          <w:tcPr>
            <w:tcW w:w="3357" w:type="dxa"/>
            <w:vAlign w:val="center"/>
          </w:tcPr>
          <w:p w:rsidR="00F2463F" w:rsidRDefault="00DA6186">
            <w:pPr>
              <w:autoSpaceDE w:val="0"/>
              <w:autoSpaceDN w:val="0"/>
              <w:adjustRightInd w:val="0"/>
              <w:spacing w:before="29" w:line="360" w:lineRule="auto"/>
              <w:ind w:left="17" w:firstLineChars="300" w:firstLine="630"/>
              <w:jc w:val="left"/>
              <w:rPr>
                <w:rFonts w:eastAsiaTheme="minorEastAsia"/>
                <w:color w:val="000000" w:themeColor="text1"/>
                <w:szCs w:val="21"/>
              </w:rPr>
            </w:pPr>
            <w:r>
              <w:rPr>
                <w:rFonts w:eastAsiaTheme="minorEastAsia"/>
                <w:color w:val="000000" w:themeColor="text1"/>
                <w:szCs w:val="21"/>
              </w:rPr>
              <w:t>资产支持证券</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357" w:type="dxa"/>
          </w:tcPr>
          <w:p w:rsidR="00F2463F" w:rsidRDefault="00DA6186">
            <w:pPr>
              <w:spacing w:before="29" w:line="360" w:lineRule="auto"/>
              <w:ind w:leftChars="50" w:left="105"/>
              <w:rPr>
                <w:rFonts w:eastAsiaTheme="minorEastAsia"/>
                <w:color w:val="000000" w:themeColor="text1"/>
                <w:szCs w:val="21"/>
              </w:rPr>
            </w:pPr>
            <w:r>
              <w:rPr>
                <w:rFonts w:eastAsiaTheme="minorEastAsia"/>
                <w:color w:val="000000" w:themeColor="text1"/>
                <w:szCs w:val="21"/>
              </w:rPr>
              <w:t>贵金属投资</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金融衍生品投资</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买入返售金融资产</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F2463F">
            <w:pPr>
              <w:spacing w:before="29" w:line="360" w:lineRule="auto"/>
              <w:ind w:left="17"/>
              <w:jc w:val="center"/>
              <w:rPr>
                <w:rFonts w:eastAsiaTheme="minorEastAsia"/>
                <w:color w:val="000000" w:themeColor="text1"/>
                <w:szCs w:val="21"/>
              </w:rPr>
            </w:pP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其中：买断式回购的买入返售金融资产</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357"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银行存款和结算备付金合计</w:t>
            </w:r>
          </w:p>
        </w:tc>
        <w:tc>
          <w:tcPr>
            <w:tcW w:w="2977"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1,798,223.07</w:t>
            </w:r>
          </w:p>
        </w:tc>
        <w:tc>
          <w:tcPr>
            <w:tcW w:w="1843"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3.20</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357" w:type="dxa"/>
            <w:vAlign w:val="center"/>
          </w:tcPr>
          <w:p w:rsidR="00F2463F" w:rsidRDefault="00DA6186">
            <w:pPr>
              <w:rPr>
                <w:rFonts w:eastAsiaTheme="minorEastAsia"/>
                <w:color w:val="000000" w:themeColor="text1"/>
                <w:szCs w:val="21"/>
              </w:rPr>
            </w:pPr>
            <w:r>
              <w:rPr>
                <w:rFonts w:eastAsiaTheme="minorEastAsia"/>
                <w:color w:val="000000" w:themeColor="text1"/>
                <w:szCs w:val="21"/>
              </w:rPr>
              <w:t>其他各项资产</w:t>
            </w:r>
          </w:p>
        </w:tc>
        <w:tc>
          <w:tcPr>
            <w:tcW w:w="2977" w:type="dxa"/>
            <w:vAlign w:val="center"/>
          </w:tcPr>
          <w:p w:rsidR="00F2463F" w:rsidRDefault="00DA6186">
            <w:pPr>
              <w:jc w:val="right"/>
              <w:rPr>
                <w:rFonts w:eastAsiaTheme="minorEastAsia"/>
                <w:color w:val="000000" w:themeColor="text1"/>
                <w:szCs w:val="21"/>
              </w:rPr>
            </w:pPr>
            <w:r>
              <w:rPr>
                <w:rFonts w:eastAsiaTheme="minorEastAsia"/>
                <w:color w:val="000000" w:themeColor="text1"/>
                <w:szCs w:val="21"/>
              </w:rPr>
              <w:t>1,917,940.15</w:t>
            </w:r>
          </w:p>
        </w:tc>
        <w:tc>
          <w:tcPr>
            <w:tcW w:w="1843" w:type="dxa"/>
            <w:vAlign w:val="center"/>
          </w:tcPr>
          <w:p w:rsidR="00F2463F" w:rsidRDefault="00DA6186">
            <w:pPr>
              <w:jc w:val="right"/>
              <w:rPr>
                <w:rFonts w:eastAsiaTheme="minorEastAsia"/>
                <w:color w:val="000000" w:themeColor="text1"/>
                <w:szCs w:val="21"/>
              </w:rPr>
            </w:pPr>
            <w:r>
              <w:rPr>
                <w:rFonts w:eastAsiaTheme="minorEastAsia"/>
                <w:color w:val="000000" w:themeColor="text1"/>
                <w:szCs w:val="21"/>
              </w:rPr>
              <w:t>3.41</w:t>
            </w:r>
          </w:p>
        </w:tc>
      </w:tr>
      <w:tr w:rsidR="00F2463F">
        <w:tc>
          <w:tcPr>
            <w:tcW w:w="72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8</w:t>
            </w:r>
          </w:p>
        </w:tc>
        <w:tc>
          <w:tcPr>
            <w:tcW w:w="3357" w:type="dxa"/>
            <w:vAlign w:val="center"/>
          </w:tcPr>
          <w:p w:rsidR="00F2463F" w:rsidRDefault="00DA6186">
            <w:pPr>
              <w:rPr>
                <w:rFonts w:eastAsiaTheme="minorEastAsia"/>
                <w:color w:val="000000" w:themeColor="text1"/>
                <w:szCs w:val="21"/>
              </w:rPr>
            </w:pPr>
            <w:r>
              <w:rPr>
                <w:rFonts w:eastAsiaTheme="minorEastAsia"/>
                <w:color w:val="000000" w:themeColor="text1"/>
                <w:szCs w:val="21"/>
              </w:rPr>
              <w:t>合计</w:t>
            </w:r>
          </w:p>
        </w:tc>
        <w:tc>
          <w:tcPr>
            <w:tcW w:w="2977" w:type="dxa"/>
            <w:vAlign w:val="center"/>
          </w:tcPr>
          <w:p w:rsidR="00F2463F" w:rsidRDefault="00DA6186">
            <w:pPr>
              <w:jc w:val="right"/>
              <w:rPr>
                <w:rFonts w:eastAsiaTheme="minorEastAsia"/>
                <w:color w:val="000000" w:themeColor="text1"/>
                <w:szCs w:val="21"/>
              </w:rPr>
            </w:pPr>
            <w:r>
              <w:rPr>
                <w:rFonts w:eastAsiaTheme="minorEastAsia"/>
                <w:color w:val="000000" w:themeColor="text1"/>
                <w:szCs w:val="21"/>
              </w:rPr>
              <w:t>56,207,148.72</w:t>
            </w:r>
          </w:p>
        </w:tc>
        <w:tc>
          <w:tcPr>
            <w:tcW w:w="1843" w:type="dxa"/>
            <w:vAlign w:val="center"/>
          </w:tcPr>
          <w:p w:rsidR="00F2463F" w:rsidRDefault="00DA6186">
            <w:pPr>
              <w:jc w:val="right"/>
              <w:rPr>
                <w:rFonts w:eastAsiaTheme="minorEastAsia"/>
                <w:color w:val="000000" w:themeColor="text1"/>
                <w:szCs w:val="21"/>
              </w:rPr>
            </w:pPr>
            <w:r>
              <w:rPr>
                <w:rFonts w:eastAsiaTheme="minorEastAsia"/>
                <w:color w:val="000000" w:themeColor="text1"/>
                <w:szCs w:val="21"/>
              </w:rPr>
              <w:t>100.00</w:t>
            </w:r>
          </w:p>
        </w:tc>
      </w:tr>
    </w:tbl>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lastRenderedPageBreak/>
        <w:t xml:space="preserve">5.2 </w:t>
      </w:r>
      <w:r>
        <w:rPr>
          <w:rFonts w:eastAsiaTheme="minorEastAsia"/>
          <w:b/>
          <w:color w:val="000000" w:themeColor="text1"/>
          <w:kern w:val="0"/>
          <w:szCs w:val="21"/>
        </w:rPr>
        <w:t>报告期末按行业分类的股票投资组合</w:t>
      </w:r>
    </w:p>
    <w:p w:rsidR="00F2463F" w:rsidRDefault="00DA6186">
      <w:pPr>
        <w:rPr>
          <w:b/>
        </w:rPr>
      </w:pPr>
      <w:r>
        <w:rPr>
          <w:rFonts w:hint="eastAsia"/>
          <w:b/>
        </w:rPr>
        <w:t xml:space="preserve"> </w:t>
      </w:r>
      <w:r>
        <w:rPr>
          <w:rFonts w:eastAsiaTheme="minorEastAsia" w:hint="eastAsia"/>
          <w:b/>
          <w:color w:val="000000" w:themeColor="text1"/>
          <w:kern w:val="0"/>
          <w:szCs w:val="21"/>
        </w:rPr>
        <w:t>5.2.1</w:t>
      </w:r>
      <w:r>
        <w:rPr>
          <w:rFonts w:eastAsiaTheme="minorEastAsia" w:hint="eastAsia"/>
          <w:b/>
          <w:color w:val="000000" w:themeColor="text1"/>
          <w:kern w:val="0"/>
          <w:szCs w:val="21"/>
        </w:rPr>
        <w:t>报告期末按行业分类的境内股票投资组合</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5.3 </w:t>
      </w:r>
      <w:r>
        <w:rPr>
          <w:rFonts w:eastAsiaTheme="minorEastAsia"/>
          <w:b/>
          <w:color w:val="000000" w:themeColor="text1"/>
          <w:kern w:val="0"/>
          <w:szCs w:val="21"/>
        </w:rPr>
        <w:t>报告期末按公允价值占基金资产净值比例大小排序的前十名股票投资明细</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本基金本报告期末未持有股票。</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5.4 </w:t>
      </w:r>
      <w:r>
        <w:rPr>
          <w:rFonts w:eastAsiaTheme="minorEastAsia"/>
          <w:b/>
          <w:color w:val="000000" w:themeColor="text1"/>
          <w:kern w:val="0"/>
          <w:szCs w:val="21"/>
        </w:rPr>
        <w:t>报告期末按债券品种分类的债券投资组合</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序号</w:t>
            </w:r>
          </w:p>
        </w:tc>
        <w:tc>
          <w:tcPr>
            <w:tcW w:w="3260"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债券品种</w:t>
            </w:r>
          </w:p>
        </w:tc>
        <w:tc>
          <w:tcPr>
            <w:tcW w:w="2835"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公允价值</w:t>
            </w:r>
            <w:r>
              <w:rPr>
                <w:rFonts w:eastAsiaTheme="minorEastAsia"/>
                <w:color w:val="000000" w:themeColor="text1"/>
                <w:szCs w:val="21"/>
              </w:rPr>
              <w:t>(</w:t>
            </w:r>
            <w:r>
              <w:rPr>
                <w:rFonts w:eastAsiaTheme="minorEastAsia"/>
                <w:color w:val="000000" w:themeColor="text1"/>
                <w:szCs w:val="21"/>
              </w:rPr>
              <w:t>元</w:t>
            </w:r>
            <w:r>
              <w:rPr>
                <w:rFonts w:eastAsiaTheme="minorEastAsia"/>
                <w:color w:val="000000" w:themeColor="text1"/>
                <w:szCs w:val="21"/>
              </w:rPr>
              <w:t>)</w:t>
            </w:r>
          </w:p>
        </w:tc>
        <w:tc>
          <w:tcPr>
            <w:tcW w:w="1616"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占基金资产净值比例</w:t>
            </w:r>
            <w:r>
              <w:rPr>
                <w:rFonts w:eastAsiaTheme="minorEastAsia"/>
                <w:color w:val="000000" w:themeColor="text1"/>
                <w:szCs w:val="21"/>
              </w:rPr>
              <w:t>(</w:t>
            </w:r>
            <w:r>
              <w:rPr>
                <w:rFonts w:eastAsiaTheme="minorEastAsia"/>
                <w:color w:val="000000" w:themeColor="text1"/>
                <w:szCs w:val="21"/>
              </w:rPr>
              <w:t>％</w:t>
            </w:r>
            <w:r>
              <w:rPr>
                <w:rFonts w:eastAsiaTheme="minor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1</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国家债券</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12,504,387.80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31.21</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2</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央行票据</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3</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金融债券</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36,987,324.90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92.31</w:t>
            </w:r>
          </w:p>
        </w:tc>
      </w:tr>
      <w:tr w:rsidR="00F2463F">
        <w:tc>
          <w:tcPr>
            <w:tcW w:w="817" w:type="dxa"/>
            <w:vAlign w:val="center"/>
          </w:tcPr>
          <w:p w:rsidR="00F2463F" w:rsidRDefault="00F2463F">
            <w:pPr>
              <w:spacing w:before="29" w:line="360" w:lineRule="auto"/>
              <w:ind w:left="17"/>
              <w:jc w:val="center"/>
              <w:rPr>
                <w:rFonts w:eastAsiaTheme="minorEastAsia"/>
                <w:color w:val="000000" w:themeColor="text1"/>
                <w:szCs w:val="21"/>
              </w:rPr>
            </w:pP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其中：政策性金融债</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36,987,324.90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92.31</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4</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企业债券</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2,983,207.20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7.45</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5</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企业短期融资券</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6</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中期票据</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7</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可转债</w:t>
            </w:r>
            <w:r>
              <w:rPr>
                <w:rFonts w:eastAsiaTheme="minorEastAsia" w:hint="eastAsia"/>
                <w:color w:val="000000" w:themeColor="text1"/>
                <w:szCs w:val="21"/>
              </w:rPr>
              <w:t>（可交换债）</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hint="eastAsia"/>
                <w:color w:val="000000" w:themeColor="text1"/>
                <w:szCs w:val="21"/>
              </w:rPr>
              <w:t>8</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hint="eastAsia"/>
                <w:color w:val="000000" w:themeColor="text1"/>
                <w:szCs w:val="21"/>
              </w:rPr>
              <w:t>同业存单</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hint="eastAsia"/>
                <w:color w:val="000000" w:themeColor="text1"/>
                <w:szCs w:val="21"/>
              </w:rPr>
              <w:t>-</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9</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其他</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16,065.60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0.04</w:t>
            </w:r>
          </w:p>
        </w:tc>
      </w:tr>
      <w:tr w:rsidR="00F2463F">
        <w:tc>
          <w:tcPr>
            <w:tcW w:w="817" w:type="dxa"/>
            <w:vAlign w:val="center"/>
          </w:tcPr>
          <w:p w:rsidR="00F2463F" w:rsidRDefault="00DA6186">
            <w:pPr>
              <w:spacing w:before="29" w:line="360" w:lineRule="auto"/>
              <w:ind w:left="17"/>
              <w:jc w:val="center"/>
              <w:rPr>
                <w:rFonts w:eastAsiaTheme="minorEastAsia"/>
                <w:color w:val="000000" w:themeColor="text1"/>
                <w:szCs w:val="21"/>
              </w:rPr>
            </w:pPr>
            <w:r>
              <w:rPr>
                <w:rFonts w:eastAsiaTheme="minorEastAsia"/>
                <w:color w:val="000000" w:themeColor="text1"/>
                <w:szCs w:val="21"/>
              </w:rPr>
              <w:t>10</w:t>
            </w:r>
          </w:p>
        </w:tc>
        <w:tc>
          <w:tcPr>
            <w:tcW w:w="3260" w:type="dxa"/>
            <w:vAlign w:val="center"/>
          </w:tcPr>
          <w:p w:rsidR="00F2463F" w:rsidRDefault="00DA6186">
            <w:pPr>
              <w:spacing w:before="29" w:line="360" w:lineRule="auto"/>
              <w:ind w:left="17"/>
              <w:jc w:val="left"/>
              <w:rPr>
                <w:rFonts w:eastAsiaTheme="minorEastAsia"/>
                <w:color w:val="000000" w:themeColor="text1"/>
                <w:szCs w:val="21"/>
              </w:rPr>
            </w:pPr>
            <w:r>
              <w:rPr>
                <w:rFonts w:eastAsiaTheme="minorEastAsia"/>
                <w:color w:val="000000" w:themeColor="text1"/>
                <w:szCs w:val="21"/>
              </w:rPr>
              <w:t>合计</w:t>
            </w:r>
          </w:p>
        </w:tc>
        <w:tc>
          <w:tcPr>
            <w:tcW w:w="2835"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52,490,985.50</w:t>
            </w:r>
          </w:p>
        </w:tc>
        <w:tc>
          <w:tcPr>
            <w:tcW w:w="1616" w:type="dxa"/>
            <w:vAlign w:val="center"/>
          </w:tcPr>
          <w:p w:rsidR="00F2463F" w:rsidRDefault="00DA6186">
            <w:pPr>
              <w:spacing w:before="29" w:line="360" w:lineRule="auto"/>
              <w:ind w:left="17"/>
              <w:jc w:val="right"/>
              <w:rPr>
                <w:rFonts w:eastAsiaTheme="minorEastAsia"/>
                <w:color w:val="000000" w:themeColor="text1"/>
                <w:szCs w:val="21"/>
              </w:rPr>
            </w:pPr>
            <w:r>
              <w:rPr>
                <w:rFonts w:eastAsiaTheme="minorEastAsia"/>
                <w:color w:val="000000" w:themeColor="text1"/>
                <w:szCs w:val="21"/>
              </w:rPr>
              <w:t>131.01</w:t>
            </w:r>
          </w:p>
        </w:tc>
      </w:tr>
    </w:tbl>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 xml:space="preserve">5.5 </w:t>
      </w:r>
      <w:r>
        <w:rPr>
          <w:rFonts w:eastAsiaTheme="minorEastAsia"/>
          <w:b/>
          <w:color w:val="000000" w:themeColor="text1"/>
          <w:kern w:val="0"/>
          <w:szCs w:val="21"/>
        </w:rPr>
        <w:t>报告期末按公允价值占基金资产净值比例大小排序的前五名债券投资明细</w:t>
      </w:r>
    </w:p>
    <w:tbl>
      <w:tblPr>
        <w:tblStyle w:val="af6"/>
        <w:tblW w:w="9021" w:type="dxa"/>
        <w:tblInd w:w="108" w:type="dxa"/>
        <w:tblLayout w:type="fixed"/>
        <w:tblLook w:val="04A0" w:firstRow="1" w:lastRow="0" w:firstColumn="1" w:lastColumn="0" w:noHBand="0" w:noVBand="1"/>
      </w:tblPr>
      <w:tblGrid>
        <w:gridCol w:w="1504"/>
        <w:gridCol w:w="1504"/>
        <w:gridCol w:w="1504"/>
        <w:gridCol w:w="1503"/>
        <w:gridCol w:w="1503"/>
        <w:gridCol w:w="1503"/>
      </w:tblGrid>
      <w:tr w:rsidR="00F2463F">
        <w:tc>
          <w:tcPr>
            <w:tcW w:w="1504"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序号</w:t>
            </w:r>
          </w:p>
        </w:tc>
        <w:tc>
          <w:tcPr>
            <w:tcW w:w="1504"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债券代码</w:t>
            </w:r>
          </w:p>
        </w:tc>
        <w:tc>
          <w:tcPr>
            <w:tcW w:w="1504"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债券名称</w:t>
            </w:r>
          </w:p>
        </w:tc>
        <w:tc>
          <w:tcPr>
            <w:tcW w:w="1503"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数量（张）</w:t>
            </w:r>
          </w:p>
        </w:tc>
        <w:tc>
          <w:tcPr>
            <w:tcW w:w="1503"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公允价值</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c>
          <w:tcPr>
            <w:tcW w:w="1503" w:type="dxa"/>
            <w:vAlign w:val="center"/>
          </w:tcPr>
          <w:p w:rsidR="00F2463F" w:rsidRDefault="00DA6186">
            <w:pPr>
              <w:autoSpaceDE w:val="0"/>
              <w:autoSpaceDN w:val="0"/>
              <w:adjustRightInd w:val="0"/>
              <w:spacing w:before="29" w:line="288" w:lineRule="auto"/>
              <w:ind w:left="15"/>
              <w:jc w:val="center"/>
              <w:rPr>
                <w:rFonts w:eastAsiaTheme="minorEastAsia"/>
                <w:color w:val="000000" w:themeColor="text1"/>
                <w:kern w:val="0"/>
                <w:szCs w:val="21"/>
              </w:rPr>
            </w:pPr>
            <w:r>
              <w:rPr>
                <w:rFonts w:eastAsiaTheme="minorEastAsia"/>
                <w:color w:val="000000" w:themeColor="text1"/>
                <w:kern w:val="0"/>
                <w:szCs w:val="21"/>
              </w:rPr>
              <w:t>占基金资产净值比例（％）</w:t>
            </w:r>
          </w:p>
        </w:tc>
      </w:tr>
      <w:tr w:rsidR="00F2463F">
        <w:tc>
          <w:tcPr>
            <w:tcW w:w="1504" w:type="dxa"/>
            <w:vAlign w:val="center"/>
          </w:tcPr>
          <w:p w:rsidR="00F2463F" w:rsidRDefault="00DA6186">
            <w:pPr>
              <w:jc w:val="center"/>
            </w:pPr>
            <w:r>
              <w:rPr>
                <w:rFonts w:eastAsiaTheme="minorEastAsia"/>
                <w:color w:val="000000" w:themeColor="text1"/>
                <w:szCs w:val="21"/>
              </w:rPr>
              <w:t>1</w:t>
            </w:r>
          </w:p>
        </w:tc>
        <w:tc>
          <w:tcPr>
            <w:tcW w:w="1504" w:type="dxa"/>
            <w:vAlign w:val="center"/>
          </w:tcPr>
          <w:p w:rsidR="00F2463F" w:rsidRDefault="00DA6186">
            <w:pPr>
              <w:jc w:val="center"/>
            </w:pPr>
            <w:r>
              <w:rPr>
                <w:rFonts w:eastAsiaTheme="minorEastAsia"/>
                <w:color w:val="000000" w:themeColor="text1"/>
                <w:szCs w:val="21"/>
              </w:rPr>
              <w:t>018006</w:t>
            </w:r>
          </w:p>
        </w:tc>
        <w:tc>
          <w:tcPr>
            <w:tcW w:w="1504" w:type="dxa"/>
            <w:vAlign w:val="center"/>
          </w:tcPr>
          <w:p w:rsidR="00F2463F" w:rsidRDefault="00DA6186">
            <w:pPr>
              <w:jc w:val="center"/>
            </w:pPr>
            <w:r>
              <w:rPr>
                <w:rFonts w:eastAsiaTheme="minorEastAsia"/>
                <w:color w:val="000000" w:themeColor="text1"/>
                <w:szCs w:val="21"/>
              </w:rPr>
              <w:t>国开</w:t>
            </w:r>
            <w:r>
              <w:rPr>
                <w:rFonts w:eastAsiaTheme="minorEastAsia"/>
                <w:color w:val="000000" w:themeColor="text1"/>
                <w:szCs w:val="21"/>
              </w:rPr>
              <w:t>1702</w:t>
            </w:r>
          </w:p>
        </w:tc>
        <w:tc>
          <w:tcPr>
            <w:tcW w:w="1503" w:type="dxa"/>
            <w:vAlign w:val="center"/>
          </w:tcPr>
          <w:p w:rsidR="00F2463F" w:rsidRDefault="00DA6186">
            <w:pPr>
              <w:jc w:val="right"/>
            </w:pPr>
            <w:r>
              <w:rPr>
                <w:rFonts w:eastAsiaTheme="minorEastAsia"/>
                <w:color w:val="000000" w:themeColor="text1"/>
                <w:szCs w:val="21"/>
              </w:rPr>
              <w:t>143,870</w:t>
            </w:r>
          </w:p>
        </w:tc>
        <w:tc>
          <w:tcPr>
            <w:tcW w:w="1503" w:type="dxa"/>
            <w:vAlign w:val="center"/>
          </w:tcPr>
          <w:p w:rsidR="00F2463F" w:rsidRDefault="00DA6186">
            <w:pPr>
              <w:jc w:val="right"/>
            </w:pPr>
            <w:r>
              <w:rPr>
                <w:rFonts w:eastAsiaTheme="minorEastAsia"/>
                <w:color w:val="000000" w:themeColor="text1"/>
                <w:szCs w:val="21"/>
              </w:rPr>
              <w:t>14,723,655.80</w:t>
            </w:r>
          </w:p>
        </w:tc>
        <w:tc>
          <w:tcPr>
            <w:tcW w:w="1503" w:type="dxa"/>
            <w:vAlign w:val="center"/>
          </w:tcPr>
          <w:p w:rsidR="00F2463F" w:rsidRDefault="00DA6186">
            <w:pPr>
              <w:jc w:val="right"/>
            </w:pPr>
            <w:r>
              <w:rPr>
                <w:rFonts w:eastAsiaTheme="minorEastAsia"/>
                <w:color w:val="000000" w:themeColor="text1"/>
                <w:szCs w:val="21"/>
              </w:rPr>
              <w:t>36.75</w:t>
            </w:r>
          </w:p>
        </w:tc>
      </w:tr>
      <w:tr w:rsidR="00F2463F">
        <w:tc>
          <w:tcPr>
            <w:tcW w:w="1504" w:type="dxa"/>
            <w:vAlign w:val="center"/>
          </w:tcPr>
          <w:p w:rsidR="00F2463F" w:rsidRDefault="00DA6186">
            <w:pPr>
              <w:jc w:val="center"/>
            </w:pPr>
            <w:r>
              <w:rPr>
                <w:rFonts w:eastAsiaTheme="minorEastAsia"/>
                <w:color w:val="000000" w:themeColor="text1"/>
                <w:szCs w:val="21"/>
              </w:rPr>
              <w:t>2</w:t>
            </w:r>
          </w:p>
        </w:tc>
        <w:tc>
          <w:tcPr>
            <w:tcW w:w="1504" w:type="dxa"/>
            <w:vAlign w:val="center"/>
          </w:tcPr>
          <w:p w:rsidR="00F2463F" w:rsidRDefault="00DA6186">
            <w:pPr>
              <w:jc w:val="center"/>
            </w:pPr>
            <w:r>
              <w:rPr>
                <w:rFonts w:eastAsiaTheme="minorEastAsia"/>
                <w:color w:val="000000" w:themeColor="text1"/>
                <w:szCs w:val="21"/>
              </w:rPr>
              <w:t>110244</w:t>
            </w:r>
          </w:p>
        </w:tc>
        <w:tc>
          <w:tcPr>
            <w:tcW w:w="1504" w:type="dxa"/>
            <w:vAlign w:val="center"/>
          </w:tcPr>
          <w:p w:rsidR="00F2463F" w:rsidRDefault="00DA6186">
            <w:pPr>
              <w:jc w:val="center"/>
            </w:pPr>
            <w:r>
              <w:rPr>
                <w:rFonts w:eastAsiaTheme="minorEastAsia"/>
                <w:color w:val="000000" w:themeColor="text1"/>
                <w:szCs w:val="21"/>
              </w:rPr>
              <w:t>11</w:t>
            </w:r>
            <w:r>
              <w:rPr>
                <w:rFonts w:eastAsiaTheme="minorEastAsia"/>
                <w:color w:val="000000" w:themeColor="text1"/>
                <w:szCs w:val="21"/>
              </w:rPr>
              <w:t>国开</w:t>
            </w:r>
            <w:r>
              <w:rPr>
                <w:rFonts w:eastAsiaTheme="minorEastAsia"/>
                <w:color w:val="000000" w:themeColor="text1"/>
                <w:szCs w:val="21"/>
              </w:rPr>
              <w:t>44</w:t>
            </w:r>
          </w:p>
        </w:tc>
        <w:tc>
          <w:tcPr>
            <w:tcW w:w="1503" w:type="dxa"/>
            <w:vAlign w:val="center"/>
          </w:tcPr>
          <w:p w:rsidR="00F2463F" w:rsidRDefault="00DA6186">
            <w:pPr>
              <w:jc w:val="right"/>
            </w:pPr>
            <w:r>
              <w:rPr>
                <w:rFonts w:eastAsiaTheme="minorEastAsia"/>
                <w:color w:val="000000" w:themeColor="text1"/>
                <w:szCs w:val="21"/>
              </w:rPr>
              <w:t>100,000</w:t>
            </w:r>
          </w:p>
        </w:tc>
        <w:tc>
          <w:tcPr>
            <w:tcW w:w="1503" w:type="dxa"/>
            <w:vAlign w:val="center"/>
          </w:tcPr>
          <w:p w:rsidR="00F2463F" w:rsidRDefault="00DA6186">
            <w:pPr>
              <w:jc w:val="right"/>
            </w:pPr>
            <w:r>
              <w:rPr>
                <w:rFonts w:eastAsiaTheme="minorEastAsia"/>
                <w:color w:val="000000" w:themeColor="text1"/>
                <w:szCs w:val="21"/>
              </w:rPr>
              <w:t>10,416,000.00</w:t>
            </w:r>
          </w:p>
        </w:tc>
        <w:tc>
          <w:tcPr>
            <w:tcW w:w="1503" w:type="dxa"/>
            <w:vAlign w:val="center"/>
          </w:tcPr>
          <w:p w:rsidR="00F2463F" w:rsidRDefault="00DA6186">
            <w:pPr>
              <w:jc w:val="right"/>
            </w:pPr>
            <w:r>
              <w:rPr>
                <w:rFonts w:eastAsiaTheme="minorEastAsia"/>
                <w:color w:val="000000" w:themeColor="text1"/>
                <w:szCs w:val="21"/>
              </w:rPr>
              <w:t>26.00</w:t>
            </w:r>
          </w:p>
        </w:tc>
      </w:tr>
      <w:tr w:rsidR="00F2463F">
        <w:tc>
          <w:tcPr>
            <w:tcW w:w="1504" w:type="dxa"/>
            <w:vAlign w:val="center"/>
          </w:tcPr>
          <w:p w:rsidR="00F2463F" w:rsidRDefault="00DA6186">
            <w:pPr>
              <w:jc w:val="center"/>
            </w:pPr>
            <w:r>
              <w:rPr>
                <w:rFonts w:eastAsiaTheme="minorEastAsia"/>
                <w:color w:val="000000" w:themeColor="text1"/>
                <w:szCs w:val="21"/>
              </w:rPr>
              <w:t>3</w:t>
            </w:r>
          </w:p>
        </w:tc>
        <w:tc>
          <w:tcPr>
            <w:tcW w:w="1504" w:type="dxa"/>
            <w:vAlign w:val="center"/>
          </w:tcPr>
          <w:p w:rsidR="00F2463F" w:rsidRDefault="00DA6186">
            <w:pPr>
              <w:jc w:val="center"/>
            </w:pPr>
            <w:r>
              <w:rPr>
                <w:rFonts w:eastAsiaTheme="minorEastAsia"/>
                <w:color w:val="000000" w:themeColor="text1"/>
                <w:szCs w:val="21"/>
              </w:rPr>
              <w:t>180210</w:t>
            </w:r>
          </w:p>
        </w:tc>
        <w:tc>
          <w:tcPr>
            <w:tcW w:w="1504" w:type="dxa"/>
            <w:vAlign w:val="center"/>
          </w:tcPr>
          <w:p w:rsidR="00F2463F" w:rsidRDefault="00DA6186">
            <w:pPr>
              <w:jc w:val="center"/>
            </w:pPr>
            <w:r>
              <w:rPr>
                <w:rFonts w:eastAsiaTheme="minorEastAsia"/>
                <w:color w:val="000000" w:themeColor="text1"/>
                <w:szCs w:val="21"/>
              </w:rPr>
              <w:t>18</w:t>
            </w:r>
            <w:r>
              <w:rPr>
                <w:rFonts w:eastAsiaTheme="minorEastAsia"/>
                <w:color w:val="000000" w:themeColor="text1"/>
                <w:szCs w:val="21"/>
              </w:rPr>
              <w:t>国开</w:t>
            </w:r>
            <w:r>
              <w:rPr>
                <w:rFonts w:eastAsiaTheme="minorEastAsia"/>
                <w:color w:val="000000" w:themeColor="text1"/>
                <w:szCs w:val="21"/>
              </w:rPr>
              <w:t>10</w:t>
            </w:r>
          </w:p>
        </w:tc>
        <w:tc>
          <w:tcPr>
            <w:tcW w:w="1503" w:type="dxa"/>
            <w:vAlign w:val="center"/>
          </w:tcPr>
          <w:p w:rsidR="00F2463F" w:rsidRDefault="00DA6186">
            <w:pPr>
              <w:jc w:val="right"/>
            </w:pPr>
            <w:r>
              <w:rPr>
                <w:rFonts w:eastAsiaTheme="minorEastAsia"/>
                <w:color w:val="000000" w:themeColor="text1"/>
                <w:szCs w:val="21"/>
              </w:rPr>
              <w:t>100,000</w:t>
            </w:r>
          </w:p>
        </w:tc>
        <w:tc>
          <w:tcPr>
            <w:tcW w:w="1503" w:type="dxa"/>
            <w:vAlign w:val="center"/>
          </w:tcPr>
          <w:p w:rsidR="00F2463F" w:rsidRDefault="00DA6186">
            <w:pPr>
              <w:jc w:val="right"/>
            </w:pPr>
            <w:r>
              <w:rPr>
                <w:rFonts w:eastAsiaTheme="minorEastAsia"/>
                <w:color w:val="000000" w:themeColor="text1"/>
                <w:szCs w:val="21"/>
              </w:rPr>
              <w:t>10,260,000.00</w:t>
            </w:r>
          </w:p>
        </w:tc>
        <w:tc>
          <w:tcPr>
            <w:tcW w:w="1503" w:type="dxa"/>
            <w:vAlign w:val="center"/>
          </w:tcPr>
          <w:p w:rsidR="00F2463F" w:rsidRDefault="00DA6186">
            <w:pPr>
              <w:jc w:val="right"/>
            </w:pPr>
            <w:r>
              <w:rPr>
                <w:rFonts w:eastAsiaTheme="minorEastAsia"/>
                <w:color w:val="000000" w:themeColor="text1"/>
                <w:szCs w:val="21"/>
              </w:rPr>
              <w:t>25.61</w:t>
            </w:r>
          </w:p>
        </w:tc>
      </w:tr>
      <w:tr w:rsidR="00F2463F">
        <w:tc>
          <w:tcPr>
            <w:tcW w:w="1504" w:type="dxa"/>
            <w:vAlign w:val="center"/>
          </w:tcPr>
          <w:p w:rsidR="00F2463F" w:rsidRDefault="00DA6186">
            <w:pPr>
              <w:jc w:val="center"/>
            </w:pPr>
            <w:r>
              <w:rPr>
                <w:rFonts w:eastAsiaTheme="minorEastAsia"/>
                <w:color w:val="000000" w:themeColor="text1"/>
                <w:szCs w:val="21"/>
              </w:rPr>
              <w:t>4</w:t>
            </w:r>
          </w:p>
        </w:tc>
        <w:tc>
          <w:tcPr>
            <w:tcW w:w="1504" w:type="dxa"/>
            <w:vAlign w:val="center"/>
          </w:tcPr>
          <w:p w:rsidR="00F2463F" w:rsidRDefault="00DA6186">
            <w:pPr>
              <w:jc w:val="center"/>
            </w:pPr>
            <w:r>
              <w:rPr>
                <w:rFonts w:eastAsiaTheme="minorEastAsia"/>
                <w:color w:val="000000" w:themeColor="text1"/>
                <w:szCs w:val="21"/>
              </w:rPr>
              <w:t>010107</w:t>
            </w:r>
          </w:p>
        </w:tc>
        <w:tc>
          <w:tcPr>
            <w:tcW w:w="1504" w:type="dxa"/>
            <w:vAlign w:val="center"/>
          </w:tcPr>
          <w:p w:rsidR="00F2463F" w:rsidRDefault="00DA6186">
            <w:pPr>
              <w:jc w:val="center"/>
            </w:pPr>
            <w:r>
              <w:rPr>
                <w:rFonts w:eastAsiaTheme="minorEastAsia"/>
                <w:color w:val="000000" w:themeColor="text1"/>
                <w:szCs w:val="21"/>
              </w:rPr>
              <w:t>21</w:t>
            </w:r>
            <w:r>
              <w:rPr>
                <w:rFonts w:eastAsiaTheme="minorEastAsia"/>
                <w:color w:val="000000" w:themeColor="text1"/>
                <w:szCs w:val="21"/>
              </w:rPr>
              <w:t>国债</w:t>
            </w:r>
            <w:r>
              <w:rPr>
                <w:rFonts w:eastAsiaTheme="minorEastAsia"/>
                <w:color w:val="000000" w:themeColor="text1"/>
                <w:szCs w:val="21"/>
              </w:rPr>
              <w:t>⑺</w:t>
            </w:r>
          </w:p>
        </w:tc>
        <w:tc>
          <w:tcPr>
            <w:tcW w:w="1503" w:type="dxa"/>
            <w:vAlign w:val="center"/>
          </w:tcPr>
          <w:p w:rsidR="00F2463F" w:rsidRDefault="00DA6186">
            <w:pPr>
              <w:jc w:val="right"/>
            </w:pPr>
            <w:r>
              <w:rPr>
                <w:rFonts w:eastAsiaTheme="minorEastAsia"/>
                <w:color w:val="000000" w:themeColor="text1"/>
                <w:szCs w:val="21"/>
              </w:rPr>
              <w:t>61,490</w:t>
            </w:r>
          </w:p>
        </w:tc>
        <w:tc>
          <w:tcPr>
            <w:tcW w:w="1503" w:type="dxa"/>
            <w:vAlign w:val="center"/>
          </w:tcPr>
          <w:p w:rsidR="00F2463F" w:rsidRDefault="00DA6186">
            <w:pPr>
              <w:jc w:val="right"/>
            </w:pPr>
            <w:r>
              <w:rPr>
                <w:rFonts w:eastAsiaTheme="minorEastAsia"/>
                <w:color w:val="000000" w:themeColor="text1"/>
                <w:szCs w:val="21"/>
              </w:rPr>
              <w:t>6,344,538.20</w:t>
            </w:r>
          </w:p>
        </w:tc>
        <w:tc>
          <w:tcPr>
            <w:tcW w:w="1503" w:type="dxa"/>
            <w:vAlign w:val="center"/>
          </w:tcPr>
          <w:p w:rsidR="00F2463F" w:rsidRDefault="00DA6186">
            <w:pPr>
              <w:jc w:val="right"/>
            </w:pPr>
            <w:r>
              <w:rPr>
                <w:rFonts w:eastAsiaTheme="minorEastAsia"/>
                <w:color w:val="000000" w:themeColor="text1"/>
                <w:szCs w:val="21"/>
              </w:rPr>
              <w:t>15.83</w:t>
            </w:r>
          </w:p>
        </w:tc>
      </w:tr>
      <w:tr w:rsidR="00F2463F">
        <w:tc>
          <w:tcPr>
            <w:tcW w:w="1504" w:type="dxa"/>
            <w:vAlign w:val="center"/>
          </w:tcPr>
          <w:p w:rsidR="00F2463F" w:rsidRDefault="00DA6186">
            <w:pPr>
              <w:jc w:val="center"/>
            </w:pPr>
            <w:r>
              <w:rPr>
                <w:rFonts w:eastAsiaTheme="minorEastAsia"/>
                <w:color w:val="000000" w:themeColor="text1"/>
                <w:szCs w:val="21"/>
              </w:rPr>
              <w:t>5</w:t>
            </w:r>
          </w:p>
        </w:tc>
        <w:tc>
          <w:tcPr>
            <w:tcW w:w="1504" w:type="dxa"/>
            <w:vAlign w:val="center"/>
          </w:tcPr>
          <w:p w:rsidR="00F2463F" w:rsidRDefault="00DA6186">
            <w:pPr>
              <w:jc w:val="center"/>
            </w:pPr>
            <w:r>
              <w:rPr>
                <w:rFonts w:eastAsiaTheme="minorEastAsia"/>
                <w:color w:val="000000" w:themeColor="text1"/>
                <w:szCs w:val="21"/>
              </w:rPr>
              <w:t>010303</w:t>
            </w:r>
          </w:p>
        </w:tc>
        <w:tc>
          <w:tcPr>
            <w:tcW w:w="1504" w:type="dxa"/>
            <w:vAlign w:val="center"/>
          </w:tcPr>
          <w:p w:rsidR="00F2463F" w:rsidRDefault="00DA6186">
            <w:pPr>
              <w:jc w:val="center"/>
            </w:pPr>
            <w:r>
              <w:rPr>
                <w:rFonts w:eastAsiaTheme="minorEastAsia"/>
                <w:color w:val="000000" w:themeColor="text1"/>
                <w:szCs w:val="21"/>
              </w:rPr>
              <w:t>03</w:t>
            </w:r>
            <w:r>
              <w:rPr>
                <w:rFonts w:eastAsiaTheme="minorEastAsia"/>
                <w:color w:val="000000" w:themeColor="text1"/>
                <w:szCs w:val="21"/>
              </w:rPr>
              <w:t>国债</w:t>
            </w:r>
            <w:r>
              <w:rPr>
                <w:rFonts w:eastAsiaTheme="minorEastAsia"/>
                <w:color w:val="000000" w:themeColor="text1"/>
                <w:szCs w:val="21"/>
              </w:rPr>
              <w:t>⑶</w:t>
            </w:r>
          </w:p>
        </w:tc>
        <w:tc>
          <w:tcPr>
            <w:tcW w:w="1503" w:type="dxa"/>
            <w:vAlign w:val="center"/>
          </w:tcPr>
          <w:p w:rsidR="00F2463F" w:rsidRDefault="00DA6186">
            <w:pPr>
              <w:jc w:val="right"/>
            </w:pPr>
            <w:r>
              <w:rPr>
                <w:rFonts w:eastAsiaTheme="minorEastAsia"/>
                <w:color w:val="000000" w:themeColor="text1"/>
                <w:szCs w:val="21"/>
              </w:rPr>
              <w:t>60,820</w:t>
            </w:r>
          </w:p>
        </w:tc>
        <w:tc>
          <w:tcPr>
            <w:tcW w:w="1503" w:type="dxa"/>
            <w:vAlign w:val="center"/>
          </w:tcPr>
          <w:p w:rsidR="00F2463F" w:rsidRDefault="00DA6186">
            <w:pPr>
              <w:jc w:val="right"/>
            </w:pPr>
            <w:r>
              <w:rPr>
                <w:rFonts w:eastAsiaTheme="minorEastAsia"/>
                <w:color w:val="000000" w:themeColor="text1"/>
                <w:szCs w:val="21"/>
              </w:rPr>
              <w:t>6,159,849.60</w:t>
            </w:r>
          </w:p>
        </w:tc>
        <w:tc>
          <w:tcPr>
            <w:tcW w:w="1503" w:type="dxa"/>
            <w:vAlign w:val="center"/>
          </w:tcPr>
          <w:p w:rsidR="00F2463F" w:rsidRDefault="00DA6186">
            <w:pPr>
              <w:jc w:val="right"/>
            </w:pPr>
            <w:r>
              <w:rPr>
                <w:rFonts w:eastAsiaTheme="minorEastAsia"/>
                <w:color w:val="000000" w:themeColor="text1"/>
                <w:szCs w:val="21"/>
              </w:rPr>
              <w:t>15.37</w:t>
            </w:r>
          </w:p>
        </w:tc>
      </w:tr>
    </w:tbl>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5.6</w:t>
      </w:r>
      <w:r>
        <w:rPr>
          <w:rFonts w:eastAsiaTheme="minorEastAsia"/>
          <w:b/>
          <w:color w:val="000000" w:themeColor="text1"/>
          <w:kern w:val="0"/>
          <w:szCs w:val="21"/>
        </w:rPr>
        <w:t xml:space="preserve">　报告期末按公允价值占基金资产净值比例大小排序的前十名资产支持证券投资明细</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本基金本报告期末未持有资产支持证券。</w:t>
      </w:r>
    </w:p>
    <w:p w:rsidR="00F2463F" w:rsidRDefault="00DA6186">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 xml:space="preserve">5.7 </w:t>
      </w:r>
      <w:r>
        <w:rPr>
          <w:rFonts w:eastAsiaTheme="minorEastAsia"/>
          <w:b/>
          <w:bCs/>
          <w:color w:val="000000" w:themeColor="text1"/>
          <w:kern w:val="0"/>
          <w:szCs w:val="21"/>
        </w:rPr>
        <w:t>报告期末按公允价值占基金资产净值比例大小排序的前五名贵金属投资明细</w:t>
      </w:r>
    </w:p>
    <w:p w:rsidR="00F2463F" w:rsidRDefault="00DA6186">
      <w:pPr>
        <w:widowControl/>
        <w:spacing w:line="360" w:lineRule="auto"/>
        <w:ind w:firstLineChars="200" w:firstLine="420"/>
        <w:jc w:val="left"/>
        <w:rPr>
          <w:color w:val="000000" w:themeColor="text1"/>
          <w:szCs w:val="21"/>
        </w:rPr>
      </w:pPr>
      <w:r>
        <w:rPr>
          <w:color w:val="000000" w:themeColor="text1"/>
          <w:szCs w:val="21"/>
        </w:rPr>
        <w:t>本基金本报告期末未持有贵金属。</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5.8</w:t>
      </w:r>
      <w:r>
        <w:rPr>
          <w:rFonts w:eastAsiaTheme="minorEastAsia"/>
          <w:b/>
          <w:color w:val="000000" w:themeColor="text1"/>
          <w:kern w:val="0"/>
          <w:szCs w:val="21"/>
        </w:rPr>
        <w:t>报告期末按公允价值占基金资产净值比例大小排序的前五名权证投资明细</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本基金本报告期末未持有权证。</w:t>
      </w:r>
    </w:p>
    <w:p w:rsidR="00F2463F" w:rsidRDefault="00DA6186">
      <w:pPr>
        <w:adjustRightInd w:val="0"/>
        <w:snapToGrid w:val="0"/>
        <w:spacing w:beforeLines="100" w:before="312" w:line="360" w:lineRule="auto"/>
        <w:rPr>
          <w:rFonts w:eastAsiaTheme="minorEastAsia"/>
          <w:b/>
          <w:color w:val="000000" w:themeColor="text1"/>
          <w:szCs w:val="21"/>
        </w:rPr>
      </w:pPr>
      <w:r>
        <w:rPr>
          <w:rFonts w:eastAsiaTheme="minorEastAsia"/>
          <w:b/>
          <w:color w:val="000000" w:themeColor="text1"/>
          <w:szCs w:val="21"/>
        </w:rPr>
        <w:t xml:space="preserve">5.9 </w:t>
      </w:r>
      <w:r>
        <w:rPr>
          <w:rFonts w:eastAsiaTheme="minorEastAsia"/>
          <w:b/>
          <w:color w:val="000000" w:themeColor="text1"/>
          <w:szCs w:val="21"/>
        </w:rPr>
        <w:t>报告期末本基金投资的股指期货交易情况说明</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本基金本报告期末未持有股指期货。</w:t>
      </w:r>
    </w:p>
    <w:p w:rsidR="00F2463F" w:rsidRDefault="00DA6186">
      <w:pPr>
        <w:adjustRightInd w:val="0"/>
        <w:snapToGrid w:val="0"/>
        <w:spacing w:beforeLines="100" w:before="312" w:line="360" w:lineRule="auto"/>
        <w:rPr>
          <w:rFonts w:eastAsiaTheme="minorEastAsia"/>
          <w:b/>
          <w:color w:val="000000" w:themeColor="text1"/>
          <w:szCs w:val="21"/>
        </w:rPr>
      </w:pPr>
      <w:r>
        <w:rPr>
          <w:rFonts w:eastAsiaTheme="minorEastAsia"/>
          <w:b/>
          <w:color w:val="000000" w:themeColor="text1"/>
          <w:szCs w:val="21"/>
        </w:rPr>
        <w:t>5.10</w:t>
      </w:r>
      <w:r>
        <w:rPr>
          <w:rFonts w:eastAsiaTheme="minorEastAsia"/>
          <w:b/>
          <w:color w:val="000000" w:themeColor="text1"/>
          <w:szCs w:val="21"/>
        </w:rPr>
        <w:t>报告期末本基金投资的国债期货交易情况说明</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本基金本报告期末未持有国债期货。</w:t>
      </w:r>
    </w:p>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5.11</w:t>
      </w:r>
      <w:r>
        <w:rPr>
          <w:rFonts w:eastAsiaTheme="minorEastAsia"/>
          <w:b/>
          <w:color w:val="000000" w:themeColor="text1"/>
          <w:kern w:val="0"/>
          <w:szCs w:val="21"/>
        </w:rPr>
        <w:t>投资组合报告附注</w:t>
      </w:r>
    </w:p>
    <w:p w:rsidR="00F2463F" w:rsidRDefault="00DA6186">
      <w:pPr>
        <w:widowControl/>
        <w:spacing w:line="360" w:lineRule="auto"/>
        <w:rPr>
          <w:rFonts w:eastAsiaTheme="minorEastAsia"/>
          <w:color w:val="000000" w:themeColor="text1"/>
          <w:szCs w:val="21"/>
        </w:rPr>
      </w:pPr>
      <w:r>
        <w:rPr>
          <w:rFonts w:eastAsiaTheme="minorEastAsia"/>
          <w:color w:val="000000" w:themeColor="text1"/>
          <w:szCs w:val="21"/>
        </w:rPr>
        <w:t>5.11.1</w:t>
      </w:r>
      <w:r>
        <w:rPr>
          <w:rFonts w:eastAsiaTheme="minorEastAsia"/>
          <w:color w:val="000000" w:themeColor="text1"/>
          <w:szCs w:val="21"/>
        </w:rPr>
        <w:t>报告期内本基金投资的前十名证券的发行主体本期没有出现被监管部门立案调查，或在报告编制日前一年内受到公开谴责、处罚的情形。</w:t>
      </w:r>
    </w:p>
    <w:p w:rsidR="00F2463F" w:rsidRDefault="00DA6186">
      <w:pPr>
        <w:widowControl/>
        <w:spacing w:line="360" w:lineRule="auto"/>
        <w:rPr>
          <w:rFonts w:eastAsiaTheme="minorEastAsia"/>
          <w:color w:val="000000" w:themeColor="text1"/>
          <w:szCs w:val="21"/>
        </w:rPr>
      </w:pPr>
      <w:r>
        <w:rPr>
          <w:rFonts w:eastAsiaTheme="minorEastAsia"/>
          <w:color w:val="000000" w:themeColor="text1"/>
          <w:szCs w:val="21"/>
        </w:rPr>
        <w:t>5.11.2</w:t>
      </w:r>
      <w:r>
        <w:rPr>
          <w:rFonts w:eastAsiaTheme="minorEastAsia"/>
          <w:color w:val="000000" w:themeColor="text1"/>
          <w:szCs w:val="21"/>
        </w:rPr>
        <w:t>报告期内本基金投资的前十名股票中没有在基金合同规定备选股票库之外的股票。</w:t>
      </w:r>
    </w:p>
    <w:p w:rsidR="00F2463F" w:rsidRDefault="00DA6186">
      <w:pPr>
        <w:autoSpaceDE w:val="0"/>
        <w:autoSpaceDN w:val="0"/>
        <w:adjustRightInd w:val="0"/>
        <w:spacing w:line="360" w:lineRule="auto"/>
        <w:rPr>
          <w:rFonts w:eastAsiaTheme="minorEastAsia"/>
          <w:b/>
          <w:color w:val="000000" w:themeColor="text1"/>
          <w:kern w:val="0"/>
          <w:szCs w:val="21"/>
        </w:rPr>
      </w:pPr>
      <w:r>
        <w:rPr>
          <w:rFonts w:eastAsiaTheme="minorEastAsia"/>
          <w:b/>
          <w:color w:val="000000" w:themeColor="text1"/>
          <w:kern w:val="0"/>
          <w:szCs w:val="21"/>
        </w:rPr>
        <w:t>5.11.3</w:t>
      </w:r>
      <w:r>
        <w:rPr>
          <w:rFonts w:eastAsiaTheme="minorEastAsia" w:hint="eastAsia"/>
          <w:b/>
          <w:color w:val="000000" w:themeColor="text1"/>
          <w:kern w:val="0"/>
          <w:szCs w:val="21"/>
        </w:rPr>
        <w:t>其他资产构成</w:t>
      </w:r>
    </w:p>
    <w:tbl>
      <w:tblPr>
        <w:tblStyle w:val="af6"/>
        <w:tblW w:w="8679" w:type="dxa"/>
        <w:tblInd w:w="108" w:type="dxa"/>
        <w:tblLayout w:type="fixed"/>
        <w:tblLook w:val="04A0" w:firstRow="1" w:lastRow="0" w:firstColumn="1" w:lastColumn="0" w:noHBand="0" w:noVBand="1"/>
      </w:tblPr>
      <w:tblGrid>
        <w:gridCol w:w="1110"/>
        <w:gridCol w:w="2761"/>
        <w:gridCol w:w="4808"/>
      </w:tblGrid>
      <w:tr w:rsidR="00F2463F">
        <w:tc>
          <w:tcPr>
            <w:tcW w:w="1110" w:type="dxa"/>
            <w:vAlign w:val="center"/>
          </w:tcPr>
          <w:p w:rsidR="00F2463F" w:rsidRDefault="00DA6186">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序号</w:t>
            </w:r>
          </w:p>
        </w:tc>
        <w:tc>
          <w:tcPr>
            <w:tcW w:w="2761" w:type="dxa"/>
            <w:vAlign w:val="center"/>
          </w:tcPr>
          <w:p w:rsidR="00F2463F" w:rsidRDefault="00DA6186">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名称</w:t>
            </w:r>
          </w:p>
        </w:tc>
        <w:tc>
          <w:tcPr>
            <w:tcW w:w="4808" w:type="dxa"/>
            <w:vAlign w:val="center"/>
          </w:tcPr>
          <w:p w:rsidR="00F2463F" w:rsidRDefault="00DA6186">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金额</w:t>
            </w:r>
            <w:r>
              <w:rPr>
                <w:rFonts w:eastAsiaTheme="minorEastAsia"/>
                <w:color w:val="000000" w:themeColor="text1"/>
                <w:kern w:val="0"/>
                <w:szCs w:val="21"/>
              </w:rPr>
              <w:t>(</w:t>
            </w:r>
            <w:r>
              <w:rPr>
                <w:rFonts w:eastAsiaTheme="minorEastAsia"/>
                <w:color w:val="000000" w:themeColor="text1"/>
                <w:kern w:val="0"/>
                <w:szCs w:val="21"/>
              </w:rPr>
              <w:t>元</w:t>
            </w:r>
            <w:r>
              <w:rPr>
                <w:rFonts w:eastAsiaTheme="minorEastAsia"/>
                <w:color w:val="000000" w:themeColor="text1"/>
                <w:kern w:val="0"/>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kern w:val="0"/>
                <w:szCs w:val="21"/>
              </w:rPr>
            </w:pPr>
            <w:r>
              <w:rPr>
                <w:rFonts w:eastAsiaTheme="minorEastAsia"/>
                <w:color w:val="000000" w:themeColor="text1"/>
                <w:szCs w:val="21"/>
              </w:rPr>
              <w:t>1</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存出保证金</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21,611.38</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2</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应收证券清算款</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507,050.82</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3</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应收股利</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4</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应收利息</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1,389,277.95</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5</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应收申购款</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6</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其他应收款</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7</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szCs w:val="21"/>
              </w:rPr>
            </w:pPr>
            <w:r>
              <w:rPr>
                <w:rFonts w:eastAsiaTheme="minorEastAsia"/>
                <w:color w:val="000000" w:themeColor="text1"/>
                <w:szCs w:val="21"/>
              </w:rPr>
              <w:t>待摊费用</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szCs w:val="21"/>
              </w:rPr>
            </w:pPr>
            <w:r>
              <w:rPr>
                <w:rFonts w:eastAsiaTheme="minorEastAsia"/>
                <w:color w:val="000000" w:themeColor="text1"/>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8</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其他</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w:t>
            </w:r>
          </w:p>
        </w:tc>
      </w:tr>
      <w:tr w:rsidR="00F2463F">
        <w:tc>
          <w:tcPr>
            <w:tcW w:w="1110" w:type="dxa"/>
            <w:vAlign w:val="center"/>
          </w:tcPr>
          <w:p w:rsidR="00F2463F" w:rsidRDefault="00DA6186">
            <w:pPr>
              <w:autoSpaceDE w:val="0"/>
              <w:autoSpaceDN w:val="0"/>
              <w:adjustRightInd w:val="0"/>
              <w:spacing w:before="29" w:line="360" w:lineRule="auto"/>
              <w:ind w:left="15"/>
              <w:jc w:val="center"/>
              <w:rPr>
                <w:rFonts w:eastAsiaTheme="minorEastAsia"/>
                <w:color w:val="000000" w:themeColor="text1"/>
                <w:szCs w:val="21"/>
              </w:rPr>
            </w:pPr>
            <w:r>
              <w:rPr>
                <w:rFonts w:eastAsiaTheme="minorEastAsia"/>
                <w:color w:val="000000" w:themeColor="text1"/>
                <w:szCs w:val="21"/>
              </w:rPr>
              <w:t>9</w:t>
            </w:r>
          </w:p>
        </w:tc>
        <w:tc>
          <w:tcPr>
            <w:tcW w:w="2761" w:type="dxa"/>
            <w:vAlign w:val="center"/>
          </w:tcPr>
          <w:p w:rsidR="00F2463F" w:rsidRDefault="00DA6186">
            <w:pPr>
              <w:autoSpaceDE w:val="0"/>
              <w:autoSpaceDN w:val="0"/>
              <w:adjustRightInd w:val="0"/>
              <w:spacing w:before="29" w:line="360" w:lineRule="auto"/>
              <w:ind w:left="15"/>
              <w:jc w:val="left"/>
              <w:rPr>
                <w:rFonts w:eastAsiaTheme="minorEastAsia"/>
                <w:color w:val="000000" w:themeColor="text1"/>
                <w:kern w:val="0"/>
                <w:szCs w:val="21"/>
              </w:rPr>
            </w:pPr>
            <w:r>
              <w:rPr>
                <w:rFonts w:eastAsiaTheme="minorEastAsia"/>
                <w:color w:val="000000" w:themeColor="text1"/>
                <w:kern w:val="0"/>
                <w:szCs w:val="21"/>
              </w:rPr>
              <w:t>合计</w:t>
            </w:r>
          </w:p>
        </w:tc>
        <w:tc>
          <w:tcPr>
            <w:tcW w:w="4808" w:type="dxa"/>
            <w:vAlign w:val="center"/>
          </w:tcPr>
          <w:p w:rsidR="00F2463F" w:rsidRDefault="00DA6186">
            <w:pPr>
              <w:autoSpaceDE w:val="0"/>
              <w:autoSpaceDN w:val="0"/>
              <w:adjustRightInd w:val="0"/>
              <w:spacing w:before="29" w:line="360" w:lineRule="auto"/>
              <w:ind w:left="15"/>
              <w:jc w:val="right"/>
              <w:rPr>
                <w:rFonts w:eastAsiaTheme="minorEastAsia"/>
                <w:color w:val="000000" w:themeColor="text1"/>
                <w:kern w:val="0"/>
                <w:szCs w:val="21"/>
              </w:rPr>
            </w:pPr>
            <w:r>
              <w:rPr>
                <w:rFonts w:eastAsiaTheme="minorEastAsia"/>
                <w:color w:val="000000" w:themeColor="text1"/>
                <w:kern w:val="0"/>
                <w:szCs w:val="21"/>
              </w:rPr>
              <w:t>1,917,940.15</w:t>
            </w:r>
          </w:p>
        </w:tc>
      </w:tr>
    </w:tbl>
    <w:p w:rsidR="00F2463F" w:rsidRDefault="00DA6186">
      <w:pPr>
        <w:autoSpaceDE w:val="0"/>
        <w:autoSpaceDN w:val="0"/>
        <w:adjustRightInd w:val="0"/>
        <w:spacing w:beforeLines="100" w:before="312" w:line="360" w:lineRule="auto"/>
        <w:jc w:val="left"/>
        <w:rPr>
          <w:rFonts w:eastAsiaTheme="minorEastAsia"/>
          <w:b/>
          <w:color w:val="000000" w:themeColor="text1"/>
          <w:kern w:val="0"/>
          <w:szCs w:val="21"/>
        </w:rPr>
      </w:pPr>
      <w:r>
        <w:rPr>
          <w:rFonts w:eastAsiaTheme="minorEastAsia"/>
          <w:b/>
          <w:color w:val="000000" w:themeColor="text1"/>
          <w:kern w:val="0"/>
          <w:szCs w:val="21"/>
        </w:rPr>
        <w:t>5.11.4</w:t>
      </w:r>
      <w:r>
        <w:rPr>
          <w:rFonts w:eastAsiaTheme="minorEastAsia"/>
          <w:b/>
          <w:color w:val="000000" w:themeColor="text1"/>
          <w:kern w:val="0"/>
          <w:szCs w:val="21"/>
        </w:rPr>
        <w:t>报告期末持有的处于转股期的可转换债券明细</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lastRenderedPageBreak/>
        <w:t>本基金本报告期末未持有处于转股期的可转换债券。</w:t>
      </w:r>
    </w:p>
    <w:p w:rsidR="00F2463F" w:rsidRDefault="00DA6186">
      <w:pPr>
        <w:autoSpaceDE w:val="0"/>
        <w:autoSpaceDN w:val="0"/>
        <w:adjustRightInd w:val="0"/>
        <w:spacing w:beforeLines="100" w:before="312" w:line="360" w:lineRule="auto"/>
        <w:jc w:val="left"/>
        <w:rPr>
          <w:rFonts w:eastAsiaTheme="minorEastAsia"/>
          <w:b/>
          <w:bCs/>
          <w:color w:val="000000" w:themeColor="text1"/>
          <w:szCs w:val="21"/>
        </w:rPr>
      </w:pPr>
      <w:r>
        <w:rPr>
          <w:rFonts w:eastAsiaTheme="minorEastAsia"/>
          <w:b/>
          <w:color w:val="000000" w:themeColor="text1"/>
          <w:kern w:val="0"/>
          <w:szCs w:val="21"/>
        </w:rPr>
        <w:t>5.11.5</w:t>
      </w:r>
      <w:r>
        <w:rPr>
          <w:rFonts w:eastAsiaTheme="minorEastAsia"/>
          <w:b/>
          <w:bCs/>
          <w:color w:val="000000" w:themeColor="text1"/>
          <w:szCs w:val="21"/>
        </w:rPr>
        <w:t>报告期末前十名股票中存在流通受限情况的说明</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本基金本报告期末前十名股票中不存在流通受限情况。</w:t>
      </w:r>
    </w:p>
    <w:p w:rsidR="00F2463F" w:rsidRDefault="00DA6186">
      <w:pPr>
        <w:spacing w:beforeLines="100" w:before="312" w:line="360" w:lineRule="auto"/>
        <w:rPr>
          <w:rFonts w:eastAsiaTheme="minorEastAsia"/>
          <w:b/>
          <w:color w:val="000000" w:themeColor="text1"/>
          <w:kern w:val="0"/>
          <w:szCs w:val="21"/>
        </w:rPr>
      </w:pPr>
      <w:r>
        <w:rPr>
          <w:rFonts w:eastAsiaTheme="minorEastAsia"/>
          <w:b/>
          <w:color w:val="000000" w:themeColor="text1"/>
          <w:kern w:val="0"/>
          <w:szCs w:val="21"/>
        </w:rPr>
        <w:t>5.11.6</w:t>
      </w:r>
      <w:r>
        <w:rPr>
          <w:rFonts w:eastAsiaTheme="minorEastAsia"/>
          <w:b/>
          <w:color w:val="000000" w:themeColor="text1"/>
          <w:kern w:val="0"/>
          <w:szCs w:val="21"/>
        </w:rPr>
        <w:t>投资组合报告附注的其他文字描述部分</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因四舍五入的原因，投资组合报告中分项之和与合计数可能存在尾差。</w:t>
      </w: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§6  </w:t>
      </w:r>
      <w:r>
        <w:rPr>
          <w:rFonts w:eastAsiaTheme="minorEastAsia"/>
          <w:color w:val="000000" w:themeColor="text1"/>
          <w:kern w:val="0"/>
          <w:sz w:val="21"/>
          <w:szCs w:val="21"/>
        </w:rPr>
        <w:t>开放式基金份额变动</w:t>
      </w:r>
    </w:p>
    <w:p w:rsidR="00F2463F" w:rsidRDefault="00DA6186">
      <w:pPr>
        <w:autoSpaceDE w:val="0"/>
        <w:autoSpaceDN w:val="0"/>
        <w:adjustRightInd w:val="0"/>
        <w:spacing w:before="29" w:line="288" w:lineRule="auto"/>
        <w:ind w:left="15" w:right="480"/>
        <w:jc w:val="right"/>
        <w:rPr>
          <w:rFonts w:eastAsiaTheme="minorEastAsia"/>
          <w:color w:val="000000" w:themeColor="text1"/>
          <w:kern w:val="0"/>
          <w:szCs w:val="21"/>
        </w:rPr>
      </w:pPr>
      <w:r>
        <w:rPr>
          <w:rFonts w:eastAsiaTheme="minorEastAsia"/>
          <w:color w:val="000000" w:themeColor="text1"/>
          <w:kern w:val="0"/>
          <w:szCs w:val="21"/>
        </w:rPr>
        <w:t>单位：份</w:t>
      </w:r>
    </w:p>
    <w:tbl>
      <w:tblPr>
        <w:tblW w:w="8634" w:type="dxa"/>
        <w:tblInd w:w="108" w:type="dxa"/>
        <w:tblLayout w:type="fixed"/>
        <w:tblLook w:val="04A0" w:firstRow="1" w:lastRow="0" w:firstColumn="1" w:lastColumn="0" w:noHBand="0" w:noVBand="1"/>
      </w:tblPr>
      <w:tblGrid>
        <w:gridCol w:w="3900"/>
        <w:gridCol w:w="2367"/>
        <w:gridCol w:w="2367"/>
      </w:tblGrid>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center"/>
              <w:rPr>
                <w:rFonts w:eastAsiaTheme="minorEastAsia"/>
                <w:color w:val="000000" w:themeColor="text1"/>
                <w:kern w:val="0"/>
                <w:szCs w:val="21"/>
              </w:rPr>
            </w:pPr>
            <w:r>
              <w:rPr>
                <w:rFonts w:eastAsiaTheme="minorEastAsia"/>
                <w:color w:val="000000" w:themeColor="text1"/>
                <w:kern w:val="0"/>
                <w:szCs w:val="21"/>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上投摩根岁岁金定期开放债券</w:t>
            </w:r>
            <w:r>
              <w:rPr>
                <w:rFonts w:eastAsiaTheme="minorEastAsia"/>
                <w:color w:val="000000" w:themeColor="text1"/>
                <w:szCs w:val="21"/>
              </w:rPr>
              <w:t>C</w:t>
            </w:r>
          </w:p>
        </w:tc>
      </w:tr>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35,800,354.70</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1,652,258.69</w:t>
            </w:r>
          </w:p>
        </w:tc>
      </w:tr>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w:t>
            </w:r>
          </w:p>
        </w:tc>
      </w:tr>
      <w:tr w:rsidR="00F2463F">
        <w:tc>
          <w:tcPr>
            <w:tcW w:w="3900"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left"/>
              <w:rPr>
                <w:rFonts w:eastAsiaTheme="minorEastAsia"/>
                <w:color w:val="000000" w:themeColor="text1"/>
                <w:kern w:val="0"/>
                <w:szCs w:val="21"/>
              </w:rPr>
            </w:pPr>
            <w:r>
              <w:rPr>
                <w:rFonts w:eastAsiaTheme="minorEastAsia"/>
                <w:color w:val="000000" w:themeColor="text1"/>
                <w:kern w:val="0"/>
                <w:szCs w:val="21"/>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35,800,354.70</w:t>
            </w:r>
          </w:p>
        </w:tc>
        <w:tc>
          <w:tcPr>
            <w:tcW w:w="2367" w:type="dxa"/>
            <w:tcBorders>
              <w:top w:val="single" w:sz="8" w:space="0" w:color="000000"/>
              <w:left w:val="single" w:sz="8" w:space="0" w:color="000000"/>
              <w:bottom w:val="single" w:sz="8" w:space="0" w:color="000000"/>
              <w:right w:val="single" w:sz="8" w:space="0" w:color="000000"/>
            </w:tcBorders>
            <w:vAlign w:val="center"/>
          </w:tcPr>
          <w:p w:rsidR="00F2463F" w:rsidRDefault="00DA6186">
            <w:pPr>
              <w:autoSpaceDE w:val="0"/>
              <w:autoSpaceDN w:val="0"/>
              <w:adjustRightInd w:val="0"/>
              <w:spacing w:before="29" w:line="360" w:lineRule="auto"/>
              <w:ind w:left="17"/>
              <w:jc w:val="right"/>
              <w:rPr>
                <w:rFonts w:eastAsiaTheme="minorEastAsia"/>
                <w:color w:val="000000" w:themeColor="text1"/>
                <w:szCs w:val="21"/>
              </w:rPr>
            </w:pPr>
            <w:r>
              <w:rPr>
                <w:rFonts w:eastAsiaTheme="minorEastAsia"/>
                <w:color w:val="000000" w:themeColor="text1"/>
                <w:szCs w:val="21"/>
              </w:rPr>
              <w:t>1,652,258.69</w:t>
            </w:r>
          </w:p>
        </w:tc>
      </w:tr>
    </w:tbl>
    <w:p w:rsidR="00F2463F" w:rsidRDefault="00DA6186">
      <w:pPr>
        <w:pStyle w:val="1"/>
        <w:tabs>
          <w:tab w:val="center" w:pos="4156"/>
          <w:tab w:val="right" w:pos="8312"/>
        </w:tabs>
        <w:spacing w:beforeLines="100" w:before="312" w:afterLines="100" w:after="312" w:line="360" w:lineRule="auto"/>
        <w:jc w:val="center"/>
        <w:rPr>
          <w:color w:val="000000" w:themeColor="text1"/>
          <w:sz w:val="21"/>
          <w:szCs w:val="21"/>
        </w:rPr>
      </w:pPr>
      <w:r>
        <w:rPr>
          <w:rFonts w:eastAsiaTheme="minorEastAsia"/>
          <w:color w:val="000000" w:themeColor="text1"/>
          <w:kern w:val="0"/>
          <w:sz w:val="21"/>
          <w:szCs w:val="21"/>
        </w:rPr>
        <w:t>§7</w:t>
      </w:r>
      <w:r>
        <w:rPr>
          <w:rFonts w:hint="eastAsia"/>
          <w:color w:val="000000"/>
          <w:sz w:val="21"/>
          <w:szCs w:val="21"/>
          <w:shd w:val="clear" w:color="auto" w:fill="FFFFFF"/>
        </w:rPr>
        <w:t>基金管理人运用固有资金投资本基金情况</w:t>
      </w:r>
    </w:p>
    <w:p w:rsidR="00F2463F" w:rsidRDefault="00DA6186">
      <w:pPr>
        <w:spacing w:line="360" w:lineRule="auto"/>
        <w:jc w:val="left"/>
        <w:rPr>
          <w:color w:val="000000" w:themeColor="text1"/>
          <w:szCs w:val="21"/>
        </w:rPr>
      </w:pPr>
      <w:r>
        <w:rPr>
          <w:b/>
          <w:color w:val="000000" w:themeColor="text1"/>
          <w:szCs w:val="21"/>
        </w:rPr>
        <w:t>7.1</w:t>
      </w:r>
      <w:r>
        <w:rPr>
          <w:rFonts w:eastAsiaTheme="minorEastAsia" w:hint="eastAsia"/>
          <w:b/>
          <w:bCs/>
          <w:color w:val="000000" w:themeColor="text1"/>
          <w:kern w:val="44"/>
          <w:szCs w:val="21"/>
        </w:rPr>
        <w:t>基金管理人持有本基金份额变动情况</w:t>
      </w:r>
    </w:p>
    <w:p w:rsidR="00F2463F" w:rsidRDefault="00DA6186">
      <w:pPr>
        <w:autoSpaceDE w:val="0"/>
        <w:autoSpaceDN w:val="0"/>
        <w:adjustRightInd w:val="0"/>
        <w:spacing w:line="360" w:lineRule="auto"/>
        <w:ind w:firstLineChars="200" w:firstLine="420"/>
        <w:jc w:val="left"/>
        <w:rPr>
          <w:rFonts w:eastAsiaTheme="minorEastAsia"/>
          <w:color w:val="000000" w:themeColor="text1"/>
          <w:szCs w:val="21"/>
        </w:rPr>
      </w:pPr>
      <w:r>
        <w:rPr>
          <w:rFonts w:eastAsiaTheme="minorEastAsia"/>
          <w:color w:val="000000" w:themeColor="text1"/>
          <w:szCs w:val="21"/>
        </w:rPr>
        <w:t>无。</w:t>
      </w: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eastAsiaTheme="minorEastAsia"/>
          <w:color w:val="000000" w:themeColor="text1"/>
          <w:kern w:val="0"/>
          <w:sz w:val="21"/>
          <w:szCs w:val="21"/>
        </w:rPr>
        <w:t>影响投资者决策的其他重要信息</w:t>
      </w:r>
    </w:p>
    <w:p w:rsidR="00F2463F" w:rsidRDefault="00DA6186">
      <w:pPr>
        <w:autoSpaceDE w:val="0"/>
        <w:autoSpaceDN w:val="0"/>
        <w:adjustRightInd w:val="0"/>
        <w:spacing w:line="360" w:lineRule="auto"/>
        <w:jc w:val="left"/>
        <w:rPr>
          <w:rFonts w:ascii="宋体" w:hAnsi="宋体"/>
          <w:b/>
          <w:bCs/>
          <w:color w:val="000000"/>
          <w:kern w:val="0"/>
          <w:szCs w:val="21"/>
        </w:rPr>
      </w:pPr>
      <w:r>
        <w:rPr>
          <w:rFonts w:ascii="宋体" w:hAnsi="宋体"/>
          <w:b/>
          <w:bCs/>
          <w:color w:val="000000"/>
          <w:kern w:val="0"/>
          <w:szCs w:val="21"/>
        </w:rPr>
        <w:t>8.</w:t>
      </w:r>
      <w:r>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F2463F">
        <w:tc>
          <w:tcPr>
            <w:tcW w:w="993" w:type="dxa"/>
            <w:vMerge w:val="restart"/>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投资者类别</w:t>
            </w:r>
            <w:r>
              <w:rPr>
                <w:rFonts w:ascii="宋体" w:hAnsi="宋体"/>
                <w:color w:val="000000"/>
                <w:kern w:val="0"/>
                <w:szCs w:val="21"/>
              </w:rPr>
              <w:t xml:space="preserve">  </w:t>
            </w:r>
          </w:p>
        </w:tc>
        <w:tc>
          <w:tcPr>
            <w:tcW w:w="5670" w:type="dxa"/>
            <w:gridSpan w:val="5"/>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F2463F">
        <w:tc>
          <w:tcPr>
            <w:tcW w:w="993" w:type="dxa"/>
            <w:vMerge/>
            <w:vAlign w:val="center"/>
          </w:tcPr>
          <w:p w:rsidR="00F2463F" w:rsidRDefault="00F2463F">
            <w:pPr>
              <w:autoSpaceDE w:val="0"/>
              <w:autoSpaceDN w:val="0"/>
              <w:adjustRightInd w:val="0"/>
              <w:jc w:val="center"/>
              <w:rPr>
                <w:rFonts w:ascii="宋体" w:hAnsi="宋体"/>
                <w:b/>
                <w:bCs/>
                <w:color w:val="000000"/>
                <w:kern w:val="0"/>
                <w:szCs w:val="21"/>
              </w:rPr>
            </w:pPr>
          </w:p>
        </w:tc>
        <w:tc>
          <w:tcPr>
            <w:tcW w:w="992" w:type="dxa"/>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vAlign w:val="center"/>
          </w:tcPr>
          <w:p w:rsidR="00F2463F" w:rsidRDefault="00DA6186">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vAlign w:val="center"/>
          </w:tcPr>
          <w:p w:rsidR="00F2463F" w:rsidRDefault="00DA6186">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vAlign w:val="center"/>
          </w:tcPr>
          <w:p w:rsidR="00F2463F" w:rsidRDefault="00DA6186">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vAlign w:val="center"/>
          </w:tcPr>
          <w:p w:rsidR="00F2463F" w:rsidRDefault="00DA6186">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F2463F">
        <w:tc>
          <w:tcPr>
            <w:tcW w:w="993" w:type="dxa"/>
            <w:vMerge w:val="restart"/>
          </w:tcPr>
          <w:p w:rsidR="00F2463F" w:rsidRDefault="00F2463F"/>
          <w:p w:rsidR="00F2463F" w:rsidRDefault="00DA6186">
            <w:r>
              <w:rPr>
                <w:rFonts w:ascii="宋体" w:hAnsi="宋体" w:hint="eastAsia"/>
                <w:bCs/>
                <w:color w:val="000000"/>
                <w:kern w:val="0"/>
                <w:szCs w:val="21"/>
              </w:rPr>
              <w:t>机构</w:t>
            </w:r>
          </w:p>
        </w:tc>
        <w:tc>
          <w:tcPr>
            <w:tcW w:w="992" w:type="dxa"/>
            <w:vAlign w:val="center"/>
          </w:tcPr>
          <w:p w:rsidR="00F2463F" w:rsidRDefault="00DA6186">
            <w:pPr>
              <w:jc w:val="center"/>
            </w:pPr>
            <w:r>
              <w:rPr>
                <w:rFonts w:ascii="宋体" w:hAnsi="宋体"/>
                <w:color w:val="000000"/>
                <w:kern w:val="0"/>
                <w:szCs w:val="21"/>
              </w:rPr>
              <w:t>1</w:t>
            </w:r>
          </w:p>
        </w:tc>
        <w:tc>
          <w:tcPr>
            <w:tcW w:w="1843" w:type="dxa"/>
            <w:vAlign w:val="center"/>
          </w:tcPr>
          <w:p w:rsidR="00F2463F" w:rsidRDefault="00DA6186">
            <w:pPr>
              <w:jc w:val="center"/>
            </w:pPr>
            <w:r>
              <w:rPr>
                <w:rFonts w:ascii="宋体" w:hAnsi="宋体"/>
                <w:color w:val="000000"/>
                <w:kern w:val="0"/>
                <w:szCs w:val="21"/>
              </w:rPr>
              <w:t>20190101-20190331</w:t>
            </w:r>
          </w:p>
        </w:tc>
        <w:tc>
          <w:tcPr>
            <w:tcW w:w="851" w:type="dxa"/>
            <w:vAlign w:val="center"/>
          </w:tcPr>
          <w:p w:rsidR="00F2463F" w:rsidRDefault="00DA6186">
            <w:pPr>
              <w:jc w:val="center"/>
            </w:pPr>
            <w:r>
              <w:rPr>
                <w:rFonts w:ascii="宋体" w:hAnsi="宋体"/>
                <w:color w:val="000000"/>
                <w:kern w:val="0"/>
                <w:szCs w:val="21"/>
              </w:rPr>
              <w:t>25,006,875.00</w:t>
            </w:r>
          </w:p>
        </w:tc>
        <w:tc>
          <w:tcPr>
            <w:tcW w:w="850" w:type="dxa"/>
            <w:vAlign w:val="center"/>
          </w:tcPr>
          <w:p w:rsidR="00F2463F" w:rsidRDefault="00DA6186">
            <w:pPr>
              <w:jc w:val="center"/>
            </w:pPr>
            <w:r>
              <w:rPr>
                <w:rFonts w:ascii="宋体" w:hAnsi="宋体"/>
                <w:color w:val="000000"/>
                <w:kern w:val="0"/>
                <w:szCs w:val="21"/>
              </w:rPr>
              <w:t>0.00</w:t>
            </w:r>
          </w:p>
        </w:tc>
        <w:tc>
          <w:tcPr>
            <w:tcW w:w="1134" w:type="dxa"/>
            <w:vAlign w:val="center"/>
          </w:tcPr>
          <w:p w:rsidR="00F2463F" w:rsidRDefault="00DA6186">
            <w:pPr>
              <w:jc w:val="center"/>
            </w:pPr>
            <w:r>
              <w:rPr>
                <w:rFonts w:ascii="宋体" w:hAnsi="宋体"/>
                <w:color w:val="000000"/>
                <w:kern w:val="0"/>
                <w:szCs w:val="21"/>
              </w:rPr>
              <w:t>0.00</w:t>
            </w:r>
          </w:p>
        </w:tc>
        <w:tc>
          <w:tcPr>
            <w:tcW w:w="1419" w:type="dxa"/>
            <w:vAlign w:val="center"/>
          </w:tcPr>
          <w:p w:rsidR="00F2463F" w:rsidRDefault="00DA6186">
            <w:pPr>
              <w:jc w:val="center"/>
            </w:pPr>
            <w:r>
              <w:rPr>
                <w:rFonts w:ascii="宋体" w:hAnsi="宋体"/>
                <w:color w:val="000000"/>
                <w:kern w:val="0"/>
                <w:szCs w:val="21"/>
              </w:rPr>
              <w:t>25,006,875.00</w:t>
            </w:r>
          </w:p>
        </w:tc>
        <w:tc>
          <w:tcPr>
            <w:tcW w:w="1130" w:type="dxa"/>
            <w:vAlign w:val="center"/>
          </w:tcPr>
          <w:p w:rsidR="00F2463F" w:rsidRDefault="00DA6186">
            <w:pPr>
              <w:jc w:val="center"/>
            </w:pPr>
            <w:r>
              <w:rPr>
                <w:rFonts w:ascii="宋体" w:hAnsi="宋体"/>
                <w:color w:val="000000"/>
                <w:kern w:val="0"/>
                <w:szCs w:val="21"/>
              </w:rPr>
              <w:t>66.77%</w:t>
            </w:r>
          </w:p>
        </w:tc>
      </w:tr>
      <w:tr w:rsidR="00F2463F">
        <w:tc>
          <w:tcPr>
            <w:tcW w:w="9212" w:type="dxa"/>
            <w:gridSpan w:val="8"/>
            <w:vAlign w:val="center"/>
          </w:tcPr>
          <w:p w:rsidR="00F2463F" w:rsidRDefault="00DA6186">
            <w:pPr>
              <w:autoSpaceDE w:val="0"/>
              <w:autoSpaceDN w:val="0"/>
              <w:adjustRightInd w:val="0"/>
              <w:jc w:val="center"/>
              <w:rPr>
                <w:rFonts w:ascii="宋体" w:hAnsi="宋体"/>
                <w:kern w:val="0"/>
                <w:szCs w:val="21"/>
              </w:rPr>
            </w:pPr>
            <w:r>
              <w:rPr>
                <w:rFonts w:ascii="宋体" w:hAnsi="宋体"/>
                <w:color w:val="000000"/>
                <w:kern w:val="0"/>
                <w:szCs w:val="21"/>
              </w:rPr>
              <w:lastRenderedPageBreak/>
              <w:t>产品特有风险</w:t>
            </w:r>
          </w:p>
        </w:tc>
      </w:tr>
      <w:tr w:rsidR="00F2463F">
        <w:tc>
          <w:tcPr>
            <w:tcW w:w="9212" w:type="dxa"/>
            <w:gridSpan w:val="8"/>
            <w:vAlign w:val="center"/>
          </w:tcPr>
          <w:p w:rsidR="00F2463F" w:rsidRDefault="00DA6186">
            <w:pPr>
              <w:autoSpaceDE w:val="0"/>
              <w:autoSpaceDN w:val="0"/>
              <w:adjustRightInd w:val="0"/>
              <w:jc w:val="left"/>
              <w:rPr>
                <w:rFonts w:ascii="宋体" w:hAnsi="宋体"/>
                <w:kern w:val="0"/>
                <w:szCs w:val="21"/>
              </w:rPr>
            </w:pPr>
            <w:r>
              <w:rPr>
                <w:rFonts w:ascii="宋体" w:hAnsi="宋体" w:hint="eastAsia"/>
                <w:kern w:val="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p>
        </w:tc>
      </w:tr>
    </w:tbl>
    <w:p w:rsidR="00F2463F" w:rsidRDefault="00DA6186">
      <w:pPr>
        <w:autoSpaceDE w:val="0"/>
        <w:autoSpaceDN w:val="0"/>
        <w:adjustRightInd w:val="0"/>
        <w:spacing w:line="360" w:lineRule="auto"/>
        <w:jc w:val="left"/>
        <w:rPr>
          <w:rFonts w:ascii="宋体" w:hAnsi="宋体"/>
          <w:b/>
          <w:bCs/>
          <w:color w:val="000000"/>
          <w:kern w:val="0"/>
          <w:szCs w:val="21"/>
        </w:rPr>
      </w:pPr>
      <w:r>
        <w:rPr>
          <w:rFonts w:ascii="宋体" w:hAnsi="宋体" w:hint="eastAsia"/>
          <w:b/>
          <w:bCs/>
          <w:color w:val="000000"/>
          <w:kern w:val="0"/>
          <w:szCs w:val="21"/>
        </w:rPr>
        <w:t>8.2 影响投资者决策的其他重要信息</w:t>
      </w:r>
    </w:p>
    <w:p w:rsidR="00F2463F" w:rsidRDefault="00DA6186">
      <w:pPr>
        <w:spacing w:line="360" w:lineRule="auto"/>
        <w:ind w:firstLineChars="200" w:firstLine="420"/>
        <w:rPr>
          <w:rFonts w:ascii="宋体" w:hAnsi="宋体"/>
          <w:color w:val="000000"/>
          <w:szCs w:val="21"/>
        </w:rPr>
      </w:pPr>
      <w:r>
        <w:rPr>
          <w:rFonts w:ascii="宋体" w:hAnsi="宋体"/>
          <w:color w:val="000000"/>
          <w:szCs w:val="21"/>
        </w:rPr>
        <w:t>无</w:t>
      </w:r>
    </w:p>
    <w:p w:rsidR="00F2463F" w:rsidRDefault="00DA6186">
      <w:pPr>
        <w:pStyle w:val="1"/>
        <w:spacing w:beforeLines="100" w:before="312" w:afterLines="100" w:after="312"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§9 </w:t>
      </w:r>
      <w:r>
        <w:rPr>
          <w:rFonts w:eastAsiaTheme="minorEastAsia"/>
          <w:color w:val="000000" w:themeColor="text1"/>
          <w:kern w:val="0"/>
          <w:sz w:val="21"/>
          <w:szCs w:val="21"/>
        </w:rPr>
        <w:t>备查文件目录</w:t>
      </w:r>
    </w:p>
    <w:p w:rsidR="00F2463F" w:rsidRDefault="00DA6186">
      <w:pPr>
        <w:autoSpaceDE w:val="0"/>
        <w:autoSpaceDN w:val="0"/>
        <w:adjustRightInd w:val="0"/>
        <w:spacing w:line="360" w:lineRule="auto"/>
        <w:jc w:val="left"/>
        <w:rPr>
          <w:rFonts w:eastAsiaTheme="minorEastAsia"/>
          <w:b/>
          <w:bCs/>
          <w:color w:val="000000" w:themeColor="text1"/>
          <w:kern w:val="0"/>
          <w:szCs w:val="21"/>
        </w:rPr>
      </w:pPr>
      <w:r>
        <w:rPr>
          <w:rFonts w:eastAsiaTheme="minorEastAsia"/>
          <w:b/>
          <w:bCs/>
          <w:color w:val="000000" w:themeColor="text1"/>
          <w:kern w:val="0"/>
          <w:szCs w:val="21"/>
        </w:rPr>
        <w:t>9.1</w:t>
      </w:r>
      <w:r>
        <w:rPr>
          <w:rFonts w:eastAsiaTheme="minorEastAsia"/>
          <w:b/>
          <w:bCs/>
          <w:color w:val="000000" w:themeColor="text1"/>
          <w:kern w:val="0"/>
          <w:szCs w:val="21"/>
        </w:rPr>
        <w:t>备查文件目录</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（一）中国证监会准予上投摩根岁岁金定期开放债券型证券投资基金募集注册的文件</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（二）上投摩根岁岁金定期开放债券型证券投资基金基金合同</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（三）上投摩根岁岁金定期开放债券型证券投资基金托管协议</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（四）法律意见书</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（五）基金管理人业务资格批件、营业执照</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（六）基金托管人业务资格批件、营业执照</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（七）上投摩根基金管理有限公司开放式基金业务规则</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（八）中国证监会要求的其他文件</w:t>
      </w:r>
    </w:p>
    <w:p w:rsidR="00F2463F" w:rsidRDefault="00DA6186">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9.2</w:t>
      </w:r>
      <w:r>
        <w:rPr>
          <w:rFonts w:eastAsiaTheme="minorEastAsia"/>
          <w:b/>
          <w:bCs/>
          <w:color w:val="000000" w:themeColor="text1"/>
          <w:kern w:val="0"/>
          <w:szCs w:val="21"/>
        </w:rPr>
        <w:t>存放地点</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基金管理人或基金托管人处。</w:t>
      </w:r>
    </w:p>
    <w:p w:rsidR="00F2463F" w:rsidRDefault="00DA6186">
      <w:pPr>
        <w:autoSpaceDE w:val="0"/>
        <w:autoSpaceDN w:val="0"/>
        <w:adjustRightInd w:val="0"/>
        <w:spacing w:beforeLines="100" w:before="312" w:line="360" w:lineRule="auto"/>
        <w:jc w:val="left"/>
        <w:rPr>
          <w:rFonts w:eastAsiaTheme="minorEastAsia"/>
          <w:b/>
          <w:bCs/>
          <w:color w:val="000000" w:themeColor="text1"/>
          <w:kern w:val="0"/>
          <w:szCs w:val="21"/>
        </w:rPr>
      </w:pPr>
      <w:r>
        <w:rPr>
          <w:rFonts w:eastAsiaTheme="minorEastAsia"/>
          <w:b/>
          <w:bCs/>
          <w:color w:val="000000" w:themeColor="text1"/>
          <w:kern w:val="0"/>
          <w:szCs w:val="21"/>
        </w:rPr>
        <w:t>9.3</w:t>
      </w:r>
      <w:r>
        <w:rPr>
          <w:rFonts w:eastAsiaTheme="minorEastAsia"/>
          <w:b/>
          <w:bCs/>
          <w:color w:val="000000" w:themeColor="text1"/>
          <w:kern w:val="0"/>
          <w:szCs w:val="21"/>
        </w:rPr>
        <w:t>查阅方式</w:t>
      </w:r>
    </w:p>
    <w:p w:rsidR="00F2463F" w:rsidRDefault="00DA6186">
      <w:pPr>
        <w:spacing w:line="360" w:lineRule="auto"/>
        <w:ind w:firstLineChars="200" w:firstLine="420"/>
        <w:rPr>
          <w:rFonts w:eastAsiaTheme="minorEastAsia"/>
          <w:color w:val="000000" w:themeColor="text1"/>
          <w:szCs w:val="21"/>
        </w:rPr>
      </w:pPr>
      <w:r>
        <w:rPr>
          <w:rFonts w:eastAsiaTheme="minorEastAsia"/>
          <w:color w:val="000000" w:themeColor="text1"/>
          <w:szCs w:val="21"/>
        </w:rPr>
        <w:t>投资者可在营业时间免费查阅，也可按工本费购买复印件。</w:t>
      </w:r>
    </w:p>
    <w:p w:rsidR="00F2463F" w:rsidRDefault="00F2463F">
      <w:pPr>
        <w:spacing w:line="360" w:lineRule="auto"/>
        <w:ind w:left="840"/>
        <w:jc w:val="right"/>
        <w:rPr>
          <w:rFonts w:eastAsiaTheme="minorEastAsia"/>
          <w:color w:val="000000" w:themeColor="text1"/>
          <w:szCs w:val="21"/>
        </w:rPr>
      </w:pPr>
    </w:p>
    <w:p w:rsidR="00F2463F" w:rsidRDefault="00F2463F">
      <w:pPr>
        <w:spacing w:line="360" w:lineRule="auto"/>
        <w:ind w:left="840"/>
        <w:jc w:val="center"/>
        <w:rPr>
          <w:rFonts w:eastAsiaTheme="minorEastAsia"/>
          <w:b/>
          <w:color w:val="000000" w:themeColor="text1"/>
          <w:szCs w:val="21"/>
        </w:rPr>
      </w:pPr>
    </w:p>
    <w:p w:rsidR="00F2463F" w:rsidRDefault="00DA6186">
      <w:pPr>
        <w:spacing w:line="360" w:lineRule="auto"/>
        <w:jc w:val="right"/>
        <w:rPr>
          <w:rFonts w:eastAsiaTheme="minorEastAsia"/>
          <w:b/>
          <w:bCs/>
          <w:color w:val="000000" w:themeColor="text1"/>
          <w:szCs w:val="21"/>
        </w:rPr>
      </w:pPr>
      <w:r>
        <w:rPr>
          <w:rFonts w:eastAsiaTheme="minorEastAsia"/>
          <w:b/>
          <w:bCs/>
          <w:color w:val="000000" w:themeColor="text1"/>
          <w:szCs w:val="21"/>
        </w:rPr>
        <w:t>上投摩根基金管理有限公司</w:t>
      </w:r>
    </w:p>
    <w:p w:rsidR="00F2463F" w:rsidRDefault="00DA6186">
      <w:pPr>
        <w:spacing w:line="360" w:lineRule="auto"/>
        <w:jc w:val="right"/>
        <w:rPr>
          <w:rFonts w:eastAsiaTheme="minorEastAsia"/>
          <w:b/>
          <w:bCs/>
          <w:color w:val="000000" w:themeColor="text1"/>
          <w:szCs w:val="21"/>
        </w:rPr>
      </w:pPr>
      <w:r>
        <w:rPr>
          <w:rFonts w:eastAsiaTheme="minorEastAsia"/>
          <w:b/>
          <w:bCs/>
          <w:color w:val="000000" w:themeColor="text1"/>
          <w:szCs w:val="21"/>
        </w:rPr>
        <w:t>二〇一九年四月十九日</w:t>
      </w:r>
    </w:p>
    <w:sectPr w:rsidR="00F2463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C9" w:rsidRDefault="00DA6186">
      <w:r>
        <w:separator/>
      </w:r>
    </w:p>
  </w:endnote>
  <w:endnote w:type="continuationSeparator" w:id="0">
    <w:p w:rsidR="005069C9" w:rsidRDefault="00DA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3F" w:rsidRDefault="00DA6186">
    <w:pPr>
      <w:pStyle w:val="ac"/>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D6F54">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DD6F54">
      <w:rPr>
        <w:noProof/>
        <w:kern w:val="0"/>
        <w:szCs w:val="21"/>
      </w:rPr>
      <w:t>14</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3F" w:rsidRDefault="00DA6186">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F2463F" w:rsidRDefault="00F2463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3F" w:rsidRDefault="00DA6186">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DD6F54">
      <w:rPr>
        <w:rStyle w:val="af2"/>
        <w:noProof/>
      </w:rPr>
      <w:t>5</w:t>
    </w:r>
    <w:r>
      <w:rPr>
        <w:rStyle w:val="af2"/>
      </w:rPr>
      <w:fldChar w:fldCharType="end"/>
    </w:r>
  </w:p>
  <w:p w:rsidR="00F2463F" w:rsidRDefault="00F2463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C9" w:rsidRDefault="00DA6186">
      <w:r>
        <w:separator/>
      </w:r>
    </w:p>
  </w:footnote>
  <w:footnote w:type="continuationSeparator" w:id="0">
    <w:p w:rsidR="005069C9" w:rsidRDefault="00DA6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63F" w:rsidRDefault="00DA6186">
    <w:pPr>
      <w:pStyle w:val="ad"/>
      <w:pBdr>
        <w:bottom w:val="single" w:sz="6" w:space="0" w:color="auto"/>
      </w:pBdr>
      <w:jc w:val="right"/>
    </w:pPr>
    <w:r>
      <w:t>上投摩根岁岁金定期开放债券型证券投资基金</w:t>
    </w:r>
    <w:r>
      <w:t>2019</w:t>
    </w:r>
    <w:r>
      <w:t>年第</w:t>
    </w:r>
    <w:r>
      <w:t>1</w:t>
    </w:r>
    <w:r>
      <w:t>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7B55"/>
    <w:rsid w:val="00037C73"/>
    <w:rsid w:val="00042065"/>
    <w:rsid w:val="00043FD2"/>
    <w:rsid w:val="00045476"/>
    <w:rsid w:val="00045558"/>
    <w:rsid w:val="00045BA9"/>
    <w:rsid w:val="00047D87"/>
    <w:rsid w:val="00047DC8"/>
    <w:rsid w:val="000510AB"/>
    <w:rsid w:val="00053FFD"/>
    <w:rsid w:val="00056D5C"/>
    <w:rsid w:val="00061B0B"/>
    <w:rsid w:val="00061E09"/>
    <w:rsid w:val="00062C69"/>
    <w:rsid w:val="00062E1F"/>
    <w:rsid w:val="00064601"/>
    <w:rsid w:val="00064AE3"/>
    <w:rsid w:val="0006750A"/>
    <w:rsid w:val="000739C3"/>
    <w:rsid w:val="000776C0"/>
    <w:rsid w:val="00077849"/>
    <w:rsid w:val="000803AD"/>
    <w:rsid w:val="000813D6"/>
    <w:rsid w:val="00081D05"/>
    <w:rsid w:val="000827CC"/>
    <w:rsid w:val="000871DB"/>
    <w:rsid w:val="00087C69"/>
    <w:rsid w:val="00090834"/>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45E7"/>
    <w:rsid w:val="000C5956"/>
    <w:rsid w:val="000C757F"/>
    <w:rsid w:val="000C7DD4"/>
    <w:rsid w:val="000D0474"/>
    <w:rsid w:val="000D1164"/>
    <w:rsid w:val="000D1BBE"/>
    <w:rsid w:val="000D3773"/>
    <w:rsid w:val="000D4DE9"/>
    <w:rsid w:val="000D6660"/>
    <w:rsid w:val="000D6BA0"/>
    <w:rsid w:val="000D7ECA"/>
    <w:rsid w:val="000E0D84"/>
    <w:rsid w:val="000E2F81"/>
    <w:rsid w:val="000E3726"/>
    <w:rsid w:val="000E39DB"/>
    <w:rsid w:val="000F0558"/>
    <w:rsid w:val="000F0AC3"/>
    <w:rsid w:val="000F125F"/>
    <w:rsid w:val="000F175F"/>
    <w:rsid w:val="000F17D1"/>
    <w:rsid w:val="000F1CC9"/>
    <w:rsid w:val="000F5ABD"/>
    <w:rsid w:val="000F60FF"/>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5D3"/>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D8"/>
    <w:rsid w:val="00176874"/>
    <w:rsid w:val="0017725A"/>
    <w:rsid w:val="0018052A"/>
    <w:rsid w:val="00180952"/>
    <w:rsid w:val="0018191A"/>
    <w:rsid w:val="00184F7E"/>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C7B5E"/>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170FF"/>
    <w:rsid w:val="00221938"/>
    <w:rsid w:val="00222262"/>
    <w:rsid w:val="00222ABD"/>
    <w:rsid w:val="002230A8"/>
    <w:rsid w:val="00227D20"/>
    <w:rsid w:val="00231BCE"/>
    <w:rsid w:val="0023336A"/>
    <w:rsid w:val="00233D00"/>
    <w:rsid w:val="002359EB"/>
    <w:rsid w:val="0023649E"/>
    <w:rsid w:val="00241222"/>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3D3C"/>
    <w:rsid w:val="00254A7E"/>
    <w:rsid w:val="00255292"/>
    <w:rsid w:val="002553A9"/>
    <w:rsid w:val="00256047"/>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1E9A"/>
    <w:rsid w:val="002935BF"/>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41B1"/>
    <w:rsid w:val="002C77CC"/>
    <w:rsid w:val="002D2A00"/>
    <w:rsid w:val="002D5199"/>
    <w:rsid w:val="002E2862"/>
    <w:rsid w:val="002E356A"/>
    <w:rsid w:val="002E4C01"/>
    <w:rsid w:val="002F0516"/>
    <w:rsid w:val="002F22D2"/>
    <w:rsid w:val="002F2863"/>
    <w:rsid w:val="002F778A"/>
    <w:rsid w:val="00302187"/>
    <w:rsid w:val="00302293"/>
    <w:rsid w:val="003028D8"/>
    <w:rsid w:val="0030290F"/>
    <w:rsid w:val="00302DE9"/>
    <w:rsid w:val="00303869"/>
    <w:rsid w:val="00303F1D"/>
    <w:rsid w:val="00305084"/>
    <w:rsid w:val="003052C5"/>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37C2E"/>
    <w:rsid w:val="0034147B"/>
    <w:rsid w:val="00341889"/>
    <w:rsid w:val="003426CE"/>
    <w:rsid w:val="00343016"/>
    <w:rsid w:val="0034447B"/>
    <w:rsid w:val="00351704"/>
    <w:rsid w:val="003570C8"/>
    <w:rsid w:val="00360D91"/>
    <w:rsid w:val="00367770"/>
    <w:rsid w:val="00370BEA"/>
    <w:rsid w:val="00371424"/>
    <w:rsid w:val="00371FF4"/>
    <w:rsid w:val="00372209"/>
    <w:rsid w:val="00374C4E"/>
    <w:rsid w:val="003771ED"/>
    <w:rsid w:val="0037768B"/>
    <w:rsid w:val="00381791"/>
    <w:rsid w:val="00382E6F"/>
    <w:rsid w:val="00387C00"/>
    <w:rsid w:val="0039032E"/>
    <w:rsid w:val="003968CD"/>
    <w:rsid w:val="00397960"/>
    <w:rsid w:val="00397F75"/>
    <w:rsid w:val="003A2008"/>
    <w:rsid w:val="003A3BC4"/>
    <w:rsid w:val="003A4AA3"/>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A6E"/>
    <w:rsid w:val="00441FEC"/>
    <w:rsid w:val="004425E8"/>
    <w:rsid w:val="00443C8F"/>
    <w:rsid w:val="00447BC6"/>
    <w:rsid w:val="004501CE"/>
    <w:rsid w:val="00452481"/>
    <w:rsid w:val="00453832"/>
    <w:rsid w:val="00454A0F"/>
    <w:rsid w:val="0046335D"/>
    <w:rsid w:val="00463C2C"/>
    <w:rsid w:val="00466BBC"/>
    <w:rsid w:val="004733AC"/>
    <w:rsid w:val="004734F0"/>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C0541"/>
    <w:rsid w:val="004C3A16"/>
    <w:rsid w:val="004C634A"/>
    <w:rsid w:val="004C660B"/>
    <w:rsid w:val="004D050C"/>
    <w:rsid w:val="004D23D9"/>
    <w:rsid w:val="004D29A9"/>
    <w:rsid w:val="004D3537"/>
    <w:rsid w:val="004D4D4E"/>
    <w:rsid w:val="004D5974"/>
    <w:rsid w:val="004D614E"/>
    <w:rsid w:val="004D650F"/>
    <w:rsid w:val="004E2133"/>
    <w:rsid w:val="004E4E04"/>
    <w:rsid w:val="004E6CBA"/>
    <w:rsid w:val="004F521C"/>
    <w:rsid w:val="00502CD8"/>
    <w:rsid w:val="0050361C"/>
    <w:rsid w:val="00503ABF"/>
    <w:rsid w:val="005069C9"/>
    <w:rsid w:val="00506A40"/>
    <w:rsid w:val="00506D4F"/>
    <w:rsid w:val="0051064F"/>
    <w:rsid w:val="00513A0E"/>
    <w:rsid w:val="00515D7B"/>
    <w:rsid w:val="00515F29"/>
    <w:rsid w:val="0052009E"/>
    <w:rsid w:val="0052306A"/>
    <w:rsid w:val="00530161"/>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5D10"/>
    <w:rsid w:val="0058694E"/>
    <w:rsid w:val="005875F9"/>
    <w:rsid w:val="00593A35"/>
    <w:rsid w:val="00593C74"/>
    <w:rsid w:val="00597D8B"/>
    <w:rsid w:val="005A46FF"/>
    <w:rsid w:val="005A557E"/>
    <w:rsid w:val="005A63FD"/>
    <w:rsid w:val="005B462A"/>
    <w:rsid w:val="005B5137"/>
    <w:rsid w:val="005B6047"/>
    <w:rsid w:val="005C0ED7"/>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C20"/>
    <w:rsid w:val="00613F44"/>
    <w:rsid w:val="006149D4"/>
    <w:rsid w:val="00615A56"/>
    <w:rsid w:val="006160BD"/>
    <w:rsid w:val="00620EDB"/>
    <w:rsid w:val="0062386E"/>
    <w:rsid w:val="006253EF"/>
    <w:rsid w:val="00626075"/>
    <w:rsid w:val="0062680E"/>
    <w:rsid w:val="00631158"/>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464C1"/>
    <w:rsid w:val="00651B78"/>
    <w:rsid w:val="0065237A"/>
    <w:rsid w:val="00652FF5"/>
    <w:rsid w:val="0065303C"/>
    <w:rsid w:val="00653246"/>
    <w:rsid w:val="00654382"/>
    <w:rsid w:val="00661244"/>
    <w:rsid w:val="006640DF"/>
    <w:rsid w:val="00666A3C"/>
    <w:rsid w:val="00667519"/>
    <w:rsid w:val="006676A0"/>
    <w:rsid w:val="00670857"/>
    <w:rsid w:val="00670868"/>
    <w:rsid w:val="006721BC"/>
    <w:rsid w:val="00673D69"/>
    <w:rsid w:val="00676431"/>
    <w:rsid w:val="00677A9C"/>
    <w:rsid w:val="0068050D"/>
    <w:rsid w:val="00685FFC"/>
    <w:rsid w:val="00686943"/>
    <w:rsid w:val="00686EDE"/>
    <w:rsid w:val="00687AD5"/>
    <w:rsid w:val="00690A31"/>
    <w:rsid w:val="006911CE"/>
    <w:rsid w:val="00692002"/>
    <w:rsid w:val="00695251"/>
    <w:rsid w:val="00695B58"/>
    <w:rsid w:val="006979FE"/>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F57"/>
    <w:rsid w:val="00703E8A"/>
    <w:rsid w:val="00706046"/>
    <w:rsid w:val="007112F0"/>
    <w:rsid w:val="00711343"/>
    <w:rsid w:val="00714309"/>
    <w:rsid w:val="0071450F"/>
    <w:rsid w:val="00717772"/>
    <w:rsid w:val="00721DBE"/>
    <w:rsid w:val="007226EC"/>
    <w:rsid w:val="00722B5E"/>
    <w:rsid w:val="00724F6D"/>
    <w:rsid w:val="0072678C"/>
    <w:rsid w:val="00732D1D"/>
    <w:rsid w:val="007350D4"/>
    <w:rsid w:val="00736034"/>
    <w:rsid w:val="00737E79"/>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2100"/>
    <w:rsid w:val="008428A9"/>
    <w:rsid w:val="0084308F"/>
    <w:rsid w:val="00846C2B"/>
    <w:rsid w:val="008473F2"/>
    <w:rsid w:val="0085139A"/>
    <w:rsid w:val="008524F6"/>
    <w:rsid w:val="008532F3"/>
    <w:rsid w:val="00854B3F"/>
    <w:rsid w:val="00861C2C"/>
    <w:rsid w:val="00863744"/>
    <w:rsid w:val="008668B8"/>
    <w:rsid w:val="0086748F"/>
    <w:rsid w:val="0086758B"/>
    <w:rsid w:val="00867B4D"/>
    <w:rsid w:val="00867CF3"/>
    <w:rsid w:val="00874AB5"/>
    <w:rsid w:val="00877671"/>
    <w:rsid w:val="00877A13"/>
    <w:rsid w:val="0088020A"/>
    <w:rsid w:val="008869BC"/>
    <w:rsid w:val="00887DDD"/>
    <w:rsid w:val="00887DE6"/>
    <w:rsid w:val="00887E9F"/>
    <w:rsid w:val="008908AA"/>
    <w:rsid w:val="00890E08"/>
    <w:rsid w:val="008926E3"/>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B41"/>
    <w:rsid w:val="008E3DDD"/>
    <w:rsid w:val="008F0212"/>
    <w:rsid w:val="008F0559"/>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2D49"/>
    <w:rsid w:val="009238DB"/>
    <w:rsid w:val="00925E37"/>
    <w:rsid w:val="00925EDD"/>
    <w:rsid w:val="00927348"/>
    <w:rsid w:val="00930079"/>
    <w:rsid w:val="00930966"/>
    <w:rsid w:val="00932F64"/>
    <w:rsid w:val="00935FB1"/>
    <w:rsid w:val="00936075"/>
    <w:rsid w:val="00936D40"/>
    <w:rsid w:val="00937ABF"/>
    <w:rsid w:val="00937DB1"/>
    <w:rsid w:val="0094296E"/>
    <w:rsid w:val="009463CC"/>
    <w:rsid w:val="0094687A"/>
    <w:rsid w:val="00950413"/>
    <w:rsid w:val="0095078E"/>
    <w:rsid w:val="00952404"/>
    <w:rsid w:val="00952A72"/>
    <w:rsid w:val="009542B3"/>
    <w:rsid w:val="009550A8"/>
    <w:rsid w:val="00955FF2"/>
    <w:rsid w:val="0095693D"/>
    <w:rsid w:val="00956B0D"/>
    <w:rsid w:val="0096260B"/>
    <w:rsid w:val="009631C1"/>
    <w:rsid w:val="00970C69"/>
    <w:rsid w:val="00973B57"/>
    <w:rsid w:val="00973E0D"/>
    <w:rsid w:val="0097403F"/>
    <w:rsid w:val="00976797"/>
    <w:rsid w:val="00980C0C"/>
    <w:rsid w:val="00982E47"/>
    <w:rsid w:val="00982EAE"/>
    <w:rsid w:val="00983E7D"/>
    <w:rsid w:val="00991642"/>
    <w:rsid w:val="0099260C"/>
    <w:rsid w:val="009942F4"/>
    <w:rsid w:val="00995B3C"/>
    <w:rsid w:val="00996BCA"/>
    <w:rsid w:val="009A045B"/>
    <w:rsid w:val="009A0513"/>
    <w:rsid w:val="009A07C1"/>
    <w:rsid w:val="009A2283"/>
    <w:rsid w:val="009A31AF"/>
    <w:rsid w:val="009A3507"/>
    <w:rsid w:val="009A529F"/>
    <w:rsid w:val="009A5C1D"/>
    <w:rsid w:val="009A6018"/>
    <w:rsid w:val="009A7920"/>
    <w:rsid w:val="009B4286"/>
    <w:rsid w:val="009B5BF9"/>
    <w:rsid w:val="009B5DAF"/>
    <w:rsid w:val="009B5F83"/>
    <w:rsid w:val="009B61C5"/>
    <w:rsid w:val="009B769E"/>
    <w:rsid w:val="009C03E5"/>
    <w:rsid w:val="009C4D19"/>
    <w:rsid w:val="009C5FDB"/>
    <w:rsid w:val="009C6334"/>
    <w:rsid w:val="009C65AF"/>
    <w:rsid w:val="009C70CB"/>
    <w:rsid w:val="009C74DD"/>
    <w:rsid w:val="009D27AA"/>
    <w:rsid w:val="009D2AD9"/>
    <w:rsid w:val="009D514E"/>
    <w:rsid w:val="009D5A40"/>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6437"/>
    <w:rsid w:val="00A30E4D"/>
    <w:rsid w:val="00A32410"/>
    <w:rsid w:val="00A32B48"/>
    <w:rsid w:val="00A36D00"/>
    <w:rsid w:val="00A43389"/>
    <w:rsid w:val="00A4642E"/>
    <w:rsid w:val="00A47AF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1ECB"/>
    <w:rsid w:val="00A95B37"/>
    <w:rsid w:val="00A96B6F"/>
    <w:rsid w:val="00AA0CE8"/>
    <w:rsid w:val="00AA35FD"/>
    <w:rsid w:val="00AA3DB7"/>
    <w:rsid w:val="00AA58C5"/>
    <w:rsid w:val="00AA5EF2"/>
    <w:rsid w:val="00AA5F63"/>
    <w:rsid w:val="00AA7EBD"/>
    <w:rsid w:val="00AB69EF"/>
    <w:rsid w:val="00AC11DC"/>
    <w:rsid w:val="00AC3183"/>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3EFD"/>
    <w:rsid w:val="00AF44C1"/>
    <w:rsid w:val="00AF4F09"/>
    <w:rsid w:val="00AF643E"/>
    <w:rsid w:val="00AF73EB"/>
    <w:rsid w:val="00AF79C8"/>
    <w:rsid w:val="00B00FA8"/>
    <w:rsid w:val="00B011B0"/>
    <w:rsid w:val="00B0391C"/>
    <w:rsid w:val="00B047F6"/>
    <w:rsid w:val="00B06019"/>
    <w:rsid w:val="00B0700F"/>
    <w:rsid w:val="00B1493B"/>
    <w:rsid w:val="00B15119"/>
    <w:rsid w:val="00B17169"/>
    <w:rsid w:val="00B22511"/>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59CD"/>
    <w:rsid w:val="00B46220"/>
    <w:rsid w:val="00B464EA"/>
    <w:rsid w:val="00B47574"/>
    <w:rsid w:val="00B5430C"/>
    <w:rsid w:val="00B54782"/>
    <w:rsid w:val="00B56A90"/>
    <w:rsid w:val="00B5711C"/>
    <w:rsid w:val="00B57BCF"/>
    <w:rsid w:val="00B57E36"/>
    <w:rsid w:val="00B60209"/>
    <w:rsid w:val="00B606A3"/>
    <w:rsid w:val="00B63B6A"/>
    <w:rsid w:val="00B65D6F"/>
    <w:rsid w:val="00B66C17"/>
    <w:rsid w:val="00B673F3"/>
    <w:rsid w:val="00B67A25"/>
    <w:rsid w:val="00B7354A"/>
    <w:rsid w:val="00B7435B"/>
    <w:rsid w:val="00B74446"/>
    <w:rsid w:val="00B74B59"/>
    <w:rsid w:val="00B77142"/>
    <w:rsid w:val="00B8024E"/>
    <w:rsid w:val="00B80C3A"/>
    <w:rsid w:val="00B84643"/>
    <w:rsid w:val="00B87130"/>
    <w:rsid w:val="00B90452"/>
    <w:rsid w:val="00B90780"/>
    <w:rsid w:val="00B916D6"/>
    <w:rsid w:val="00B91AD8"/>
    <w:rsid w:val="00B9209B"/>
    <w:rsid w:val="00B9240D"/>
    <w:rsid w:val="00B9328B"/>
    <w:rsid w:val="00B95753"/>
    <w:rsid w:val="00B97E42"/>
    <w:rsid w:val="00BA0425"/>
    <w:rsid w:val="00BA0C05"/>
    <w:rsid w:val="00BA54D0"/>
    <w:rsid w:val="00BA7E30"/>
    <w:rsid w:val="00BB1013"/>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4BCD"/>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4ECB"/>
    <w:rsid w:val="00C35BB7"/>
    <w:rsid w:val="00C36B35"/>
    <w:rsid w:val="00C36E74"/>
    <w:rsid w:val="00C36FF2"/>
    <w:rsid w:val="00C400CD"/>
    <w:rsid w:val="00C41617"/>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2451"/>
    <w:rsid w:val="00C9272C"/>
    <w:rsid w:val="00C97764"/>
    <w:rsid w:val="00C97C9B"/>
    <w:rsid w:val="00CA344C"/>
    <w:rsid w:val="00CA6B2A"/>
    <w:rsid w:val="00CA7CF8"/>
    <w:rsid w:val="00CA7F19"/>
    <w:rsid w:val="00CB142D"/>
    <w:rsid w:val="00CB29F6"/>
    <w:rsid w:val="00CB2BBF"/>
    <w:rsid w:val="00CB481C"/>
    <w:rsid w:val="00CB4C8C"/>
    <w:rsid w:val="00CB62E1"/>
    <w:rsid w:val="00CB6EFE"/>
    <w:rsid w:val="00CC16F9"/>
    <w:rsid w:val="00CC28A9"/>
    <w:rsid w:val="00CC4183"/>
    <w:rsid w:val="00CC70A4"/>
    <w:rsid w:val="00CD4A0C"/>
    <w:rsid w:val="00CD5CEF"/>
    <w:rsid w:val="00CE06EC"/>
    <w:rsid w:val="00CE592E"/>
    <w:rsid w:val="00CE5BC5"/>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058"/>
    <w:rsid w:val="00D45F1B"/>
    <w:rsid w:val="00D50E1A"/>
    <w:rsid w:val="00D52289"/>
    <w:rsid w:val="00D55A37"/>
    <w:rsid w:val="00D55B7E"/>
    <w:rsid w:val="00D64354"/>
    <w:rsid w:val="00D66685"/>
    <w:rsid w:val="00D70D35"/>
    <w:rsid w:val="00D71351"/>
    <w:rsid w:val="00D71997"/>
    <w:rsid w:val="00D72993"/>
    <w:rsid w:val="00D753E9"/>
    <w:rsid w:val="00D777B9"/>
    <w:rsid w:val="00D77E2E"/>
    <w:rsid w:val="00D81050"/>
    <w:rsid w:val="00D82273"/>
    <w:rsid w:val="00D82FA5"/>
    <w:rsid w:val="00D84A4B"/>
    <w:rsid w:val="00D84B45"/>
    <w:rsid w:val="00D857AE"/>
    <w:rsid w:val="00D8623D"/>
    <w:rsid w:val="00D867FB"/>
    <w:rsid w:val="00D870CF"/>
    <w:rsid w:val="00D873C4"/>
    <w:rsid w:val="00D90E11"/>
    <w:rsid w:val="00D9110D"/>
    <w:rsid w:val="00D91124"/>
    <w:rsid w:val="00D91987"/>
    <w:rsid w:val="00D92168"/>
    <w:rsid w:val="00D932DF"/>
    <w:rsid w:val="00D93426"/>
    <w:rsid w:val="00D94B22"/>
    <w:rsid w:val="00D958D3"/>
    <w:rsid w:val="00D9594F"/>
    <w:rsid w:val="00D95EEA"/>
    <w:rsid w:val="00D971CB"/>
    <w:rsid w:val="00D97213"/>
    <w:rsid w:val="00DA134E"/>
    <w:rsid w:val="00DA13F3"/>
    <w:rsid w:val="00DA2DE3"/>
    <w:rsid w:val="00DA6186"/>
    <w:rsid w:val="00DA64AF"/>
    <w:rsid w:val="00DB1F4F"/>
    <w:rsid w:val="00DB2AC7"/>
    <w:rsid w:val="00DB704C"/>
    <w:rsid w:val="00DC693B"/>
    <w:rsid w:val="00DC7C77"/>
    <w:rsid w:val="00DD0F5D"/>
    <w:rsid w:val="00DD426D"/>
    <w:rsid w:val="00DD6F54"/>
    <w:rsid w:val="00DD74FC"/>
    <w:rsid w:val="00DE0DB6"/>
    <w:rsid w:val="00DE117F"/>
    <w:rsid w:val="00DE1769"/>
    <w:rsid w:val="00DE1A17"/>
    <w:rsid w:val="00DE44C8"/>
    <w:rsid w:val="00DE64CC"/>
    <w:rsid w:val="00DE6AA9"/>
    <w:rsid w:val="00DE7B30"/>
    <w:rsid w:val="00DF20C7"/>
    <w:rsid w:val="00DF4D0C"/>
    <w:rsid w:val="00DF5C20"/>
    <w:rsid w:val="00DF7D81"/>
    <w:rsid w:val="00E02DEB"/>
    <w:rsid w:val="00E042A1"/>
    <w:rsid w:val="00E0476C"/>
    <w:rsid w:val="00E0576B"/>
    <w:rsid w:val="00E067EA"/>
    <w:rsid w:val="00E06D18"/>
    <w:rsid w:val="00E104FA"/>
    <w:rsid w:val="00E1320D"/>
    <w:rsid w:val="00E16022"/>
    <w:rsid w:val="00E1694E"/>
    <w:rsid w:val="00E1738C"/>
    <w:rsid w:val="00E174FF"/>
    <w:rsid w:val="00E205AA"/>
    <w:rsid w:val="00E22296"/>
    <w:rsid w:val="00E27360"/>
    <w:rsid w:val="00E27C04"/>
    <w:rsid w:val="00E30713"/>
    <w:rsid w:val="00E30EDF"/>
    <w:rsid w:val="00E3153A"/>
    <w:rsid w:val="00E31FBA"/>
    <w:rsid w:val="00E328E2"/>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0A5B"/>
    <w:rsid w:val="00E822EA"/>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58F5"/>
    <w:rsid w:val="00EB6E6B"/>
    <w:rsid w:val="00EC010F"/>
    <w:rsid w:val="00EC0FC0"/>
    <w:rsid w:val="00EC2E3A"/>
    <w:rsid w:val="00EC3CCB"/>
    <w:rsid w:val="00EC5A74"/>
    <w:rsid w:val="00EC737D"/>
    <w:rsid w:val="00ED2154"/>
    <w:rsid w:val="00ED4277"/>
    <w:rsid w:val="00ED7C8C"/>
    <w:rsid w:val="00ED7DDB"/>
    <w:rsid w:val="00EE431B"/>
    <w:rsid w:val="00EE4874"/>
    <w:rsid w:val="00EE53E5"/>
    <w:rsid w:val="00EE6654"/>
    <w:rsid w:val="00EE73FB"/>
    <w:rsid w:val="00EE7BF0"/>
    <w:rsid w:val="00EF2674"/>
    <w:rsid w:val="00EF3163"/>
    <w:rsid w:val="00EF4D29"/>
    <w:rsid w:val="00EF556F"/>
    <w:rsid w:val="00EF7D07"/>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63F"/>
    <w:rsid w:val="00F24E0E"/>
    <w:rsid w:val="00F26693"/>
    <w:rsid w:val="00F266E1"/>
    <w:rsid w:val="00F3477D"/>
    <w:rsid w:val="00F347FE"/>
    <w:rsid w:val="00F34859"/>
    <w:rsid w:val="00F356F7"/>
    <w:rsid w:val="00F40055"/>
    <w:rsid w:val="00F40868"/>
    <w:rsid w:val="00F44FDE"/>
    <w:rsid w:val="00F46467"/>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1B52"/>
    <w:rsid w:val="00F96087"/>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750"/>
    <w:rsid w:val="00FB387C"/>
    <w:rsid w:val="00FB3C94"/>
    <w:rsid w:val="00FB48C1"/>
    <w:rsid w:val="00FB6808"/>
    <w:rsid w:val="00FB6CD0"/>
    <w:rsid w:val="00FB723C"/>
    <w:rsid w:val="00FB72B4"/>
    <w:rsid w:val="00FC0A2D"/>
    <w:rsid w:val="00FC13C8"/>
    <w:rsid w:val="00FC39F9"/>
    <w:rsid w:val="00FC59F8"/>
    <w:rsid w:val="00FC60F6"/>
    <w:rsid w:val="00FC7F43"/>
    <w:rsid w:val="00FD0DFA"/>
    <w:rsid w:val="00FD5E71"/>
    <w:rsid w:val="00FD7D41"/>
    <w:rsid w:val="00FE0072"/>
    <w:rsid w:val="00FE0C71"/>
    <w:rsid w:val="00FE1E47"/>
    <w:rsid w:val="00FE275D"/>
    <w:rsid w:val="00FE65AC"/>
    <w:rsid w:val="00FE7FBD"/>
    <w:rsid w:val="00FF10BC"/>
    <w:rsid w:val="00FF5DCF"/>
    <w:rsid w:val="00FF699B"/>
    <w:rsid w:val="00FF6ADB"/>
    <w:rsid w:val="3B56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0B4A525-791C-41A1-B32D-CFCA627B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Normal Indent" w:uiPriority="99" w:qFormat="1"/>
    <w:lsdException w:name="footnote text" w:qFormat="1"/>
    <w:lsdException w:name="annotation text" w:semiHidden="1" w:qFormat="1"/>
    <w:lsdException w:name="header" w:uiPriority="99"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qFormat="1"/>
    <w:lsdException w:name="Strong" w:uiPriority="22" w:qFormat="1"/>
    <w:lsdException w:name="Emphasis" w:qFormat="1"/>
    <w:lsdException w:name="Document Map" w:semiHidden="1"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Document Map"/>
    <w:basedOn w:val="a"/>
    <w:semiHidden/>
    <w:qFormat/>
    <w:pPr>
      <w:shd w:val="clear" w:color="auto" w:fill="000080"/>
    </w:pPr>
  </w:style>
  <w:style w:type="paragraph" w:styleId="a7">
    <w:name w:val="Body Text"/>
    <w:basedOn w:val="a"/>
    <w:qFormat/>
    <w:pPr>
      <w:spacing w:after="120"/>
    </w:pPr>
  </w:style>
  <w:style w:type="paragraph" w:styleId="a8">
    <w:name w:val="Body Text Indent"/>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link w:val="Char"/>
    <w:uiPriority w:val="99"/>
    <w:qFormat/>
    <w:rPr>
      <w:rFonts w:ascii="宋体" w:hAnsi="Courier New"/>
      <w:szCs w:val="21"/>
    </w:rPr>
  </w:style>
  <w:style w:type="paragraph" w:styleId="aa">
    <w:name w:val="Date"/>
    <w:basedOn w:val="a"/>
    <w:next w:val="a"/>
    <w:link w:val="Char0"/>
    <w:qFormat/>
    <w:rPr>
      <w:sz w:val="24"/>
      <w:szCs w:val="20"/>
    </w:rPr>
  </w:style>
  <w:style w:type="paragraph" w:styleId="20">
    <w:name w:val="Body Text Indent 2"/>
    <w:basedOn w:val="a"/>
    <w:qFormat/>
    <w:pPr>
      <w:spacing w:line="560" w:lineRule="exact"/>
      <w:ind w:firstLineChars="200" w:firstLine="480"/>
    </w:pPr>
    <w:rPr>
      <w:rFonts w:ascii="宋体" w:hAnsi="宋体"/>
      <w:color w:val="FF0000"/>
      <w:sz w:val="24"/>
    </w:r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e">
    <w:name w:val="List"/>
    <w:basedOn w:val="a7"/>
    <w:qFormat/>
    <w:pPr>
      <w:spacing w:after="220" w:line="220" w:lineRule="atLeast"/>
      <w:ind w:left="1440" w:hanging="360"/>
    </w:pPr>
    <w:rPr>
      <w:szCs w:val="20"/>
    </w:rPr>
  </w:style>
  <w:style w:type="paragraph" w:styleId="af">
    <w:name w:val="footnote text"/>
    <w:basedOn w:val="a"/>
    <w:link w:val="Char2"/>
    <w:qFormat/>
    <w:pPr>
      <w:snapToGrid w:val="0"/>
      <w:jc w:val="left"/>
    </w:pPr>
    <w:rPr>
      <w:sz w:val="18"/>
      <w:szCs w:val="18"/>
    </w:rPr>
  </w:style>
  <w:style w:type="paragraph" w:styleId="30">
    <w:name w:val="Body Text Indent 3"/>
    <w:basedOn w:val="a"/>
    <w:qFormat/>
    <w:pPr>
      <w:spacing w:line="560" w:lineRule="exact"/>
      <w:ind w:firstLineChars="200" w:firstLine="420"/>
    </w:pPr>
    <w:rPr>
      <w:rFonts w:ascii="Arial" w:hAnsi="Arial" w:cs="Arial"/>
      <w:color w:val="FF0000"/>
    </w:rPr>
  </w:style>
  <w:style w:type="paragraph" w:styleId="af0">
    <w:name w:val="Normal (Web)"/>
    <w:basedOn w:val="a"/>
    <w:qFormat/>
    <w:pPr>
      <w:widowControl/>
      <w:spacing w:before="100" w:beforeAutospacing="1" w:after="100" w:afterAutospacing="1"/>
      <w:jc w:val="left"/>
    </w:pPr>
    <w:rPr>
      <w:rFonts w:ascii="宋体" w:hAnsi="宋体"/>
      <w:kern w:val="0"/>
      <w:sz w:val="24"/>
    </w:rPr>
  </w:style>
  <w:style w:type="paragraph" w:styleId="10">
    <w:name w:val="index 1"/>
    <w:basedOn w:val="a"/>
    <w:next w:val="a"/>
    <w:semiHidden/>
    <w:qFormat/>
    <w:pPr>
      <w:jc w:val="right"/>
    </w:pPr>
    <w:rPr>
      <w:color w:val="008000"/>
    </w:rPr>
  </w:style>
  <w:style w:type="character" w:styleId="af1">
    <w:name w:val="Strong"/>
    <w:basedOn w:val="a1"/>
    <w:uiPriority w:val="22"/>
    <w:qFormat/>
    <w:rPr>
      <w:b/>
      <w:bCs/>
    </w:rPr>
  </w:style>
  <w:style w:type="character" w:styleId="af2">
    <w:name w:val="page number"/>
    <w:basedOn w:val="a1"/>
    <w:qFormat/>
  </w:style>
  <w:style w:type="character" w:styleId="af3">
    <w:name w:val="Hyperlink"/>
    <w:basedOn w:val="a1"/>
    <w:qFormat/>
    <w:rPr>
      <w:color w:val="0000FF"/>
      <w:u w:val="single"/>
    </w:rPr>
  </w:style>
  <w:style w:type="character" w:styleId="af4">
    <w:name w:val="annotation reference"/>
    <w:basedOn w:val="a1"/>
    <w:semiHidden/>
    <w:qFormat/>
    <w:rPr>
      <w:sz w:val="21"/>
      <w:szCs w:val="21"/>
    </w:rPr>
  </w:style>
  <w:style w:type="character" w:styleId="af5">
    <w:name w:val="footnote reference"/>
    <w:basedOn w:val="a1"/>
    <w:qFormat/>
    <w:rPr>
      <w:vertAlign w:val="superscript"/>
    </w:rPr>
  </w:style>
  <w:style w:type="table" w:styleId="af6">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已访问的超链接1"/>
    <w:basedOn w:val="a1"/>
    <w:qFormat/>
    <w:rPr>
      <w:color w:val="800080"/>
      <w:u w:val="single"/>
    </w:rPr>
  </w:style>
  <w:style w:type="character" w:customStyle="1" w:styleId="c1">
    <w:name w:val="c1"/>
    <w:basedOn w:val="a1"/>
    <w:qFormat/>
    <w:rPr>
      <w:color w:val="000000"/>
      <w:sz w:val="18"/>
      <w:szCs w:val="18"/>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qFormat/>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qFormat/>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qFormat/>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Char3">
    <w:name w:val="Char"/>
    <w:basedOn w:val="a"/>
    <w:qFormat/>
  </w:style>
  <w:style w:type="paragraph" w:customStyle="1" w:styleId="Char10">
    <w:name w:val="Char1"/>
    <w:basedOn w:val="a"/>
    <w:qFormat/>
  </w:style>
  <w:style w:type="character" w:customStyle="1" w:styleId="t1">
    <w:name w:val="t1"/>
    <w:basedOn w:val="a1"/>
    <w:rPr>
      <w:color w:val="990000"/>
    </w:rPr>
  </w:style>
  <w:style w:type="character" w:customStyle="1" w:styleId="Char">
    <w:name w:val="纯文本 Char"/>
    <w:basedOn w:val="a1"/>
    <w:link w:val="a9"/>
    <w:uiPriority w:val="99"/>
    <w:rPr>
      <w:rFonts w:ascii="宋体" w:hAnsi="Courier New"/>
      <w:kern w:val="2"/>
      <w:sz w:val="21"/>
      <w:szCs w:val="21"/>
    </w:rPr>
  </w:style>
  <w:style w:type="character" w:customStyle="1" w:styleId="Char2">
    <w:name w:val="脚注文本 Char"/>
    <w:basedOn w:val="a1"/>
    <w:link w:val="af"/>
    <w:rPr>
      <w:kern w:val="2"/>
      <w:sz w:val="18"/>
      <w:szCs w:val="18"/>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character" w:customStyle="1" w:styleId="Char1">
    <w:name w:val="页眉 Char"/>
    <w:basedOn w:val="a1"/>
    <w:link w:val="ad"/>
    <w:uiPriority w:val="99"/>
    <w:rPr>
      <w:kern w:val="2"/>
      <w:sz w:val="18"/>
      <w:szCs w:val="18"/>
    </w:rPr>
  </w:style>
  <w:style w:type="character" w:customStyle="1" w:styleId="1Char">
    <w:name w:val="标题 1 Char"/>
    <w:basedOn w:val="a1"/>
    <w:link w:val="1"/>
    <w:rPr>
      <w:b/>
      <w:bCs/>
      <w:kern w:val="44"/>
      <w:sz w:val="44"/>
      <w:szCs w:val="44"/>
    </w:rPr>
  </w:style>
  <w:style w:type="character" w:customStyle="1" w:styleId="Char0">
    <w:name w:val="日期 Char"/>
    <w:basedOn w:val="a1"/>
    <w:link w:val="aa"/>
    <w:rPr>
      <w:kern w:val="2"/>
      <w:sz w:val="24"/>
    </w:rPr>
  </w:style>
  <w:style w:type="character" w:customStyle="1" w:styleId="3Char">
    <w:name w:val="标题 3 Char"/>
    <w:basedOn w:val="a1"/>
    <w:link w:val="3"/>
    <w:uiPriority w:val="9"/>
    <w:qFormat/>
    <w:rPr>
      <w:rFonts w:asciiTheme="minorHAnsi" w:eastAsiaTheme="minorEastAsia" w:hAnsiTheme="minorHAnsi"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0B62A9-A5E8-44BB-89A1-8389E9D8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1</TotalTime>
  <Pages>14</Pages>
  <Words>1232</Words>
  <Characters>7023</Characters>
  <Application>Microsoft Office Word</Application>
  <DocSecurity>0</DocSecurity>
  <Lines>58</Lines>
  <Paragraphs>16</Paragraphs>
  <ScaleCrop>false</ScaleCrop>
  <Company>TRT. Ltd. Co.</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WenYu Qiu</cp:lastModifiedBy>
  <cp:revision>216</cp:revision>
  <cp:lastPrinted>2007-07-19T00:46:00Z</cp:lastPrinted>
  <dcterms:created xsi:type="dcterms:W3CDTF">2013-06-21T06:56:00Z</dcterms:created>
  <dcterms:modified xsi:type="dcterms:W3CDTF">2019-04-17T07:01:00Z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