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6D9D"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C56D9D"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C56D9D"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C56D9D" w:rsidRDefault="001A59F9" w:rsidP="00026C9C">
      <w:pPr>
        <w:autoSpaceDE w:val="0"/>
        <w:autoSpaceDN w:val="0"/>
        <w:adjustRightInd w:val="0"/>
        <w:spacing w:line="360" w:lineRule="auto"/>
        <w:jc w:val="left"/>
        <w:rPr>
          <w:rFonts w:eastAsiaTheme="minorEastAsia"/>
          <w:color w:val="000000" w:themeColor="text1"/>
          <w:kern w:val="0"/>
          <w:szCs w:val="21"/>
        </w:rPr>
      </w:pPr>
    </w:p>
    <w:p w:rsidR="001A59F9" w:rsidRPr="00C56D9D" w:rsidRDefault="001A59F9" w:rsidP="00C10D7E">
      <w:pPr>
        <w:spacing w:line="288" w:lineRule="auto"/>
        <w:jc w:val="center"/>
        <w:rPr>
          <w:rFonts w:eastAsiaTheme="minorEastAsia"/>
          <w:b/>
          <w:color w:val="000000" w:themeColor="text1"/>
          <w:sz w:val="36"/>
          <w:szCs w:val="36"/>
        </w:rPr>
      </w:pPr>
      <w:bookmarkStart w:id="0" w:name="_Toc361324840"/>
      <w:r w:rsidRPr="00C56D9D">
        <w:rPr>
          <w:rFonts w:eastAsiaTheme="minorEastAsia"/>
          <w:b/>
          <w:color w:val="000000" w:themeColor="text1"/>
          <w:sz w:val="36"/>
          <w:szCs w:val="36"/>
        </w:rPr>
        <w:t>上投摩根岁岁金定期开放债券型证券投资基金</w:t>
      </w:r>
      <w:bookmarkEnd w:id="0"/>
    </w:p>
    <w:p w:rsidR="001A59F9" w:rsidRPr="00C56D9D" w:rsidRDefault="001A59F9" w:rsidP="00C10D7E">
      <w:pPr>
        <w:spacing w:line="288" w:lineRule="auto"/>
        <w:jc w:val="center"/>
        <w:rPr>
          <w:rFonts w:eastAsiaTheme="minorEastAsia"/>
          <w:b/>
          <w:color w:val="000000" w:themeColor="text1"/>
          <w:sz w:val="36"/>
          <w:szCs w:val="36"/>
        </w:rPr>
      </w:pPr>
      <w:bookmarkStart w:id="1" w:name="_Toc361324841"/>
      <w:r w:rsidRPr="00C56D9D">
        <w:rPr>
          <w:rFonts w:eastAsiaTheme="minorEastAsia"/>
          <w:b/>
          <w:color w:val="000000" w:themeColor="text1"/>
          <w:sz w:val="36"/>
          <w:szCs w:val="36"/>
        </w:rPr>
        <w:t>2018</w:t>
      </w:r>
      <w:r w:rsidRPr="00C56D9D">
        <w:rPr>
          <w:rFonts w:eastAsiaTheme="minorEastAsia"/>
          <w:b/>
          <w:color w:val="000000" w:themeColor="text1"/>
          <w:sz w:val="36"/>
          <w:szCs w:val="36"/>
        </w:rPr>
        <w:t>年年度报告</w:t>
      </w:r>
      <w:bookmarkEnd w:id="1"/>
      <w:r w:rsidR="00EA592E">
        <w:rPr>
          <w:rFonts w:eastAsiaTheme="minorEastAsia" w:hint="eastAsia"/>
          <w:b/>
          <w:color w:val="000000" w:themeColor="text1"/>
          <w:sz w:val="36"/>
          <w:szCs w:val="36"/>
        </w:rPr>
        <w:t>摘要</w:t>
      </w:r>
    </w:p>
    <w:p w:rsidR="001A59F9" w:rsidRPr="00C56D9D" w:rsidRDefault="00F64FAD" w:rsidP="00C10D7E">
      <w:pPr>
        <w:spacing w:line="288" w:lineRule="auto"/>
        <w:jc w:val="center"/>
        <w:rPr>
          <w:rFonts w:eastAsiaTheme="minorEastAsia"/>
          <w:color w:val="000000" w:themeColor="text1"/>
          <w:kern w:val="0"/>
          <w:sz w:val="36"/>
          <w:szCs w:val="36"/>
        </w:rPr>
      </w:pPr>
      <w:r w:rsidRPr="00C56D9D">
        <w:rPr>
          <w:rFonts w:eastAsiaTheme="minorEastAsia"/>
          <w:b/>
          <w:color w:val="000000" w:themeColor="text1"/>
          <w:sz w:val="36"/>
          <w:szCs w:val="36"/>
        </w:rPr>
        <w:t>2018</w:t>
      </w:r>
      <w:r w:rsidRPr="00C56D9D">
        <w:rPr>
          <w:rFonts w:eastAsiaTheme="minorEastAsia"/>
          <w:b/>
          <w:color w:val="000000" w:themeColor="text1"/>
          <w:sz w:val="36"/>
          <w:szCs w:val="36"/>
        </w:rPr>
        <w:t>年</w:t>
      </w:r>
      <w:r w:rsidRPr="00C56D9D">
        <w:rPr>
          <w:rFonts w:eastAsiaTheme="minorEastAsia"/>
          <w:b/>
          <w:color w:val="000000" w:themeColor="text1"/>
          <w:sz w:val="36"/>
          <w:szCs w:val="36"/>
        </w:rPr>
        <w:t>12</w:t>
      </w:r>
      <w:r w:rsidRPr="00C56D9D">
        <w:rPr>
          <w:rFonts w:eastAsiaTheme="minorEastAsia"/>
          <w:b/>
          <w:color w:val="000000" w:themeColor="text1"/>
          <w:sz w:val="36"/>
          <w:szCs w:val="36"/>
        </w:rPr>
        <w:t>月</w:t>
      </w:r>
      <w:r w:rsidRPr="00C56D9D">
        <w:rPr>
          <w:rFonts w:eastAsiaTheme="minorEastAsia"/>
          <w:b/>
          <w:color w:val="000000" w:themeColor="text1"/>
          <w:sz w:val="36"/>
          <w:szCs w:val="36"/>
        </w:rPr>
        <w:t>31</w:t>
      </w:r>
      <w:r w:rsidRPr="00C56D9D">
        <w:rPr>
          <w:rFonts w:eastAsiaTheme="minorEastAsia"/>
          <w:b/>
          <w:color w:val="000000" w:themeColor="text1"/>
          <w:sz w:val="36"/>
          <w:szCs w:val="36"/>
        </w:rPr>
        <w:t>日</w:t>
      </w: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bookmarkStart w:id="2" w:name="_GoBack"/>
      <w:bookmarkEnd w:id="2"/>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jc w:val="center"/>
        <w:rPr>
          <w:rFonts w:eastAsiaTheme="minorEastAsia"/>
          <w:b/>
          <w:color w:val="000000" w:themeColor="text1"/>
          <w:szCs w:val="21"/>
        </w:rPr>
      </w:pPr>
    </w:p>
    <w:p w:rsidR="001A59F9" w:rsidRPr="00C56D9D" w:rsidRDefault="001A59F9" w:rsidP="00026C9C">
      <w:pPr>
        <w:spacing w:line="360" w:lineRule="auto"/>
        <w:rPr>
          <w:rFonts w:eastAsiaTheme="minorEastAsia"/>
          <w:b/>
          <w:color w:val="000000" w:themeColor="text1"/>
          <w:szCs w:val="21"/>
        </w:rPr>
      </w:pPr>
    </w:p>
    <w:p w:rsidR="001A59F9" w:rsidRPr="00C56D9D" w:rsidRDefault="001A59F9" w:rsidP="00834CEA">
      <w:pPr>
        <w:spacing w:line="360" w:lineRule="auto"/>
        <w:ind w:firstLineChars="900" w:firstLine="2168"/>
        <w:rPr>
          <w:rFonts w:eastAsiaTheme="minorEastAsia"/>
          <w:color w:val="000000" w:themeColor="text1"/>
          <w:kern w:val="0"/>
          <w:sz w:val="24"/>
        </w:rPr>
      </w:pPr>
      <w:r w:rsidRPr="00C56D9D">
        <w:rPr>
          <w:rFonts w:eastAsiaTheme="minorEastAsia"/>
          <w:b/>
          <w:color w:val="000000" w:themeColor="text1"/>
          <w:sz w:val="24"/>
        </w:rPr>
        <w:t>基金管理人：上投摩根基金管理有限公司</w:t>
      </w:r>
    </w:p>
    <w:p w:rsidR="001A59F9" w:rsidRPr="00C56D9D" w:rsidRDefault="001A59F9" w:rsidP="00834CEA">
      <w:pPr>
        <w:spacing w:line="360" w:lineRule="auto"/>
        <w:ind w:firstLineChars="900" w:firstLine="2168"/>
        <w:rPr>
          <w:rFonts w:eastAsiaTheme="minorEastAsia"/>
          <w:color w:val="000000" w:themeColor="text1"/>
          <w:kern w:val="0"/>
          <w:sz w:val="24"/>
        </w:rPr>
      </w:pPr>
      <w:r w:rsidRPr="00C56D9D">
        <w:rPr>
          <w:rFonts w:eastAsiaTheme="minorEastAsia"/>
          <w:b/>
          <w:color w:val="000000" w:themeColor="text1"/>
          <w:sz w:val="24"/>
        </w:rPr>
        <w:t>基金托管人：平安银行股份有限公司</w:t>
      </w:r>
    </w:p>
    <w:p w:rsidR="001A59F9" w:rsidRPr="00C56D9D" w:rsidRDefault="001A59F9" w:rsidP="00834CEA">
      <w:pPr>
        <w:spacing w:line="360" w:lineRule="auto"/>
        <w:ind w:firstLineChars="900" w:firstLine="2168"/>
        <w:rPr>
          <w:rFonts w:eastAsiaTheme="minorEastAsia"/>
          <w:color w:val="000000" w:themeColor="text1"/>
          <w:sz w:val="24"/>
        </w:rPr>
        <w:sectPr w:rsidR="001A59F9" w:rsidRPr="00C56D9D">
          <w:headerReference w:type="default" r:id="rId8"/>
          <w:pgSz w:w="11926" w:h="15840"/>
          <w:pgMar w:top="1418" w:right="1418" w:bottom="851" w:left="1418" w:header="851" w:footer="992" w:gutter="0"/>
          <w:cols w:space="720"/>
        </w:sectPr>
      </w:pPr>
      <w:r w:rsidRPr="00C56D9D">
        <w:rPr>
          <w:rFonts w:eastAsiaTheme="minorEastAsia"/>
          <w:b/>
          <w:color w:val="000000" w:themeColor="text1"/>
          <w:sz w:val="24"/>
        </w:rPr>
        <w:t>报告送出日期：二〇一九年三月二十七日</w:t>
      </w:r>
    </w:p>
    <w:p w:rsidR="001A59F9" w:rsidRPr="00C56D9D" w:rsidRDefault="001A59F9" w:rsidP="00E34772">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3" w:name="_Toc225498243"/>
      <w:bookmarkStart w:id="4" w:name="_Toc361324842"/>
      <w:bookmarkStart w:id="5" w:name="_Toc374374922"/>
      <w:r w:rsidRPr="00C56D9D">
        <w:rPr>
          <w:rFonts w:eastAsiaTheme="minorEastAsia"/>
          <w:b/>
          <w:bCs/>
          <w:color w:val="000000" w:themeColor="text1"/>
          <w:sz w:val="21"/>
          <w:szCs w:val="21"/>
          <w:lang w:val="en-US"/>
        </w:rPr>
        <w:lastRenderedPageBreak/>
        <w:t xml:space="preserve">§1  </w:t>
      </w:r>
      <w:r w:rsidRPr="00C56D9D">
        <w:rPr>
          <w:rFonts w:eastAsiaTheme="minorEastAsia"/>
          <w:b/>
          <w:bCs/>
          <w:color w:val="000000" w:themeColor="text1"/>
          <w:sz w:val="21"/>
          <w:szCs w:val="21"/>
          <w:lang w:val="en-US"/>
        </w:rPr>
        <w:t>重要提示</w:t>
      </w:r>
      <w:bookmarkEnd w:id="3"/>
      <w:bookmarkEnd w:id="4"/>
      <w:bookmarkEnd w:id="5"/>
    </w:p>
    <w:p w:rsidR="001A59F9" w:rsidRPr="00C56D9D" w:rsidRDefault="001A59F9" w:rsidP="00026C9C">
      <w:pPr>
        <w:pStyle w:val="20"/>
        <w:spacing w:before="0" w:after="0"/>
        <w:rPr>
          <w:rFonts w:ascii="Times New Roman" w:eastAsiaTheme="minorEastAsia" w:hAnsi="Times New Roman"/>
          <w:color w:val="000000" w:themeColor="text1"/>
          <w:kern w:val="0"/>
          <w:sz w:val="21"/>
          <w:szCs w:val="21"/>
        </w:rPr>
      </w:pPr>
      <w:bookmarkStart w:id="6" w:name="_Toc361324843"/>
      <w:bookmarkStart w:id="7" w:name="_Toc374374923"/>
      <w:r w:rsidRPr="00C56D9D">
        <w:rPr>
          <w:rFonts w:ascii="Times New Roman" w:eastAsiaTheme="minorEastAsia" w:hAnsi="Times New Roman"/>
          <w:color w:val="000000" w:themeColor="text1"/>
          <w:kern w:val="0"/>
          <w:sz w:val="21"/>
          <w:szCs w:val="21"/>
        </w:rPr>
        <w:t xml:space="preserve">1.1 </w:t>
      </w:r>
      <w:r w:rsidRPr="00C56D9D">
        <w:rPr>
          <w:rFonts w:ascii="Times New Roman" w:eastAsiaTheme="minorEastAsia" w:hAnsi="Times New Roman"/>
          <w:color w:val="000000" w:themeColor="text1"/>
          <w:kern w:val="0"/>
          <w:sz w:val="21"/>
          <w:szCs w:val="21"/>
        </w:rPr>
        <w:t>重要提示</w:t>
      </w:r>
      <w:bookmarkEnd w:id="6"/>
      <w:bookmarkEnd w:id="7"/>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eastAsiaTheme="minorEastAsia"/>
          <w:color w:val="000000" w:themeColor="text1"/>
          <w:szCs w:val="21"/>
        </w:rPr>
        <w:t xml:space="preserve"> </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基金托管人平安银行股份有限公司根据本基金合同规定，于</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26</w:t>
      </w:r>
      <w:r>
        <w:rPr>
          <w:rFonts w:eastAsiaTheme="minorEastAsia"/>
          <w:color w:val="000000" w:themeColor="text1"/>
          <w:szCs w:val="21"/>
        </w:rPr>
        <w:t>日复核了本报告中的财务指标、净值表现、利润分配情况、财务会计报告、投资组合报告等内容，保证复核内容不存在虚假记载、误导性陈述或者重大遗漏。</w:t>
      </w:r>
      <w:r>
        <w:rPr>
          <w:rFonts w:eastAsiaTheme="minorEastAsia"/>
          <w:color w:val="000000" w:themeColor="text1"/>
          <w:szCs w:val="21"/>
        </w:rPr>
        <w:t xml:space="preserve"> </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基金的过往业绩并不代表其未来表现。投资有风险，投资者在作出投资决策前应仔细阅读本基金的招募说明书及其更新。</w:t>
      </w:r>
    </w:p>
    <w:p w:rsidR="00EA592E" w:rsidRPr="00EA592E" w:rsidRDefault="00EA592E">
      <w:pPr>
        <w:spacing w:line="360" w:lineRule="auto"/>
        <w:ind w:firstLineChars="200" w:firstLine="420"/>
        <w:rPr>
          <w:rFonts w:eastAsiaTheme="minorEastAsia"/>
          <w:color w:val="000000" w:themeColor="text1"/>
          <w:szCs w:val="21"/>
        </w:rPr>
      </w:pPr>
      <w:r w:rsidRPr="00EA592E">
        <w:rPr>
          <w:rFonts w:eastAsiaTheme="minorEastAsia" w:hint="eastAsia"/>
          <w:color w:val="000000" w:themeColor="text1"/>
          <w:szCs w:val="21"/>
        </w:rPr>
        <w:t>本年度报告摘要摘自年度报告正文，投资者欲了解详细内容，应阅读年度报告正文。</w:t>
      </w:r>
    </w:p>
    <w:p w:rsidR="001A59F9" w:rsidRPr="00C56D9D" w:rsidRDefault="001A59F9" w:rsidP="00EF6E92">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本报告期自</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日起至</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日止。</w:t>
      </w:r>
    </w:p>
    <w:p w:rsidR="009F31C5" w:rsidRPr="00D644F0" w:rsidRDefault="001A59F9" w:rsidP="009F31C5">
      <w:pPr>
        <w:spacing w:line="360" w:lineRule="auto"/>
        <w:ind w:firstLineChars="50" w:firstLine="105"/>
        <w:rPr>
          <w:rFonts w:eastAsiaTheme="minorEastAsia"/>
          <w:color w:val="000000" w:themeColor="text1"/>
          <w:szCs w:val="21"/>
        </w:rPr>
      </w:pPr>
      <w:r w:rsidRPr="00C56D9D">
        <w:rPr>
          <w:rFonts w:eastAsiaTheme="minorEastAsia"/>
          <w:color w:val="000000" w:themeColor="text1"/>
          <w:szCs w:val="21"/>
        </w:rPr>
        <w:br w:type="page"/>
      </w:r>
    </w:p>
    <w:p w:rsidR="001A59F9" w:rsidRPr="00D644F0" w:rsidRDefault="001A59F9" w:rsidP="00D644F0">
      <w:pPr>
        <w:spacing w:line="360" w:lineRule="auto"/>
        <w:ind w:firstLineChars="200" w:firstLine="420"/>
        <w:rPr>
          <w:rFonts w:eastAsiaTheme="minorEastAsia"/>
          <w:color w:val="000000" w:themeColor="text1"/>
          <w:szCs w:val="21"/>
        </w:rPr>
      </w:pPr>
    </w:p>
    <w:p w:rsidR="001A59F9" w:rsidRPr="00C56D9D" w:rsidRDefault="001A59F9" w:rsidP="00E34772">
      <w:pPr>
        <w:pStyle w:val="1"/>
        <w:keepNext/>
        <w:keepLines/>
        <w:widowControl w:val="0"/>
        <w:spacing w:beforeLines="100" w:before="312" w:afterLines="100" w:after="312" w:line="360" w:lineRule="auto"/>
        <w:jc w:val="center"/>
        <w:rPr>
          <w:rFonts w:eastAsiaTheme="minorEastAsia"/>
          <w:color w:val="000000" w:themeColor="text1"/>
          <w:sz w:val="21"/>
          <w:szCs w:val="21"/>
          <w:lang w:val="en-US"/>
        </w:rPr>
      </w:pPr>
      <w:bookmarkStart w:id="8" w:name="_Toc225498244"/>
      <w:bookmarkStart w:id="9" w:name="_Toc361324844"/>
      <w:bookmarkStart w:id="10" w:name="_Toc374374924"/>
      <w:r w:rsidRPr="00C56D9D">
        <w:rPr>
          <w:rFonts w:eastAsiaTheme="minorEastAsia"/>
          <w:b/>
          <w:bCs/>
          <w:color w:val="000000" w:themeColor="text1"/>
          <w:sz w:val="21"/>
          <w:szCs w:val="21"/>
          <w:lang w:val="en-US"/>
        </w:rPr>
        <w:t xml:space="preserve">§2  </w:t>
      </w:r>
      <w:r w:rsidRPr="00C56D9D">
        <w:rPr>
          <w:rFonts w:eastAsiaTheme="minorEastAsia"/>
          <w:b/>
          <w:bCs/>
          <w:color w:val="000000" w:themeColor="text1"/>
          <w:sz w:val="21"/>
          <w:szCs w:val="21"/>
          <w:lang w:val="en-US"/>
        </w:rPr>
        <w:t>基金简介</w:t>
      </w:r>
      <w:bookmarkEnd w:id="8"/>
      <w:bookmarkEnd w:id="9"/>
      <w:bookmarkEnd w:id="10"/>
    </w:p>
    <w:p w:rsidR="001A59F9" w:rsidRPr="00C56D9D" w:rsidRDefault="001A59F9" w:rsidP="00976A4D">
      <w:pPr>
        <w:pStyle w:val="20"/>
        <w:spacing w:before="0" w:after="0"/>
        <w:rPr>
          <w:rFonts w:ascii="Times New Roman" w:eastAsiaTheme="minorEastAsia" w:hAnsi="Times New Roman"/>
          <w:color w:val="000000" w:themeColor="text1"/>
          <w:kern w:val="0"/>
          <w:sz w:val="21"/>
          <w:szCs w:val="21"/>
        </w:rPr>
      </w:pPr>
      <w:bookmarkStart w:id="11" w:name="_Toc361324845"/>
      <w:bookmarkStart w:id="12" w:name="_Toc374374925"/>
      <w:r w:rsidRPr="00C56D9D">
        <w:rPr>
          <w:rFonts w:ascii="Times New Roman" w:eastAsiaTheme="minorEastAsia" w:hAnsi="Times New Roman"/>
          <w:color w:val="000000" w:themeColor="text1"/>
          <w:kern w:val="0"/>
          <w:sz w:val="21"/>
          <w:szCs w:val="21"/>
        </w:rPr>
        <w:t>2.1</w:t>
      </w:r>
      <w:r w:rsidR="00057665"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基金基本情况</w:t>
      </w:r>
      <w:bookmarkEnd w:id="11"/>
      <w:bookmarkEnd w:id="1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2664"/>
        <w:gridCol w:w="2553"/>
      </w:tblGrid>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基金简称</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基金主代码</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004203</w:t>
            </w:r>
          </w:p>
        </w:tc>
      </w:tr>
      <w:tr w:rsidR="00C56D9D" w:rsidRPr="00C56D9D" w:rsidTr="00116B7D">
        <w:tc>
          <w:tcPr>
            <w:tcW w:w="3258" w:type="dxa"/>
            <w:vAlign w:val="center"/>
          </w:tcPr>
          <w:p w:rsidR="00FE5EB7" w:rsidRPr="00C56D9D" w:rsidRDefault="00FE5EB7" w:rsidP="00CF6911">
            <w:pPr>
              <w:spacing w:line="360" w:lineRule="auto"/>
              <w:rPr>
                <w:rFonts w:eastAsiaTheme="minorEastAsia"/>
                <w:color w:val="000000" w:themeColor="text1"/>
                <w:szCs w:val="21"/>
              </w:rPr>
            </w:pPr>
            <w:r w:rsidRPr="00C56D9D">
              <w:rPr>
                <w:rFonts w:eastAsiaTheme="minorEastAsia"/>
                <w:color w:val="000000" w:themeColor="text1"/>
                <w:kern w:val="0"/>
                <w:szCs w:val="21"/>
              </w:rPr>
              <w:t>交易代码</w:t>
            </w:r>
          </w:p>
        </w:tc>
        <w:tc>
          <w:tcPr>
            <w:tcW w:w="5217" w:type="dxa"/>
            <w:gridSpan w:val="2"/>
            <w:vAlign w:val="center"/>
          </w:tcPr>
          <w:p w:rsidR="00FE5EB7" w:rsidRPr="00C56D9D" w:rsidRDefault="00FE5EB7"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004203</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基金运作方式</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契约型定期开放式</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基金合同生效日</w:t>
            </w:r>
          </w:p>
        </w:tc>
        <w:tc>
          <w:tcPr>
            <w:tcW w:w="5217" w:type="dxa"/>
            <w:gridSpan w:val="2"/>
            <w:vAlign w:val="center"/>
          </w:tcPr>
          <w:p w:rsidR="001A59F9" w:rsidRPr="00C56D9D" w:rsidRDefault="00146153"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基金管理人</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上投摩根基金管理有限公司</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基金托管人</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平安银行股份有限公司</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报告期末基金份额总额</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37,452,613.39</w:t>
            </w:r>
            <w:r w:rsidRPr="00C56D9D">
              <w:rPr>
                <w:rFonts w:eastAsiaTheme="minorEastAsia"/>
                <w:color w:val="000000" w:themeColor="text1"/>
                <w:szCs w:val="21"/>
              </w:rPr>
              <w:t>份</w:t>
            </w:r>
          </w:p>
        </w:tc>
      </w:tr>
      <w:tr w:rsidR="00C56D9D" w:rsidRPr="00C56D9D" w:rsidTr="00116B7D">
        <w:tc>
          <w:tcPr>
            <w:tcW w:w="3258" w:type="dxa"/>
            <w:vAlign w:val="center"/>
          </w:tcPr>
          <w:p w:rsidR="001A59F9" w:rsidRPr="00C56D9D" w:rsidRDefault="001A59F9" w:rsidP="00CF6911">
            <w:pPr>
              <w:spacing w:line="360" w:lineRule="auto"/>
              <w:rPr>
                <w:rFonts w:eastAsiaTheme="minorEastAsia"/>
                <w:color w:val="000000" w:themeColor="text1"/>
                <w:kern w:val="0"/>
                <w:szCs w:val="21"/>
              </w:rPr>
            </w:pPr>
            <w:r w:rsidRPr="00C56D9D">
              <w:rPr>
                <w:rFonts w:eastAsiaTheme="minorEastAsia"/>
                <w:color w:val="000000" w:themeColor="text1"/>
                <w:szCs w:val="21"/>
              </w:rPr>
              <w:t>基金合同存续期</w:t>
            </w:r>
          </w:p>
        </w:tc>
        <w:tc>
          <w:tcPr>
            <w:tcW w:w="5217" w:type="dxa"/>
            <w:gridSpan w:val="2"/>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不定期</w:t>
            </w:r>
          </w:p>
        </w:tc>
      </w:tr>
      <w:tr w:rsidR="00C56D9D" w:rsidRPr="00C56D9D" w:rsidTr="00116B7D">
        <w:trPr>
          <w:trHeight w:val="369"/>
        </w:trPr>
        <w:tc>
          <w:tcPr>
            <w:tcW w:w="3258" w:type="dxa"/>
            <w:vAlign w:val="center"/>
          </w:tcPr>
          <w:p w:rsidR="001A59F9" w:rsidRPr="00C56D9D" w:rsidRDefault="001A59F9" w:rsidP="00CF6911">
            <w:pPr>
              <w:spacing w:line="360" w:lineRule="auto"/>
              <w:rPr>
                <w:rFonts w:eastAsiaTheme="minorEastAsia"/>
                <w:color w:val="000000" w:themeColor="text1"/>
                <w:szCs w:val="21"/>
              </w:rPr>
            </w:pPr>
            <w:r w:rsidRPr="00C56D9D">
              <w:rPr>
                <w:rFonts w:eastAsiaTheme="minorEastAsia"/>
                <w:color w:val="000000" w:themeColor="text1"/>
                <w:szCs w:val="21"/>
              </w:rPr>
              <w:t>下属分级基金的基金简称</w:t>
            </w:r>
          </w:p>
        </w:tc>
        <w:tc>
          <w:tcPr>
            <w:tcW w:w="2664"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2553"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r>
      <w:tr w:rsidR="00C56D9D" w:rsidRPr="00C56D9D" w:rsidTr="00116B7D">
        <w:trPr>
          <w:trHeight w:val="369"/>
        </w:trPr>
        <w:tc>
          <w:tcPr>
            <w:tcW w:w="3258" w:type="dxa"/>
            <w:vAlign w:val="center"/>
          </w:tcPr>
          <w:p w:rsidR="001A59F9" w:rsidRPr="00C56D9D" w:rsidRDefault="001A59F9" w:rsidP="00CF6911">
            <w:pPr>
              <w:spacing w:line="360" w:lineRule="auto"/>
              <w:rPr>
                <w:rFonts w:eastAsiaTheme="minorEastAsia"/>
                <w:color w:val="000000" w:themeColor="text1"/>
                <w:szCs w:val="21"/>
              </w:rPr>
            </w:pPr>
            <w:r w:rsidRPr="00C56D9D">
              <w:rPr>
                <w:rFonts w:eastAsiaTheme="minorEastAsia"/>
                <w:color w:val="000000" w:themeColor="text1"/>
                <w:szCs w:val="21"/>
              </w:rPr>
              <w:t>下属分级基金的交易代码</w:t>
            </w:r>
          </w:p>
        </w:tc>
        <w:tc>
          <w:tcPr>
            <w:tcW w:w="2664"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004203</w:t>
            </w:r>
          </w:p>
        </w:tc>
        <w:tc>
          <w:tcPr>
            <w:tcW w:w="2553"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004204</w:t>
            </w:r>
          </w:p>
        </w:tc>
      </w:tr>
      <w:tr w:rsidR="00C56D9D" w:rsidRPr="00C56D9D" w:rsidTr="00116B7D">
        <w:trPr>
          <w:trHeight w:val="369"/>
        </w:trPr>
        <w:tc>
          <w:tcPr>
            <w:tcW w:w="3258" w:type="dxa"/>
            <w:vAlign w:val="center"/>
          </w:tcPr>
          <w:p w:rsidR="001A59F9" w:rsidRPr="00C56D9D" w:rsidRDefault="001A59F9" w:rsidP="00CF6911">
            <w:pPr>
              <w:spacing w:line="360" w:lineRule="auto"/>
              <w:rPr>
                <w:rFonts w:eastAsiaTheme="minorEastAsia"/>
                <w:color w:val="000000" w:themeColor="text1"/>
                <w:szCs w:val="21"/>
              </w:rPr>
            </w:pPr>
            <w:r w:rsidRPr="00C56D9D">
              <w:rPr>
                <w:rFonts w:eastAsiaTheme="minorEastAsia"/>
                <w:color w:val="000000" w:themeColor="text1"/>
                <w:szCs w:val="21"/>
              </w:rPr>
              <w:t>报告期末下属分级基金的份额总额</w:t>
            </w:r>
          </w:p>
        </w:tc>
        <w:tc>
          <w:tcPr>
            <w:tcW w:w="2664"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35,800,354.70</w:t>
            </w:r>
            <w:r w:rsidRPr="00C56D9D">
              <w:rPr>
                <w:rFonts w:eastAsiaTheme="minorEastAsia"/>
                <w:color w:val="000000" w:themeColor="text1"/>
                <w:szCs w:val="21"/>
              </w:rPr>
              <w:t>份</w:t>
            </w:r>
          </w:p>
        </w:tc>
        <w:tc>
          <w:tcPr>
            <w:tcW w:w="2553" w:type="dxa"/>
            <w:vAlign w:val="center"/>
          </w:tcPr>
          <w:p w:rsidR="001A59F9" w:rsidRPr="00C56D9D" w:rsidRDefault="001A59F9" w:rsidP="008867EA">
            <w:pPr>
              <w:spacing w:line="360" w:lineRule="auto"/>
              <w:jc w:val="center"/>
              <w:rPr>
                <w:rFonts w:eastAsiaTheme="minorEastAsia"/>
                <w:color w:val="000000" w:themeColor="text1"/>
                <w:szCs w:val="21"/>
              </w:rPr>
            </w:pPr>
            <w:r w:rsidRPr="00C56D9D">
              <w:rPr>
                <w:rFonts w:eastAsiaTheme="minorEastAsia"/>
                <w:color w:val="000000" w:themeColor="text1"/>
                <w:szCs w:val="21"/>
              </w:rPr>
              <w:t>1,652,258.69</w:t>
            </w:r>
            <w:r w:rsidRPr="00C56D9D">
              <w:rPr>
                <w:rFonts w:eastAsiaTheme="minorEastAsia"/>
                <w:color w:val="000000" w:themeColor="text1"/>
                <w:szCs w:val="21"/>
              </w:rPr>
              <w:t>份</w:t>
            </w:r>
          </w:p>
        </w:tc>
      </w:tr>
    </w:tbl>
    <w:p w:rsidR="001A59F9" w:rsidRPr="00C56D9D" w:rsidRDefault="001A59F9" w:rsidP="00E34772">
      <w:pPr>
        <w:pStyle w:val="20"/>
        <w:spacing w:beforeLines="100" w:before="312" w:after="0"/>
        <w:rPr>
          <w:rFonts w:ascii="Times New Roman" w:eastAsiaTheme="minorEastAsia" w:hAnsi="Times New Roman"/>
          <w:color w:val="000000" w:themeColor="text1"/>
          <w:sz w:val="21"/>
          <w:szCs w:val="21"/>
        </w:rPr>
      </w:pPr>
      <w:bookmarkStart w:id="13" w:name="_Toc361324846"/>
      <w:bookmarkStart w:id="14" w:name="_Toc374374926"/>
      <w:r w:rsidRPr="00C56D9D">
        <w:rPr>
          <w:rFonts w:ascii="Times New Roman" w:eastAsiaTheme="minorEastAsia" w:hAnsi="Times New Roman"/>
          <w:color w:val="000000" w:themeColor="text1"/>
          <w:kern w:val="0"/>
          <w:sz w:val="21"/>
          <w:szCs w:val="21"/>
        </w:rPr>
        <w:t xml:space="preserve">2.2 </w:t>
      </w:r>
      <w:r w:rsidRPr="00C56D9D">
        <w:rPr>
          <w:rFonts w:ascii="Times New Roman" w:eastAsiaTheme="minorEastAsia" w:hAnsi="Times New Roman"/>
          <w:color w:val="000000" w:themeColor="text1"/>
          <w:sz w:val="21"/>
          <w:szCs w:val="21"/>
        </w:rPr>
        <w:t>基金产品说明</w:t>
      </w:r>
      <w:bookmarkEnd w:id="13"/>
      <w:bookmarkEnd w:id="1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6732"/>
      </w:tblGrid>
      <w:tr w:rsidR="00C56D9D" w:rsidRPr="00C56D9D" w:rsidTr="00561E64">
        <w:tc>
          <w:tcPr>
            <w:tcW w:w="2268"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投资目标</w:t>
            </w:r>
          </w:p>
        </w:tc>
        <w:tc>
          <w:tcPr>
            <w:tcW w:w="673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在合理充分的定量分析及定性研究基础上，在风险可控的原则下，通过参与固定收益类资产的投资封闭运作，力争获取超越基准的稳健回报。</w:t>
            </w:r>
          </w:p>
        </w:tc>
      </w:tr>
      <w:tr w:rsidR="00C56D9D" w:rsidRPr="00C56D9D" w:rsidTr="00561E64">
        <w:tc>
          <w:tcPr>
            <w:tcW w:w="2268"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投资策略</w:t>
            </w:r>
          </w:p>
        </w:tc>
        <w:tc>
          <w:tcPr>
            <w:tcW w:w="6732" w:type="dxa"/>
            <w:vAlign w:val="center"/>
          </w:tcPr>
          <w:p w:rsidR="00C133DD" w:rsidRDefault="00157FC2">
            <w:pPr>
              <w:spacing w:line="360" w:lineRule="auto"/>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、债券类属配置策略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、久期管理策略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本基金将基于对市场利率的变化趋势的预判，相应的调整债券组合的久</w:t>
            </w:r>
            <w:r>
              <w:rPr>
                <w:rFonts w:eastAsiaTheme="minorEastAsia"/>
                <w:color w:val="000000" w:themeColor="text1"/>
                <w:szCs w:val="21"/>
              </w:rPr>
              <w:lastRenderedPageBreak/>
              <w:t>期。本基金通过对影响债券投资的宏观经济变量和宏观经济政策等因素的综合分析，预测未来的市场利率的变动趋势，判断债券市场对上述因素及其变化的反应，并据此积极调整债券组合的久期。</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、收益率曲线策略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、信用策略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将深入挖掘信用债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5</w:t>
            </w:r>
            <w:r>
              <w:rPr>
                <w:rFonts w:eastAsiaTheme="minorEastAsia"/>
                <w:color w:val="000000" w:themeColor="text1"/>
                <w:szCs w:val="21"/>
              </w:rPr>
              <w:t>、回购策略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将通过对回购利率和现券收益率以及其他投资品种收益率的比较，通过回购融入短期资金滚动操作，投资于收益率高于回购成本的债券以及其他获利机会，从而获得杠杆放大收益，并根据市场利率水平以及对利率期限结构的预期等，对回购放大的杠杆比例适时进行调整。</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6</w:t>
            </w:r>
            <w:r>
              <w:rPr>
                <w:rFonts w:eastAsiaTheme="minorEastAsia"/>
                <w:color w:val="000000" w:themeColor="text1"/>
                <w:szCs w:val="21"/>
              </w:rPr>
              <w:t>、中小企业私募债券投资策略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本基金投资中小企业私募债券，基金管理人将根据审慎原则，制定严格的投资决策流程、风险控制制度和信用风险、流动性风险处置预案，以防范信用风险、流动性风险等各种风险。</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7</w:t>
            </w:r>
            <w:r>
              <w:rPr>
                <w:rFonts w:eastAsiaTheme="minorEastAsia"/>
                <w:color w:val="000000" w:themeColor="text1"/>
                <w:szCs w:val="21"/>
              </w:rPr>
              <w:t>、资产支持证券投资策略</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本基金将在严格控制组合投资风险的前提下投资于资产支持证券。本基金综合考虑市场利率、发行条款、支持资产的构成及质量等因素，在严格控制风险的情况下，确定资产合理配置比例，在保证资产安全性的前提条件下，以期获得长期稳定收益。</w:t>
            </w:r>
          </w:p>
          <w:p w:rsidR="00C133DD" w:rsidRDefault="00157FC2">
            <w:pPr>
              <w:spacing w:line="360" w:lineRule="auto"/>
              <w:rPr>
                <w:rFonts w:eastAsiaTheme="minorEastAsia"/>
                <w:color w:val="000000" w:themeColor="text1"/>
                <w:szCs w:val="21"/>
              </w:rPr>
            </w:pPr>
            <w:r>
              <w:rPr>
                <w:rFonts w:eastAsiaTheme="minorEastAsia"/>
                <w:color w:val="000000" w:themeColor="text1"/>
                <w:szCs w:val="21"/>
              </w:rPr>
              <w:t>8</w:t>
            </w:r>
            <w:r>
              <w:rPr>
                <w:rFonts w:eastAsiaTheme="minorEastAsia"/>
                <w:color w:val="000000" w:themeColor="text1"/>
                <w:szCs w:val="21"/>
              </w:rPr>
              <w:t>、证券公司短期公司债券投资策略</w:t>
            </w:r>
          </w:p>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lastRenderedPageBreak/>
              <w:t>本基金投资证券公司短期公司债券，将主要从自上而下判断景气周期和自下而上精选标的两个角度出发，结合信用分析和信用评估进行，同时通过有纪律的风险监控实现对投资组合风险的有效管理。</w:t>
            </w:r>
          </w:p>
        </w:tc>
      </w:tr>
      <w:tr w:rsidR="00C56D9D" w:rsidRPr="00C56D9D" w:rsidTr="00561E64">
        <w:tc>
          <w:tcPr>
            <w:tcW w:w="2268"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lastRenderedPageBreak/>
              <w:t>业绩比较基准</w:t>
            </w:r>
          </w:p>
        </w:tc>
        <w:tc>
          <w:tcPr>
            <w:tcW w:w="673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中债总指数</w:t>
            </w:r>
          </w:p>
        </w:tc>
      </w:tr>
      <w:tr w:rsidR="00C56D9D" w:rsidRPr="00C56D9D" w:rsidTr="00561E64">
        <w:tc>
          <w:tcPr>
            <w:tcW w:w="2268"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风险收益特征</w:t>
            </w:r>
          </w:p>
        </w:tc>
        <w:tc>
          <w:tcPr>
            <w:tcW w:w="6732"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本基金为债券型基金，属于证券投资基金中的较低风险品种，预期风险和预期收益高于货币市场基金，低于混合型基金和股票型基金。本基金风险收益特征会定期评估并在公司网站发布，请投资者关注。</w:t>
            </w:r>
          </w:p>
        </w:tc>
      </w:tr>
    </w:tbl>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15" w:name="_Toc225498247"/>
      <w:bookmarkStart w:id="16" w:name="_Toc361324847"/>
      <w:bookmarkStart w:id="17" w:name="_Toc374374927"/>
      <w:r w:rsidRPr="00C56D9D">
        <w:rPr>
          <w:rFonts w:ascii="Times New Roman" w:eastAsiaTheme="minorEastAsia" w:hAnsi="Times New Roman"/>
          <w:color w:val="000000" w:themeColor="text1"/>
          <w:kern w:val="0"/>
          <w:sz w:val="21"/>
          <w:szCs w:val="21"/>
        </w:rPr>
        <w:t xml:space="preserve">2.3 </w:t>
      </w:r>
      <w:r w:rsidRPr="00C56D9D">
        <w:rPr>
          <w:rFonts w:ascii="Times New Roman" w:eastAsiaTheme="minorEastAsia" w:hAnsi="Times New Roman"/>
          <w:color w:val="000000" w:themeColor="text1"/>
          <w:kern w:val="0"/>
          <w:sz w:val="21"/>
          <w:szCs w:val="21"/>
        </w:rPr>
        <w:t>基金管理人和基金托管人</w:t>
      </w:r>
      <w:bookmarkEnd w:id="15"/>
      <w:bookmarkEnd w:id="16"/>
      <w:bookmarkEnd w:id="1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C56D9D" w:rsidRPr="00C56D9D" w:rsidTr="00370FB7">
        <w:tc>
          <w:tcPr>
            <w:tcW w:w="2631" w:type="dxa"/>
            <w:gridSpan w:val="2"/>
            <w:vAlign w:val="center"/>
          </w:tcPr>
          <w:p w:rsidR="001A59F9" w:rsidRPr="00C56D9D" w:rsidRDefault="001A59F9" w:rsidP="00026C9C">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项目</w:t>
            </w:r>
          </w:p>
        </w:tc>
        <w:tc>
          <w:tcPr>
            <w:tcW w:w="3060" w:type="dxa"/>
            <w:vAlign w:val="center"/>
          </w:tcPr>
          <w:p w:rsidR="001A59F9" w:rsidRPr="00C56D9D" w:rsidRDefault="001A59F9" w:rsidP="00370FB7">
            <w:pPr>
              <w:spacing w:line="360" w:lineRule="auto"/>
              <w:jc w:val="center"/>
              <w:rPr>
                <w:rFonts w:eastAsiaTheme="minorEastAsia"/>
                <w:color w:val="000000" w:themeColor="text1"/>
                <w:szCs w:val="21"/>
              </w:rPr>
            </w:pPr>
            <w:r w:rsidRPr="00C56D9D">
              <w:rPr>
                <w:rFonts w:eastAsiaTheme="minorEastAsia"/>
                <w:color w:val="000000" w:themeColor="text1"/>
                <w:szCs w:val="21"/>
              </w:rPr>
              <w:t>基金管理人</w:t>
            </w:r>
          </w:p>
        </w:tc>
        <w:tc>
          <w:tcPr>
            <w:tcW w:w="3060" w:type="dxa"/>
            <w:vAlign w:val="center"/>
          </w:tcPr>
          <w:p w:rsidR="001A59F9" w:rsidRPr="00C56D9D" w:rsidRDefault="001A59F9" w:rsidP="00370FB7">
            <w:pPr>
              <w:spacing w:line="360" w:lineRule="auto"/>
              <w:jc w:val="center"/>
              <w:rPr>
                <w:rFonts w:eastAsiaTheme="minorEastAsia"/>
                <w:color w:val="000000" w:themeColor="text1"/>
                <w:szCs w:val="21"/>
              </w:rPr>
            </w:pPr>
            <w:r w:rsidRPr="00C56D9D">
              <w:rPr>
                <w:rFonts w:eastAsiaTheme="minorEastAsia"/>
                <w:color w:val="000000" w:themeColor="text1"/>
                <w:szCs w:val="21"/>
              </w:rPr>
              <w:t>基金托管人</w:t>
            </w:r>
          </w:p>
        </w:tc>
      </w:tr>
      <w:tr w:rsidR="00C56D9D" w:rsidRPr="00C56D9D" w:rsidTr="00370FB7">
        <w:tc>
          <w:tcPr>
            <w:tcW w:w="2631" w:type="dxa"/>
            <w:gridSpan w:val="2"/>
            <w:vAlign w:val="center"/>
          </w:tcPr>
          <w:p w:rsidR="001A59F9" w:rsidRPr="00C56D9D" w:rsidRDefault="001A59F9" w:rsidP="00026C9C">
            <w:pPr>
              <w:autoSpaceDE w:val="0"/>
              <w:autoSpaceDN w:val="0"/>
              <w:adjustRightInd w:val="0"/>
              <w:spacing w:before="29" w:line="360" w:lineRule="auto"/>
              <w:ind w:left="15"/>
              <w:rPr>
                <w:rFonts w:eastAsiaTheme="minorEastAsia"/>
                <w:color w:val="000000" w:themeColor="text1"/>
                <w:kern w:val="0"/>
                <w:szCs w:val="21"/>
              </w:rPr>
            </w:pPr>
            <w:r w:rsidRPr="00C56D9D">
              <w:rPr>
                <w:rFonts w:eastAsiaTheme="minorEastAsia"/>
                <w:color w:val="000000" w:themeColor="text1"/>
                <w:kern w:val="0"/>
                <w:szCs w:val="21"/>
              </w:rPr>
              <w:t>名称</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上投摩根基金管理有限公司</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平安银行股份有限公司</w:t>
            </w:r>
          </w:p>
        </w:tc>
      </w:tr>
      <w:tr w:rsidR="00C56D9D" w:rsidRPr="00C56D9D" w:rsidTr="00370FB7">
        <w:tc>
          <w:tcPr>
            <w:tcW w:w="1260" w:type="dxa"/>
            <w:vMerge w:val="restart"/>
            <w:vAlign w:val="center"/>
          </w:tcPr>
          <w:p w:rsidR="001A59F9" w:rsidRPr="00C56D9D" w:rsidRDefault="001A59F9" w:rsidP="00026C9C">
            <w:pPr>
              <w:autoSpaceDE w:val="0"/>
              <w:autoSpaceDN w:val="0"/>
              <w:adjustRightInd w:val="0"/>
              <w:spacing w:before="29" w:line="360" w:lineRule="auto"/>
              <w:ind w:left="15"/>
              <w:rPr>
                <w:rFonts w:eastAsiaTheme="minorEastAsia"/>
                <w:color w:val="000000" w:themeColor="text1"/>
                <w:kern w:val="0"/>
                <w:szCs w:val="21"/>
              </w:rPr>
            </w:pPr>
            <w:r w:rsidRPr="00C56D9D">
              <w:rPr>
                <w:rFonts w:eastAsiaTheme="minorEastAsia"/>
                <w:color w:val="000000" w:themeColor="text1"/>
                <w:szCs w:val="21"/>
              </w:rPr>
              <w:t>信息披露负责人</w:t>
            </w:r>
          </w:p>
        </w:tc>
        <w:tc>
          <w:tcPr>
            <w:tcW w:w="1371"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姓名</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胡迪</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李帅帅</w:t>
            </w:r>
          </w:p>
        </w:tc>
      </w:tr>
      <w:tr w:rsidR="00C56D9D" w:rsidRPr="00C56D9D" w:rsidTr="009F31C5">
        <w:tc>
          <w:tcPr>
            <w:tcW w:w="1260" w:type="dxa"/>
            <w:vMerge/>
            <w:vAlign w:val="center"/>
          </w:tcPr>
          <w:p w:rsidR="001A59F9" w:rsidRPr="00C56D9D" w:rsidRDefault="001A59F9" w:rsidP="00026C9C">
            <w:pPr>
              <w:widowControl/>
              <w:spacing w:line="360" w:lineRule="auto"/>
              <w:jc w:val="left"/>
              <w:rPr>
                <w:rFonts w:eastAsiaTheme="minorEastAsia"/>
                <w:color w:val="000000" w:themeColor="text1"/>
                <w:kern w:val="0"/>
                <w:szCs w:val="21"/>
              </w:rPr>
            </w:pPr>
          </w:p>
        </w:tc>
        <w:tc>
          <w:tcPr>
            <w:tcW w:w="1371" w:type="dxa"/>
            <w:vAlign w:val="center"/>
          </w:tcPr>
          <w:p w:rsidR="001A59F9" w:rsidRPr="00C56D9D" w:rsidRDefault="001A59F9" w:rsidP="00026C9C">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szCs w:val="21"/>
              </w:rPr>
              <w:t>联系电话</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021-38794888</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0755-25878287</w:t>
            </w:r>
          </w:p>
        </w:tc>
      </w:tr>
      <w:tr w:rsidR="00C56D9D" w:rsidRPr="00C56D9D" w:rsidTr="009F31C5">
        <w:tc>
          <w:tcPr>
            <w:tcW w:w="1260" w:type="dxa"/>
            <w:vMerge/>
            <w:vAlign w:val="center"/>
          </w:tcPr>
          <w:p w:rsidR="001A59F9" w:rsidRPr="00C56D9D" w:rsidRDefault="001A59F9" w:rsidP="00026C9C">
            <w:pPr>
              <w:widowControl/>
              <w:spacing w:line="360" w:lineRule="auto"/>
              <w:jc w:val="left"/>
              <w:rPr>
                <w:rFonts w:eastAsiaTheme="minorEastAsia"/>
                <w:color w:val="000000" w:themeColor="text1"/>
                <w:kern w:val="0"/>
                <w:szCs w:val="21"/>
              </w:rPr>
            </w:pPr>
          </w:p>
        </w:tc>
        <w:tc>
          <w:tcPr>
            <w:tcW w:w="1371" w:type="dxa"/>
            <w:vAlign w:val="center"/>
          </w:tcPr>
          <w:p w:rsidR="001A59F9" w:rsidRPr="00C56D9D" w:rsidRDefault="001A59F9" w:rsidP="00026C9C">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szCs w:val="21"/>
              </w:rPr>
              <w:t>电子邮箱</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services@cifm.com</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LISHUAISHUAI130@pingan.com.cn</w:t>
            </w:r>
          </w:p>
        </w:tc>
      </w:tr>
      <w:tr w:rsidR="00C56D9D" w:rsidRPr="00C56D9D" w:rsidTr="00370FB7">
        <w:tc>
          <w:tcPr>
            <w:tcW w:w="2631" w:type="dxa"/>
            <w:gridSpan w:val="2"/>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客户服务电话</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400-889-4888</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95511-3</w:t>
            </w:r>
          </w:p>
        </w:tc>
      </w:tr>
      <w:tr w:rsidR="00C56D9D" w:rsidRPr="00C56D9D" w:rsidTr="00370FB7">
        <w:tc>
          <w:tcPr>
            <w:tcW w:w="2631" w:type="dxa"/>
            <w:gridSpan w:val="2"/>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传真</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021-20628400</w:t>
            </w:r>
          </w:p>
        </w:tc>
        <w:tc>
          <w:tcPr>
            <w:tcW w:w="3060" w:type="dxa"/>
            <w:vAlign w:val="center"/>
          </w:tcPr>
          <w:p w:rsidR="001A59F9" w:rsidRPr="00C56D9D" w:rsidRDefault="001A59F9" w:rsidP="00370FB7">
            <w:pPr>
              <w:autoSpaceDE w:val="0"/>
              <w:autoSpaceDN w:val="0"/>
              <w:adjustRightInd w:val="0"/>
              <w:spacing w:before="29" w:line="360" w:lineRule="auto"/>
              <w:ind w:left="15"/>
              <w:jc w:val="center"/>
              <w:rPr>
                <w:rFonts w:eastAsiaTheme="minorEastAsia"/>
                <w:color w:val="000000" w:themeColor="text1"/>
                <w:kern w:val="0"/>
                <w:szCs w:val="21"/>
              </w:rPr>
            </w:pPr>
            <w:r w:rsidRPr="00C56D9D">
              <w:rPr>
                <w:rFonts w:eastAsiaTheme="minorEastAsia"/>
                <w:color w:val="000000" w:themeColor="text1"/>
                <w:kern w:val="0"/>
                <w:szCs w:val="21"/>
              </w:rPr>
              <w:t>0755-82080387</w:t>
            </w:r>
          </w:p>
        </w:tc>
      </w:tr>
    </w:tbl>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18" w:name="_Toc225498248"/>
      <w:bookmarkStart w:id="19" w:name="_Toc361324848"/>
      <w:bookmarkStart w:id="20" w:name="_Toc374374928"/>
      <w:r w:rsidRPr="00C56D9D">
        <w:rPr>
          <w:rFonts w:ascii="Times New Roman" w:eastAsiaTheme="minorEastAsia" w:hAnsi="Times New Roman"/>
          <w:color w:val="000000" w:themeColor="text1"/>
          <w:kern w:val="0"/>
          <w:sz w:val="21"/>
          <w:szCs w:val="21"/>
        </w:rPr>
        <w:t xml:space="preserve">2.4 </w:t>
      </w:r>
      <w:r w:rsidRPr="00C56D9D">
        <w:rPr>
          <w:rFonts w:ascii="Times New Roman" w:eastAsiaTheme="minorEastAsia" w:hAnsi="Times New Roman"/>
          <w:color w:val="000000" w:themeColor="text1"/>
          <w:kern w:val="0"/>
          <w:sz w:val="21"/>
          <w:szCs w:val="21"/>
        </w:rPr>
        <w:t>信息披露方式</w:t>
      </w:r>
      <w:bookmarkEnd w:id="18"/>
      <w:bookmarkEnd w:id="19"/>
      <w:bookmarkEnd w:id="2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C56D9D" w:rsidRPr="00C56D9D" w:rsidTr="0022727A">
        <w:tc>
          <w:tcPr>
            <w:tcW w:w="3686" w:type="dxa"/>
            <w:vAlign w:val="center"/>
          </w:tcPr>
          <w:p w:rsidR="001A59F9" w:rsidRPr="00C56D9D" w:rsidRDefault="001A59F9" w:rsidP="00EE6D39">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登载基金年度报告正文的管理人互联网网址</w:t>
            </w:r>
          </w:p>
        </w:tc>
        <w:tc>
          <w:tcPr>
            <w:tcW w:w="5314" w:type="dxa"/>
            <w:vAlign w:val="center"/>
          </w:tcPr>
          <w:p w:rsidR="001A59F9" w:rsidRPr="00C56D9D" w:rsidRDefault="001A59F9" w:rsidP="0022727A">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http://www.cifm.com</w:t>
            </w:r>
          </w:p>
        </w:tc>
      </w:tr>
      <w:tr w:rsidR="00C56D9D" w:rsidRPr="00C56D9D" w:rsidTr="0022727A">
        <w:tc>
          <w:tcPr>
            <w:tcW w:w="3686" w:type="dxa"/>
            <w:vAlign w:val="center"/>
          </w:tcPr>
          <w:p w:rsidR="001A59F9" w:rsidRPr="00C56D9D" w:rsidRDefault="001A59F9" w:rsidP="00EE6D39">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基金年度报告备置地点</w:t>
            </w:r>
          </w:p>
        </w:tc>
        <w:tc>
          <w:tcPr>
            <w:tcW w:w="5314" w:type="dxa"/>
            <w:vAlign w:val="center"/>
          </w:tcPr>
          <w:p w:rsidR="001A59F9" w:rsidRPr="00C56D9D" w:rsidRDefault="001A59F9" w:rsidP="0022727A">
            <w:pPr>
              <w:tabs>
                <w:tab w:val="left" w:pos="1740"/>
              </w:tabs>
              <w:spacing w:line="360" w:lineRule="auto"/>
              <w:rPr>
                <w:rFonts w:eastAsiaTheme="minorEastAsia"/>
                <w:color w:val="000000" w:themeColor="text1"/>
                <w:szCs w:val="21"/>
              </w:rPr>
            </w:pPr>
            <w:r w:rsidRPr="00C56D9D">
              <w:rPr>
                <w:rFonts w:eastAsiaTheme="minorEastAsia"/>
                <w:color w:val="000000" w:themeColor="text1"/>
                <w:szCs w:val="21"/>
              </w:rPr>
              <w:t>基金管理人、基金托管人的办公场所</w:t>
            </w:r>
          </w:p>
        </w:tc>
      </w:tr>
    </w:tbl>
    <w:p w:rsidR="001A59F9" w:rsidRPr="00C56D9D" w:rsidRDefault="001A59F9" w:rsidP="00E34772">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21" w:name="_Toc225498250"/>
      <w:bookmarkStart w:id="22" w:name="_Toc361324850"/>
      <w:bookmarkStart w:id="23" w:name="_Toc374374930"/>
      <w:bookmarkStart w:id="24" w:name="_Toc194312019"/>
      <w:bookmarkStart w:id="25" w:name="_Toc193947512"/>
      <w:r w:rsidRPr="00C56D9D">
        <w:rPr>
          <w:rFonts w:eastAsiaTheme="minorEastAsia"/>
          <w:b/>
          <w:bCs/>
          <w:color w:val="000000" w:themeColor="text1"/>
          <w:sz w:val="21"/>
          <w:szCs w:val="21"/>
          <w:lang w:val="en-US"/>
        </w:rPr>
        <w:t xml:space="preserve">§3 </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主要财务指标、基金净值表现</w:t>
      </w:r>
      <w:bookmarkEnd w:id="21"/>
      <w:r w:rsidRPr="00C56D9D">
        <w:rPr>
          <w:rFonts w:eastAsiaTheme="minorEastAsia"/>
          <w:b/>
          <w:bCs/>
          <w:color w:val="000000" w:themeColor="text1"/>
          <w:sz w:val="21"/>
          <w:szCs w:val="21"/>
          <w:lang w:val="en-US"/>
        </w:rPr>
        <w:t>及利润分配情况</w:t>
      </w:r>
      <w:bookmarkEnd w:id="22"/>
      <w:bookmarkEnd w:id="23"/>
    </w:p>
    <w:p w:rsidR="001A59F9" w:rsidRPr="00C56D9D" w:rsidRDefault="001A59F9" w:rsidP="00976A4D">
      <w:pPr>
        <w:pStyle w:val="20"/>
        <w:spacing w:before="0" w:after="0"/>
        <w:rPr>
          <w:rFonts w:ascii="Times New Roman" w:eastAsiaTheme="minorEastAsia" w:hAnsi="Times New Roman"/>
          <w:color w:val="000000" w:themeColor="text1"/>
          <w:kern w:val="0"/>
          <w:sz w:val="21"/>
          <w:szCs w:val="21"/>
        </w:rPr>
      </w:pPr>
      <w:bookmarkStart w:id="26" w:name="_Toc286996129"/>
      <w:bookmarkStart w:id="27" w:name="_Toc361324851"/>
      <w:bookmarkStart w:id="28" w:name="_Toc374374931"/>
      <w:r w:rsidRPr="00C56D9D">
        <w:rPr>
          <w:rFonts w:ascii="Times New Roman" w:eastAsiaTheme="minorEastAsia" w:hAnsi="Times New Roman"/>
          <w:color w:val="000000" w:themeColor="text1"/>
          <w:kern w:val="0"/>
          <w:sz w:val="21"/>
          <w:szCs w:val="21"/>
        </w:rPr>
        <w:t xml:space="preserve">3.1 </w:t>
      </w:r>
      <w:r w:rsidRPr="00C56D9D">
        <w:rPr>
          <w:rFonts w:ascii="Times New Roman" w:eastAsiaTheme="minorEastAsia" w:hAnsi="Times New Roman"/>
          <w:color w:val="000000" w:themeColor="text1"/>
          <w:kern w:val="0"/>
          <w:sz w:val="21"/>
          <w:szCs w:val="21"/>
        </w:rPr>
        <w:t>主要会计数据和财务指标</w:t>
      </w:r>
      <w:bookmarkEnd w:id="26"/>
      <w:bookmarkEnd w:id="27"/>
      <w:bookmarkEnd w:id="28"/>
    </w:p>
    <w:p w:rsidR="001A59F9" w:rsidRPr="00C56D9D" w:rsidRDefault="001A59F9" w:rsidP="00EC7375">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金额单位：人民币元</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2"/>
        <w:gridCol w:w="1872"/>
        <w:gridCol w:w="1866"/>
        <w:gridCol w:w="2073"/>
        <w:gridCol w:w="2073"/>
      </w:tblGrid>
      <w:tr w:rsidR="00157FC2" w:rsidRPr="00C56D9D" w:rsidTr="009F31C5">
        <w:trPr>
          <w:trHeight w:val="487"/>
        </w:trPr>
        <w:tc>
          <w:tcPr>
            <w:tcW w:w="755" w:type="pct"/>
            <w:vMerge w:val="restart"/>
            <w:vAlign w:val="center"/>
          </w:tcPr>
          <w:bookmarkEnd w:id="24"/>
          <w:bookmarkEnd w:id="25"/>
          <w:p w:rsidR="00F523C2" w:rsidRPr="00C56D9D" w:rsidRDefault="00F523C2" w:rsidP="00BD4300">
            <w:pPr>
              <w:spacing w:line="360" w:lineRule="auto"/>
              <w:ind w:leftChars="-51" w:left="-107" w:rightChars="-51" w:right="-107"/>
              <w:jc w:val="center"/>
              <w:rPr>
                <w:rFonts w:eastAsiaTheme="minorEastAsia"/>
                <w:b/>
                <w:color w:val="000000" w:themeColor="text1"/>
                <w:szCs w:val="21"/>
              </w:rPr>
            </w:pPr>
            <w:r w:rsidRPr="00C56D9D">
              <w:rPr>
                <w:rFonts w:eastAsiaTheme="minorEastAsia"/>
                <w:b/>
                <w:color w:val="000000" w:themeColor="text1"/>
                <w:szCs w:val="21"/>
              </w:rPr>
              <w:t>3.1.1</w:t>
            </w:r>
            <w:r w:rsidRPr="00C56D9D">
              <w:rPr>
                <w:rFonts w:eastAsiaTheme="minorEastAsia"/>
                <w:b/>
                <w:color w:val="000000" w:themeColor="text1"/>
                <w:szCs w:val="21"/>
              </w:rPr>
              <w:t>期间数据和指标</w:t>
            </w:r>
          </w:p>
        </w:tc>
        <w:tc>
          <w:tcPr>
            <w:tcW w:w="2013" w:type="pct"/>
            <w:gridSpan w:val="2"/>
            <w:vAlign w:val="center"/>
          </w:tcPr>
          <w:p w:rsidR="00F523C2" w:rsidRPr="00C56D9D" w:rsidRDefault="00F523C2"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2018</w:t>
            </w:r>
            <w:r w:rsidRPr="00C56D9D">
              <w:rPr>
                <w:rFonts w:eastAsiaTheme="minorEastAsia"/>
                <w:b/>
                <w:color w:val="000000" w:themeColor="text1"/>
                <w:szCs w:val="21"/>
              </w:rPr>
              <w:t>年</w:t>
            </w:r>
          </w:p>
        </w:tc>
        <w:tc>
          <w:tcPr>
            <w:tcW w:w="2232" w:type="pct"/>
            <w:gridSpan w:val="2"/>
            <w:vAlign w:val="center"/>
          </w:tcPr>
          <w:p w:rsidR="00F523C2" w:rsidRPr="00C56D9D" w:rsidRDefault="00F523C2" w:rsidP="0050349B">
            <w:pPr>
              <w:spacing w:line="360" w:lineRule="auto"/>
              <w:jc w:val="center"/>
              <w:rPr>
                <w:rFonts w:eastAsiaTheme="minorEastAsia"/>
                <w:b/>
                <w:color w:val="000000" w:themeColor="text1"/>
                <w:szCs w:val="21"/>
              </w:rPr>
            </w:pPr>
            <w:r w:rsidRPr="00C56D9D">
              <w:rPr>
                <w:rFonts w:eastAsiaTheme="minorEastAsia"/>
                <w:b/>
                <w:color w:val="000000" w:themeColor="text1"/>
                <w:szCs w:val="21"/>
              </w:rPr>
              <w:t>2017</w:t>
            </w:r>
            <w:r w:rsidRPr="00C56D9D">
              <w:rPr>
                <w:rFonts w:eastAsiaTheme="minorEastAsia"/>
                <w:b/>
                <w:color w:val="000000" w:themeColor="text1"/>
                <w:szCs w:val="21"/>
              </w:rPr>
              <w:t>年</w:t>
            </w:r>
            <w:r w:rsidRPr="00C56D9D">
              <w:rPr>
                <w:rFonts w:eastAsiaTheme="minorEastAsia"/>
                <w:b/>
                <w:color w:val="000000" w:themeColor="text1"/>
                <w:szCs w:val="21"/>
              </w:rPr>
              <w:t>4</w:t>
            </w:r>
            <w:r w:rsidRPr="00C56D9D">
              <w:rPr>
                <w:rFonts w:eastAsiaTheme="minorEastAsia"/>
                <w:b/>
                <w:color w:val="000000" w:themeColor="text1"/>
                <w:szCs w:val="21"/>
              </w:rPr>
              <w:t>月</w:t>
            </w:r>
            <w:r w:rsidRPr="00C56D9D">
              <w:rPr>
                <w:rFonts w:eastAsiaTheme="minorEastAsia"/>
                <w:b/>
                <w:color w:val="000000" w:themeColor="text1"/>
                <w:szCs w:val="21"/>
              </w:rPr>
              <w:t>10</w:t>
            </w:r>
            <w:r w:rsidRPr="00C56D9D">
              <w:rPr>
                <w:rFonts w:eastAsiaTheme="minorEastAsia"/>
                <w:b/>
                <w:color w:val="000000" w:themeColor="text1"/>
                <w:szCs w:val="21"/>
              </w:rPr>
              <w:t>日（基金合同生效日）至</w:t>
            </w:r>
            <w:r w:rsidRPr="00C56D9D">
              <w:rPr>
                <w:rFonts w:eastAsiaTheme="minorEastAsia"/>
                <w:b/>
                <w:color w:val="000000" w:themeColor="text1"/>
                <w:szCs w:val="21"/>
              </w:rPr>
              <w:t>2017</w:t>
            </w:r>
            <w:r w:rsidRPr="00C56D9D">
              <w:rPr>
                <w:rFonts w:eastAsiaTheme="minorEastAsia"/>
                <w:b/>
                <w:color w:val="000000" w:themeColor="text1"/>
                <w:szCs w:val="21"/>
              </w:rPr>
              <w:t>年</w:t>
            </w:r>
            <w:r w:rsidRPr="00C56D9D">
              <w:rPr>
                <w:rFonts w:eastAsiaTheme="minorEastAsia"/>
                <w:b/>
                <w:color w:val="000000" w:themeColor="text1"/>
                <w:szCs w:val="21"/>
              </w:rPr>
              <w:t>12</w:t>
            </w:r>
            <w:r w:rsidRPr="00C56D9D">
              <w:rPr>
                <w:rFonts w:eastAsiaTheme="minorEastAsia"/>
                <w:b/>
                <w:color w:val="000000" w:themeColor="text1"/>
                <w:szCs w:val="21"/>
              </w:rPr>
              <w:t>月</w:t>
            </w:r>
            <w:r w:rsidRPr="00C56D9D">
              <w:rPr>
                <w:rFonts w:eastAsiaTheme="minorEastAsia"/>
                <w:b/>
                <w:color w:val="000000" w:themeColor="text1"/>
                <w:szCs w:val="21"/>
              </w:rPr>
              <w:t>31</w:t>
            </w:r>
            <w:r w:rsidRPr="00C56D9D">
              <w:rPr>
                <w:rFonts w:eastAsiaTheme="minorEastAsia"/>
                <w:b/>
                <w:color w:val="000000" w:themeColor="text1"/>
                <w:szCs w:val="21"/>
              </w:rPr>
              <w:t>日</w:t>
            </w:r>
          </w:p>
        </w:tc>
      </w:tr>
      <w:tr w:rsidR="00157FC2" w:rsidRPr="00C56D9D" w:rsidTr="009F31C5">
        <w:trPr>
          <w:trHeight w:val="487"/>
        </w:trPr>
        <w:tc>
          <w:tcPr>
            <w:tcW w:w="755" w:type="pct"/>
            <w:vMerge/>
            <w:vAlign w:val="center"/>
          </w:tcPr>
          <w:p w:rsidR="00F523C2" w:rsidRPr="00C56D9D" w:rsidRDefault="00F523C2" w:rsidP="00264345">
            <w:pPr>
              <w:widowControl/>
              <w:spacing w:line="360" w:lineRule="auto"/>
              <w:jc w:val="left"/>
              <w:rPr>
                <w:rFonts w:eastAsiaTheme="minorEastAsia"/>
                <w:b/>
                <w:color w:val="000000" w:themeColor="text1"/>
                <w:szCs w:val="21"/>
              </w:rPr>
            </w:pPr>
          </w:p>
        </w:tc>
        <w:tc>
          <w:tcPr>
            <w:tcW w:w="1008" w:type="pct"/>
            <w:vAlign w:val="center"/>
          </w:tcPr>
          <w:p w:rsidR="00F523C2" w:rsidRPr="00C56D9D" w:rsidRDefault="00F523C2" w:rsidP="00B71B20">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w:t>
            </w:r>
            <w:r w:rsidRPr="00C56D9D">
              <w:rPr>
                <w:rFonts w:eastAsiaTheme="minorEastAsia"/>
                <w:color w:val="000000" w:themeColor="text1"/>
                <w:szCs w:val="21"/>
              </w:rPr>
              <w:lastRenderedPageBreak/>
              <w:t>定期开放债券</w:t>
            </w:r>
            <w:r w:rsidRPr="00C56D9D">
              <w:rPr>
                <w:rFonts w:eastAsiaTheme="minorEastAsia"/>
                <w:color w:val="000000" w:themeColor="text1"/>
                <w:szCs w:val="21"/>
              </w:rPr>
              <w:t>A</w:t>
            </w:r>
          </w:p>
        </w:tc>
        <w:tc>
          <w:tcPr>
            <w:tcW w:w="1005" w:type="pct"/>
            <w:vAlign w:val="center"/>
          </w:tcPr>
          <w:p w:rsidR="00F523C2" w:rsidRPr="00C56D9D" w:rsidRDefault="00F523C2" w:rsidP="00B71B20">
            <w:pPr>
              <w:spacing w:line="360" w:lineRule="auto"/>
              <w:jc w:val="center"/>
              <w:rPr>
                <w:rFonts w:eastAsiaTheme="minorEastAsia"/>
                <w:color w:val="000000" w:themeColor="text1"/>
                <w:szCs w:val="21"/>
              </w:rPr>
            </w:pPr>
            <w:r w:rsidRPr="00C56D9D">
              <w:rPr>
                <w:rFonts w:eastAsiaTheme="minorEastAsia"/>
                <w:color w:val="000000" w:themeColor="text1"/>
                <w:szCs w:val="21"/>
              </w:rPr>
              <w:lastRenderedPageBreak/>
              <w:t>上投摩根岁岁金</w:t>
            </w:r>
            <w:r w:rsidRPr="00C56D9D">
              <w:rPr>
                <w:rFonts w:eastAsiaTheme="minorEastAsia"/>
                <w:color w:val="000000" w:themeColor="text1"/>
                <w:szCs w:val="21"/>
              </w:rPr>
              <w:lastRenderedPageBreak/>
              <w:t>定期开放债券</w:t>
            </w:r>
            <w:r w:rsidRPr="00C56D9D">
              <w:rPr>
                <w:rFonts w:eastAsiaTheme="minorEastAsia"/>
                <w:color w:val="000000" w:themeColor="text1"/>
                <w:szCs w:val="21"/>
              </w:rPr>
              <w:t>C</w:t>
            </w:r>
          </w:p>
        </w:tc>
        <w:tc>
          <w:tcPr>
            <w:tcW w:w="1116" w:type="pct"/>
            <w:vAlign w:val="center"/>
          </w:tcPr>
          <w:p w:rsidR="00F523C2" w:rsidRPr="00C56D9D" w:rsidRDefault="00F523C2" w:rsidP="00B71B20">
            <w:pPr>
              <w:spacing w:line="360" w:lineRule="auto"/>
              <w:jc w:val="center"/>
              <w:rPr>
                <w:rFonts w:eastAsiaTheme="minorEastAsia"/>
                <w:color w:val="000000" w:themeColor="text1"/>
                <w:szCs w:val="21"/>
              </w:rPr>
            </w:pPr>
            <w:r w:rsidRPr="00C56D9D">
              <w:rPr>
                <w:rFonts w:eastAsiaTheme="minorEastAsia"/>
                <w:color w:val="000000" w:themeColor="text1"/>
                <w:szCs w:val="21"/>
              </w:rPr>
              <w:lastRenderedPageBreak/>
              <w:t>上投摩根岁岁金定</w:t>
            </w:r>
            <w:r w:rsidRPr="00C56D9D">
              <w:rPr>
                <w:rFonts w:eastAsiaTheme="minorEastAsia"/>
                <w:color w:val="000000" w:themeColor="text1"/>
                <w:szCs w:val="21"/>
              </w:rPr>
              <w:lastRenderedPageBreak/>
              <w:t>期开放债券</w:t>
            </w:r>
            <w:r w:rsidRPr="00C56D9D">
              <w:rPr>
                <w:rFonts w:eastAsiaTheme="minorEastAsia"/>
                <w:color w:val="000000" w:themeColor="text1"/>
                <w:szCs w:val="21"/>
              </w:rPr>
              <w:t>A</w:t>
            </w:r>
          </w:p>
        </w:tc>
        <w:tc>
          <w:tcPr>
            <w:tcW w:w="1116" w:type="pct"/>
            <w:vAlign w:val="center"/>
          </w:tcPr>
          <w:p w:rsidR="00F523C2" w:rsidRPr="00C56D9D" w:rsidRDefault="00F523C2" w:rsidP="00B71B20">
            <w:pPr>
              <w:spacing w:line="360" w:lineRule="auto"/>
              <w:jc w:val="center"/>
              <w:rPr>
                <w:rFonts w:eastAsiaTheme="minorEastAsia"/>
                <w:b/>
                <w:color w:val="000000" w:themeColor="text1"/>
                <w:szCs w:val="21"/>
              </w:rPr>
            </w:pPr>
            <w:r w:rsidRPr="00C56D9D">
              <w:rPr>
                <w:rFonts w:eastAsiaTheme="minorEastAsia"/>
                <w:color w:val="000000" w:themeColor="text1"/>
                <w:szCs w:val="21"/>
              </w:rPr>
              <w:lastRenderedPageBreak/>
              <w:t>上投摩根岁岁金定</w:t>
            </w:r>
            <w:r w:rsidRPr="00C56D9D">
              <w:rPr>
                <w:rFonts w:eastAsiaTheme="minorEastAsia"/>
                <w:color w:val="000000" w:themeColor="text1"/>
                <w:szCs w:val="21"/>
              </w:rPr>
              <w:lastRenderedPageBreak/>
              <w:t>期开放债券</w:t>
            </w:r>
            <w:r w:rsidRPr="00C56D9D">
              <w:rPr>
                <w:rFonts w:eastAsiaTheme="minorEastAsia"/>
                <w:color w:val="000000" w:themeColor="text1"/>
                <w:szCs w:val="21"/>
              </w:rPr>
              <w:t>C</w:t>
            </w:r>
          </w:p>
        </w:tc>
      </w:tr>
      <w:tr w:rsidR="00157FC2" w:rsidRPr="00C56D9D" w:rsidTr="009F31C5">
        <w:tc>
          <w:tcPr>
            <w:tcW w:w="75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lastRenderedPageBreak/>
              <w:t>本期已实现收益</w:t>
            </w:r>
          </w:p>
        </w:tc>
        <w:tc>
          <w:tcPr>
            <w:tcW w:w="1008"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2,993,896.23</w:t>
            </w:r>
          </w:p>
        </w:tc>
        <w:tc>
          <w:tcPr>
            <w:tcW w:w="1005"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73,752.71</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4,591,667.12</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79,914.28</w:t>
            </w:r>
          </w:p>
        </w:tc>
      </w:tr>
      <w:tr w:rsidR="00157FC2" w:rsidRPr="00C56D9D" w:rsidTr="009F31C5">
        <w:trPr>
          <w:trHeight w:val="754"/>
        </w:trPr>
        <w:tc>
          <w:tcPr>
            <w:tcW w:w="75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本期利润</w:t>
            </w:r>
          </w:p>
        </w:tc>
        <w:tc>
          <w:tcPr>
            <w:tcW w:w="1008"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3,810,133.45</w:t>
            </w:r>
          </w:p>
        </w:tc>
        <w:tc>
          <w:tcPr>
            <w:tcW w:w="1005"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92,700.93</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3,961,581.03</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67,565.23</w:t>
            </w:r>
          </w:p>
        </w:tc>
      </w:tr>
      <w:tr w:rsidR="00157FC2" w:rsidRPr="00C56D9D" w:rsidTr="009F31C5">
        <w:tc>
          <w:tcPr>
            <w:tcW w:w="75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加权平均基金份额本期利润</w:t>
            </w:r>
          </w:p>
        </w:tc>
        <w:tc>
          <w:tcPr>
            <w:tcW w:w="1008"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0.0472</w:t>
            </w:r>
          </w:p>
        </w:tc>
        <w:tc>
          <w:tcPr>
            <w:tcW w:w="1005"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0.0407</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0.0196</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0.0170</w:t>
            </w:r>
          </w:p>
        </w:tc>
      </w:tr>
      <w:tr w:rsidR="00157FC2" w:rsidRPr="00C56D9D" w:rsidTr="009F31C5">
        <w:tc>
          <w:tcPr>
            <w:tcW w:w="75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本期基金份额净值增长率</w:t>
            </w:r>
          </w:p>
        </w:tc>
        <w:tc>
          <w:tcPr>
            <w:tcW w:w="1008"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4.03%</w:t>
            </w:r>
          </w:p>
        </w:tc>
        <w:tc>
          <w:tcPr>
            <w:tcW w:w="1005"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3.72%</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1.96%</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1.70%</w:t>
            </w:r>
          </w:p>
        </w:tc>
      </w:tr>
      <w:tr w:rsidR="00157FC2" w:rsidRPr="00C56D9D" w:rsidTr="009F31C5">
        <w:tc>
          <w:tcPr>
            <w:tcW w:w="755" w:type="pct"/>
            <w:vMerge w:val="restart"/>
            <w:vAlign w:val="center"/>
          </w:tcPr>
          <w:p w:rsidR="00C23BEA" w:rsidRPr="00C56D9D" w:rsidRDefault="00C23BEA" w:rsidP="00BD4300">
            <w:pPr>
              <w:spacing w:line="360" w:lineRule="auto"/>
              <w:ind w:leftChars="-51" w:left="-107" w:rightChars="-51" w:right="-107"/>
              <w:rPr>
                <w:rFonts w:eastAsiaTheme="minorEastAsia"/>
                <w:b/>
                <w:color w:val="000000" w:themeColor="text1"/>
                <w:szCs w:val="21"/>
              </w:rPr>
            </w:pPr>
            <w:r w:rsidRPr="00C56D9D">
              <w:rPr>
                <w:rFonts w:eastAsiaTheme="minorEastAsia"/>
                <w:b/>
                <w:color w:val="000000" w:themeColor="text1"/>
                <w:szCs w:val="21"/>
              </w:rPr>
              <w:t>3.1.2</w:t>
            </w:r>
            <w:r w:rsidRPr="00C56D9D">
              <w:rPr>
                <w:rFonts w:eastAsiaTheme="minorEastAsia"/>
                <w:b/>
                <w:color w:val="000000" w:themeColor="text1"/>
                <w:szCs w:val="21"/>
              </w:rPr>
              <w:t>期末数据和指标</w:t>
            </w:r>
          </w:p>
        </w:tc>
        <w:tc>
          <w:tcPr>
            <w:tcW w:w="2013" w:type="pct"/>
            <w:gridSpan w:val="2"/>
            <w:vAlign w:val="center"/>
          </w:tcPr>
          <w:p w:rsidR="00C23BEA" w:rsidRPr="00C56D9D" w:rsidRDefault="00C23BEA"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2018</w:t>
            </w:r>
            <w:r w:rsidR="006D2BE2" w:rsidRPr="00C56D9D">
              <w:rPr>
                <w:rFonts w:eastAsiaTheme="minorEastAsia"/>
                <w:b/>
                <w:color w:val="000000" w:themeColor="text1"/>
                <w:szCs w:val="21"/>
              </w:rPr>
              <w:t>年</w:t>
            </w:r>
            <w:r w:rsidRPr="00C56D9D">
              <w:rPr>
                <w:rFonts w:eastAsiaTheme="minorEastAsia"/>
                <w:b/>
                <w:color w:val="000000" w:themeColor="text1"/>
                <w:szCs w:val="21"/>
              </w:rPr>
              <w:t>末</w:t>
            </w:r>
          </w:p>
        </w:tc>
        <w:tc>
          <w:tcPr>
            <w:tcW w:w="2232" w:type="pct"/>
            <w:gridSpan w:val="2"/>
            <w:vAlign w:val="center"/>
          </w:tcPr>
          <w:p w:rsidR="00C23BEA" w:rsidRPr="00C56D9D" w:rsidRDefault="00C23BEA"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2017</w:t>
            </w:r>
            <w:r w:rsidR="006D2BE2" w:rsidRPr="00C56D9D">
              <w:rPr>
                <w:rFonts w:eastAsiaTheme="minorEastAsia"/>
                <w:b/>
                <w:color w:val="000000" w:themeColor="text1"/>
                <w:szCs w:val="21"/>
              </w:rPr>
              <w:t>年</w:t>
            </w:r>
            <w:r w:rsidRPr="00C56D9D">
              <w:rPr>
                <w:rFonts w:eastAsiaTheme="minorEastAsia"/>
                <w:b/>
                <w:color w:val="000000" w:themeColor="text1"/>
                <w:szCs w:val="21"/>
              </w:rPr>
              <w:t>末</w:t>
            </w:r>
          </w:p>
        </w:tc>
      </w:tr>
      <w:tr w:rsidR="00157FC2" w:rsidRPr="00C56D9D" w:rsidTr="009F31C5">
        <w:trPr>
          <w:trHeight w:val="373"/>
        </w:trPr>
        <w:tc>
          <w:tcPr>
            <w:tcW w:w="755" w:type="pct"/>
            <w:vMerge/>
            <w:vAlign w:val="center"/>
          </w:tcPr>
          <w:p w:rsidR="001A59F9" w:rsidRPr="00C56D9D" w:rsidRDefault="001A59F9" w:rsidP="00026C9C">
            <w:pPr>
              <w:widowControl/>
              <w:spacing w:line="360" w:lineRule="auto"/>
              <w:jc w:val="left"/>
              <w:rPr>
                <w:rFonts w:eastAsiaTheme="minorEastAsia"/>
                <w:b/>
                <w:color w:val="000000" w:themeColor="text1"/>
                <w:szCs w:val="21"/>
              </w:rPr>
            </w:pPr>
          </w:p>
        </w:tc>
        <w:tc>
          <w:tcPr>
            <w:tcW w:w="1008" w:type="pct"/>
            <w:vAlign w:val="center"/>
          </w:tcPr>
          <w:p w:rsidR="001A59F9" w:rsidRPr="00C56D9D" w:rsidRDefault="001A59F9" w:rsidP="00026C9C">
            <w:pPr>
              <w:spacing w:line="360" w:lineRule="auto"/>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1005" w:type="pct"/>
            <w:vAlign w:val="center"/>
          </w:tcPr>
          <w:p w:rsidR="001A59F9" w:rsidRPr="00C56D9D" w:rsidRDefault="001A59F9" w:rsidP="00026C9C">
            <w:pPr>
              <w:spacing w:line="360" w:lineRule="auto"/>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c>
          <w:tcPr>
            <w:tcW w:w="1116" w:type="pct"/>
            <w:vAlign w:val="center"/>
          </w:tcPr>
          <w:p w:rsidR="001A59F9" w:rsidRPr="00C56D9D" w:rsidRDefault="00AB54C1" w:rsidP="00026C9C">
            <w:pPr>
              <w:spacing w:line="360" w:lineRule="auto"/>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1116" w:type="pct"/>
            <w:vAlign w:val="center"/>
          </w:tcPr>
          <w:p w:rsidR="001A59F9" w:rsidRPr="00C56D9D" w:rsidRDefault="00AB54C1" w:rsidP="00026C9C">
            <w:pPr>
              <w:spacing w:line="360" w:lineRule="auto"/>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r>
      <w:tr w:rsidR="00157FC2" w:rsidRPr="00C56D9D" w:rsidTr="009F31C5">
        <w:tc>
          <w:tcPr>
            <w:tcW w:w="75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期末可供分配基金份额利润</w:t>
            </w:r>
          </w:p>
        </w:tc>
        <w:tc>
          <w:tcPr>
            <w:tcW w:w="1008"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0.0574</w:t>
            </w:r>
          </w:p>
        </w:tc>
        <w:tc>
          <w:tcPr>
            <w:tcW w:w="1005"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0.0513</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0.0196</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0.0170</w:t>
            </w:r>
          </w:p>
        </w:tc>
      </w:tr>
      <w:tr w:rsidR="00157FC2" w:rsidRPr="00C56D9D" w:rsidTr="009F31C5">
        <w:tc>
          <w:tcPr>
            <w:tcW w:w="75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期末基金资产净值</w:t>
            </w:r>
          </w:p>
        </w:tc>
        <w:tc>
          <w:tcPr>
            <w:tcW w:w="1008"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37,972,727.07</w:t>
            </w:r>
          </w:p>
        </w:tc>
        <w:tc>
          <w:tcPr>
            <w:tcW w:w="1005"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1,742,741.27</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205,713,450.51</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4,030,712.12</w:t>
            </w:r>
          </w:p>
        </w:tc>
      </w:tr>
      <w:tr w:rsidR="00157FC2" w:rsidRPr="00C56D9D" w:rsidTr="009F31C5">
        <w:tc>
          <w:tcPr>
            <w:tcW w:w="755" w:type="pct"/>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期末基金份额净值</w:t>
            </w:r>
          </w:p>
        </w:tc>
        <w:tc>
          <w:tcPr>
            <w:tcW w:w="1008"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1.0607</w:t>
            </w:r>
          </w:p>
        </w:tc>
        <w:tc>
          <w:tcPr>
            <w:tcW w:w="1005" w:type="pct"/>
            <w:vAlign w:val="center"/>
          </w:tcPr>
          <w:p w:rsidR="001A59F9" w:rsidRPr="00C56D9D" w:rsidRDefault="001A59F9"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1.0548</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1.0196</w:t>
            </w:r>
          </w:p>
        </w:tc>
        <w:tc>
          <w:tcPr>
            <w:tcW w:w="1116" w:type="pct"/>
            <w:vAlign w:val="center"/>
          </w:tcPr>
          <w:p w:rsidR="001A59F9" w:rsidRPr="00C56D9D" w:rsidRDefault="00AB54C1" w:rsidP="002A2901">
            <w:pPr>
              <w:spacing w:line="360" w:lineRule="auto"/>
              <w:jc w:val="right"/>
              <w:rPr>
                <w:rFonts w:eastAsiaTheme="minorEastAsia"/>
                <w:color w:val="000000" w:themeColor="text1"/>
                <w:szCs w:val="21"/>
              </w:rPr>
            </w:pPr>
            <w:r w:rsidRPr="00C56D9D">
              <w:rPr>
                <w:rFonts w:eastAsiaTheme="minorEastAsia"/>
                <w:color w:val="000000" w:themeColor="text1"/>
                <w:szCs w:val="21"/>
              </w:rPr>
              <w:t>1.0170</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w:t>
      </w:r>
      <w:r>
        <w:rPr>
          <w:rFonts w:eastAsiaTheme="minorEastAsia"/>
          <w:color w:val="000000" w:themeColor="text1"/>
          <w:kern w:val="0"/>
          <w:szCs w:val="21"/>
        </w:rPr>
        <w:t>1</w:t>
      </w:r>
      <w:r>
        <w:rPr>
          <w:rFonts w:eastAsiaTheme="minorEastAsia"/>
          <w:color w:val="000000" w:themeColor="text1"/>
          <w:kern w:val="0"/>
          <w:szCs w:val="21"/>
        </w:rPr>
        <w:t>．本期已实现收益指基金本期利息收入、投资收益、其他收入（不含公允价值变动收益）扣除相关费用后的余额，本期利润为本期已实现收益加上本期公允价值变动收益。对期末可供分配利润，采用期末资产负债表中未分配利润与未分配利润中已实现部分的孰低数。</w:t>
      </w:r>
    </w:p>
    <w:p w:rsidR="001A59F9" w:rsidRPr="00C56D9D" w:rsidRDefault="001A59F9" w:rsidP="00116B7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2</w:t>
      </w:r>
      <w:r w:rsidRPr="00C56D9D">
        <w:rPr>
          <w:rFonts w:eastAsiaTheme="minorEastAsia"/>
          <w:color w:val="000000" w:themeColor="text1"/>
          <w:kern w:val="0"/>
          <w:szCs w:val="21"/>
        </w:rPr>
        <w:t>．上述基金业绩指标不包括持有人认购或交易基金的各项费用（例如，开放式基金的申购赎回费、红利再投资费、基金转换费等），计入费用后实际收益水平要低于所列数字。</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29" w:name="_Toc225498252"/>
      <w:bookmarkStart w:id="30" w:name="_Toc361324852"/>
      <w:bookmarkStart w:id="31" w:name="_Toc374374932"/>
      <w:r w:rsidRPr="00C56D9D">
        <w:rPr>
          <w:rFonts w:ascii="Times New Roman" w:eastAsiaTheme="minorEastAsia" w:hAnsi="Times New Roman"/>
          <w:color w:val="000000" w:themeColor="text1"/>
          <w:kern w:val="0"/>
          <w:sz w:val="21"/>
          <w:szCs w:val="21"/>
        </w:rPr>
        <w:t xml:space="preserve">3.2 </w:t>
      </w:r>
      <w:r w:rsidRPr="00C56D9D">
        <w:rPr>
          <w:rFonts w:ascii="Times New Roman" w:eastAsiaTheme="minorEastAsia" w:hAnsi="Times New Roman"/>
          <w:color w:val="000000" w:themeColor="text1"/>
          <w:kern w:val="0"/>
          <w:sz w:val="21"/>
          <w:szCs w:val="21"/>
        </w:rPr>
        <w:t>基金净值表现</w:t>
      </w:r>
      <w:bookmarkEnd w:id="29"/>
      <w:bookmarkEnd w:id="30"/>
      <w:bookmarkEnd w:id="31"/>
    </w:p>
    <w:p w:rsidR="001A59F9" w:rsidRPr="00C56D9D" w:rsidRDefault="001A59F9" w:rsidP="009D2DE9">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 xml:space="preserve">3.2.1 </w:t>
      </w:r>
      <w:r w:rsidRPr="00C56D9D">
        <w:rPr>
          <w:rFonts w:eastAsiaTheme="minorEastAsia"/>
          <w:b/>
          <w:color w:val="000000" w:themeColor="text1"/>
          <w:kern w:val="0"/>
          <w:szCs w:val="21"/>
        </w:rPr>
        <w:t>基金份额净值增长率及其与同期业绩比较基准收益率的比较</w:t>
      </w:r>
    </w:p>
    <w:p w:rsidR="001A59F9" w:rsidRPr="00C56D9D" w:rsidRDefault="001A59F9" w:rsidP="009D2DE9">
      <w:pPr>
        <w:pStyle w:val="21"/>
        <w:spacing w:line="360" w:lineRule="auto"/>
        <w:ind w:firstLineChars="0" w:firstLine="0"/>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1</w:t>
      </w:r>
      <w:r w:rsidRPr="00C56D9D">
        <w:rPr>
          <w:rFonts w:ascii="Times New Roman" w:eastAsiaTheme="minorEastAsia" w:hAnsi="Times New Roman"/>
          <w:b/>
          <w:color w:val="000000" w:themeColor="text1"/>
          <w:sz w:val="21"/>
          <w:szCs w:val="21"/>
        </w:rPr>
        <w:t>．上投摩根岁岁金定期开放债券</w:t>
      </w:r>
      <w:r w:rsidRPr="00C56D9D">
        <w:rPr>
          <w:rFonts w:ascii="Times New Roman" w:eastAsiaTheme="minorEastAsia" w:hAnsi="Times New Roman"/>
          <w:b/>
          <w:color w:val="000000" w:themeColor="text1"/>
          <w:sz w:val="21"/>
          <w:szCs w:val="21"/>
        </w:rPr>
        <w:t>A</w:t>
      </w:r>
      <w:r w:rsidRPr="00C56D9D">
        <w:rPr>
          <w:rFonts w:ascii="Times New Roman" w:eastAsiaTheme="minorEastAsia" w:hAnsi="Times New Roman"/>
          <w:b/>
          <w:color w:val="000000" w:themeColor="text1"/>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C56D9D" w:rsidRPr="00C56D9D" w:rsidTr="00116B7D">
        <w:tc>
          <w:tcPr>
            <w:tcW w:w="162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lastRenderedPageBreak/>
              <w:t>阶段</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份额净值增长率</w:t>
            </w:r>
            <w:r w:rsidRPr="00C56D9D">
              <w:rPr>
                <w:rFonts w:ascii="宋体" w:hAnsi="宋体" w:cs="宋体" w:hint="eastAsia"/>
                <w:color w:val="000000" w:themeColor="text1"/>
                <w:szCs w:val="21"/>
              </w:rPr>
              <w:t>①</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份额净值增长率标准差</w:t>
            </w:r>
            <w:r w:rsidRPr="00C56D9D">
              <w:rPr>
                <w:rFonts w:ascii="宋体" w:hAnsi="宋体" w:cs="宋体" w:hint="eastAsia"/>
                <w:color w:val="000000" w:themeColor="text1"/>
                <w:szCs w:val="21"/>
              </w:rPr>
              <w:t>②</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业绩比较基准收益率</w:t>
            </w:r>
            <w:r w:rsidRPr="00C56D9D">
              <w:rPr>
                <w:rFonts w:ascii="宋体" w:hAnsi="宋体" w:cs="宋体" w:hint="eastAsia"/>
                <w:color w:val="000000" w:themeColor="text1"/>
                <w:szCs w:val="21"/>
              </w:rPr>
              <w:t>③</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业绩比较基准收益率标准差</w:t>
            </w:r>
            <w:r w:rsidRPr="00C56D9D">
              <w:rPr>
                <w:rFonts w:ascii="宋体" w:hAnsi="宋体" w:cs="宋体" w:hint="eastAsia"/>
                <w:color w:val="000000" w:themeColor="text1"/>
                <w:szCs w:val="21"/>
              </w:rPr>
              <w:t>④</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ascii="宋体" w:hAnsi="宋体" w:cs="宋体" w:hint="eastAsia"/>
                <w:color w:val="000000" w:themeColor="text1"/>
                <w:szCs w:val="21"/>
              </w:rPr>
              <w:t>①</w:t>
            </w:r>
            <w:r w:rsidRPr="00C56D9D">
              <w:rPr>
                <w:rFonts w:eastAsiaTheme="minorEastAsia"/>
                <w:color w:val="000000" w:themeColor="text1"/>
                <w:szCs w:val="21"/>
              </w:rPr>
              <w:t>－</w:t>
            </w:r>
            <w:r w:rsidRPr="00C56D9D">
              <w:rPr>
                <w:rFonts w:ascii="宋体" w:hAnsi="宋体" w:cs="宋体" w:hint="eastAsia"/>
                <w:color w:val="000000" w:themeColor="text1"/>
                <w:szCs w:val="21"/>
              </w:rPr>
              <w:t>③</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ascii="宋体" w:hAnsi="宋体" w:cs="宋体" w:hint="eastAsia"/>
                <w:color w:val="000000" w:themeColor="text1"/>
                <w:szCs w:val="21"/>
              </w:rPr>
              <w:t>②</w:t>
            </w:r>
            <w:r w:rsidRPr="00C56D9D">
              <w:rPr>
                <w:rFonts w:eastAsiaTheme="minorEastAsia"/>
                <w:color w:val="000000" w:themeColor="text1"/>
                <w:szCs w:val="21"/>
              </w:rPr>
              <w:t>－</w:t>
            </w:r>
            <w:r w:rsidRPr="00C56D9D">
              <w:rPr>
                <w:rFonts w:ascii="宋体" w:hAnsi="宋体" w:cs="宋体" w:hint="eastAsia"/>
                <w:color w:val="000000" w:themeColor="text1"/>
                <w:szCs w:val="21"/>
              </w:rPr>
              <w:t>④</w:t>
            </w:r>
          </w:p>
        </w:tc>
      </w:tr>
      <w:tr w:rsidR="00C133DD">
        <w:tc>
          <w:tcPr>
            <w:tcW w:w="1620" w:type="dxa"/>
            <w:vAlign w:val="center"/>
          </w:tcPr>
          <w:p w:rsidR="00C133DD" w:rsidRDefault="00157FC2">
            <w:pPr>
              <w:jc w:val="left"/>
            </w:pPr>
            <w:r>
              <w:rPr>
                <w:rFonts w:eastAsiaTheme="minorEastAsia"/>
                <w:color w:val="000000" w:themeColor="text1"/>
                <w:szCs w:val="21"/>
              </w:rPr>
              <w:t>过去三个月</w:t>
            </w:r>
          </w:p>
        </w:tc>
        <w:tc>
          <w:tcPr>
            <w:tcW w:w="1350" w:type="dxa"/>
            <w:vAlign w:val="center"/>
          </w:tcPr>
          <w:p w:rsidR="00C133DD" w:rsidRDefault="00157FC2">
            <w:pPr>
              <w:jc w:val="center"/>
            </w:pPr>
            <w:r>
              <w:rPr>
                <w:rFonts w:eastAsiaTheme="minorEastAsia"/>
                <w:color w:val="000000" w:themeColor="text1"/>
                <w:szCs w:val="21"/>
              </w:rPr>
              <w:t>1.64%</w:t>
            </w:r>
          </w:p>
        </w:tc>
        <w:tc>
          <w:tcPr>
            <w:tcW w:w="1350" w:type="dxa"/>
            <w:vAlign w:val="center"/>
          </w:tcPr>
          <w:p w:rsidR="00C133DD" w:rsidRDefault="00157FC2">
            <w:pPr>
              <w:jc w:val="center"/>
            </w:pPr>
            <w:r>
              <w:rPr>
                <w:rFonts w:eastAsiaTheme="minorEastAsia"/>
                <w:color w:val="000000" w:themeColor="text1"/>
                <w:szCs w:val="21"/>
              </w:rPr>
              <w:t>0.05%</w:t>
            </w:r>
          </w:p>
        </w:tc>
        <w:tc>
          <w:tcPr>
            <w:tcW w:w="1350" w:type="dxa"/>
            <w:vAlign w:val="center"/>
          </w:tcPr>
          <w:p w:rsidR="00C133DD" w:rsidRDefault="00157FC2">
            <w:pPr>
              <w:jc w:val="center"/>
            </w:pPr>
            <w:r>
              <w:rPr>
                <w:rFonts w:eastAsiaTheme="minorEastAsia"/>
                <w:color w:val="000000" w:themeColor="text1"/>
                <w:szCs w:val="21"/>
              </w:rPr>
              <w:t>2.91%</w:t>
            </w:r>
          </w:p>
        </w:tc>
        <w:tc>
          <w:tcPr>
            <w:tcW w:w="1350" w:type="dxa"/>
            <w:vAlign w:val="center"/>
          </w:tcPr>
          <w:p w:rsidR="00C133DD" w:rsidRDefault="00157FC2">
            <w:pPr>
              <w:jc w:val="center"/>
            </w:pPr>
            <w:r>
              <w:rPr>
                <w:rFonts w:eastAsiaTheme="minorEastAsia"/>
                <w:color w:val="000000" w:themeColor="text1"/>
                <w:szCs w:val="21"/>
              </w:rPr>
              <w:t>0.09%</w:t>
            </w:r>
          </w:p>
        </w:tc>
        <w:tc>
          <w:tcPr>
            <w:tcW w:w="1350" w:type="dxa"/>
            <w:vAlign w:val="center"/>
          </w:tcPr>
          <w:p w:rsidR="00C133DD" w:rsidRDefault="00157FC2">
            <w:pPr>
              <w:jc w:val="center"/>
            </w:pPr>
            <w:r>
              <w:rPr>
                <w:rFonts w:eastAsiaTheme="minorEastAsia"/>
                <w:color w:val="000000" w:themeColor="text1"/>
                <w:szCs w:val="21"/>
              </w:rPr>
              <w:t>-1.27%</w:t>
            </w:r>
          </w:p>
        </w:tc>
        <w:tc>
          <w:tcPr>
            <w:tcW w:w="1350" w:type="dxa"/>
            <w:vAlign w:val="center"/>
          </w:tcPr>
          <w:p w:rsidR="00C133DD" w:rsidRDefault="00157FC2">
            <w:pPr>
              <w:jc w:val="center"/>
            </w:pPr>
            <w:r>
              <w:rPr>
                <w:rFonts w:eastAsiaTheme="minorEastAsia"/>
                <w:color w:val="000000" w:themeColor="text1"/>
                <w:szCs w:val="21"/>
              </w:rPr>
              <w:t>-0.04%</w:t>
            </w:r>
          </w:p>
        </w:tc>
      </w:tr>
      <w:tr w:rsidR="00C133DD">
        <w:tc>
          <w:tcPr>
            <w:tcW w:w="1620" w:type="dxa"/>
            <w:vAlign w:val="center"/>
          </w:tcPr>
          <w:p w:rsidR="00C133DD" w:rsidRDefault="00157FC2">
            <w:pPr>
              <w:jc w:val="left"/>
            </w:pPr>
            <w:r>
              <w:rPr>
                <w:rFonts w:eastAsiaTheme="minorEastAsia"/>
                <w:color w:val="000000" w:themeColor="text1"/>
                <w:szCs w:val="21"/>
              </w:rPr>
              <w:t>过去六个月</w:t>
            </w:r>
          </w:p>
        </w:tc>
        <w:tc>
          <w:tcPr>
            <w:tcW w:w="1350" w:type="dxa"/>
            <w:vAlign w:val="center"/>
          </w:tcPr>
          <w:p w:rsidR="00C133DD" w:rsidRDefault="00157FC2">
            <w:pPr>
              <w:jc w:val="center"/>
            </w:pPr>
            <w:r>
              <w:rPr>
                <w:rFonts w:eastAsiaTheme="minorEastAsia"/>
                <w:color w:val="000000" w:themeColor="text1"/>
                <w:szCs w:val="21"/>
              </w:rPr>
              <w:t>2.94%</w:t>
            </w:r>
          </w:p>
        </w:tc>
        <w:tc>
          <w:tcPr>
            <w:tcW w:w="1350" w:type="dxa"/>
            <w:vAlign w:val="center"/>
          </w:tcPr>
          <w:p w:rsidR="00C133DD" w:rsidRDefault="00157FC2">
            <w:pPr>
              <w:jc w:val="center"/>
            </w:pPr>
            <w:r>
              <w:rPr>
                <w:rFonts w:eastAsiaTheme="minorEastAsia"/>
                <w:color w:val="000000" w:themeColor="text1"/>
                <w:szCs w:val="21"/>
              </w:rPr>
              <w:t>0.06%</w:t>
            </w:r>
          </w:p>
        </w:tc>
        <w:tc>
          <w:tcPr>
            <w:tcW w:w="1350" w:type="dxa"/>
            <w:vAlign w:val="center"/>
          </w:tcPr>
          <w:p w:rsidR="00C133DD" w:rsidRDefault="00157FC2">
            <w:pPr>
              <w:jc w:val="center"/>
            </w:pPr>
            <w:r>
              <w:rPr>
                <w:rFonts w:eastAsiaTheme="minorEastAsia"/>
                <w:color w:val="000000" w:themeColor="text1"/>
                <w:szCs w:val="21"/>
              </w:rPr>
              <w:t>3.08%</w:t>
            </w:r>
          </w:p>
        </w:tc>
        <w:tc>
          <w:tcPr>
            <w:tcW w:w="1350" w:type="dxa"/>
            <w:vAlign w:val="center"/>
          </w:tcPr>
          <w:p w:rsidR="00C133DD" w:rsidRDefault="00157FC2">
            <w:pPr>
              <w:jc w:val="center"/>
            </w:pPr>
            <w:r>
              <w:rPr>
                <w:rFonts w:eastAsiaTheme="minorEastAsia"/>
                <w:color w:val="000000" w:themeColor="text1"/>
                <w:szCs w:val="21"/>
              </w:rPr>
              <w:t>0.10%</w:t>
            </w:r>
          </w:p>
        </w:tc>
        <w:tc>
          <w:tcPr>
            <w:tcW w:w="1350" w:type="dxa"/>
            <w:vAlign w:val="center"/>
          </w:tcPr>
          <w:p w:rsidR="00C133DD" w:rsidRDefault="00157FC2">
            <w:pPr>
              <w:jc w:val="center"/>
            </w:pPr>
            <w:r>
              <w:rPr>
                <w:rFonts w:eastAsiaTheme="minorEastAsia"/>
                <w:color w:val="000000" w:themeColor="text1"/>
                <w:szCs w:val="21"/>
              </w:rPr>
              <w:t>-0.14%</w:t>
            </w:r>
          </w:p>
        </w:tc>
        <w:tc>
          <w:tcPr>
            <w:tcW w:w="1350" w:type="dxa"/>
            <w:vAlign w:val="center"/>
          </w:tcPr>
          <w:p w:rsidR="00C133DD" w:rsidRDefault="00157FC2">
            <w:pPr>
              <w:jc w:val="center"/>
            </w:pPr>
            <w:r>
              <w:rPr>
                <w:rFonts w:eastAsiaTheme="minorEastAsia"/>
                <w:color w:val="000000" w:themeColor="text1"/>
                <w:szCs w:val="21"/>
              </w:rPr>
              <w:t>-0.04%</w:t>
            </w:r>
          </w:p>
        </w:tc>
      </w:tr>
      <w:tr w:rsidR="00C133DD">
        <w:tc>
          <w:tcPr>
            <w:tcW w:w="1620" w:type="dxa"/>
            <w:vAlign w:val="center"/>
          </w:tcPr>
          <w:p w:rsidR="00C133DD" w:rsidRDefault="00157FC2">
            <w:pPr>
              <w:jc w:val="left"/>
            </w:pPr>
            <w:r>
              <w:rPr>
                <w:rFonts w:eastAsiaTheme="minorEastAsia"/>
                <w:color w:val="000000" w:themeColor="text1"/>
                <w:szCs w:val="21"/>
              </w:rPr>
              <w:t>过去一年</w:t>
            </w:r>
          </w:p>
        </w:tc>
        <w:tc>
          <w:tcPr>
            <w:tcW w:w="1350" w:type="dxa"/>
            <w:vAlign w:val="center"/>
          </w:tcPr>
          <w:p w:rsidR="00C133DD" w:rsidRDefault="00157FC2">
            <w:pPr>
              <w:jc w:val="center"/>
            </w:pPr>
            <w:r>
              <w:rPr>
                <w:rFonts w:eastAsiaTheme="minorEastAsia"/>
                <w:color w:val="000000" w:themeColor="text1"/>
                <w:szCs w:val="21"/>
              </w:rPr>
              <w:t>4.03%</w:t>
            </w:r>
          </w:p>
        </w:tc>
        <w:tc>
          <w:tcPr>
            <w:tcW w:w="1350" w:type="dxa"/>
            <w:vAlign w:val="center"/>
          </w:tcPr>
          <w:p w:rsidR="00C133DD" w:rsidRDefault="00157FC2">
            <w:pPr>
              <w:jc w:val="center"/>
            </w:pPr>
            <w:r>
              <w:rPr>
                <w:rFonts w:eastAsiaTheme="minorEastAsia"/>
                <w:color w:val="000000" w:themeColor="text1"/>
                <w:szCs w:val="21"/>
              </w:rPr>
              <w:t>0.05%</w:t>
            </w:r>
          </w:p>
        </w:tc>
        <w:tc>
          <w:tcPr>
            <w:tcW w:w="1350" w:type="dxa"/>
            <w:vAlign w:val="center"/>
          </w:tcPr>
          <w:p w:rsidR="00C133DD" w:rsidRDefault="00157FC2">
            <w:pPr>
              <w:jc w:val="center"/>
            </w:pPr>
            <w:r>
              <w:rPr>
                <w:rFonts w:eastAsiaTheme="minorEastAsia"/>
                <w:color w:val="000000" w:themeColor="text1"/>
                <w:szCs w:val="21"/>
              </w:rPr>
              <w:t>6.17%</w:t>
            </w:r>
          </w:p>
        </w:tc>
        <w:tc>
          <w:tcPr>
            <w:tcW w:w="1350" w:type="dxa"/>
            <w:vAlign w:val="center"/>
          </w:tcPr>
          <w:p w:rsidR="00C133DD" w:rsidRDefault="00157FC2">
            <w:pPr>
              <w:jc w:val="center"/>
            </w:pPr>
            <w:r>
              <w:rPr>
                <w:rFonts w:eastAsiaTheme="minorEastAsia"/>
                <w:color w:val="000000" w:themeColor="text1"/>
                <w:szCs w:val="21"/>
              </w:rPr>
              <w:t>0.11%</w:t>
            </w:r>
          </w:p>
        </w:tc>
        <w:tc>
          <w:tcPr>
            <w:tcW w:w="1350" w:type="dxa"/>
            <w:vAlign w:val="center"/>
          </w:tcPr>
          <w:p w:rsidR="00C133DD" w:rsidRDefault="00157FC2">
            <w:pPr>
              <w:jc w:val="center"/>
            </w:pPr>
            <w:r>
              <w:rPr>
                <w:rFonts w:eastAsiaTheme="minorEastAsia"/>
                <w:color w:val="000000" w:themeColor="text1"/>
                <w:szCs w:val="21"/>
              </w:rPr>
              <w:t>-2.14%</w:t>
            </w:r>
          </w:p>
        </w:tc>
        <w:tc>
          <w:tcPr>
            <w:tcW w:w="1350" w:type="dxa"/>
            <w:vAlign w:val="center"/>
          </w:tcPr>
          <w:p w:rsidR="00C133DD" w:rsidRDefault="00157FC2">
            <w:pPr>
              <w:jc w:val="center"/>
            </w:pPr>
            <w:r>
              <w:rPr>
                <w:rFonts w:eastAsiaTheme="minorEastAsia"/>
                <w:color w:val="000000" w:themeColor="text1"/>
                <w:szCs w:val="21"/>
              </w:rPr>
              <w:t>-0.06%</w:t>
            </w:r>
          </w:p>
        </w:tc>
      </w:tr>
      <w:tr w:rsidR="00C133DD">
        <w:tc>
          <w:tcPr>
            <w:tcW w:w="1620" w:type="dxa"/>
            <w:vAlign w:val="center"/>
          </w:tcPr>
          <w:p w:rsidR="00C133DD" w:rsidRDefault="00157FC2">
            <w:pPr>
              <w:jc w:val="left"/>
            </w:pPr>
            <w:r>
              <w:rPr>
                <w:rFonts w:eastAsiaTheme="minorEastAsia"/>
                <w:color w:val="000000" w:themeColor="text1"/>
                <w:szCs w:val="21"/>
              </w:rPr>
              <w:t>过去三年</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r>
      <w:tr w:rsidR="00C133DD">
        <w:tc>
          <w:tcPr>
            <w:tcW w:w="1620" w:type="dxa"/>
            <w:vAlign w:val="center"/>
          </w:tcPr>
          <w:p w:rsidR="00C133DD" w:rsidRDefault="00157FC2">
            <w:pPr>
              <w:jc w:val="left"/>
            </w:pPr>
            <w:r>
              <w:rPr>
                <w:rFonts w:eastAsiaTheme="minorEastAsia"/>
                <w:color w:val="000000" w:themeColor="text1"/>
                <w:szCs w:val="21"/>
              </w:rPr>
              <w:t>过去五年</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r>
      <w:tr w:rsidR="00C133DD">
        <w:tc>
          <w:tcPr>
            <w:tcW w:w="1620" w:type="dxa"/>
            <w:vAlign w:val="center"/>
          </w:tcPr>
          <w:p w:rsidR="00C133DD" w:rsidRDefault="00157FC2">
            <w:pPr>
              <w:jc w:val="left"/>
            </w:pPr>
            <w:r>
              <w:rPr>
                <w:rFonts w:eastAsiaTheme="minorEastAsia"/>
                <w:color w:val="000000" w:themeColor="text1"/>
                <w:szCs w:val="21"/>
              </w:rPr>
              <w:t>自基金合同生效起至今</w:t>
            </w:r>
          </w:p>
        </w:tc>
        <w:tc>
          <w:tcPr>
            <w:tcW w:w="1350" w:type="dxa"/>
            <w:vAlign w:val="center"/>
          </w:tcPr>
          <w:p w:rsidR="00C133DD" w:rsidRDefault="00157FC2">
            <w:pPr>
              <w:jc w:val="center"/>
            </w:pPr>
            <w:r>
              <w:rPr>
                <w:rFonts w:eastAsiaTheme="minorEastAsia"/>
                <w:color w:val="000000" w:themeColor="text1"/>
                <w:szCs w:val="21"/>
              </w:rPr>
              <w:t>6.07%</w:t>
            </w:r>
          </w:p>
        </w:tc>
        <w:tc>
          <w:tcPr>
            <w:tcW w:w="1350" w:type="dxa"/>
            <w:vAlign w:val="center"/>
          </w:tcPr>
          <w:p w:rsidR="00C133DD" w:rsidRDefault="00157FC2">
            <w:pPr>
              <w:jc w:val="center"/>
            </w:pPr>
            <w:r>
              <w:rPr>
                <w:rFonts w:eastAsiaTheme="minorEastAsia"/>
                <w:color w:val="000000" w:themeColor="text1"/>
                <w:szCs w:val="21"/>
              </w:rPr>
              <w:t>0.04%</w:t>
            </w:r>
          </w:p>
        </w:tc>
        <w:tc>
          <w:tcPr>
            <w:tcW w:w="1350" w:type="dxa"/>
            <w:vAlign w:val="center"/>
          </w:tcPr>
          <w:p w:rsidR="00C133DD" w:rsidRDefault="00157FC2">
            <w:pPr>
              <w:jc w:val="center"/>
            </w:pPr>
            <w:r>
              <w:rPr>
                <w:rFonts w:eastAsiaTheme="minorEastAsia"/>
                <w:color w:val="000000" w:themeColor="text1"/>
                <w:szCs w:val="21"/>
              </w:rPr>
              <w:t>3.18%</w:t>
            </w:r>
          </w:p>
        </w:tc>
        <w:tc>
          <w:tcPr>
            <w:tcW w:w="1350" w:type="dxa"/>
            <w:vAlign w:val="center"/>
          </w:tcPr>
          <w:p w:rsidR="00C133DD" w:rsidRDefault="00157FC2">
            <w:pPr>
              <w:jc w:val="center"/>
            </w:pPr>
            <w:r>
              <w:rPr>
                <w:rFonts w:eastAsiaTheme="minorEastAsia"/>
                <w:color w:val="000000" w:themeColor="text1"/>
                <w:szCs w:val="21"/>
              </w:rPr>
              <w:t>0.10%</w:t>
            </w:r>
          </w:p>
        </w:tc>
        <w:tc>
          <w:tcPr>
            <w:tcW w:w="1350" w:type="dxa"/>
            <w:vAlign w:val="center"/>
          </w:tcPr>
          <w:p w:rsidR="00C133DD" w:rsidRDefault="00157FC2">
            <w:pPr>
              <w:jc w:val="center"/>
            </w:pPr>
            <w:r>
              <w:rPr>
                <w:rFonts w:eastAsiaTheme="minorEastAsia"/>
                <w:color w:val="000000" w:themeColor="text1"/>
                <w:szCs w:val="21"/>
              </w:rPr>
              <w:t>2.89%</w:t>
            </w:r>
          </w:p>
        </w:tc>
        <w:tc>
          <w:tcPr>
            <w:tcW w:w="1350" w:type="dxa"/>
            <w:vAlign w:val="center"/>
          </w:tcPr>
          <w:p w:rsidR="00C133DD" w:rsidRDefault="00157FC2">
            <w:pPr>
              <w:jc w:val="center"/>
            </w:pPr>
            <w:r>
              <w:rPr>
                <w:rFonts w:eastAsiaTheme="minorEastAsia"/>
                <w:color w:val="000000" w:themeColor="text1"/>
                <w:szCs w:val="21"/>
              </w:rPr>
              <w:t>-0.06%</w:t>
            </w:r>
          </w:p>
        </w:tc>
      </w:tr>
    </w:tbl>
    <w:p w:rsidR="001A59F9" w:rsidRPr="00C56D9D" w:rsidRDefault="001A59F9" w:rsidP="00D877B1">
      <w:pPr>
        <w:pStyle w:val="21"/>
        <w:spacing w:line="360" w:lineRule="auto"/>
        <w:ind w:firstLineChars="0" w:firstLine="0"/>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2</w:t>
      </w:r>
      <w:r w:rsidRPr="00C56D9D">
        <w:rPr>
          <w:rFonts w:ascii="Times New Roman" w:eastAsiaTheme="minorEastAsia" w:hAnsi="Times New Roman"/>
          <w:b/>
          <w:color w:val="000000" w:themeColor="text1"/>
          <w:sz w:val="21"/>
          <w:szCs w:val="21"/>
        </w:rPr>
        <w:t>．上投摩根岁岁金定期开放债券</w:t>
      </w:r>
      <w:r w:rsidRPr="00C56D9D">
        <w:rPr>
          <w:rFonts w:ascii="Times New Roman" w:eastAsiaTheme="minorEastAsia" w:hAnsi="Times New Roman"/>
          <w:b/>
          <w:color w:val="000000" w:themeColor="text1"/>
          <w:sz w:val="21"/>
          <w:szCs w:val="21"/>
        </w:rPr>
        <w:t>C</w:t>
      </w:r>
      <w:r w:rsidRPr="00C56D9D">
        <w:rPr>
          <w:rFonts w:ascii="Times New Roman" w:eastAsiaTheme="minorEastAsia" w:hAnsi="Times New Roman"/>
          <w:b/>
          <w:color w:val="000000" w:themeColor="text1"/>
          <w:sz w:val="21"/>
          <w:szCs w:val="21"/>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350"/>
        <w:gridCol w:w="1350"/>
        <w:gridCol w:w="1350"/>
        <w:gridCol w:w="1350"/>
        <w:gridCol w:w="1350"/>
        <w:gridCol w:w="1350"/>
      </w:tblGrid>
      <w:tr w:rsidR="00C56D9D" w:rsidRPr="00C56D9D" w:rsidTr="00116B7D">
        <w:tc>
          <w:tcPr>
            <w:tcW w:w="162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阶段</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份额净值增长率</w:t>
            </w:r>
            <w:r w:rsidRPr="00C56D9D">
              <w:rPr>
                <w:rFonts w:ascii="宋体" w:hAnsi="宋体" w:cs="宋体" w:hint="eastAsia"/>
                <w:color w:val="000000" w:themeColor="text1"/>
                <w:szCs w:val="21"/>
              </w:rPr>
              <w:t>①</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份额净值增长率标准差</w:t>
            </w:r>
            <w:r w:rsidRPr="00C56D9D">
              <w:rPr>
                <w:rFonts w:ascii="宋体" w:hAnsi="宋体" w:cs="宋体" w:hint="eastAsia"/>
                <w:color w:val="000000" w:themeColor="text1"/>
                <w:szCs w:val="21"/>
              </w:rPr>
              <w:t>②</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业绩比较基准收益率</w:t>
            </w:r>
            <w:r w:rsidRPr="00C56D9D">
              <w:rPr>
                <w:rFonts w:ascii="宋体" w:hAnsi="宋体" w:cs="宋体" w:hint="eastAsia"/>
                <w:color w:val="000000" w:themeColor="text1"/>
                <w:szCs w:val="21"/>
              </w:rPr>
              <w:t>③</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业绩比较基准收益率标准差</w:t>
            </w:r>
            <w:r w:rsidRPr="00C56D9D">
              <w:rPr>
                <w:rFonts w:ascii="宋体" w:hAnsi="宋体" w:cs="宋体" w:hint="eastAsia"/>
                <w:color w:val="000000" w:themeColor="text1"/>
                <w:szCs w:val="21"/>
              </w:rPr>
              <w:t>④</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ascii="宋体" w:hAnsi="宋体" w:cs="宋体" w:hint="eastAsia"/>
                <w:color w:val="000000" w:themeColor="text1"/>
                <w:szCs w:val="21"/>
              </w:rPr>
              <w:t>①</w:t>
            </w:r>
            <w:r w:rsidRPr="00C56D9D">
              <w:rPr>
                <w:rFonts w:eastAsiaTheme="minorEastAsia"/>
                <w:color w:val="000000" w:themeColor="text1"/>
                <w:szCs w:val="21"/>
              </w:rPr>
              <w:t>－</w:t>
            </w:r>
            <w:r w:rsidRPr="00C56D9D">
              <w:rPr>
                <w:rFonts w:ascii="宋体" w:hAnsi="宋体" w:cs="宋体" w:hint="eastAsia"/>
                <w:color w:val="000000" w:themeColor="text1"/>
                <w:szCs w:val="21"/>
              </w:rPr>
              <w:t>③</w:t>
            </w:r>
          </w:p>
        </w:tc>
        <w:tc>
          <w:tcPr>
            <w:tcW w:w="135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ascii="宋体" w:hAnsi="宋体" w:cs="宋体" w:hint="eastAsia"/>
                <w:color w:val="000000" w:themeColor="text1"/>
                <w:szCs w:val="21"/>
              </w:rPr>
              <w:t>②</w:t>
            </w:r>
            <w:r w:rsidRPr="00C56D9D">
              <w:rPr>
                <w:rFonts w:eastAsiaTheme="minorEastAsia"/>
                <w:color w:val="000000" w:themeColor="text1"/>
                <w:szCs w:val="21"/>
              </w:rPr>
              <w:t>－</w:t>
            </w:r>
            <w:r w:rsidRPr="00C56D9D">
              <w:rPr>
                <w:rFonts w:ascii="宋体" w:hAnsi="宋体" w:cs="宋体" w:hint="eastAsia"/>
                <w:color w:val="000000" w:themeColor="text1"/>
                <w:szCs w:val="21"/>
              </w:rPr>
              <w:t>④</w:t>
            </w:r>
          </w:p>
        </w:tc>
      </w:tr>
      <w:tr w:rsidR="00C133DD">
        <w:tc>
          <w:tcPr>
            <w:tcW w:w="1620" w:type="dxa"/>
            <w:vAlign w:val="center"/>
          </w:tcPr>
          <w:p w:rsidR="00C133DD" w:rsidRDefault="00157FC2">
            <w:pPr>
              <w:jc w:val="left"/>
            </w:pPr>
            <w:r>
              <w:rPr>
                <w:rFonts w:eastAsiaTheme="minorEastAsia"/>
                <w:color w:val="000000" w:themeColor="text1"/>
                <w:szCs w:val="21"/>
              </w:rPr>
              <w:t>过去三个月</w:t>
            </w:r>
          </w:p>
        </w:tc>
        <w:tc>
          <w:tcPr>
            <w:tcW w:w="1350" w:type="dxa"/>
            <w:vAlign w:val="center"/>
          </w:tcPr>
          <w:p w:rsidR="00C133DD" w:rsidRDefault="00157FC2">
            <w:pPr>
              <w:jc w:val="center"/>
            </w:pPr>
            <w:r>
              <w:rPr>
                <w:rFonts w:eastAsiaTheme="minorEastAsia"/>
                <w:color w:val="000000" w:themeColor="text1"/>
                <w:szCs w:val="21"/>
              </w:rPr>
              <w:t>1.55%</w:t>
            </w:r>
          </w:p>
        </w:tc>
        <w:tc>
          <w:tcPr>
            <w:tcW w:w="1350" w:type="dxa"/>
            <w:vAlign w:val="center"/>
          </w:tcPr>
          <w:p w:rsidR="00C133DD" w:rsidRDefault="00157FC2">
            <w:pPr>
              <w:jc w:val="center"/>
            </w:pPr>
            <w:r>
              <w:rPr>
                <w:rFonts w:eastAsiaTheme="minorEastAsia"/>
                <w:color w:val="000000" w:themeColor="text1"/>
                <w:szCs w:val="21"/>
              </w:rPr>
              <w:t>0.05%</w:t>
            </w:r>
          </w:p>
        </w:tc>
        <w:tc>
          <w:tcPr>
            <w:tcW w:w="1350" w:type="dxa"/>
            <w:vAlign w:val="center"/>
          </w:tcPr>
          <w:p w:rsidR="00C133DD" w:rsidRDefault="00157FC2">
            <w:pPr>
              <w:jc w:val="center"/>
            </w:pPr>
            <w:r>
              <w:rPr>
                <w:rFonts w:eastAsiaTheme="minorEastAsia"/>
                <w:color w:val="000000" w:themeColor="text1"/>
                <w:szCs w:val="21"/>
              </w:rPr>
              <w:t>2.91%</w:t>
            </w:r>
          </w:p>
        </w:tc>
        <w:tc>
          <w:tcPr>
            <w:tcW w:w="1350" w:type="dxa"/>
            <w:vAlign w:val="center"/>
          </w:tcPr>
          <w:p w:rsidR="00C133DD" w:rsidRDefault="00157FC2">
            <w:pPr>
              <w:jc w:val="center"/>
            </w:pPr>
            <w:r>
              <w:rPr>
                <w:rFonts w:eastAsiaTheme="minorEastAsia"/>
                <w:color w:val="000000" w:themeColor="text1"/>
                <w:szCs w:val="21"/>
              </w:rPr>
              <w:t>0.09%</w:t>
            </w:r>
          </w:p>
        </w:tc>
        <w:tc>
          <w:tcPr>
            <w:tcW w:w="1350" w:type="dxa"/>
            <w:vAlign w:val="center"/>
          </w:tcPr>
          <w:p w:rsidR="00C133DD" w:rsidRDefault="00157FC2">
            <w:pPr>
              <w:jc w:val="center"/>
            </w:pPr>
            <w:r>
              <w:rPr>
                <w:rFonts w:eastAsiaTheme="minorEastAsia"/>
                <w:color w:val="000000" w:themeColor="text1"/>
                <w:szCs w:val="21"/>
              </w:rPr>
              <w:t>-1.36%</w:t>
            </w:r>
          </w:p>
        </w:tc>
        <w:tc>
          <w:tcPr>
            <w:tcW w:w="1350" w:type="dxa"/>
            <w:vAlign w:val="center"/>
          </w:tcPr>
          <w:p w:rsidR="00C133DD" w:rsidRDefault="00157FC2">
            <w:pPr>
              <w:jc w:val="center"/>
            </w:pPr>
            <w:r>
              <w:rPr>
                <w:rFonts w:eastAsiaTheme="minorEastAsia"/>
                <w:color w:val="000000" w:themeColor="text1"/>
                <w:szCs w:val="21"/>
              </w:rPr>
              <w:t>-0.04%</w:t>
            </w:r>
          </w:p>
        </w:tc>
      </w:tr>
      <w:tr w:rsidR="00C133DD">
        <w:tc>
          <w:tcPr>
            <w:tcW w:w="1620" w:type="dxa"/>
            <w:vAlign w:val="center"/>
          </w:tcPr>
          <w:p w:rsidR="00C133DD" w:rsidRDefault="00157FC2">
            <w:pPr>
              <w:jc w:val="left"/>
            </w:pPr>
            <w:r>
              <w:rPr>
                <w:rFonts w:eastAsiaTheme="minorEastAsia"/>
                <w:color w:val="000000" w:themeColor="text1"/>
                <w:szCs w:val="21"/>
              </w:rPr>
              <w:t>过去六个月</w:t>
            </w:r>
          </w:p>
        </w:tc>
        <w:tc>
          <w:tcPr>
            <w:tcW w:w="1350" w:type="dxa"/>
            <w:vAlign w:val="center"/>
          </w:tcPr>
          <w:p w:rsidR="00C133DD" w:rsidRDefault="00157FC2">
            <w:pPr>
              <w:jc w:val="center"/>
            </w:pPr>
            <w:r>
              <w:rPr>
                <w:rFonts w:eastAsiaTheme="minorEastAsia"/>
                <w:color w:val="000000" w:themeColor="text1"/>
                <w:szCs w:val="21"/>
              </w:rPr>
              <w:t>2.77%</w:t>
            </w:r>
          </w:p>
        </w:tc>
        <w:tc>
          <w:tcPr>
            <w:tcW w:w="1350" w:type="dxa"/>
            <w:vAlign w:val="center"/>
          </w:tcPr>
          <w:p w:rsidR="00C133DD" w:rsidRDefault="00157FC2">
            <w:pPr>
              <w:jc w:val="center"/>
            </w:pPr>
            <w:r>
              <w:rPr>
                <w:rFonts w:eastAsiaTheme="minorEastAsia"/>
                <w:color w:val="000000" w:themeColor="text1"/>
                <w:szCs w:val="21"/>
              </w:rPr>
              <w:t>0.06%</w:t>
            </w:r>
          </w:p>
        </w:tc>
        <w:tc>
          <w:tcPr>
            <w:tcW w:w="1350" w:type="dxa"/>
            <w:vAlign w:val="center"/>
          </w:tcPr>
          <w:p w:rsidR="00C133DD" w:rsidRDefault="00157FC2">
            <w:pPr>
              <w:jc w:val="center"/>
            </w:pPr>
            <w:r>
              <w:rPr>
                <w:rFonts w:eastAsiaTheme="minorEastAsia"/>
                <w:color w:val="000000" w:themeColor="text1"/>
                <w:szCs w:val="21"/>
              </w:rPr>
              <w:t>3.08%</w:t>
            </w:r>
          </w:p>
        </w:tc>
        <w:tc>
          <w:tcPr>
            <w:tcW w:w="1350" w:type="dxa"/>
            <w:vAlign w:val="center"/>
          </w:tcPr>
          <w:p w:rsidR="00C133DD" w:rsidRDefault="00157FC2">
            <w:pPr>
              <w:jc w:val="center"/>
            </w:pPr>
            <w:r>
              <w:rPr>
                <w:rFonts w:eastAsiaTheme="minorEastAsia"/>
                <w:color w:val="000000" w:themeColor="text1"/>
                <w:szCs w:val="21"/>
              </w:rPr>
              <w:t>0.10%</w:t>
            </w:r>
          </w:p>
        </w:tc>
        <w:tc>
          <w:tcPr>
            <w:tcW w:w="1350" w:type="dxa"/>
            <w:vAlign w:val="center"/>
          </w:tcPr>
          <w:p w:rsidR="00C133DD" w:rsidRDefault="00157FC2">
            <w:pPr>
              <w:jc w:val="center"/>
            </w:pPr>
            <w:r>
              <w:rPr>
                <w:rFonts w:eastAsiaTheme="minorEastAsia"/>
                <w:color w:val="000000" w:themeColor="text1"/>
                <w:szCs w:val="21"/>
              </w:rPr>
              <w:t>-0.31%</w:t>
            </w:r>
          </w:p>
        </w:tc>
        <w:tc>
          <w:tcPr>
            <w:tcW w:w="1350" w:type="dxa"/>
            <w:vAlign w:val="center"/>
          </w:tcPr>
          <w:p w:rsidR="00C133DD" w:rsidRDefault="00157FC2">
            <w:pPr>
              <w:jc w:val="center"/>
            </w:pPr>
            <w:r>
              <w:rPr>
                <w:rFonts w:eastAsiaTheme="minorEastAsia"/>
                <w:color w:val="000000" w:themeColor="text1"/>
                <w:szCs w:val="21"/>
              </w:rPr>
              <w:t>-0.04%</w:t>
            </w:r>
          </w:p>
        </w:tc>
      </w:tr>
      <w:tr w:rsidR="00C133DD">
        <w:tc>
          <w:tcPr>
            <w:tcW w:w="1620" w:type="dxa"/>
            <w:vAlign w:val="center"/>
          </w:tcPr>
          <w:p w:rsidR="00C133DD" w:rsidRDefault="00157FC2">
            <w:pPr>
              <w:jc w:val="left"/>
            </w:pPr>
            <w:r>
              <w:rPr>
                <w:rFonts w:eastAsiaTheme="minorEastAsia"/>
                <w:color w:val="000000" w:themeColor="text1"/>
                <w:szCs w:val="21"/>
              </w:rPr>
              <w:t>过去一年</w:t>
            </w:r>
          </w:p>
        </w:tc>
        <w:tc>
          <w:tcPr>
            <w:tcW w:w="1350" w:type="dxa"/>
            <w:vAlign w:val="center"/>
          </w:tcPr>
          <w:p w:rsidR="00C133DD" w:rsidRDefault="00157FC2">
            <w:pPr>
              <w:jc w:val="center"/>
            </w:pPr>
            <w:r>
              <w:rPr>
                <w:rFonts w:eastAsiaTheme="minorEastAsia"/>
                <w:color w:val="000000" w:themeColor="text1"/>
                <w:szCs w:val="21"/>
              </w:rPr>
              <w:t>3.72%</w:t>
            </w:r>
          </w:p>
        </w:tc>
        <w:tc>
          <w:tcPr>
            <w:tcW w:w="1350" w:type="dxa"/>
            <w:vAlign w:val="center"/>
          </w:tcPr>
          <w:p w:rsidR="00C133DD" w:rsidRDefault="00157FC2">
            <w:pPr>
              <w:jc w:val="center"/>
            </w:pPr>
            <w:r>
              <w:rPr>
                <w:rFonts w:eastAsiaTheme="minorEastAsia"/>
                <w:color w:val="000000" w:themeColor="text1"/>
                <w:szCs w:val="21"/>
              </w:rPr>
              <w:t>0.05%</w:t>
            </w:r>
          </w:p>
        </w:tc>
        <w:tc>
          <w:tcPr>
            <w:tcW w:w="1350" w:type="dxa"/>
            <w:vAlign w:val="center"/>
          </w:tcPr>
          <w:p w:rsidR="00C133DD" w:rsidRDefault="00157FC2">
            <w:pPr>
              <w:jc w:val="center"/>
            </w:pPr>
            <w:r>
              <w:rPr>
                <w:rFonts w:eastAsiaTheme="minorEastAsia"/>
                <w:color w:val="000000" w:themeColor="text1"/>
                <w:szCs w:val="21"/>
              </w:rPr>
              <w:t>6.17%</w:t>
            </w:r>
          </w:p>
        </w:tc>
        <w:tc>
          <w:tcPr>
            <w:tcW w:w="1350" w:type="dxa"/>
            <w:vAlign w:val="center"/>
          </w:tcPr>
          <w:p w:rsidR="00C133DD" w:rsidRDefault="00157FC2">
            <w:pPr>
              <w:jc w:val="center"/>
            </w:pPr>
            <w:r>
              <w:rPr>
                <w:rFonts w:eastAsiaTheme="minorEastAsia"/>
                <w:color w:val="000000" w:themeColor="text1"/>
                <w:szCs w:val="21"/>
              </w:rPr>
              <w:t>0.11%</w:t>
            </w:r>
          </w:p>
        </w:tc>
        <w:tc>
          <w:tcPr>
            <w:tcW w:w="1350" w:type="dxa"/>
            <w:vAlign w:val="center"/>
          </w:tcPr>
          <w:p w:rsidR="00C133DD" w:rsidRDefault="00157FC2">
            <w:pPr>
              <w:jc w:val="center"/>
            </w:pPr>
            <w:r>
              <w:rPr>
                <w:rFonts w:eastAsiaTheme="minorEastAsia"/>
                <w:color w:val="000000" w:themeColor="text1"/>
                <w:szCs w:val="21"/>
              </w:rPr>
              <w:t>-2.45%</w:t>
            </w:r>
          </w:p>
        </w:tc>
        <w:tc>
          <w:tcPr>
            <w:tcW w:w="1350" w:type="dxa"/>
            <w:vAlign w:val="center"/>
          </w:tcPr>
          <w:p w:rsidR="00C133DD" w:rsidRDefault="00157FC2">
            <w:pPr>
              <w:jc w:val="center"/>
            </w:pPr>
            <w:r>
              <w:rPr>
                <w:rFonts w:eastAsiaTheme="minorEastAsia"/>
                <w:color w:val="000000" w:themeColor="text1"/>
                <w:szCs w:val="21"/>
              </w:rPr>
              <w:t>-0.06%</w:t>
            </w:r>
          </w:p>
        </w:tc>
      </w:tr>
      <w:tr w:rsidR="00C133DD">
        <w:tc>
          <w:tcPr>
            <w:tcW w:w="1620" w:type="dxa"/>
            <w:vAlign w:val="center"/>
          </w:tcPr>
          <w:p w:rsidR="00C133DD" w:rsidRDefault="00157FC2">
            <w:pPr>
              <w:jc w:val="left"/>
            </w:pPr>
            <w:r>
              <w:rPr>
                <w:rFonts w:eastAsiaTheme="minorEastAsia"/>
                <w:color w:val="000000" w:themeColor="text1"/>
                <w:szCs w:val="21"/>
              </w:rPr>
              <w:t>过去三年</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r>
      <w:tr w:rsidR="00C133DD">
        <w:tc>
          <w:tcPr>
            <w:tcW w:w="1620" w:type="dxa"/>
            <w:vAlign w:val="center"/>
          </w:tcPr>
          <w:p w:rsidR="00C133DD" w:rsidRDefault="00157FC2">
            <w:pPr>
              <w:jc w:val="left"/>
            </w:pPr>
            <w:r>
              <w:rPr>
                <w:rFonts w:eastAsiaTheme="minorEastAsia"/>
                <w:color w:val="000000" w:themeColor="text1"/>
                <w:szCs w:val="21"/>
              </w:rPr>
              <w:t>过去五年</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c>
          <w:tcPr>
            <w:tcW w:w="1350" w:type="dxa"/>
            <w:vAlign w:val="center"/>
          </w:tcPr>
          <w:p w:rsidR="00C133DD" w:rsidRDefault="00157FC2">
            <w:pPr>
              <w:jc w:val="center"/>
            </w:pPr>
            <w:r>
              <w:rPr>
                <w:rFonts w:eastAsiaTheme="minorEastAsia"/>
                <w:color w:val="000000" w:themeColor="text1"/>
                <w:szCs w:val="21"/>
              </w:rPr>
              <w:t>-</w:t>
            </w:r>
          </w:p>
        </w:tc>
      </w:tr>
      <w:tr w:rsidR="00C133DD">
        <w:tc>
          <w:tcPr>
            <w:tcW w:w="1620" w:type="dxa"/>
            <w:vAlign w:val="center"/>
          </w:tcPr>
          <w:p w:rsidR="00C133DD" w:rsidRDefault="00157FC2">
            <w:pPr>
              <w:jc w:val="left"/>
            </w:pPr>
            <w:r>
              <w:rPr>
                <w:rFonts w:eastAsiaTheme="minorEastAsia"/>
                <w:color w:val="000000" w:themeColor="text1"/>
                <w:szCs w:val="21"/>
              </w:rPr>
              <w:t>自基金合同生效起至今</w:t>
            </w:r>
          </w:p>
        </w:tc>
        <w:tc>
          <w:tcPr>
            <w:tcW w:w="1350" w:type="dxa"/>
            <w:vAlign w:val="center"/>
          </w:tcPr>
          <w:p w:rsidR="00C133DD" w:rsidRDefault="00157FC2">
            <w:pPr>
              <w:jc w:val="center"/>
            </w:pPr>
            <w:r>
              <w:rPr>
                <w:rFonts w:eastAsiaTheme="minorEastAsia"/>
                <w:color w:val="000000" w:themeColor="text1"/>
                <w:szCs w:val="21"/>
              </w:rPr>
              <w:t>5.48%</w:t>
            </w:r>
          </w:p>
        </w:tc>
        <w:tc>
          <w:tcPr>
            <w:tcW w:w="1350" w:type="dxa"/>
            <w:vAlign w:val="center"/>
          </w:tcPr>
          <w:p w:rsidR="00C133DD" w:rsidRDefault="00157FC2">
            <w:pPr>
              <w:jc w:val="center"/>
            </w:pPr>
            <w:r>
              <w:rPr>
                <w:rFonts w:eastAsiaTheme="minorEastAsia"/>
                <w:color w:val="000000" w:themeColor="text1"/>
                <w:szCs w:val="21"/>
              </w:rPr>
              <w:t>0.04%</w:t>
            </w:r>
          </w:p>
        </w:tc>
        <w:tc>
          <w:tcPr>
            <w:tcW w:w="1350" w:type="dxa"/>
            <w:vAlign w:val="center"/>
          </w:tcPr>
          <w:p w:rsidR="00C133DD" w:rsidRDefault="00157FC2">
            <w:pPr>
              <w:jc w:val="center"/>
            </w:pPr>
            <w:r>
              <w:rPr>
                <w:rFonts w:eastAsiaTheme="minorEastAsia"/>
                <w:color w:val="000000" w:themeColor="text1"/>
                <w:szCs w:val="21"/>
              </w:rPr>
              <w:t>3.18%</w:t>
            </w:r>
          </w:p>
        </w:tc>
        <w:tc>
          <w:tcPr>
            <w:tcW w:w="1350" w:type="dxa"/>
            <w:vAlign w:val="center"/>
          </w:tcPr>
          <w:p w:rsidR="00C133DD" w:rsidRDefault="00157FC2">
            <w:pPr>
              <w:jc w:val="center"/>
            </w:pPr>
            <w:r>
              <w:rPr>
                <w:rFonts w:eastAsiaTheme="minorEastAsia"/>
                <w:color w:val="000000" w:themeColor="text1"/>
                <w:szCs w:val="21"/>
              </w:rPr>
              <w:t>0.10%</w:t>
            </w:r>
          </w:p>
        </w:tc>
        <w:tc>
          <w:tcPr>
            <w:tcW w:w="1350" w:type="dxa"/>
            <w:vAlign w:val="center"/>
          </w:tcPr>
          <w:p w:rsidR="00C133DD" w:rsidRDefault="00157FC2">
            <w:pPr>
              <w:jc w:val="center"/>
            </w:pPr>
            <w:r>
              <w:rPr>
                <w:rFonts w:eastAsiaTheme="minorEastAsia"/>
                <w:color w:val="000000" w:themeColor="text1"/>
                <w:szCs w:val="21"/>
              </w:rPr>
              <w:t>2.30%</w:t>
            </w:r>
          </w:p>
        </w:tc>
        <w:tc>
          <w:tcPr>
            <w:tcW w:w="1350" w:type="dxa"/>
            <w:vAlign w:val="center"/>
          </w:tcPr>
          <w:p w:rsidR="00C133DD" w:rsidRDefault="00157FC2">
            <w:pPr>
              <w:jc w:val="center"/>
            </w:pPr>
            <w:r>
              <w:rPr>
                <w:rFonts w:eastAsiaTheme="minorEastAsia"/>
                <w:color w:val="000000" w:themeColor="text1"/>
                <w:szCs w:val="21"/>
              </w:rPr>
              <w:t>-0.06%</w:t>
            </w:r>
          </w:p>
        </w:tc>
      </w:tr>
    </w:tbl>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本基金的业绩比较基准为：中债总指数</w:t>
      </w:r>
    </w:p>
    <w:p w:rsidR="00852116" w:rsidRPr="00C56D9D" w:rsidRDefault="00852116" w:rsidP="00E34772">
      <w:pPr>
        <w:spacing w:beforeLines="100" w:before="312" w:line="360" w:lineRule="auto"/>
        <w:rPr>
          <w:rFonts w:eastAsiaTheme="minorEastAsia"/>
          <w:b/>
          <w:color w:val="000000" w:themeColor="text1"/>
          <w:kern w:val="0"/>
          <w:szCs w:val="21"/>
        </w:rPr>
      </w:pPr>
      <w:r w:rsidRPr="00C56D9D">
        <w:rPr>
          <w:rFonts w:eastAsiaTheme="minorEastAsia"/>
          <w:b/>
          <w:color w:val="000000" w:themeColor="text1"/>
          <w:kern w:val="0"/>
          <w:szCs w:val="21"/>
        </w:rPr>
        <w:t>3.2.2</w:t>
      </w:r>
      <w:r w:rsidR="002A35B1" w:rsidRPr="00C56D9D">
        <w:rPr>
          <w:rStyle w:val="af8"/>
          <w:rFonts w:eastAsiaTheme="minorEastAsia"/>
          <w:color w:val="000000" w:themeColor="text1"/>
          <w:szCs w:val="21"/>
          <w:shd w:val="clear" w:color="auto" w:fill="FFFFFF"/>
        </w:rPr>
        <w:t>自基金合同生效以来</w:t>
      </w:r>
      <w:r w:rsidRPr="00C56D9D">
        <w:rPr>
          <w:rFonts w:eastAsiaTheme="minorEastAsia"/>
          <w:b/>
          <w:color w:val="000000" w:themeColor="text1"/>
          <w:kern w:val="0"/>
          <w:szCs w:val="21"/>
        </w:rPr>
        <w:t>基金份额累计净值增长率变动及其与同期业绩比较基准收益率变动的比较</w:t>
      </w:r>
      <w:r w:rsidRPr="00C56D9D">
        <w:rPr>
          <w:rFonts w:eastAsiaTheme="minorEastAsia"/>
          <w:b/>
          <w:color w:val="000000" w:themeColor="text1"/>
          <w:kern w:val="0"/>
          <w:szCs w:val="21"/>
        </w:rPr>
        <w:t xml:space="preserve"> </w:t>
      </w:r>
    </w:p>
    <w:p w:rsidR="00097CBA" w:rsidRPr="00C56D9D" w:rsidRDefault="00097CBA" w:rsidP="008174CF">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上投摩根岁岁金定期开放债券型证券投资基金</w:t>
      </w:r>
    </w:p>
    <w:p w:rsidR="00852116" w:rsidRPr="00C56D9D" w:rsidRDefault="00425745" w:rsidP="008174CF">
      <w:pPr>
        <w:spacing w:line="360" w:lineRule="auto"/>
        <w:ind w:firstLine="420"/>
        <w:jc w:val="center"/>
        <w:rPr>
          <w:rFonts w:eastAsiaTheme="minorEastAsia"/>
          <w:color w:val="000000" w:themeColor="text1"/>
          <w:kern w:val="0"/>
          <w:szCs w:val="21"/>
        </w:rPr>
      </w:pPr>
      <w:r w:rsidRPr="00F65B0C">
        <w:rPr>
          <w:rFonts w:eastAsiaTheme="minorEastAsia" w:hint="eastAsia"/>
          <w:color w:val="000000" w:themeColor="text1"/>
          <w:szCs w:val="21"/>
        </w:rPr>
        <w:t>自基金合同生效以来</w:t>
      </w:r>
      <w:r w:rsidR="00852116" w:rsidRPr="00C56D9D">
        <w:rPr>
          <w:rFonts w:eastAsiaTheme="minorEastAsia"/>
          <w:color w:val="000000" w:themeColor="text1"/>
          <w:kern w:val="0"/>
          <w:szCs w:val="21"/>
        </w:rPr>
        <w:t>份额累计净值增长率与业绩比较基准收益率的历史走势对比图</w:t>
      </w:r>
    </w:p>
    <w:p w:rsidR="00852116" w:rsidRPr="00C56D9D" w:rsidRDefault="00852116" w:rsidP="008174CF">
      <w:pPr>
        <w:pStyle w:val="a6"/>
        <w:snapToGrid w:val="0"/>
        <w:spacing w:line="360" w:lineRule="auto"/>
        <w:ind w:firstLine="480"/>
        <w:jc w:val="center"/>
        <w:rPr>
          <w:rFonts w:ascii="Times New Roman" w:eastAsiaTheme="minorEastAsia" w:hAnsi="Times New Roman"/>
          <w:color w:val="000000" w:themeColor="text1"/>
        </w:rPr>
      </w:pPr>
      <w:r w:rsidRPr="00C56D9D">
        <w:rPr>
          <w:rFonts w:ascii="Times New Roman" w:eastAsiaTheme="minorEastAsia" w:hAnsi="Times New Roman"/>
          <w:color w:val="000000" w:themeColor="text1"/>
        </w:rPr>
        <w:t>(2017</w:t>
      </w:r>
      <w:r w:rsidRPr="00C56D9D">
        <w:rPr>
          <w:rFonts w:ascii="Times New Roman" w:eastAsiaTheme="minorEastAsia" w:hAnsi="Times New Roman"/>
          <w:color w:val="000000" w:themeColor="text1"/>
        </w:rPr>
        <w:t>年</w:t>
      </w:r>
      <w:r w:rsidRPr="00C56D9D">
        <w:rPr>
          <w:rFonts w:ascii="Times New Roman" w:eastAsiaTheme="minorEastAsia" w:hAnsi="Times New Roman"/>
          <w:color w:val="000000" w:themeColor="text1"/>
        </w:rPr>
        <w:t>4</w:t>
      </w:r>
      <w:r w:rsidRPr="00C56D9D">
        <w:rPr>
          <w:rFonts w:ascii="Times New Roman" w:eastAsiaTheme="minorEastAsia" w:hAnsi="Times New Roman"/>
          <w:color w:val="000000" w:themeColor="text1"/>
        </w:rPr>
        <w:t>月</w:t>
      </w:r>
      <w:r w:rsidRPr="00C56D9D">
        <w:rPr>
          <w:rFonts w:ascii="Times New Roman" w:eastAsiaTheme="minorEastAsia" w:hAnsi="Times New Roman"/>
          <w:color w:val="000000" w:themeColor="text1"/>
        </w:rPr>
        <w:t>10</w:t>
      </w:r>
      <w:r w:rsidRPr="00C56D9D">
        <w:rPr>
          <w:rFonts w:ascii="Times New Roman" w:eastAsiaTheme="minorEastAsia" w:hAnsi="Times New Roman"/>
          <w:color w:val="000000" w:themeColor="text1"/>
        </w:rPr>
        <w:t>日至</w:t>
      </w:r>
      <w:r w:rsidRPr="00C56D9D">
        <w:rPr>
          <w:rFonts w:ascii="Times New Roman" w:eastAsiaTheme="minorEastAsia" w:hAnsi="Times New Roman"/>
          <w:color w:val="000000" w:themeColor="text1"/>
        </w:rPr>
        <w:t>2018</w:t>
      </w:r>
      <w:r w:rsidRPr="00C56D9D">
        <w:rPr>
          <w:rFonts w:ascii="Times New Roman" w:eastAsiaTheme="minorEastAsia" w:hAnsi="Times New Roman"/>
          <w:color w:val="000000" w:themeColor="text1"/>
        </w:rPr>
        <w:t>年</w:t>
      </w:r>
      <w:r w:rsidRPr="00C56D9D">
        <w:rPr>
          <w:rFonts w:ascii="Times New Roman" w:eastAsiaTheme="minorEastAsia" w:hAnsi="Times New Roman"/>
          <w:color w:val="000000" w:themeColor="text1"/>
        </w:rPr>
        <w:t>12</w:t>
      </w:r>
      <w:r w:rsidRPr="00C56D9D">
        <w:rPr>
          <w:rFonts w:ascii="Times New Roman" w:eastAsiaTheme="minorEastAsia" w:hAnsi="Times New Roman"/>
          <w:color w:val="000000" w:themeColor="text1"/>
        </w:rPr>
        <w:t>月</w:t>
      </w:r>
      <w:r w:rsidRPr="00C56D9D">
        <w:rPr>
          <w:rFonts w:ascii="Times New Roman" w:eastAsiaTheme="minorEastAsia" w:hAnsi="Times New Roman"/>
          <w:color w:val="000000" w:themeColor="text1"/>
        </w:rPr>
        <w:t>31</w:t>
      </w:r>
      <w:r w:rsidRPr="00C56D9D">
        <w:rPr>
          <w:rFonts w:ascii="Times New Roman" w:eastAsiaTheme="minorEastAsia" w:hAnsi="Times New Roman"/>
          <w:color w:val="000000" w:themeColor="text1"/>
        </w:rPr>
        <w:t>日</w:t>
      </w:r>
      <w:r w:rsidRPr="00C56D9D">
        <w:rPr>
          <w:rFonts w:ascii="Times New Roman" w:eastAsiaTheme="minorEastAsia" w:hAnsi="Times New Roman"/>
          <w:color w:val="000000" w:themeColor="text1"/>
        </w:rPr>
        <w:t>)</w:t>
      </w:r>
    </w:p>
    <w:p w:rsidR="00097CBA" w:rsidRPr="00C56D9D" w:rsidRDefault="00097CBA" w:rsidP="008174CF">
      <w:pPr>
        <w:snapToGrid w:val="0"/>
        <w:spacing w:line="360" w:lineRule="auto"/>
        <w:rPr>
          <w:rFonts w:eastAsiaTheme="minorEastAsia"/>
          <w:b/>
          <w:color w:val="000000" w:themeColor="text1"/>
          <w:szCs w:val="21"/>
        </w:rPr>
      </w:pPr>
      <w:r w:rsidRPr="00C56D9D">
        <w:rPr>
          <w:rFonts w:eastAsiaTheme="minorEastAsia"/>
          <w:b/>
          <w:color w:val="000000" w:themeColor="text1"/>
          <w:szCs w:val="21"/>
        </w:rPr>
        <w:t>1</w:t>
      </w:r>
      <w:r w:rsidRPr="00C56D9D">
        <w:rPr>
          <w:rFonts w:eastAsiaTheme="minorEastAsia"/>
          <w:b/>
          <w:color w:val="000000" w:themeColor="text1"/>
          <w:szCs w:val="21"/>
        </w:rPr>
        <w:t>、上投摩根岁岁金定期开放债券</w:t>
      </w:r>
      <w:r w:rsidRPr="00C56D9D">
        <w:rPr>
          <w:rFonts w:eastAsiaTheme="minorEastAsia"/>
          <w:b/>
          <w:color w:val="000000" w:themeColor="text1"/>
          <w:szCs w:val="21"/>
        </w:rPr>
        <w:t>A</w:t>
      </w:r>
    </w:p>
    <w:p w:rsidR="001A59F9" w:rsidRPr="00C56D9D" w:rsidRDefault="007462CE" w:rsidP="00026C9C">
      <w:pPr>
        <w:pStyle w:val="21"/>
        <w:adjustRightInd w:val="0"/>
        <w:snapToGrid w:val="0"/>
        <w:spacing w:line="360" w:lineRule="auto"/>
        <w:ind w:firstLineChars="0" w:firstLine="0"/>
        <w:jc w:val="center"/>
        <w:rPr>
          <w:rFonts w:ascii="Times New Roman" w:eastAsiaTheme="minorEastAsia" w:hAnsi="Times New Roman"/>
          <w:color w:val="000000" w:themeColor="text1"/>
          <w:sz w:val="21"/>
          <w:szCs w:val="21"/>
        </w:rPr>
      </w:pPr>
      <w:r w:rsidRPr="00C56D9D">
        <w:rPr>
          <w:rFonts w:ascii="Times New Roman" w:eastAsiaTheme="minorEastAsia" w:hAnsi="Times New Roman"/>
          <w:noProof/>
          <w:color w:val="000000" w:themeColor="text1"/>
          <w:sz w:val="21"/>
          <w:szCs w:val="21"/>
        </w:rPr>
        <w:lastRenderedPageBreak/>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注：本基金合同生效日为</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日，图示时间段为</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日至</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p>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本基金建仓期自</w:t>
      </w:r>
      <w:r w:rsidRPr="00C56D9D">
        <w:rPr>
          <w:rFonts w:eastAsiaTheme="minorEastAsia"/>
          <w:color w:val="000000" w:themeColor="text1"/>
          <w:kern w:val="0"/>
          <w:szCs w:val="21"/>
        </w:rPr>
        <w:t>2017</w:t>
      </w:r>
      <w:r w:rsidRPr="00C56D9D">
        <w:rPr>
          <w:rFonts w:eastAsiaTheme="minorEastAsia"/>
          <w:color w:val="000000" w:themeColor="text1"/>
          <w:kern w:val="0"/>
          <w:szCs w:val="21"/>
        </w:rPr>
        <w:t>年</w:t>
      </w:r>
      <w:r w:rsidRPr="00C56D9D">
        <w:rPr>
          <w:rFonts w:eastAsiaTheme="minorEastAsia"/>
          <w:color w:val="000000" w:themeColor="text1"/>
          <w:kern w:val="0"/>
          <w:szCs w:val="21"/>
        </w:rPr>
        <w:t>4</w:t>
      </w:r>
      <w:r w:rsidRPr="00C56D9D">
        <w:rPr>
          <w:rFonts w:eastAsiaTheme="minorEastAsia"/>
          <w:color w:val="000000" w:themeColor="text1"/>
          <w:kern w:val="0"/>
          <w:szCs w:val="21"/>
        </w:rPr>
        <w:t>月</w:t>
      </w:r>
      <w:r w:rsidRPr="00C56D9D">
        <w:rPr>
          <w:rFonts w:eastAsiaTheme="minorEastAsia"/>
          <w:color w:val="000000" w:themeColor="text1"/>
          <w:kern w:val="0"/>
          <w:szCs w:val="21"/>
        </w:rPr>
        <w:t>10</w:t>
      </w:r>
      <w:r w:rsidRPr="00C56D9D">
        <w:rPr>
          <w:rFonts w:eastAsiaTheme="minorEastAsia"/>
          <w:color w:val="000000" w:themeColor="text1"/>
          <w:kern w:val="0"/>
          <w:szCs w:val="21"/>
        </w:rPr>
        <w:t>日至</w:t>
      </w:r>
      <w:r w:rsidRPr="00C56D9D">
        <w:rPr>
          <w:rFonts w:eastAsiaTheme="minorEastAsia"/>
          <w:color w:val="000000" w:themeColor="text1"/>
          <w:kern w:val="0"/>
          <w:szCs w:val="21"/>
        </w:rPr>
        <w:t>2017</w:t>
      </w:r>
      <w:r w:rsidRPr="00C56D9D">
        <w:rPr>
          <w:rFonts w:eastAsiaTheme="minorEastAsia"/>
          <w:color w:val="000000" w:themeColor="text1"/>
          <w:kern w:val="0"/>
          <w:szCs w:val="21"/>
        </w:rPr>
        <w:t>年</w:t>
      </w:r>
      <w:r w:rsidRPr="00C56D9D">
        <w:rPr>
          <w:rFonts w:eastAsiaTheme="minorEastAsia"/>
          <w:color w:val="000000" w:themeColor="text1"/>
          <w:kern w:val="0"/>
          <w:szCs w:val="21"/>
        </w:rPr>
        <w:t>10</w:t>
      </w:r>
      <w:r w:rsidRPr="00C56D9D">
        <w:rPr>
          <w:rFonts w:eastAsiaTheme="minorEastAsia"/>
          <w:color w:val="000000" w:themeColor="text1"/>
          <w:kern w:val="0"/>
          <w:szCs w:val="21"/>
        </w:rPr>
        <w:t>月</w:t>
      </w:r>
      <w:r w:rsidRPr="00C56D9D">
        <w:rPr>
          <w:rFonts w:eastAsiaTheme="minorEastAsia"/>
          <w:color w:val="000000" w:themeColor="text1"/>
          <w:kern w:val="0"/>
          <w:szCs w:val="21"/>
        </w:rPr>
        <w:t>9</w:t>
      </w:r>
      <w:r w:rsidRPr="00C56D9D">
        <w:rPr>
          <w:rFonts w:eastAsiaTheme="minorEastAsia"/>
          <w:color w:val="000000" w:themeColor="text1"/>
          <w:kern w:val="0"/>
          <w:szCs w:val="21"/>
        </w:rPr>
        <w:t>日，建仓期结束时资产配置比例符合本基金基金合同规定。</w:t>
      </w:r>
    </w:p>
    <w:p w:rsidR="001A59F9" w:rsidRPr="00C56D9D" w:rsidRDefault="001A59F9" w:rsidP="00625AE8">
      <w:pPr>
        <w:snapToGrid w:val="0"/>
        <w:spacing w:line="360" w:lineRule="auto"/>
        <w:rPr>
          <w:rFonts w:eastAsiaTheme="minorEastAsia"/>
          <w:b/>
          <w:color w:val="000000" w:themeColor="text1"/>
          <w:szCs w:val="21"/>
        </w:rPr>
      </w:pPr>
      <w:r w:rsidRPr="00C56D9D">
        <w:rPr>
          <w:rFonts w:eastAsiaTheme="minorEastAsia"/>
          <w:b/>
          <w:color w:val="000000" w:themeColor="text1"/>
          <w:szCs w:val="21"/>
        </w:rPr>
        <w:t>2</w:t>
      </w:r>
      <w:r w:rsidRPr="00C56D9D">
        <w:rPr>
          <w:rFonts w:eastAsiaTheme="minorEastAsia"/>
          <w:b/>
          <w:color w:val="000000" w:themeColor="text1"/>
          <w:szCs w:val="21"/>
        </w:rPr>
        <w:t>、上投摩根岁岁金定期开放债券</w:t>
      </w:r>
      <w:r w:rsidRPr="00C56D9D">
        <w:rPr>
          <w:rFonts w:eastAsiaTheme="minorEastAsia"/>
          <w:b/>
          <w:color w:val="000000" w:themeColor="text1"/>
          <w:szCs w:val="21"/>
        </w:rPr>
        <w:t>C</w:t>
      </w:r>
    </w:p>
    <w:p w:rsidR="001A59F9" w:rsidRPr="00C56D9D" w:rsidRDefault="007462CE" w:rsidP="00026C9C">
      <w:pPr>
        <w:pStyle w:val="21"/>
        <w:adjustRightInd w:val="0"/>
        <w:snapToGrid w:val="0"/>
        <w:spacing w:line="360" w:lineRule="auto"/>
        <w:ind w:firstLineChars="0" w:firstLine="0"/>
        <w:jc w:val="center"/>
        <w:rPr>
          <w:rFonts w:ascii="Times New Roman" w:eastAsiaTheme="minorEastAsia" w:hAnsi="Times New Roman"/>
          <w:color w:val="000000" w:themeColor="text1"/>
          <w:sz w:val="21"/>
          <w:szCs w:val="21"/>
        </w:rPr>
      </w:pPr>
      <w:r w:rsidRPr="00C56D9D">
        <w:rPr>
          <w:rFonts w:ascii="Times New Roman" w:eastAsiaTheme="minorEastAsia" w:hAnsi="Times New Roman"/>
          <w:noProof/>
          <w:color w:val="000000" w:themeColor="text1"/>
          <w:sz w:val="21"/>
          <w:szCs w:val="21"/>
        </w:rPr>
        <w:drawing>
          <wp:inline distT="0" distB="0" distL="0" distR="0">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注：本基金合同生效日为</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日，图示时间段为</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日至</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p>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lastRenderedPageBreak/>
        <w:t>本基金建仓期自</w:t>
      </w:r>
      <w:r w:rsidRPr="00C56D9D">
        <w:rPr>
          <w:rFonts w:eastAsiaTheme="minorEastAsia"/>
          <w:color w:val="000000" w:themeColor="text1"/>
          <w:kern w:val="0"/>
          <w:szCs w:val="21"/>
        </w:rPr>
        <w:t>2017</w:t>
      </w:r>
      <w:r w:rsidRPr="00C56D9D">
        <w:rPr>
          <w:rFonts w:eastAsiaTheme="minorEastAsia"/>
          <w:color w:val="000000" w:themeColor="text1"/>
          <w:kern w:val="0"/>
          <w:szCs w:val="21"/>
        </w:rPr>
        <w:t>年</w:t>
      </w:r>
      <w:r w:rsidRPr="00C56D9D">
        <w:rPr>
          <w:rFonts w:eastAsiaTheme="minorEastAsia"/>
          <w:color w:val="000000" w:themeColor="text1"/>
          <w:kern w:val="0"/>
          <w:szCs w:val="21"/>
        </w:rPr>
        <w:t>4</w:t>
      </w:r>
      <w:r w:rsidRPr="00C56D9D">
        <w:rPr>
          <w:rFonts w:eastAsiaTheme="minorEastAsia"/>
          <w:color w:val="000000" w:themeColor="text1"/>
          <w:kern w:val="0"/>
          <w:szCs w:val="21"/>
        </w:rPr>
        <w:t>月</w:t>
      </w:r>
      <w:r w:rsidRPr="00C56D9D">
        <w:rPr>
          <w:rFonts w:eastAsiaTheme="minorEastAsia"/>
          <w:color w:val="000000" w:themeColor="text1"/>
          <w:kern w:val="0"/>
          <w:szCs w:val="21"/>
        </w:rPr>
        <w:t>10</w:t>
      </w:r>
      <w:r w:rsidRPr="00C56D9D">
        <w:rPr>
          <w:rFonts w:eastAsiaTheme="minorEastAsia"/>
          <w:color w:val="000000" w:themeColor="text1"/>
          <w:kern w:val="0"/>
          <w:szCs w:val="21"/>
        </w:rPr>
        <w:t>日至</w:t>
      </w:r>
      <w:r w:rsidRPr="00C56D9D">
        <w:rPr>
          <w:rFonts w:eastAsiaTheme="minorEastAsia"/>
          <w:color w:val="000000" w:themeColor="text1"/>
          <w:kern w:val="0"/>
          <w:szCs w:val="21"/>
        </w:rPr>
        <w:t>2017</w:t>
      </w:r>
      <w:r w:rsidRPr="00C56D9D">
        <w:rPr>
          <w:rFonts w:eastAsiaTheme="minorEastAsia"/>
          <w:color w:val="000000" w:themeColor="text1"/>
          <w:kern w:val="0"/>
          <w:szCs w:val="21"/>
        </w:rPr>
        <w:t>年</w:t>
      </w:r>
      <w:r w:rsidRPr="00C56D9D">
        <w:rPr>
          <w:rFonts w:eastAsiaTheme="minorEastAsia"/>
          <w:color w:val="000000" w:themeColor="text1"/>
          <w:kern w:val="0"/>
          <w:szCs w:val="21"/>
        </w:rPr>
        <w:t>10</w:t>
      </w:r>
      <w:r w:rsidRPr="00C56D9D">
        <w:rPr>
          <w:rFonts w:eastAsiaTheme="minorEastAsia"/>
          <w:color w:val="000000" w:themeColor="text1"/>
          <w:kern w:val="0"/>
          <w:szCs w:val="21"/>
        </w:rPr>
        <w:t>月</w:t>
      </w:r>
      <w:r w:rsidRPr="00C56D9D">
        <w:rPr>
          <w:rFonts w:eastAsiaTheme="minorEastAsia"/>
          <w:color w:val="000000" w:themeColor="text1"/>
          <w:kern w:val="0"/>
          <w:szCs w:val="21"/>
        </w:rPr>
        <w:t>9</w:t>
      </w:r>
      <w:r w:rsidRPr="00C56D9D">
        <w:rPr>
          <w:rFonts w:eastAsiaTheme="minorEastAsia"/>
          <w:color w:val="000000" w:themeColor="text1"/>
          <w:kern w:val="0"/>
          <w:szCs w:val="21"/>
        </w:rPr>
        <w:t>日，建仓期结束时资产配置比例符合本基金基金合同规定。</w:t>
      </w:r>
    </w:p>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p>
    <w:p w:rsidR="001A59F9" w:rsidRPr="00C56D9D" w:rsidRDefault="001A59F9" w:rsidP="00E34772">
      <w:pPr>
        <w:spacing w:beforeLines="100" w:before="312" w:line="360" w:lineRule="auto"/>
        <w:rPr>
          <w:rFonts w:eastAsiaTheme="minorEastAsia"/>
          <w:b/>
          <w:color w:val="000000" w:themeColor="text1"/>
          <w:szCs w:val="21"/>
        </w:rPr>
      </w:pPr>
      <w:r w:rsidRPr="00C56D9D">
        <w:rPr>
          <w:rFonts w:eastAsiaTheme="minorEastAsia"/>
          <w:b/>
          <w:color w:val="000000" w:themeColor="text1"/>
          <w:szCs w:val="21"/>
        </w:rPr>
        <w:t xml:space="preserve">3.2.3 </w:t>
      </w:r>
      <w:r w:rsidR="00A225D8" w:rsidRPr="00C56D9D">
        <w:rPr>
          <w:rFonts w:eastAsiaTheme="minorEastAsia"/>
          <w:b/>
          <w:color w:val="000000" w:themeColor="text1"/>
          <w:szCs w:val="21"/>
        </w:rPr>
        <w:t>自基金合同生效以来</w:t>
      </w:r>
      <w:r w:rsidRPr="00C56D9D">
        <w:rPr>
          <w:rFonts w:eastAsiaTheme="minorEastAsia"/>
          <w:b/>
          <w:color w:val="000000" w:themeColor="text1"/>
          <w:szCs w:val="21"/>
        </w:rPr>
        <w:t>基金每年净值增长率及其与同期业绩比较基准收益率的比较</w:t>
      </w:r>
    </w:p>
    <w:p w:rsidR="00097CBA" w:rsidRPr="00C56D9D" w:rsidRDefault="00097CBA" w:rsidP="00625AE8">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上投摩根岁岁金定期开放债券型证券投资基金</w:t>
      </w:r>
    </w:p>
    <w:p w:rsidR="001A59F9" w:rsidRPr="00C56D9D" w:rsidRDefault="00A225D8" w:rsidP="00625AE8">
      <w:pPr>
        <w:adjustRightInd w:val="0"/>
        <w:snapToGrid w:val="0"/>
        <w:spacing w:line="360" w:lineRule="auto"/>
        <w:ind w:firstLineChars="100" w:firstLine="210"/>
        <w:jc w:val="center"/>
        <w:rPr>
          <w:rFonts w:eastAsiaTheme="minorEastAsia"/>
          <w:color w:val="000000" w:themeColor="text1"/>
          <w:szCs w:val="21"/>
        </w:rPr>
      </w:pPr>
      <w:r w:rsidRPr="00C56D9D">
        <w:rPr>
          <w:rFonts w:eastAsiaTheme="minorEastAsia"/>
          <w:color w:val="000000" w:themeColor="text1"/>
          <w:szCs w:val="21"/>
        </w:rPr>
        <w:t>自基金合同生效以来</w:t>
      </w:r>
      <w:r w:rsidR="00A82B1D" w:rsidRPr="00C56D9D">
        <w:rPr>
          <w:rFonts w:eastAsiaTheme="minorEastAsia"/>
          <w:color w:val="000000" w:themeColor="text1"/>
          <w:szCs w:val="21"/>
        </w:rPr>
        <w:t>净值增长率与业绩比较基准收益率的柱形对比图</w:t>
      </w:r>
    </w:p>
    <w:p w:rsidR="00097CBA" w:rsidRPr="00C56D9D" w:rsidRDefault="00444936" w:rsidP="00625AE8">
      <w:pPr>
        <w:snapToGrid w:val="0"/>
        <w:spacing w:line="360" w:lineRule="auto"/>
        <w:rPr>
          <w:rFonts w:eastAsiaTheme="minorEastAsia"/>
          <w:b/>
          <w:color w:val="000000" w:themeColor="text1"/>
          <w:szCs w:val="21"/>
        </w:rPr>
      </w:pPr>
      <w:r w:rsidRPr="00C56D9D">
        <w:rPr>
          <w:rFonts w:eastAsiaTheme="minorEastAsia"/>
          <w:b/>
          <w:color w:val="000000" w:themeColor="text1"/>
          <w:szCs w:val="21"/>
        </w:rPr>
        <w:t>1</w:t>
      </w:r>
      <w:r w:rsidRPr="00C56D9D">
        <w:rPr>
          <w:rFonts w:eastAsiaTheme="minorEastAsia"/>
          <w:b/>
          <w:color w:val="000000" w:themeColor="text1"/>
          <w:szCs w:val="21"/>
        </w:rPr>
        <w:t>、</w:t>
      </w:r>
      <w:r w:rsidR="00097CBA" w:rsidRPr="00C56D9D">
        <w:rPr>
          <w:rFonts w:eastAsiaTheme="minorEastAsia"/>
          <w:b/>
          <w:color w:val="000000" w:themeColor="text1"/>
          <w:szCs w:val="21"/>
        </w:rPr>
        <w:t>上投摩根岁岁金定期开放债券</w:t>
      </w:r>
      <w:r w:rsidR="00097CBA" w:rsidRPr="00C56D9D">
        <w:rPr>
          <w:rFonts w:eastAsiaTheme="minorEastAsia"/>
          <w:b/>
          <w:color w:val="000000" w:themeColor="text1"/>
          <w:szCs w:val="21"/>
        </w:rPr>
        <w:t>A</w:t>
      </w:r>
    </w:p>
    <w:p w:rsidR="00143C09" w:rsidRPr="00C56D9D" w:rsidRDefault="007462CE" w:rsidP="007462CE">
      <w:pPr>
        <w:adjustRightInd w:val="0"/>
        <w:snapToGrid w:val="0"/>
        <w:spacing w:line="360" w:lineRule="auto"/>
        <w:ind w:firstLineChars="100" w:firstLine="210"/>
        <w:jc w:val="center"/>
        <w:rPr>
          <w:rFonts w:eastAsiaTheme="minorEastAsia"/>
          <w:color w:val="000000" w:themeColor="text1"/>
          <w:szCs w:val="21"/>
        </w:rPr>
      </w:pPr>
      <w:r w:rsidRPr="00C56D9D">
        <w:rPr>
          <w:rFonts w:eastAsiaTheme="minorEastAsia"/>
          <w:noProof/>
          <w:color w:val="000000" w:themeColor="text1"/>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C56D9D" w:rsidRDefault="001A59F9" w:rsidP="00D877B1">
      <w:pPr>
        <w:snapToGrid w:val="0"/>
        <w:spacing w:line="360" w:lineRule="auto"/>
        <w:rPr>
          <w:rFonts w:eastAsiaTheme="minorEastAsia"/>
          <w:b/>
          <w:color w:val="000000" w:themeColor="text1"/>
          <w:szCs w:val="21"/>
        </w:rPr>
      </w:pPr>
      <w:r w:rsidRPr="00C56D9D">
        <w:rPr>
          <w:rFonts w:eastAsiaTheme="minorEastAsia"/>
          <w:b/>
          <w:color w:val="000000" w:themeColor="text1"/>
          <w:szCs w:val="21"/>
        </w:rPr>
        <w:t>2</w:t>
      </w:r>
      <w:r w:rsidRPr="00C56D9D">
        <w:rPr>
          <w:rFonts w:eastAsiaTheme="minorEastAsia"/>
          <w:b/>
          <w:color w:val="000000" w:themeColor="text1"/>
          <w:szCs w:val="21"/>
        </w:rPr>
        <w:t>、上投摩根岁岁金定期开放债券</w:t>
      </w:r>
      <w:r w:rsidRPr="00C56D9D">
        <w:rPr>
          <w:rFonts w:eastAsiaTheme="minorEastAsia"/>
          <w:b/>
          <w:color w:val="000000" w:themeColor="text1"/>
          <w:szCs w:val="21"/>
        </w:rPr>
        <w:t>C</w:t>
      </w:r>
    </w:p>
    <w:p w:rsidR="001A59F9" w:rsidRPr="00C56D9D" w:rsidRDefault="007462CE" w:rsidP="007462CE">
      <w:pPr>
        <w:adjustRightInd w:val="0"/>
        <w:snapToGrid w:val="0"/>
        <w:spacing w:line="360" w:lineRule="auto"/>
        <w:ind w:firstLineChars="100" w:firstLine="210"/>
        <w:jc w:val="center"/>
        <w:rPr>
          <w:rFonts w:eastAsiaTheme="minorEastAsia"/>
          <w:color w:val="000000" w:themeColor="text1"/>
          <w:szCs w:val="21"/>
        </w:rPr>
      </w:pPr>
      <w:r w:rsidRPr="00C56D9D">
        <w:rPr>
          <w:rFonts w:eastAsiaTheme="minorEastAsia"/>
          <w:noProof/>
          <w:color w:val="000000" w:themeColor="text1"/>
          <w:szCs w:val="21"/>
        </w:rPr>
        <w:lastRenderedPageBreak/>
        <w:drawing>
          <wp:inline distT="0" distB="0" distL="0" distR="0">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注：本基金于</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日正式成立，图示的时间段为</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日至</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p>
    <w:p w:rsidR="002E63B8"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合同生效当年按实际存续期计算，不按整个自然年度进行折算。</w:t>
      </w:r>
    </w:p>
    <w:p w:rsidR="000B2C76" w:rsidRPr="00C56D9D" w:rsidRDefault="000B2C76" w:rsidP="00E34772">
      <w:pPr>
        <w:pStyle w:val="20"/>
        <w:spacing w:beforeLines="100" w:before="312" w:after="0"/>
        <w:rPr>
          <w:rFonts w:ascii="Times New Roman" w:eastAsiaTheme="minorEastAsia" w:hAnsi="Times New Roman"/>
          <w:color w:val="000000" w:themeColor="text1"/>
          <w:sz w:val="21"/>
          <w:szCs w:val="21"/>
        </w:rPr>
      </w:pPr>
      <w:bookmarkStart w:id="32" w:name="_Toc249760033"/>
      <w:bookmarkStart w:id="33" w:name="_Toc361324853"/>
      <w:bookmarkStart w:id="34" w:name="_Toc374374933"/>
      <w:r w:rsidRPr="00C56D9D">
        <w:rPr>
          <w:rFonts w:ascii="Times New Roman" w:eastAsiaTheme="minorEastAsia" w:hAnsi="Times New Roman"/>
          <w:color w:val="000000" w:themeColor="text1"/>
          <w:sz w:val="21"/>
          <w:szCs w:val="21"/>
        </w:rPr>
        <w:t xml:space="preserve">3.3 </w:t>
      </w:r>
      <w:r w:rsidRPr="00C56D9D">
        <w:rPr>
          <w:rFonts w:ascii="Times New Roman" w:eastAsiaTheme="minorEastAsia" w:hAnsi="Times New Roman"/>
          <w:color w:val="000000" w:themeColor="text1"/>
          <w:sz w:val="21"/>
          <w:szCs w:val="21"/>
        </w:rPr>
        <w:t>过去三年基金的利润分配情况</w:t>
      </w:r>
      <w:bookmarkEnd w:id="32"/>
      <w:bookmarkEnd w:id="33"/>
      <w:bookmarkEnd w:id="34"/>
    </w:p>
    <w:p w:rsidR="001A59F9" w:rsidRPr="00C56D9D" w:rsidRDefault="000B2C76"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本基金过去三年未进行利润分配。</w:t>
      </w:r>
    </w:p>
    <w:p w:rsidR="001A59F9" w:rsidRPr="00C56D9D" w:rsidRDefault="001A59F9" w:rsidP="00A4203E">
      <w:pPr>
        <w:pStyle w:val="1"/>
        <w:keepNext/>
        <w:keepLines/>
        <w:widowControl w:val="0"/>
        <w:spacing w:before="120" w:after="120" w:line="360" w:lineRule="auto"/>
        <w:jc w:val="center"/>
        <w:rPr>
          <w:rFonts w:eastAsiaTheme="minorEastAsia"/>
          <w:b/>
          <w:bCs/>
          <w:color w:val="000000" w:themeColor="text1"/>
          <w:sz w:val="21"/>
          <w:szCs w:val="21"/>
          <w:lang w:val="en-US"/>
        </w:rPr>
      </w:pPr>
      <w:bookmarkStart w:id="35" w:name="_Toc225498254"/>
      <w:bookmarkStart w:id="36" w:name="_Toc361324854"/>
      <w:bookmarkStart w:id="37" w:name="_Toc374374934"/>
      <w:r w:rsidRPr="00C56D9D">
        <w:rPr>
          <w:rFonts w:eastAsiaTheme="minorEastAsia"/>
          <w:b/>
          <w:bCs/>
          <w:color w:val="000000" w:themeColor="text1"/>
          <w:sz w:val="21"/>
          <w:szCs w:val="21"/>
          <w:lang w:val="en-US"/>
        </w:rPr>
        <w:t xml:space="preserve">§4  </w:t>
      </w:r>
      <w:r w:rsidRPr="00C56D9D">
        <w:rPr>
          <w:rFonts w:eastAsiaTheme="minorEastAsia"/>
          <w:b/>
          <w:bCs/>
          <w:color w:val="000000" w:themeColor="text1"/>
          <w:sz w:val="21"/>
          <w:szCs w:val="21"/>
          <w:lang w:val="en-US"/>
        </w:rPr>
        <w:t>管理人报告</w:t>
      </w:r>
      <w:bookmarkEnd w:id="35"/>
      <w:bookmarkEnd w:id="36"/>
      <w:bookmarkEnd w:id="37"/>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38" w:name="_Toc361324855"/>
      <w:bookmarkStart w:id="39" w:name="_Toc374374935"/>
      <w:r w:rsidRPr="00C56D9D">
        <w:rPr>
          <w:rFonts w:ascii="Times New Roman" w:eastAsiaTheme="minorEastAsia" w:hAnsi="Times New Roman"/>
          <w:color w:val="000000" w:themeColor="text1"/>
          <w:kern w:val="0"/>
          <w:sz w:val="21"/>
          <w:szCs w:val="21"/>
        </w:rPr>
        <w:t xml:space="preserve">4.1 </w:t>
      </w:r>
      <w:r w:rsidRPr="00C56D9D">
        <w:rPr>
          <w:rFonts w:ascii="Times New Roman" w:eastAsiaTheme="minorEastAsia" w:hAnsi="Times New Roman"/>
          <w:color w:val="000000" w:themeColor="text1"/>
          <w:kern w:val="0"/>
          <w:sz w:val="21"/>
          <w:szCs w:val="21"/>
        </w:rPr>
        <w:t>基金管理人及基金经理情况</w:t>
      </w:r>
      <w:bookmarkEnd w:id="38"/>
      <w:bookmarkEnd w:id="39"/>
    </w:p>
    <w:p w:rsidR="001A59F9" w:rsidRPr="00C56D9D" w:rsidRDefault="001A59F9" w:rsidP="00625AE8">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4.1.1</w:t>
      </w:r>
      <w:r w:rsidR="0067271C"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基金管理人及其管理基金的经验</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上投摩根基金管理有限公司经中国证券监督管理委员会批准，于</w:t>
      </w:r>
      <w:r w:rsidRPr="00C56D9D">
        <w:rPr>
          <w:rFonts w:eastAsiaTheme="minorEastAsia"/>
          <w:color w:val="000000" w:themeColor="text1"/>
          <w:szCs w:val="21"/>
        </w:rPr>
        <w:t>2004</w:t>
      </w:r>
      <w:r w:rsidRPr="00C56D9D">
        <w:rPr>
          <w:rFonts w:eastAsiaTheme="minorEastAsia"/>
          <w:color w:val="000000" w:themeColor="text1"/>
          <w:szCs w:val="21"/>
        </w:rPr>
        <w:t>年</w:t>
      </w:r>
      <w:r w:rsidRPr="00C56D9D">
        <w:rPr>
          <w:rFonts w:eastAsiaTheme="minorEastAsia"/>
          <w:color w:val="000000" w:themeColor="text1"/>
          <w:szCs w:val="21"/>
        </w:rPr>
        <w:t>5</w:t>
      </w:r>
      <w:r w:rsidRPr="00C56D9D">
        <w:rPr>
          <w:rFonts w:eastAsiaTheme="minorEastAsia"/>
          <w:color w:val="000000" w:themeColor="text1"/>
          <w:szCs w:val="21"/>
        </w:rPr>
        <w:t>月</w:t>
      </w:r>
      <w:r w:rsidRPr="00C56D9D">
        <w:rPr>
          <w:rFonts w:eastAsiaTheme="minorEastAsia"/>
          <w:color w:val="000000" w:themeColor="text1"/>
          <w:szCs w:val="21"/>
        </w:rPr>
        <w:t>12</w:t>
      </w:r>
      <w:r w:rsidRPr="00C56D9D">
        <w:rPr>
          <w:rFonts w:eastAsiaTheme="minorEastAsia"/>
          <w:color w:val="000000" w:themeColor="text1"/>
          <w:szCs w:val="21"/>
        </w:rPr>
        <w:t>日正式成立。公司由上海国际信托投资有限公司（</w:t>
      </w:r>
      <w:r w:rsidRPr="00C56D9D">
        <w:rPr>
          <w:rFonts w:eastAsiaTheme="minorEastAsia"/>
          <w:color w:val="000000" w:themeColor="text1"/>
          <w:szCs w:val="21"/>
        </w:rPr>
        <w:t>2007</w:t>
      </w:r>
      <w:r w:rsidRPr="00C56D9D">
        <w:rPr>
          <w:rFonts w:eastAsiaTheme="minorEastAsia"/>
          <w:color w:val="000000" w:themeColor="text1"/>
          <w:szCs w:val="21"/>
        </w:rPr>
        <w:t>年</w:t>
      </w:r>
      <w:r w:rsidRPr="00C56D9D">
        <w:rPr>
          <w:rFonts w:eastAsiaTheme="minorEastAsia"/>
          <w:color w:val="000000" w:themeColor="text1"/>
          <w:szCs w:val="21"/>
        </w:rPr>
        <w:t>10</w:t>
      </w:r>
      <w:r w:rsidRPr="00C56D9D">
        <w:rPr>
          <w:rFonts w:eastAsiaTheme="minorEastAsia"/>
          <w:color w:val="000000" w:themeColor="text1"/>
          <w:szCs w:val="21"/>
        </w:rPr>
        <w:t>月</w:t>
      </w:r>
      <w:r w:rsidRPr="00C56D9D">
        <w:rPr>
          <w:rFonts w:eastAsiaTheme="minorEastAsia"/>
          <w:color w:val="000000" w:themeColor="text1"/>
          <w:szCs w:val="21"/>
        </w:rPr>
        <w:t>8</w:t>
      </w:r>
      <w:r w:rsidRPr="00C56D9D">
        <w:rPr>
          <w:rFonts w:eastAsiaTheme="minorEastAsia"/>
          <w:color w:val="000000" w:themeColor="text1"/>
          <w:szCs w:val="21"/>
        </w:rPr>
        <w:t>日更名为</w:t>
      </w:r>
      <w:r w:rsidRPr="00C56D9D">
        <w:rPr>
          <w:rFonts w:eastAsiaTheme="minorEastAsia"/>
          <w:color w:val="000000" w:themeColor="text1"/>
          <w:szCs w:val="21"/>
        </w:rPr>
        <w:t>“</w:t>
      </w:r>
      <w:r w:rsidRPr="00C56D9D">
        <w:rPr>
          <w:rFonts w:eastAsiaTheme="minorEastAsia"/>
          <w:color w:val="000000" w:themeColor="text1"/>
          <w:szCs w:val="21"/>
        </w:rPr>
        <w:t>上海国际信托有限公司</w:t>
      </w:r>
      <w:r w:rsidRPr="00C56D9D">
        <w:rPr>
          <w:rFonts w:eastAsiaTheme="minorEastAsia"/>
          <w:color w:val="000000" w:themeColor="text1"/>
          <w:szCs w:val="21"/>
        </w:rPr>
        <w:t>”</w:t>
      </w:r>
      <w:r w:rsidRPr="00C56D9D">
        <w:rPr>
          <w:rFonts w:eastAsiaTheme="minorEastAsia"/>
          <w:color w:val="000000" w:themeColor="text1"/>
          <w:szCs w:val="21"/>
        </w:rPr>
        <w:t>）与摩根资产管理（英国）有限公司合资设立，注册资本为</w:t>
      </w:r>
      <w:r w:rsidRPr="00C56D9D">
        <w:rPr>
          <w:rFonts w:eastAsiaTheme="minorEastAsia"/>
          <w:color w:val="000000" w:themeColor="text1"/>
          <w:szCs w:val="21"/>
        </w:rPr>
        <w:t>2.5</w:t>
      </w:r>
      <w:r w:rsidRPr="00C56D9D">
        <w:rPr>
          <w:rFonts w:eastAsiaTheme="minorEastAsia"/>
          <w:color w:val="000000" w:themeColor="text1"/>
          <w:szCs w:val="21"/>
        </w:rPr>
        <w:t>亿元人民币，注册地上海。截至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底，公司旗下运作的基金共有六十三只，均为开放式基金，分别是：上投摩根中国优势证券投资基金、上投摩根货币市场基金、上投摩根阿尔法混合型证券投资基金、上投摩根双息平衡混合型证券投资基金、上投摩根成长先锋混合型证券投资基金、上投摩根内需动力混合型证券投资基金、上投摩根亚太优势混合型证券投资基金、上投摩根双核平衡混合型证券投资基金、上投摩根中小盘混合型证券投资基金、上投摩根纯债债券型证券投资基金、上投摩根行业轮动混合型证券投资基金、上投摩根大盘蓝筹股票型证券投资基金、上投摩根全球新兴市场混合型证券投资基金、上投摩根新兴动力</w:t>
      </w:r>
      <w:r w:rsidRPr="00C56D9D">
        <w:rPr>
          <w:rFonts w:eastAsiaTheme="minorEastAsia"/>
          <w:color w:val="000000" w:themeColor="text1"/>
          <w:szCs w:val="21"/>
        </w:rPr>
        <w:lastRenderedPageBreak/>
        <w:t>混合型证券投资基金、上投摩根强化回报债券型证券投资基金、上投摩根健康品质生活混合型证券投资基金、上投摩根全球天然资源混合型证券投资基金、上投摩根分红添利债券型证券投资基金、上投摩根中证消费服务领先指数证券投资基金、上投摩根核心优选混合型证券投资基金、上投摩根智选</w:t>
      </w:r>
      <w:r w:rsidRPr="00C56D9D">
        <w:rPr>
          <w:rFonts w:eastAsiaTheme="minorEastAsia"/>
          <w:color w:val="000000" w:themeColor="text1"/>
          <w:szCs w:val="21"/>
        </w:rPr>
        <w:t>30</w:t>
      </w:r>
      <w:r w:rsidRPr="00C56D9D">
        <w:rPr>
          <w:rFonts w:eastAsiaTheme="minorEastAsia"/>
          <w:color w:val="000000" w:themeColor="text1"/>
          <w:szCs w:val="21"/>
        </w:rPr>
        <w:t>混合型证券投资基金、上投摩根成长动力混合型证券投资基金、上投摩根红利回报混合型证券投资基金、上投摩根转型动力灵活配置混合型证券投资基金、上投摩根双债增利债券型证券投资基金、上投摩根核心成长股票型证券投资基金、上投摩根民生需求股票型证券投资基金、上投摩根优信增利债券型证券投资基金、上投摩根纯债丰利债券型证券投资基金、上投摩根天添盈货币市场基金、上投摩根天添宝货币市场基金、上投摩根纯债添利债券型证券投资基金、上投摩根稳进回报混合型证券投资基金、上投摩根安全战略股票型证券投资基金、上投摩根卓越制造股票型证券投资基金、上投摩根整合驱动灵活配置混合型证券投资基金、上投摩根动态多因子策略灵活配置证券投资基金、上投摩根智慧互联股票型证券投资基金、上投摩根科技前沿灵活配置混合型证券投资基金、上投摩根新兴服务股票型证券投资基金、上投摩根医疗健康股票型证券投资基金、上投摩根文体休闲灵活配置混合型证券投资基金、上投摩根智慧生活灵活配置混合型证券投资基金、上投摩根策略精选灵活配置混合型证券投资基金、上投摩根安鑫回报混合型证券投资基金、上投摩根中国世纪灵活配置混合型证券投资基金</w:t>
      </w:r>
      <w:r w:rsidRPr="00C56D9D">
        <w:rPr>
          <w:rFonts w:eastAsiaTheme="minorEastAsia"/>
          <w:color w:val="000000" w:themeColor="text1"/>
          <w:szCs w:val="21"/>
        </w:rPr>
        <w:t>(QDII)</w:t>
      </w:r>
      <w:r w:rsidRPr="00C56D9D">
        <w:rPr>
          <w:rFonts w:eastAsiaTheme="minorEastAsia"/>
          <w:color w:val="000000" w:themeColor="text1"/>
          <w:szCs w:val="21"/>
        </w:rPr>
        <w:t>、上投摩根全球多元配置证券投资基金</w:t>
      </w:r>
      <w:r w:rsidRPr="00C56D9D">
        <w:rPr>
          <w:rFonts w:eastAsiaTheme="minorEastAsia"/>
          <w:color w:val="000000" w:themeColor="text1"/>
          <w:szCs w:val="21"/>
        </w:rPr>
        <w:t>(QDII)</w:t>
      </w:r>
      <w:r w:rsidRPr="00C56D9D">
        <w:rPr>
          <w:rFonts w:eastAsiaTheme="minorEastAsia"/>
          <w:color w:val="000000" w:themeColor="text1"/>
          <w:szCs w:val="21"/>
        </w:rPr>
        <w:t>、上投摩根安丰回报混合型证券投资基金、上投摩根岁岁金定期开放债券型证券投资基金、上投摩根安通回报混合型证券投资基金、上投摩根优选多因子股票型证券投资基金、上投摩根丰瑞债券型证券投资基金、上投摩根标普港股通低波红利指数型证券投资基金、上投摩根量化多因子灵活配置混合型证券投资基金、上投摩根岁岁益定期开放债券型证券投资基金、上投摩根安隆回报混合型证券投资基金、上投摩根创新商业模式灵活配置混合型证券投资基金、上投摩根富时发达市场</w:t>
      </w:r>
      <w:r w:rsidRPr="00C56D9D">
        <w:rPr>
          <w:rFonts w:eastAsiaTheme="minorEastAsia"/>
          <w:color w:val="000000" w:themeColor="text1"/>
          <w:szCs w:val="21"/>
        </w:rPr>
        <w:t>REITs</w:t>
      </w:r>
      <w:r w:rsidRPr="00C56D9D">
        <w:rPr>
          <w:rFonts w:eastAsiaTheme="minorEastAsia"/>
          <w:color w:val="000000" w:themeColor="text1"/>
          <w:szCs w:val="21"/>
        </w:rPr>
        <w:t>指数型证券投资基金（</w:t>
      </w:r>
      <w:r w:rsidRPr="00C56D9D">
        <w:rPr>
          <w:rFonts w:eastAsiaTheme="minorEastAsia"/>
          <w:color w:val="000000" w:themeColor="text1"/>
          <w:szCs w:val="21"/>
        </w:rPr>
        <w:t>QDII</w:t>
      </w:r>
      <w:r w:rsidRPr="00C56D9D">
        <w:rPr>
          <w:rFonts w:eastAsiaTheme="minorEastAsia"/>
          <w:color w:val="000000" w:themeColor="text1"/>
          <w:szCs w:val="21"/>
        </w:rPr>
        <w:t>）、上投摩根香港精选港股通混合型证券投资基金、上投摩根尚睿混合型基金中基金</w:t>
      </w:r>
      <w:r w:rsidRPr="00C56D9D">
        <w:rPr>
          <w:rFonts w:eastAsiaTheme="minorEastAsia"/>
          <w:color w:val="000000" w:themeColor="text1"/>
          <w:szCs w:val="21"/>
        </w:rPr>
        <w:t>(FOF)</w:t>
      </w:r>
      <w:r w:rsidRPr="00C56D9D">
        <w:rPr>
          <w:rFonts w:eastAsiaTheme="minorEastAsia"/>
          <w:color w:val="000000" w:themeColor="text1"/>
          <w:szCs w:val="21"/>
        </w:rPr>
        <w:t>、上投摩根安裕回报混合型证券投资基金、上投摩根欧洲动力策略股票型证券投资基金（</w:t>
      </w:r>
      <w:r w:rsidRPr="00C56D9D">
        <w:rPr>
          <w:rFonts w:eastAsiaTheme="minorEastAsia"/>
          <w:color w:val="000000" w:themeColor="text1"/>
          <w:szCs w:val="21"/>
        </w:rPr>
        <w:t>QDII</w:t>
      </w:r>
      <w:r w:rsidRPr="00C56D9D">
        <w:rPr>
          <w:rFonts w:eastAsiaTheme="minorEastAsia"/>
          <w:color w:val="000000" w:themeColor="text1"/>
          <w:szCs w:val="21"/>
        </w:rPr>
        <w:t>）、上投摩根核心精选股票型证券投资基金。</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4.1.2</w:t>
      </w:r>
      <w:r w:rsidR="0067271C"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基金经理（或基金经理小组）及基金经理助理的简介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
        <w:gridCol w:w="1500"/>
        <w:gridCol w:w="1190"/>
        <w:gridCol w:w="1260"/>
        <w:gridCol w:w="1260"/>
        <w:gridCol w:w="3240"/>
      </w:tblGrid>
      <w:tr w:rsidR="00C56D9D" w:rsidRPr="00C56D9D" w:rsidTr="00A4203E">
        <w:tc>
          <w:tcPr>
            <w:tcW w:w="109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姓名</w:t>
            </w:r>
          </w:p>
        </w:tc>
        <w:tc>
          <w:tcPr>
            <w:tcW w:w="150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职务</w:t>
            </w:r>
          </w:p>
        </w:tc>
        <w:tc>
          <w:tcPr>
            <w:tcW w:w="2450" w:type="dxa"/>
            <w:gridSpan w:val="2"/>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任本基金的基金经理</w:t>
            </w:r>
            <w:r w:rsidR="00F07263" w:rsidRPr="00C56D9D">
              <w:rPr>
                <w:rFonts w:eastAsiaTheme="minorEastAsia"/>
                <w:color w:val="000000" w:themeColor="text1"/>
                <w:szCs w:val="21"/>
              </w:rPr>
              <w:t>（助理）</w:t>
            </w:r>
            <w:r w:rsidRPr="00C56D9D">
              <w:rPr>
                <w:rFonts w:eastAsiaTheme="minorEastAsia"/>
                <w:color w:val="000000" w:themeColor="text1"/>
                <w:szCs w:val="21"/>
              </w:rPr>
              <w:t>期限</w:t>
            </w:r>
          </w:p>
        </w:tc>
        <w:tc>
          <w:tcPr>
            <w:tcW w:w="126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证券从业年限</w:t>
            </w:r>
          </w:p>
        </w:tc>
        <w:tc>
          <w:tcPr>
            <w:tcW w:w="324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说明</w:t>
            </w:r>
          </w:p>
        </w:tc>
      </w:tr>
      <w:tr w:rsidR="00C56D9D" w:rsidRPr="00C56D9D" w:rsidTr="00A4203E">
        <w:tc>
          <w:tcPr>
            <w:tcW w:w="109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150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119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任职日期</w:t>
            </w:r>
          </w:p>
        </w:tc>
        <w:tc>
          <w:tcPr>
            <w:tcW w:w="126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离任日期</w:t>
            </w:r>
          </w:p>
        </w:tc>
        <w:tc>
          <w:tcPr>
            <w:tcW w:w="126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324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r>
      <w:tr w:rsidR="00C133DD">
        <w:tc>
          <w:tcPr>
            <w:tcW w:w="1090" w:type="dxa"/>
            <w:vAlign w:val="center"/>
          </w:tcPr>
          <w:p w:rsidR="00C133DD" w:rsidRDefault="00157FC2">
            <w:pPr>
              <w:jc w:val="center"/>
            </w:pPr>
            <w:r>
              <w:rPr>
                <w:rFonts w:eastAsiaTheme="minorEastAsia"/>
                <w:color w:val="000000" w:themeColor="text1"/>
                <w:szCs w:val="21"/>
              </w:rPr>
              <w:t>刘阳</w:t>
            </w:r>
          </w:p>
        </w:tc>
        <w:tc>
          <w:tcPr>
            <w:tcW w:w="1500" w:type="dxa"/>
            <w:vAlign w:val="center"/>
          </w:tcPr>
          <w:p w:rsidR="00C133DD" w:rsidRDefault="00157FC2">
            <w:pPr>
              <w:jc w:val="center"/>
            </w:pPr>
            <w:r>
              <w:rPr>
                <w:rFonts w:eastAsiaTheme="minorEastAsia"/>
                <w:color w:val="000000" w:themeColor="text1"/>
                <w:szCs w:val="21"/>
              </w:rPr>
              <w:t>本基金基金经理</w:t>
            </w:r>
          </w:p>
        </w:tc>
        <w:tc>
          <w:tcPr>
            <w:tcW w:w="1190" w:type="dxa"/>
            <w:vAlign w:val="center"/>
          </w:tcPr>
          <w:p w:rsidR="00C133DD" w:rsidRDefault="00157FC2">
            <w:pPr>
              <w:jc w:val="center"/>
            </w:pPr>
            <w:r>
              <w:rPr>
                <w:rFonts w:eastAsiaTheme="minorEastAsia"/>
                <w:color w:val="000000" w:themeColor="text1"/>
                <w:szCs w:val="21"/>
              </w:rPr>
              <w:t>2017-04-10</w:t>
            </w:r>
          </w:p>
        </w:tc>
        <w:tc>
          <w:tcPr>
            <w:tcW w:w="1260" w:type="dxa"/>
            <w:vAlign w:val="center"/>
          </w:tcPr>
          <w:p w:rsidR="00C133DD" w:rsidRDefault="00157FC2">
            <w:pPr>
              <w:jc w:val="center"/>
            </w:pPr>
            <w:r>
              <w:rPr>
                <w:rFonts w:eastAsiaTheme="minorEastAsia"/>
                <w:color w:val="000000" w:themeColor="text1"/>
                <w:szCs w:val="21"/>
              </w:rPr>
              <w:t>-</w:t>
            </w:r>
          </w:p>
        </w:tc>
        <w:tc>
          <w:tcPr>
            <w:tcW w:w="1260" w:type="dxa"/>
            <w:vAlign w:val="center"/>
          </w:tcPr>
          <w:p w:rsidR="00C133DD" w:rsidRDefault="00157FC2">
            <w:pPr>
              <w:jc w:val="center"/>
            </w:pPr>
            <w:r>
              <w:rPr>
                <w:rFonts w:eastAsiaTheme="minorEastAsia"/>
                <w:color w:val="000000" w:themeColor="text1"/>
                <w:szCs w:val="21"/>
              </w:rPr>
              <w:t>8</w:t>
            </w:r>
            <w:r>
              <w:rPr>
                <w:rFonts w:eastAsiaTheme="minorEastAsia"/>
                <w:color w:val="000000" w:themeColor="text1"/>
                <w:szCs w:val="21"/>
              </w:rPr>
              <w:t>年</w:t>
            </w:r>
          </w:p>
        </w:tc>
        <w:tc>
          <w:tcPr>
            <w:tcW w:w="3240" w:type="dxa"/>
            <w:vAlign w:val="center"/>
          </w:tcPr>
          <w:p w:rsidR="00C133DD" w:rsidRDefault="00D95AF2">
            <w:r w:rsidRPr="00D95AF2">
              <w:rPr>
                <w:rFonts w:eastAsiaTheme="minorEastAsia" w:hint="eastAsia"/>
                <w:color w:val="000000" w:themeColor="text1"/>
                <w:szCs w:val="21"/>
              </w:rPr>
              <w:t>刘阳女士自</w:t>
            </w:r>
            <w:r w:rsidRPr="00D95AF2">
              <w:rPr>
                <w:rFonts w:eastAsiaTheme="minorEastAsia" w:hint="eastAsia"/>
                <w:color w:val="000000" w:themeColor="text1"/>
                <w:szCs w:val="21"/>
              </w:rPr>
              <w:t>2011</w:t>
            </w:r>
            <w:r w:rsidRPr="00D95AF2">
              <w:rPr>
                <w:rFonts w:eastAsiaTheme="minorEastAsia" w:hint="eastAsia"/>
                <w:color w:val="000000" w:themeColor="text1"/>
                <w:szCs w:val="21"/>
              </w:rPr>
              <w:t>年</w:t>
            </w:r>
            <w:r w:rsidRPr="00D95AF2">
              <w:rPr>
                <w:rFonts w:eastAsiaTheme="minorEastAsia" w:hint="eastAsia"/>
                <w:color w:val="000000" w:themeColor="text1"/>
                <w:szCs w:val="21"/>
              </w:rPr>
              <w:t>5</w:t>
            </w:r>
            <w:r w:rsidRPr="00D95AF2">
              <w:rPr>
                <w:rFonts w:eastAsiaTheme="minorEastAsia" w:hint="eastAsia"/>
                <w:color w:val="000000" w:themeColor="text1"/>
                <w:szCs w:val="21"/>
              </w:rPr>
              <w:t>月至</w:t>
            </w:r>
            <w:r w:rsidRPr="00D95AF2">
              <w:rPr>
                <w:rFonts w:eastAsiaTheme="minorEastAsia" w:hint="eastAsia"/>
                <w:color w:val="000000" w:themeColor="text1"/>
                <w:szCs w:val="21"/>
              </w:rPr>
              <w:t>2012</w:t>
            </w:r>
            <w:r w:rsidRPr="00D95AF2">
              <w:rPr>
                <w:rFonts w:eastAsiaTheme="minorEastAsia" w:hint="eastAsia"/>
                <w:color w:val="000000" w:themeColor="text1"/>
                <w:szCs w:val="21"/>
              </w:rPr>
              <w:t>年</w:t>
            </w:r>
            <w:r w:rsidRPr="00D95AF2">
              <w:rPr>
                <w:rFonts w:eastAsiaTheme="minorEastAsia" w:hint="eastAsia"/>
                <w:color w:val="000000" w:themeColor="text1"/>
                <w:szCs w:val="21"/>
              </w:rPr>
              <w:t>6</w:t>
            </w:r>
            <w:r w:rsidRPr="00D95AF2">
              <w:rPr>
                <w:rFonts w:eastAsiaTheme="minorEastAsia" w:hint="eastAsia"/>
                <w:color w:val="000000" w:themeColor="text1"/>
                <w:szCs w:val="21"/>
              </w:rPr>
              <w:t>月在申银万国证券研究所担任分析师，</w:t>
            </w:r>
            <w:r w:rsidRPr="00D95AF2">
              <w:rPr>
                <w:rFonts w:eastAsiaTheme="minorEastAsia" w:hint="eastAsia"/>
                <w:color w:val="000000" w:themeColor="text1"/>
                <w:szCs w:val="21"/>
              </w:rPr>
              <w:t>2012</w:t>
            </w:r>
            <w:r w:rsidRPr="00D95AF2">
              <w:rPr>
                <w:rFonts w:eastAsiaTheme="minorEastAsia" w:hint="eastAsia"/>
                <w:color w:val="000000" w:themeColor="text1"/>
                <w:szCs w:val="21"/>
              </w:rPr>
              <w:t>年</w:t>
            </w:r>
            <w:r w:rsidRPr="00D95AF2">
              <w:rPr>
                <w:rFonts w:eastAsiaTheme="minorEastAsia" w:hint="eastAsia"/>
                <w:color w:val="000000" w:themeColor="text1"/>
                <w:szCs w:val="21"/>
              </w:rPr>
              <w:t>6</w:t>
            </w:r>
            <w:r w:rsidRPr="00D95AF2">
              <w:rPr>
                <w:rFonts w:eastAsiaTheme="minorEastAsia" w:hint="eastAsia"/>
                <w:color w:val="000000" w:themeColor="text1"/>
                <w:szCs w:val="21"/>
              </w:rPr>
              <w:t>月至</w:t>
            </w:r>
            <w:r w:rsidRPr="00D95AF2">
              <w:rPr>
                <w:rFonts w:eastAsiaTheme="minorEastAsia" w:hint="eastAsia"/>
                <w:color w:val="000000" w:themeColor="text1"/>
                <w:szCs w:val="21"/>
              </w:rPr>
              <w:t>2013</w:t>
            </w:r>
            <w:r w:rsidRPr="00D95AF2">
              <w:rPr>
                <w:rFonts w:eastAsiaTheme="minorEastAsia" w:hint="eastAsia"/>
                <w:color w:val="000000" w:themeColor="text1"/>
                <w:szCs w:val="21"/>
              </w:rPr>
              <w:t>年</w:t>
            </w:r>
            <w:r w:rsidRPr="00D95AF2">
              <w:rPr>
                <w:rFonts w:eastAsiaTheme="minorEastAsia" w:hint="eastAsia"/>
                <w:color w:val="000000" w:themeColor="text1"/>
                <w:szCs w:val="21"/>
              </w:rPr>
              <w:lastRenderedPageBreak/>
              <w:t>5</w:t>
            </w:r>
            <w:r w:rsidRPr="00D95AF2">
              <w:rPr>
                <w:rFonts w:eastAsiaTheme="minorEastAsia" w:hint="eastAsia"/>
                <w:color w:val="000000" w:themeColor="text1"/>
                <w:szCs w:val="21"/>
              </w:rPr>
              <w:t>月在广发证券研发中心担任高级分析师，</w:t>
            </w:r>
            <w:r w:rsidRPr="00D95AF2">
              <w:rPr>
                <w:rFonts w:eastAsiaTheme="minorEastAsia" w:hint="eastAsia"/>
                <w:color w:val="000000" w:themeColor="text1"/>
                <w:szCs w:val="21"/>
              </w:rPr>
              <w:t>2013</w:t>
            </w:r>
            <w:r w:rsidRPr="00D95AF2">
              <w:rPr>
                <w:rFonts w:eastAsiaTheme="minorEastAsia" w:hint="eastAsia"/>
                <w:color w:val="000000" w:themeColor="text1"/>
                <w:szCs w:val="21"/>
              </w:rPr>
              <w:t>年</w:t>
            </w:r>
            <w:r w:rsidRPr="00D95AF2">
              <w:rPr>
                <w:rFonts w:eastAsiaTheme="minorEastAsia" w:hint="eastAsia"/>
                <w:color w:val="000000" w:themeColor="text1"/>
                <w:szCs w:val="21"/>
              </w:rPr>
              <w:t>6</w:t>
            </w:r>
            <w:r w:rsidRPr="00D95AF2">
              <w:rPr>
                <w:rFonts w:eastAsiaTheme="minorEastAsia" w:hint="eastAsia"/>
                <w:color w:val="000000" w:themeColor="text1"/>
                <w:szCs w:val="21"/>
              </w:rPr>
              <w:t>月起加入上投摩根基金管理有限公司，历任投资经理助理兼研究员、投资经理；自</w:t>
            </w:r>
            <w:r w:rsidRPr="00D95AF2">
              <w:rPr>
                <w:rFonts w:eastAsiaTheme="minorEastAsia" w:hint="eastAsia"/>
                <w:color w:val="000000" w:themeColor="text1"/>
                <w:szCs w:val="21"/>
              </w:rPr>
              <w:t>2015</w:t>
            </w:r>
            <w:r w:rsidRPr="00D95AF2">
              <w:rPr>
                <w:rFonts w:eastAsiaTheme="minorEastAsia" w:hint="eastAsia"/>
                <w:color w:val="000000" w:themeColor="text1"/>
                <w:szCs w:val="21"/>
              </w:rPr>
              <w:t>年</w:t>
            </w:r>
            <w:r w:rsidRPr="00D95AF2">
              <w:rPr>
                <w:rFonts w:eastAsiaTheme="minorEastAsia" w:hint="eastAsia"/>
                <w:color w:val="000000" w:themeColor="text1"/>
                <w:szCs w:val="21"/>
              </w:rPr>
              <w:t>12</w:t>
            </w:r>
            <w:r w:rsidRPr="00D95AF2">
              <w:rPr>
                <w:rFonts w:eastAsiaTheme="minorEastAsia" w:hint="eastAsia"/>
                <w:color w:val="000000" w:themeColor="text1"/>
                <w:szCs w:val="21"/>
              </w:rPr>
              <w:t>月至</w:t>
            </w:r>
            <w:r w:rsidRPr="00D95AF2">
              <w:rPr>
                <w:rFonts w:eastAsiaTheme="minorEastAsia" w:hint="eastAsia"/>
                <w:color w:val="000000" w:themeColor="text1"/>
                <w:szCs w:val="21"/>
              </w:rPr>
              <w:t>2017</w:t>
            </w:r>
            <w:r w:rsidRPr="00D95AF2">
              <w:rPr>
                <w:rFonts w:eastAsiaTheme="minorEastAsia" w:hint="eastAsia"/>
                <w:color w:val="000000" w:themeColor="text1"/>
                <w:szCs w:val="21"/>
              </w:rPr>
              <w:t>年</w:t>
            </w:r>
            <w:r w:rsidRPr="00D95AF2">
              <w:rPr>
                <w:rFonts w:eastAsiaTheme="minorEastAsia" w:hint="eastAsia"/>
                <w:color w:val="000000" w:themeColor="text1"/>
                <w:szCs w:val="21"/>
              </w:rPr>
              <w:t>8</w:t>
            </w:r>
            <w:r w:rsidRPr="00D95AF2">
              <w:rPr>
                <w:rFonts w:eastAsiaTheme="minorEastAsia" w:hint="eastAsia"/>
                <w:color w:val="000000" w:themeColor="text1"/>
                <w:szCs w:val="21"/>
              </w:rPr>
              <w:t>月担任上投摩根纯债丰利债券型证券投资基金，自</w:t>
            </w:r>
            <w:r w:rsidRPr="00D95AF2">
              <w:rPr>
                <w:rFonts w:eastAsiaTheme="minorEastAsia" w:hint="eastAsia"/>
                <w:color w:val="000000" w:themeColor="text1"/>
                <w:szCs w:val="21"/>
              </w:rPr>
              <w:t>2015</w:t>
            </w:r>
            <w:r w:rsidRPr="00D95AF2">
              <w:rPr>
                <w:rFonts w:eastAsiaTheme="minorEastAsia" w:hint="eastAsia"/>
                <w:color w:val="000000" w:themeColor="text1"/>
                <w:szCs w:val="21"/>
              </w:rPr>
              <w:t>年</w:t>
            </w:r>
            <w:r w:rsidRPr="00D95AF2">
              <w:rPr>
                <w:rFonts w:eastAsiaTheme="minorEastAsia" w:hint="eastAsia"/>
                <w:color w:val="000000" w:themeColor="text1"/>
                <w:szCs w:val="21"/>
              </w:rPr>
              <w:t>12</w:t>
            </w:r>
            <w:r w:rsidRPr="00D95AF2">
              <w:rPr>
                <w:rFonts w:eastAsiaTheme="minorEastAsia" w:hint="eastAsia"/>
                <w:color w:val="000000" w:themeColor="text1"/>
                <w:szCs w:val="21"/>
              </w:rPr>
              <w:t>月起担任上投摩根双债增利债券型证券投资基金基金经理，自</w:t>
            </w:r>
            <w:r w:rsidRPr="00D95AF2">
              <w:rPr>
                <w:rFonts w:eastAsiaTheme="minorEastAsia" w:hint="eastAsia"/>
                <w:color w:val="000000" w:themeColor="text1"/>
                <w:szCs w:val="21"/>
              </w:rPr>
              <w:t>2016</w:t>
            </w:r>
            <w:r w:rsidRPr="00D95AF2">
              <w:rPr>
                <w:rFonts w:eastAsiaTheme="minorEastAsia" w:hint="eastAsia"/>
                <w:color w:val="000000" w:themeColor="text1"/>
                <w:szCs w:val="21"/>
              </w:rPr>
              <w:t>年</w:t>
            </w:r>
            <w:r w:rsidRPr="00D95AF2">
              <w:rPr>
                <w:rFonts w:eastAsiaTheme="minorEastAsia" w:hint="eastAsia"/>
                <w:color w:val="000000" w:themeColor="text1"/>
                <w:szCs w:val="21"/>
              </w:rPr>
              <w:t>4</w:t>
            </w:r>
            <w:r w:rsidRPr="00D95AF2">
              <w:rPr>
                <w:rFonts w:eastAsiaTheme="minorEastAsia" w:hint="eastAsia"/>
                <w:color w:val="000000" w:themeColor="text1"/>
                <w:szCs w:val="21"/>
              </w:rPr>
              <w:t>月起同时担任上投摩根纯债添利债券型证券投资基金基金经理，自</w:t>
            </w:r>
            <w:r w:rsidRPr="00D95AF2">
              <w:rPr>
                <w:rFonts w:eastAsiaTheme="minorEastAsia" w:hint="eastAsia"/>
                <w:color w:val="000000" w:themeColor="text1"/>
                <w:szCs w:val="21"/>
              </w:rPr>
              <w:t>2016</w:t>
            </w:r>
            <w:r w:rsidRPr="00D95AF2">
              <w:rPr>
                <w:rFonts w:eastAsiaTheme="minorEastAsia" w:hint="eastAsia"/>
                <w:color w:val="000000" w:themeColor="text1"/>
                <w:szCs w:val="21"/>
              </w:rPr>
              <w:t>年</w:t>
            </w:r>
            <w:r w:rsidRPr="00D95AF2">
              <w:rPr>
                <w:rFonts w:eastAsiaTheme="minorEastAsia" w:hint="eastAsia"/>
                <w:color w:val="000000" w:themeColor="text1"/>
                <w:szCs w:val="21"/>
              </w:rPr>
              <w:t>12</w:t>
            </w:r>
            <w:r w:rsidRPr="00D95AF2">
              <w:rPr>
                <w:rFonts w:eastAsiaTheme="minorEastAsia" w:hint="eastAsia"/>
                <w:color w:val="000000" w:themeColor="text1"/>
                <w:szCs w:val="21"/>
              </w:rPr>
              <w:t>月起同时担任上投摩根强化回报债券型证券投资基金基金经理，</w:t>
            </w:r>
            <w:r w:rsidRPr="00D95AF2">
              <w:rPr>
                <w:rFonts w:eastAsiaTheme="minorEastAsia" w:hint="eastAsia"/>
                <w:color w:val="000000" w:themeColor="text1"/>
                <w:szCs w:val="21"/>
              </w:rPr>
              <w:t>2016</w:t>
            </w:r>
            <w:r w:rsidRPr="00D95AF2">
              <w:rPr>
                <w:rFonts w:eastAsiaTheme="minorEastAsia" w:hint="eastAsia"/>
                <w:color w:val="000000" w:themeColor="text1"/>
                <w:szCs w:val="21"/>
              </w:rPr>
              <w:t>年</w:t>
            </w:r>
            <w:r w:rsidRPr="00D95AF2">
              <w:rPr>
                <w:rFonts w:eastAsiaTheme="minorEastAsia" w:hint="eastAsia"/>
                <w:color w:val="000000" w:themeColor="text1"/>
                <w:szCs w:val="21"/>
              </w:rPr>
              <w:t>12</w:t>
            </w:r>
            <w:r w:rsidRPr="00D95AF2">
              <w:rPr>
                <w:rFonts w:eastAsiaTheme="minorEastAsia" w:hint="eastAsia"/>
                <w:color w:val="000000" w:themeColor="text1"/>
                <w:szCs w:val="21"/>
              </w:rPr>
              <w:t>月至</w:t>
            </w:r>
            <w:r w:rsidRPr="00D95AF2">
              <w:rPr>
                <w:rFonts w:eastAsiaTheme="minorEastAsia" w:hint="eastAsia"/>
                <w:color w:val="000000" w:themeColor="text1"/>
                <w:szCs w:val="21"/>
              </w:rPr>
              <w:t>2019</w:t>
            </w:r>
            <w:r w:rsidRPr="00D95AF2">
              <w:rPr>
                <w:rFonts w:eastAsiaTheme="minorEastAsia" w:hint="eastAsia"/>
                <w:color w:val="000000" w:themeColor="text1"/>
                <w:szCs w:val="21"/>
              </w:rPr>
              <w:t>年</w:t>
            </w:r>
            <w:r w:rsidRPr="00D95AF2">
              <w:rPr>
                <w:rFonts w:eastAsiaTheme="minorEastAsia" w:hint="eastAsia"/>
                <w:color w:val="000000" w:themeColor="text1"/>
                <w:szCs w:val="21"/>
              </w:rPr>
              <w:t>1</w:t>
            </w:r>
            <w:r w:rsidRPr="00D95AF2">
              <w:rPr>
                <w:rFonts w:eastAsiaTheme="minorEastAsia" w:hint="eastAsia"/>
                <w:color w:val="000000" w:themeColor="text1"/>
                <w:szCs w:val="21"/>
              </w:rPr>
              <w:t>月同时担任上投摩根岁岁盈定期开放债券型证券投资基金基金经理，自</w:t>
            </w:r>
            <w:r w:rsidRPr="00D95AF2">
              <w:rPr>
                <w:rFonts w:eastAsiaTheme="minorEastAsia" w:hint="eastAsia"/>
                <w:color w:val="000000" w:themeColor="text1"/>
                <w:szCs w:val="21"/>
              </w:rPr>
              <w:t>2017</w:t>
            </w:r>
            <w:r w:rsidRPr="00D95AF2">
              <w:rPr>
                <w:rFonts w:eastAsiaTheme="minorEastAsia" w:hint="eastAsia"/>
                <w:color w:val="000000" w:themeColor="text1"/>
                <w:szCs w:val="21"/>
              </w:rPr>
              <w:t>年</w:t>
            </w:r>
            <w:r w:rsidRPr="00D95AF2">
              <w:rPr>
                <w:rFonts w:eastAsiaTheme="minorEastAsia" w:hint="eastAsia"/>
                <w:color w:val="000000" w:themeColor="text1"/>
                <w:szCs w:val="21"/>
              </w:rPr>
              <w:t>4</w:t>
            </w:r>
            <w:r w:rsidRPr="00D95AF2">
              <w:rPr>
                <w:rFonts w:eastAsiaTheme="minorEastAsia" w:hint="eastAsia"/>
                <w:color w:val="000000" w:themeColor="text1"/>
                <w:szCs w:val="21"/>
              </w:rPr>
              <w:t>月起同时担任上投摩根岁岁金定期开放债券型证券投资基金基金经理，自</w:t>
            </w:r>
            <w:r w:rsidRPr="00D95AF2">
              <w:rPr>
                <w:rFonts w:eastAsiaTheme="minorEastAsia" w:hint="eastAsia"/>
                <w:color w:val="000000" w:themeColor="text1"/>
                <w:szCs w:val="21"/>
              </w:rPr>
              <w:t>2017</w:t>
            </w:r>
            <w:r w:rsidRPr="00D95AF2">
              <w:rPr>
                <w:rFonts w:eastAsiaTheme="minorEastAsia" w:hint="eastAsia"/>
                <w:color w:val="000000" w:themeColor="text1"/>
                <w:szCs w:val="21"/>
              </w:rPr>
              <w:t>年</w:t>
            </w:r>
            <w:r w:rsidRPr="00D95AF2">
              <w:rPr>
                <w:rFonts w:eastAsiaTheme="minorEastAsia" w:hint="eastAsia"/>
                <w:color w:val="000000" w:themeColor="text1"/>
                <w:szCs w:val="21"/>
              </w:rPr>
              <w:t>11</w:t>
            </w:r>
            <w:r w:rsidRPr="00D95AF2">
              <w:rPr>
                <w:rFonts w:eastAsiaTheme="minorEastAsia" w:hint="eastAsia"/>
                <w:color w:val="000000" w:themeColor="text1"/>
                <w:szCs w:val="21"/>
              </w:rPr>
              <w:t>月起同时担任上投摩根丰瑞债券型证券投资基金基金经理，自</w:t>
            </w:r>
            <w:r w:rsidRPr="00D95AF2">
              <w:rPr>
                <w:rFonts w:eastAsiaTheme="minorEastAsia" w:hint="eastAsia"/>
                <w:color w:val="000000" w:themeColor="text1"/>
                <w:szCs w:val="21"/>
              </w:rPr>
              <w:t>2018</w:t>
            </w:r>
            <w:r w:rsidRPr="00D95AF2">
              <w:rPr>
                <w:rFonts w:eastAsiaTheme="minorEastAsia" w:hint="eastAsia"/>
                <w:color w:val="000000" w:themeColor="text1"/>
                <w:szCs w:val="21"/>
              </w:rPr>
              <w:t>年</w:t>
            </w:r>
            <w:r w:rsidRPr="00D95AF2">
              <w:rPr>
                <w:rFonts w:eastAsiaTheme="minorEastAsia" w:hint="eastAsia"/>
                <w:color w:val="000000" w:themeColor="text1"/>
                <w:szCs w:val="21"/>
              </w:rPr>
              <w:t>1</w:t>
            </w:r>
            <w:r w:rsidRPr="00D95AF2">
              <w:rPr>
                <w:rFonts w:eastAsiaTheme="minorEastAsia" w:hint="eastAsia"/>
                <w:color w:val="000000" w:themeColor="text1"/>
                <w:szCs w:val="21"/>
              </w:rPr>
              <w:t>月起同时担任上投摩根岁岁益定期开放债券型证券投资基金基金经理。</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lastRenderedPageBreak/>
        <w:t>注：</w:t>
      </w:r>
      <w:r>
        <w:rPr>
          <w:rFonts w:eastAsiaTheme="minorEastAsia"/>
          <w:color w:val="000000" w:themeColor="text1"/>
          <w:kern w:val="0"/>
          <w:szCs w:val="21"/>
        </w:rPr>
        <w:t xml:space="preserve">1. </w:t>
      </w:r>
      <w:r>
        <w:rPr>
          <w:rFonts w:eastAsiaTheme="minorEastAsia"/>
          <w:color w:val="000000" w:themeColor="text1"/>
          <w:kern w:val="0"/>
          <w:szCs w:val="21"/>
        </w:rPr>
        <w:t>任职日期和离任日期均指根据公司决定确定的聘任日期和解聘日期。</w:t>
      </w:r>
    </w:p>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 xml:space="preserve">2. </w:t>
      </w:r>
      <w:r>
        <w:rPr>
          <w:rFonts w:eastAsiaTheme="minorEastAsia"/>
          <w:color w:val="000000" w:themeColor="text1"/>
          <w:kern w:val="0"/>
          <w:szCs w:val="21"/>
        </w:rPr>
        <w:t>刘阳女士为本基金首任基金经理，其任职日期为本基金基金合同生效之日；</w:t>
      </w:r>
    </w:p>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 xml:space="preserve">3. </w:t>
      </w:r>
      <w:r w:rsidRPr="00C56D9D">
        <w:rPr>
          <w:rFonts w:eastAsiaTheme="minorEastAsia"/>
          <w:color w:val="000000" w:themeColor="text1"/>
          <w:kern w:val="0"/>
          <w:szCs w:val="21"/>
        </w:rPr>
        <w:t>证券从业的含义遵从行业协会《证券业从业人员资格管理办法》的相关规定。</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40" w:name="_Toc225498256"/>
      <w:bookmarkStart w:id="41" w:name="_Toc361324856"/>
      <w:bookmarkStart w:id="42" w:name="_Toc374374936"/>
      <w:r w:rsidRPr="00C56D9D">
        <w:rPr>
          <w:rFonts w:ascii="Times New Roman" w:eastAsiaTheme="minorEastAsia" w:hAnsi="Times New Roman"/>
          <w:color w:val="000000" w:themeColor="text1"/>
          <w:kern w:val="0"/>
          <w:sz w:val="21"/>
          <w:szCs w:val="21"/>
        </w:rPr>
        <w:t xml:space="preserve">4.2 </w:t>
      </w:r>
      <w:r w:rsidRPr="00C56D9D">
        <w:rPr>
          <w:rFonts w:ascii="Times New Roman" w:eastAsiaTheme="minorEastAsia" w:hAnsi="Times New Roman"/>
          <w:color w:val="000000" w:themeColor="text1"/>
          <w:kern w:val="0"/>
          <w:sz w:val="21"/>
          <w:szCs w:val="21"/>
        </w:rPr>
        <w:t>管理人对报告期内本基金运作遵规守信情况的说明</w:t>
      </w:r>
      <w:bookmarkEnd w:id="40"/>
      <w:bookmarkEnd w:id="41"/>
      <w:bookmarkEnd w:id="42"/>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在本报告期内，基金管理人不存在损害基金份额持有人利益的行为，勤勉尽责地为基金份额持有人谋求利益。本基金管理人遵守了《证券投资基金法》及其他有关法律法规、《上投摩根岁岁金定期开放债券型证券投资基金基金合同》的规定。基金经理对个股和投资组合的比例遵循了投资决策委员会的授权限制，基金投资比例符合基金合同和法律法规的要求。</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43" w:name="_Toc225498257"/>
      <w:bookmarkStart w:id="44" w:name="_Toc361324857"/>
      <w:bookmarkStart w:id="45" w:name="_Toc374374937"/>
      <w:r w:rsidRPr="00C56D9D">
        <w:rPr>
          <w:rFonts w:ascii="Times New Roman" w:eastAsiaTheme="minorEastAsia" w:hAnsi="Times New Roman"/>
          <w:color w:val="000000" w:themeColor="text1"/>
          <w:kern w:val="0"/>
          <w:sz w:val="21"/>
          <w:szCs w:val="21"/>
        </w:rPr>
        <w:t xml:space="preserve">4.3 </w:t>
      </w:r>
      <w:r w:rsidRPr="00C56D9D">
        <w:rPr>
          <w:rFonts w:ascii="Times New Roman" w:eastAsiaTheme="minorEastAsia" w:hAnsi="Times New Roman"/>
          <w:color w:val="000000" w:themeColor="text1"/>
          <w:kern w:val="0"/>
          <w:sz w:val="21"/>
          <w:szCs w:val="21"/>
        </w:rPr>
        <w:t>管理人对报告期内公平交易情况的专项说明</w:t>
      </w:r>
      <w:bookmarkEnd w:id="43"/>
      <w:bookmarkEnd w:id="44"/>
      <w:bookmarkEnd w:id="45"/>
    </w:p>
    <w:p w:rsidR="001A59F9" w:rsidRPr="00C56D9D" w:rsidRDefault="001A59F9" w:rsidP="00625AE8">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4.3.1</w:t>
      </w:r>
      <w:r w:rsidR="0067271C"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公平交易制度和控制方法</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公司按照《证券投资基金管理公司公平交易制度指导意见》等相关法律法规的要求，制订了《上投摩根基金管理有限公司公平交易制度》，规范了公司所管理的所有投资组合的股票、债券等投资品种的投资管理活动，同时涵盖了授权、研究分析、投资决策、交易执行、业绩评估等投资管理</w:t>
      </w:r>
      <w:r>
        <w:rPr>
          <w:rFonts w:eastAsiaTheme="minorEastAsia"/>
          <w:color w:val="000000" w:themeColor="text1"/>
          <w:szCs w:val="21"/>
        </w:rPr>
        <w:lastRenderedPageBreak/>
        <w:t>活动相关的各个环节，以确保本公司管理的不同投资组合均得到公平对待。</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公司执行自上而下的三级授权体系，依次为投资决策委员会、投资总监、经理人，经理人在其授权范围内自主决策，投资决策委员会和投资总监均不得干预其授权范围内的投资活动。公司已建立客观的研究方法，严禁利用内幕信息作为投资依据，各投资组合享有公平的投资决策机会。公司建立集中交易制度，执行公平交易分配。对于交易所市场投资活动，不同投资组合在买卖同一证券时，按照时间优先、比例分配的原则在各投资组合间公平分配交易机会；对于银行间市场投资活动，通过交易对手库控制和交易室询价机制，严格防范交易对手风险并抽检价格公允性；对于一级市场申购投资行为，遵循价格优先、比例分配的原则，根据事前独立申报的价格和数量对交易结果进行公平分配。</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公司制订了《异常交易监控与报告制度》，通过系统和人工相结合的方式进行投资交易行为的监控分析，并执行异常交易行为监控分析记录工作机制，确保公平交易可稽核。公司分别于每季度和每年度对公司管理的不同投资组合的收益率差异及不同时间窗下同向交易的交易价差进行分析，并留存报告备查。</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4.3.2</w:t>
      </w:r>
      <w:r w:rsidR="0067271C"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公平交易制度的执行情况</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公司严格执行上述公平交易制度和控制方法，开展公平交易工作。通过对不同投资组合之间的收益率差异、以及不同投资组合之间同向交易和反向交易的交易时机和交易价差等方面的监控分析，公司未发现整体公平交易执行出现异常的情况。</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其中，在同向交易的监控和分析方面，根据法规要求，公司对不同投资组合的同日和临近交易日的同向交易行为进行监控，通过定期抽查前述的同向交易行为，定性分析交易时机、对比不同投资组合长期的交易趋势，重点关注任何可能导致不公平交易的情形。对于识别的异常情况，由相关投资组合经理对异常交易情况进行合理解释。同时，公司根据法规的要求，通过系统模块定期对连续四个季度内不同投资组合在不同时间窗内（日内、</w:t>
      </w:r>
      <w:r>
        <w:rPr>
          <w:rFonts w:eastAsiaTheme="minorEastAsia"/>
          <w:color w:val="000000" w:themeColor="text1"/>
          <w:szCs w:val="21"/>
        </w:rPr>
        <w:t>3</w:t>
      </w:r>
      <w:r>
        <w:rPr>
          <w:rFonts w:eastAsiaTheme="minorEastAsia"/>
          <w:color w:val="000000" w:themeColor="text1"/>
          <w:szCs w:val="21"/>
        </w:rPr>
        <w:t>日内、</w:t>
      </w:r>
      <w:r>
        <w:rPr>
          <w:rFonts w:eastAsiaTheme="minorEastAsia"/>
          <w:color w:val="000000" w:themeColor="text1"/>
          <w:szCs w:val="21"/>
        </w:rPr>
        <w:t>5</w:t>
      </w:r>
      <w:r>
        <w:rPr>
          <w:rFonts w:eastAsiaTheme="minorEastAsia"/>
          <w:color w:val="000000" w:themeColor="text1"/>
          <w:szCs w:val="21"/>
        </w:rPr>
        <w:t>日内）的同向交易价差进行分析，采用概率统计方法，主要关注不同投资组合之间同向交易价差均值为零的显著性检验，以及同向交易价格占优的交易次数占比分析。</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报告期内，通过前述分析方法，未发现不同投资组合之间同向交易价差异常的情况。</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color w:val="000000" w:themeColor="text1"/>
          <w:kern w:val="0"/>
          <w:szCs w:val="21"/>
        </w:rPr>
        <w:t>4.3.3</w:t>
      </w:r>
      <w:r w:rsidR="0067271C"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异常交易行为的专项说明</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报告期内，通过对交易价格、交易时间、交易方向等的抽样分析，公司未发现存在异常交易行为。</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报告期内，所有投资组合参与的交易所公开竞价同日反向交易成交较少的单边交易量超过该证</w:t>
      </w:r>
      <w:r w:rsidRPr="00C56D9D">
        <w:rPr>
          <w:rFonts w:eastAsiaTheme="minorEastAsia"/>
          <w:color w:val="000000" w:themeColor="text1"/>
          <w:szCs w:val="21"/>
        </w:rPr>
        <w:lastRenderedPageBreak/>
        <w:t>券当日成交量的</w:t>
      </w:r>
      <w:r w:rsidRPr="00C56D9D">
        <w:rPr>
          <w:rFonts w:eastAsiaTheme="minorEastAsia"/>
          <w:color w:val="000000" w:themeColor="text1"/>
          <w:szCs w:val="21"/>
        </w:rPr>
        <w:t>5%</w:t>
      </w:r>
      <w:r w:rsidRPr="00C56D9D">
        <w:rPr>
          <w:rFonts w:eastAsiaTheme="minorEastAsia"/>
          <w:color w:val="000000" w:themeColor="text1"/>
          <w:szCs w:val="21"/>
        </w:rPr>
        <w:t>的情形：无。</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46" w:name="_Toc225498258"/>
      <w:bookmarkStart w:id="47" w:name="_Toc361324858"/>
      <w:bookmarkStart w:id="48" w:name="_Toc374374938"/>
      <w:r w:rsidRPr="00C56D9D">
        <w:rPr>
          <w:rFonts w:ascii="Times New Roman" w:eastAsiaTheme="minorEastAsia" w:hAnsi="Times New Roman"/>
          <w:color w:val="000000" w:themeColor="text1"/>
          <w:kern w:val="0"/>
          <w:sz w:val="21"/>
          <w:szCs w:val="21"/>
        </w:rPr>
        <w:t xml:space="preserve">4.4 </w:t>
      </w:r>
      <w:r w:rsidRPr="00C56D9D">
        <w:rPr>
          <w:rFonts w:ascii="Times New Roman" w:eastAsiaTheme="minorEastAsia" w:hAnsi="Times New Roman"/>
          <w:color w:val="000000" w:themeColor="text1"/>
          <w:kern w:val="0"/>
          <w:sz w:val="21"/>
          <w:szCs w:val="21"/>
        </w:rPr>
        <w:t>管理人对报告期内基金的投资策略和业绩表现的说明</w:t>
      </w:r>
      <w:bookmarkEnd w:id="46"/>
      <w:bookmarkEnd w:id="47"/>
      <w:bookmarkEnd w:id="48"/>
    </w:p>
    <w:p w:rsidR="001A59F9" w:rsidRPr="00C56D9D" w:rsidRDefault="001A59F9" w:rsidP="00961AC0">
      <w:pPr>
        <w:spacing w:line="360" w:lineRule="auto"/>
        <w:rPr>
          <w:rFonts w:eastAsiaTheme="minorEastAsia"/>
          <w:b/>
          <w:color w:val="000000" w:themeColor="text1"/>
          <w:szCs w:val="21"/>
        </w:rPr>
      </w:pPr>
      <w:r w:rsidRPr="00C56D9D">
        <w:rPr>
          <w:rFonts w:eastAsiaTheme="minorEastAsia"/>
          <w:b/>
          <w:color w:val="000000" w:themeColor="text1"/>
          <w:szCs w:val="21"/>
        </w:rPr>
        <w:t>4.4.1</w:t>
      </w:r>
      <w:r w:rsidRPr="00C56D9D">
        <w:rPr>
          <w:rFonts w:eastAsiaTheme="minorEastAsia"/>
          <w:b/>
          <w:color w:val="000000" w:themeColor="text1"/>
          <w:szCs w:val="21"/>
        </w:rPr>
        <w:t>报告期内基金投资策略和运作分析</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2018</w:t>
      </w:r>
      <w:r>
        <w:rPr>
          <w:rFonts w:eastAsiaTheme="minorEastAsia"/>
          <w:color w:val="000000" w:themeColor="text1"/>
          <w:szCs w:val="21"/>
        </w:rPr>
        <w:t>年，债券市场走牛，长期利率债收益率从年初</w:t>
      </w:r>
      <w:r>
        <w:rPr>
          <w:rFonts w:eastAsiaTheme="minorEastAsia"/>
          <w:color w:val="000000" w:themeColor="text1"/>
          <w:szCs w:val="21"/>
        </w:rPr>
        <w:t>5.1%</w:t>
      </w:r>
      <w:r>
        <w:rPr>
          <w:rFonts w:eastAsiaTheme="minorEastAsia"/>
          <w:color w:val="000000" w:themeColor="text1"/>
          <w:szCs w:val="21"/>
        </w:rPr>
        <w:t>的高点累计下行近</w:t>
      </w:r>
      <w:r>
        <w:rPr>
          <w:rFonts w:eastAsiaTheme="minorEastAsia"/>
          <w:color w:val="000000" w:themeColor="text1"/>
          <w:szCs w:val="21"/>
        </w:rPr>
        <w:t>150BP</w:t>
      </w:r>
      <w:r>
        <w:rPr>
          <w:rFonts w:eastAsiaTheme="minorEastAsia"/>
          <w:color w:val="000000" w:themeColor="text1"/>
          <w:szCs w:val="21"/>
        </w:rPr>
        <w:t>至</w:t>
      </w:r>
      <w:r>
        <w:rPr>
          <w:rFonts w:eastAsiaTheme="minorEastAsia"/>
          <w:color w:val="000000" w:themeColor="text1"/>
          <w:szCs w:val="21"/>
        </w:rPr>
        <w:t>3.6%</w:t>
      </w:r>
      <w:r>
        <w:rPr>
          <w:rFonts w:eastAsiaTheme="minorEastAsia"/>
          <w:color w:val="000000" w:themeColor="text1"/>
          <w:szCs w:val="21"/>
        </w:rPr>
        <w:t>附近。回顾来看，国内经济基本面走弱、央行货币政策趋向宽松、贸易摩擦反复推升避险情绪，均是带动债券收益率下行的重要因素。这一过程中，利率债和信用债正式出现分化，</w:t>
      </w:r>
      <w:r>
        <w:rPr>
          <w:rFonts w:eastAsiaTheme="minorEastAsia"/>
          <w:color w:val="000000" w:themeColor="text1"/>
          <w:szCs w:val="21"/>
        </w:rPr>
        <w:t>2018</w:t>
      </w:r>
      <w:r>
        <w:rPr>
          <w:rFonts w:eastAsiaTheme="minorEastAsia"/>
          <w:color w:val="000000" w:themeColor="text1"/>
          <w:szCs w:val="21"/>
        </w:rPr>
        <w:t>年信用违约事件频出，利率债的投资机会更为凸显，信用债尤其中低等级民企债券则经历了信用利差大幅扩大的过程。</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一季度，债券市场在整体悲观的情绪中开局，于</w:t>
      </w:r>
      <w:r w:rsidRPr="00C56D9D">
        <w:rPr>
          <w:rFonts w:eastAsiaTheme="minorEastAsia"/>
          <w:color w:val="000000" w:themeColor="text1"/>
          <w:szCs w:val="21"/>
        </w:rPr>
        <w:t>2</w:t>
      </w:r>
      <w:r w:rsidRPr="00C56D9D">
        <w:rPr>
          <w:rFonts w:eastAsiaTheme="minorEastAsia"/>
          <w:color w:val="000000" w:themeColor="text1"/>
          <w:szCs w:val="21"/>
        </w:rPr>
        <w:t>月开始出现收益率持续下行的积极行情。</w:t>
      </w:r>
      <w:r w:rsidRPr="00C56D9D">
        <w:rPr>
          <w:rFonts w:eastAsiaTheme="minorEastAsia"/>
          <w:color w:val="000000" w:themeColor="text1"/>
          <w:szCs w:val="21"/>
        </w:rPr>
        <w:t>“</w:t>
      </w:r>
      <w:r w:rsidRPr="00C56D9D">
        <w:rPr>
          <w:rFonts w:eastAsiaTheme="minorEastAsia"/>
          <w:color w:val="000000" w:themeColor="text1"/>
          <w:szCs w:val="21"/>
        </w:rPr>
        <w:t>两会</w:t>
      </w:r>
      <w:r w:rsidRPr="00C56D9D">
        <w:rPr>
          <w:rFonts w:eastAsiaTheme="minorEastAsia"/>
          <w:color w:val="000000" w:themeColor="text1"/>
          <w:szCs w:val="21"/>
        </w:rPr>
        <w:t>”</w:t>
      </w:r>
      <w:r w:rsidRPr="00C56D9D">
        <w:rPr>
          <w:rFonts w:eastAsiaTheme="minorEastAsia"/>
          <w:color w:val="000000" w:themeColor="text1"/>
          <w:szCs w:val="21"/>
        </w:rPr>
        <w:t>期间整体流动性预期引导到位，加之持续严监管下金融机构资金需求下降，流动性环境维持温和，叠加海外风险事件和贸易摩擦的持续升温，极大推动了投资者的做多热情。二季度，债券市场走势分化，信用债由于风险事件频出导致抛售情绪上升，利率债则在避险需求推动下震荡走牛，随着资管新规落地、商业银行大额风险暴露管理办法出台等政策推动，利率债成为机构投资者普遍青睐的品种，加之社融走低，投资和生产趋弱，市场对基本面长期下行趋势预期较为一致，长债收益率在一季度</w:t>
      </w:r>
      <w:r w:rsidRPr="00C56D9D">
        <w:rPr>
          <w:rFonts w:eastAsiaTheme="minorEastAsia"/>
          <w:color w:val="000000" w:themeColor="text1"/>
          <w:szCs w:val="21"/>
        </w:rPr>
        <w:t>50BP</w:t>
      </w:r>
      <w:r w:rsidRPr="00C56D9D">
        <w:rPr>
          <w:rFonts w:eastAsiaTheme="minorEastAsia"/>
          <w:color w:val="000000" w:themeColor="text1"/>
          <w:szCs w:val="21"/>
        </w:rPr>
        <w:t>的下行幅度基础上，再次经历</w:t>
      </w:r>
      <w:r w:rsidRPr="00C56D9D">
        <w:rPr>
          <w:rFonts w:eastAsiaTheme="minorEastAsia"/>
          <w:color w:val="000000" w:themeColor="text1"/>
          <w:szCs w:val="21"/>
        </w:rPr>
        <w:t>40BP</w:t>
      </w:r>
      <w:r w:rsidRPr="00C56D9D">
        <w:rPr>
          <w:rFonts w:eastAsiaTheme="minorEastAsia"/>
          <w:color w:val="000000" w:themeColor="text1"/>
          <w:szCs w:val="21"/>
        </w:rPr>
        <w:t>的快速下行。三季度，债券市场步入调整，利空因素集中释放：食品价格短期反弹抬升通胀预期；积极财政预期升温和随之加速的地方债供给，影响货币市场流动性的同时挤占配置型机构债券投资额度；</w:t>
      </w:r>
      <w:r w:rsidRPr="00C56D9D">
        <w:rPr>
          <w:rFonts w:eastAsiaTheme="minorEastAsia"/>
          <w:color w:val="000000" w:themeColor="text1"/>
          <w:szCs w:val="21"/>
        </w:rPr>
        <w:t>9</w:t>
      </w:r>
      <w:r w:rsidRPr="00C56D9D">
        <w:rPr>
          <w:rFonts w:eastAsiaTheme="minorEastAsia"/>
          <w:color w:val="000000" w:themeColor="text1"/>
          <w:szCs w:val="21"/>
        </w:rPr>
        <w:t>月美联储加息几无悬念制约国内货币宽松空间，中美利差收窄导致国内债市的相对投资价值下降，市场整体震荡调整。四季度，牛市下半场开启，收益率重回下行通道，</w:t>
      </w:r>
      <w:r w:rsidRPr="00C56D9D">
        <w:rPr>
          <w:rFonts w:eastAsiaTheme="minorEastAsia"/>
          <w:color w:val="000000" w:themeColor="text1"/>
          <w:szCs w:val="21"/>
        </w:rPr>
        <w:t>10</w:t>
      </w:r>
      <w:r w:rsidRPr="00C56D9D">
        <w:rPr>
          <w:rFonts w:eastAsiaTheme="minorEastAsia"/>
          <w:color w:val="000000" w:themeColor="text1"/>
          <w:szCs w:val="21"/>
        </w:rPr>
        <w:t>年国开到期收益率从</w:t>
      </w:r>
      <w:r w:rsidRPr="00C56D9D">
        <w:rPr>
          <w:rFonts w:eastAsiaTheme="minorEastAsia"/>
          <w:color w:val="000000" w:themeColor="text1"/>
          <w:szCs w:val="21"/>
        </w:rPr>
        <w:t>4.2%</w:t>
      </w:r>
      <w:r w:rsidRPr="00C56D9D">
        <w:rPr>
          <w:rFonts w:eastAsiaTheme="minorEastAsia"/>
          <w:color w:val="000000" w:themeColor="text1"/>
          <w:szCs w:val="21"/>
        </w:rPr>
        <w:t>下行到</w:t>
      </w:r>
      <w:r w:rsidRPr="00C56D9D">
        <w:rPr>
          <w:rFonts w:eastAsiaTheme="minorEastAsia"/>
          <w:color w:val="000000" w:themeColor="text1"/>
          <w:szCs w:val="21"/>
        </w:rPr>
        <w:t>3.64%</w:t>
      </w:r>
      <w:r w:rsidRPr="00C56D9D">
        <w:rPr>
          <w:rFonts w:eastAsiaTheme="minorEastAsia"/>
          <w:color w:val="000000" w:themeColor="text1"/>
          <w:szCs w:val="21"/>
        </w:rPr>
        <w:t>附近，累计下行幅度近</w:t>
      </w:r>
      <w:r w:rsidRPr="00C56D9D">
        <w:rPr>
          <w:rFonts w:eastAsiaTheme="minorEastAsia"/>
          <w:color w:val="000000" w:themeColor="text1"/>
          <w:szCs w:val="21"/>
        </w:rPr>
        <w:t>60BP</w:t>
      </w:r>
      <w:r w:rsidRPr="00C56D9D">
        <w:rPr>
          <w:rFonts w:eastAsiaTheme="minorEastAsia"/>
          <w:color w:val="000000" w:themeColor="text1"/>
          <w:szCs w:val="21"/>
        </w:rPr>
        <w:t>，基本面和通胀数据逐步回落，经济下行压力兑现，避险情绪仍主导债市，至年底配置机构</w:t>
      </w:r>
      <w:r w:rsidRPr="00C56D9D">
        <w:rPr>
          <w:rFonts w:eastAsiaTheme="minorEastAsia"/>
          <w:color w:val="000000" w:themeColor="text1"/>
          <w:szCs w:val="21"/>
        </w:rPr>
        <w:t>“</w:t>
      </w:r>
      <w:r w:rsidRPr="00C56D9D">
        <w:rPr>
          <w:rFonts w:eastAsiaTheme="minorEastAsia"/>
          <w:color w:val="000000" w:themeColor="text1"/>
          <w:szCs w:val="21"/>
        </w:rPr>
        <w:t>抢跑</w:t>
      </w:r>
      <w:r w:rsidRPr="00C56D9D">
        <w:rPr>
          <w:rFonts w:eastAsiaTheme="minorEastAsia"/>
          <w:color w:val="000000" w:themeColor="text1"/>
          <w:szCs w:val="21"/>
        </w:rPr>
        <w:t>”</w:t>
      </w:r>
      <w:r w:rsidRPr="00C56D9D">
        <w:rPr>
          <w:rFonts w:eastAsiaTheme="minorEastAsia"/>
          <w:color w:val="000000" w:themeColor="text1"/>
          <w:szCs w:val="21"/>
        </w:rPr>
        <w:t>、央行创设</w:t>
      </w:r>
      <w:r w:rsidRPr="00C56D9D">
        <w:rPr>
          <w:rFonts w:eastAsiaTheme="minorEastAsia"/>
          <w:color w:val="000000" w:themeColor="text1"/>
          <w:szCs w:val="21"/>
        </w:rPr>
        <w:t>TMLF</w:t>
      </w:r>
      <w:r w:rsidRPr="00C56D9D">
        <w:rPr>
          <w:rFonts w:eastAsiaTheme="minorEastAsia"/>
          <w:color w:val="000000" w:themeColor="text1"/>
          <w:szCs w:val="21"/>
        </w:rPr>
        <w:t>并下调利率叠加风险资产下跌，多重动因推动债市延续单边上涨，</w:t>
      </w:r>
      <w:r w:rsidRPr="00C56D9D">
        <w:rPr>
          <w:rFonts w:eastAsiaTheme="minorEastAsia"/>
          <w:color w:val="000000" w:themeColor="text1"/>
          <w:szCs w:val="21"/>
        </w:rPr>
        <w:t>2018</w:t>
      </w:r>
      <w:r w:rsidRPr="00C56D9D">
        <w:rPr>
          <w:rFonts w:eastAsiaTheme="minorEastAsia"/>
          <w:color w:val="000000" w:themeColor="text1"/>
          <w:szCs w:val="21"/>
        </w:rPr>
        <w:t>年以收益率再创新低收官。在此背景下，本基金</w:t>
      </w:r>
      <w:r w:rsidRPr="00C56D9D">
        <w:rPr>
          <w:rFonts w:eastAsiaTheme="minorEastAsia"/>
          <w:color w:val="000000" w:themeColor="text1"/>
          <w:szCs w:val="21"/>
        </w:rPr>
        <w:t>2018</w:t>
      </w:r>
      <w:r w:rsidRPr="00C56D9D">
        <w:rPr>
          <w:rFonts w:eastAsiaTheme="minorEastAsia"/>
          <w:color w:val="000000" w:themeColor="text1"/>
          <w:szCs w:val="21"/>
        </w:rPr>
        <w:t>年整体维持信用债部位短久期、高资质的择券标准，严格防范信用风险，组合杠杆保持中性较高，四季度起持续提高利率债投资占比，阶段性参与了长期利率债交易，对组合整体收益进行增厚。</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szCs w:val="21"/>
        </w:rPr>
      </w:pPr>
      <w:r w:rsidRPr="00C56D9D">
        <w:rPr>
          <w:rFonts w:eastAsiaTheme="minorEastAsia"/>
          <w:b/>
          <w:color w:val="000000" w:themeColor="text1"/>
          <w:szCs w:val="21"/>
        </w:rPr>
        <w:t>4.4.2</w:t>
      </w:r>
      <w:r w:rsidRPr="00C56D9D">
        <w:rPr>
          <w:rFonts w:eastAsiaTheme="minorEastAsia"/>
          <w:b/>
          <w:color w:val="000000" w:themeColor="text1"/>
          <w:szCs w:val="21"/>
        </w:rPr>
        <w:t>报告期内基金的业绩表现</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本报告期上投摩根岁岁金定期开放债券</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:4.03%</w:t>
      </w:r>
      <w:r>
        <w:rPr>
          <w:rFonts w:eastAsiaTheme="minorEastAsia"/>
          <w:color w:val="000000" w:themeColor="text1"/>
          <w:szCs w:val="21"/>
        </w:rPr>
        <w:t>，同期业绩比较基准收益率为</w:t>
      </w:r>
      <w:r>
        <w:rPr>
          <w:rFonts w:eastAsiaTheme="minorEastAsia"/>
          <w:color w:val="000000" w:themeColor="text1"/>
          <w:szCs w:val="21"/>
        </w:rPr>
        <w:t>:6.17%,</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r w:rsidRPr="00C56D9D">
        <w:rPr>
          <w:rFonts w:eastAsiaTheme="minorEastAsia"/>
          <w:color w:val="000000" w:themeColor="text1"/>
          <w:szCs w:val="21"/>
        </w:rPr>
        <w:t>份额净值增长率为</w:t>
      </w:r>
      <w:r w:rsidRPr="00C56D9D">
        <w:rPr>
          <w:rFonts w:eastAsiaTheme="minorEastAsia"/>
          <w:color w:val="000000" w:themeColor="text1"/>
          <w:szCs w:val="21"/>
        </w:rPr>
        <w:t>:3.72%</w:t>
      </w:r>
      <w:r w:rsidRPr="00C56D9D">
        <w:rPr>
          <w:rFonts w:eastAsiaTheme="minorEastAsia"/>
          <w:color w:val="000000" w:themeColor="text1"/>
          <w:szCs w:val="21"/>
        </w:rPr>
        <w:t>，同期业绩比较基准收益率为</w:t>
      </w:r>
      <w:r w:rsidRPr="00C56D9D">
        <w:rPr>
          <w:rFonts w:eastAsiaTheme="minorEastAsia"/>
          <w:color w:val="000000" w:themeColor="text1"/>
          <w:szCs w:val="21"/>
        </w:rPr>
        <w:t>:6.17%</w:t>
      </w:r>
      <w:r w:rsidRPr="00C56D9D">
        <w:rPr>
          <w:rFonts w:eastAsiaTheme="minorEastAsia"/>
          <w:color w:val="000000" w:themeColor="text1"/>
          <w:szCs w:val="21"/>
        </w:rPr>
        <w:t>。</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49" w:name="_Toc225498259"/>
      <w:bookmarkStart w:id="50" w:name="_Toc361324859"/>
      <w:bookmarkStart w:id="51" w:name="_Toc374374939"/>
      <w:r w:rsidRPr="00C56D9D">
        <w:rPr>
          <w:rFonts w:ascii="Times New Roman" w:eastAsiaTheme="minorEastAsia" w:hAnsi="Times New Roman"/>
          <w:color w:val="000000" w:themeColor="text1"/>
          <w:kern w:val="0"/>
          <w:sz w:val="21"/>
          <w:szCs w:val="21"/>
        </w:rPr>
        <w:lastRenderedPageBreak/>
        <w:t xml:space="preserve">4.5 </w:t>
      </w:r>
      <w:r w:rsidRPr="00C56D9D">
        <w:rPr>
          <w:rFonts w:ascii="Times New Roman" w:eastAsiaTheme="minorEastAsia" w:hAnsi="Times New Roman"/>
          <w:color w:val="000000" w:themeColor="text1"/>
          <w:kern w:val="0"/>
          <w:sz w:val="21"/>
          <w:szCs w:val="21"/>
        </w:rPr>
        <w:t>管理人对宏观经济、证券市场及行业走势的简要展望</w:t>
      </w:r>
      <w:bookmarkEnd w:id="49"/>
      <w:bookmarkEnd w:id="50"/>
      <w:bookmarkEnd w:id="51"/>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展望</w:t>
      </w:r>
      <w:r w:rsidRPr="00C56D9D">
        <w:rPr>
          <w:rFonts w:eastAsiaTheme="minorEastAsia"/>
          <w:color w:val="000000" w:themeColor="text1"/>
          <w:szCs w:val="21"/>
        </w:rPr>
        <w:t>2019</w:t>
      </w:r>
      <w:r w:rsidRPr="00C56D9D">
        <w:rPr>
          <w:rFonts w:eastAsiaTheme="minorEastAsia"/>
          <w:color w:val="000000" w:themeColor="text1"/>
          <w:szCs w:val="21"/>
        </w:rPr>
        <w:t>年，债市仍处牛市环境当中，基本面对市场的支撑仍强，地方债发行提前等前期利空因素已逐步为市场所消化，经济走弱、信用风险仍处释放过程的背景下，宽货币向宽信用的传导仍需时日，这一过程中债券收益率有望继续走低再下一城，但绝对收益率降至低位的情况下，总体波动率也将上升。这一过程中，组合整体维持中性久期和较高杠杆，个券选择上，逐步提高高流动性品种占比，关注阶段性市场震荡带来的长端交易机会，力争为投资者获取稳健收益。</w:t>
      </w:r>
    </w:p>
    <w:p w:rsidR="001A59F9" w:rsidRPr="00C56D9D" w:rsidRDefault="001A59F9" w:rsidP="00A4203E">
      <w:pPr>
        <w:spacing w:line="360" w:lineRule="auto"/>
        <w:ind w:firstLineChars="200" w:firstLine="420"/>
        <w:rPr>
          <w:rFonts w:eastAsiaTheme="minorEastAsia"/>
          <w:color w:val="000000" w:themeColor="text1"/>
          <w:szCs w:val="21"/>
        </w:rPr>
      </w:pP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52" w:name="_Toc247959457"/>
      <w:bookmarkStart w:id="53" w:name="_Toc225570083"/>
      <w:bookmarkStart w:id="54" w:name="_Toc361324861"/>
      <w:bookmarkStart w:id="55" w:name="_Toc374374941"/>
      <w:r w:rsidRPr="00C56D9D">
        <w:rPr>
          <w:rFonts w:ascii="Times New Roman" w:eastAsiaTheme="minorEastAsia" w:hAnsi="Times New Roman"/>
          <w:color w:val="000000" w:themeColor="text1"/>
          <w:kern w:val="0"/>
          <w:sz w:val="21"/>
          <w:szCs w:val="21"/>
        </w:rPr>
        <w:t>4.</w:t>
      </w:r>
      <w:r w:rsidR="006A2979">
        <w:rPr>
          <w:rFonts w:ascii="Times New Roman" w:eastAsiaTheme="minorEastAsia" w:hAnsi="Times New Roman"/>
          <w:color w:val="000000" w:themeColor="text1"/>
          <w:kern w:val="0"/>
          <w:sz w:val="21"/>
          <w:szCs w:val="21"/>
        </w:rPr>
        <w:t>6</w:t>
      </w:r>
      <w:r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管理人对报告期内基金估值程序等事项的说明</w:t>
      </w:r>
      <w:bookmarkEnd w:id="52"/>
      <w:bookmarkEnd w:id="53"/>
      <w:bookmarkEnd w:id="54"/>
      <w:bookmarkEnd w:id="55"/>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公司的基金估值和会计核算由基金会计部负责，根据相关的法律法规规定、基金合同的约定，制定了内部控制措施，对基金估值和会计核算的各个环节和整个流程进行风险控制，目的是保证基金估值和会计核算的准确性。基金会计部人员均具备基金从业资格和相关工作经历。本公司成立了估值委员会，并制订有关议事规则。估值委员会成员包括公司管理层、督察长、基金会计、风险管理等方面的负责人以及相关基金经理，所有相关成员均具有丰富的证券基金行业从业经验。公司估值委员会对估值事项发表意见，评估基金估值的公允性和合理性。基金经理是估值委员会的重要成员，参加估值委员会会议，参与估值程序和估值技术的讨论。估值委员会各方不存在任何重大利益冲突。</w:t>
      </w:r>
    </w:p>
    <w:p w:rsidR="001A59F9" w:rsidRPr="00C56D9D" w:rsidRDefault="00D629D5" w:rsidP="00E34772">
      <w:pPr>
        <w:pStyle w:val="20"/>
        <w:spacing w:beforeLines="100" w:before="312" w:after="0"/>
        <w:rPr>
          <w:rFonts w:ascii="Times New Roman" w:eastAsiaTheme="minorEastAsia" w:hAnsi="Times New Roman"/>
          <w:color w:val="000000" w:themeColor="text1"/>
          <w:kern w:val="0"/>
          <w:sz w:val="21"/>
          <w:szCs w:val="21"/>
        </w:rPr>
      </w:pPr>
      <w:bookmarkStart w:id="56" w:name="_Toc247959458"/>
      <w:bookmarkStart w:id="57" w:name="_Toc225570084"/>
      <w:bookmarkStart w:id="58" w:name="_Toc361324862"/>
      <w:bookmarkStart w:id="59" w:name="_Toc374374942"/>
      <w:r w:rsidRPr="00C56D9D">
        <w:rPr>
          <w:rFonts w:ascii="Times New Roman" w:eastAsiaTheme="minorEastAsia" w:hAnsi="Times New Roman"/>
          <w:color w:val="000000" w:themeColor="text1"/>
          <w:kern w:val="0"/>
          <w:sz w:val="21"/>
          <w:szCs w:val="21"/>
        </w:rPr>
        <w:t>4.</w:t>
      </w:r>
      <w:r w:rsidR="006A2979">
        <w:rPr>
          <w:rFonts w:ascii="Times New Roman" w:eastAsiaTheme="minorEastAsia" w:hAnsi="Times New Roman"/>
          <w:color w:val="000000" w:themeColor="text1"/>
          <w:kern w:val="0"/>
          <w:sz w:val="21"/>
          <w:szCs w:val="21"/>
        </w:rPr>
        <w:t>7</w:t>
      </w:r>
      <w:r w:rsidR="001A59F9" w:rsidRPr="00C56D9D">
        <w:rPr>
          <w:rFonts w:ascii="Times New Roman" w:eastAsiaTheme="minorEastAsia" w:hAnsi="Times New Roman"/>
          <w:color w:val="000000" w:themeColor="text1"/>
          <w:kern w:val="0"/>
          <w:sz w:val="21"/>
          <w:szCs w:val="21"/>
        </w:rPr>
        <w:t xml:space="preserve"> </w:t>
      </w:r>
      <w:r w:rsidR="001A59F9" w:rsidRPr="00C56D9D">
        <w:rPr>
          <w:rFonts w:ascii="Times New Roman" w:eastAsiaTheme="minorEastAsia" w:hAnsi="Times New Roman"/>
          <w:color w:val="000000" w:themeColor="text1"/>
          <w:kern w:val="0"/>
          <w:sz w:val="21"/>
          <w:szCs w:val="21"/>
        </w:rPr>
        <w:t>管理人对报告期内基金利润分配情况的说明</w:t>
      </w:r>
      <w:bookmarkEnd w:id="56"/>
      <w:bookmarkEnd w:id="57"/>
      <w:bookmarkEnd w:id="58"/>
      <w:bookmarkEnd w:id="59"/>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本报告期本基金未实施利润分配。</w:t>
      </w:r>
    </w:p>
    <w:p w:rsidR="00A53698" w:rsidRPr="00C56D9D" w:rsidRDefault="00A53698" w:rsidP="00A4203E">
      <w:pPr>
        <w:spacing w:line="360" w:lineRule="auto"/>
        <w:ind w:firstLineChars="200" w:firstLine="420"/>
        <w:rPr>
          <w:rFonts w:eastAsiaTheme="minorEastAsia"/>
          <w:color w:val="000000" w:themeColor="text1"/>
          <w:szCs w:val="21"/>
        </w:rPr>
      </w:pPr>
    </w:p>
    <w:p w:rsidR="00710008" w:rsidRPr="001263E7" w:rsidRDefault="00D629D5" w:rsidP="001263E7">
      <w:pPr>
        <w:pStyle w:val="20"/>
        <w:spacing w:before="0" w:after="0"/>
        <w:rPr>
          <w:rFonts w:ascii="Times New Roman" w:eastAsiaTheme="minorEastAsia" w:hAnsi="Times New Roman"/>
          <w:color w:val="000000" w:themeColor="text1"/>
          <w:kern w:val="0"/>
          <w:sz w:val="21"/>
          <w:szCs w:val="21"/>
        </w:rPr>
      </w:pPr>
      <w:r w:rsidRPr="001263E7">
        <w:rPr>
          <w:rFonts w:ascii="Times New Roman" w:eastAsiaTheme="minorEastAsia" w:hAnsi="Times New Roman"/>
          <w:color w:val="000000" w:themeColor="text1"/>
          <w:kern w:val="0"/>
          <w:sz w:val="21"/>
          <w:szCs w:val="21"/>
        </w:rPr>
        <w:t>4.</w:t>
      </w:r>
      <w:r w:rsidR="006A2979">
        <w:rPr>
          <w:rFonts w:ascii="Times New Roman" w:eastAsiaTheme="minorEastAsia" w:hAnsi="Times New Roman"/>
          <w:color w:val="000000" w:themeColor="text1"/>
          <w:kern w:val="0"/>
          <w:sz w:val="21"/>
          <w:szCs w:val="21"/>
        </w:rPr>
        <w:t>8</w:t>
      </w:r>
      <w:r w:rsidR="00C42030" w:rsidRPr="001263E7">
        <w:rPr>
          <w:rFonts w:ascii="Times New Roman" w:eastAsiaTheme="minorEastAsia" w:hAnsi="Times New Roman" w:hint="eastAsia"/>
          <w:color w:val="000000" w:themeColor="text1"/>
          <w:kern w:val="0"/>
          <w:sz w:val="21"/>
          <w:szCs w:val="21"/>
        </w:rPr>
        <w:t xml:space="preserve"> </w:t>
      </w:r>
      <w:r w:rsidR="005C7DD7" w:rsidRPr="001263E7">
        <w:rPr>
          <w:rFonts w:ascii="Times New Roman" w:eastAsiaTheme="minorEastAsia" w:hAnsi="Times New Roman" w:hint="eastAsia"/>
          <w:color w:val="000000" w:themeColor="text1"/>
          <w:kern w:val="0"/>
          <w:sz w:val="21"/>
          <w:szCs w:val="21"/>
        </w:rPr>
        <w:t>报告期内管理人对本基金持有人数或基金资产净值预警情形的说明</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kern w:val="0"/>
          <w:szCs w:val="21"/>
        </w:rPr>
        <w:t>报告期内，本基金存在连续六十个工作日基金资产净值低于五千万元的情况，出现该情况的时间范围为</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16</w:t>
      </w:r>
      <w:r>
        <w:rPr>
          <w:rFonts w:eastAsiaTheme="minorEastAsia"/>
          <w:color w:val="000000" w:themeColor="text1"/>
          <w:kern w:val="0"/>
          <w:szCs w:val="21"/>
        </w:rPr>
        <w:t>日至</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p>
    <w:p w:rsidR="00710008" w:rsidRPr="00C56D9D" w:rsidRDefault="00710008" w:rsidP="00710008">
      <w:pPr>
        <w:spacing w:line="360" w:lineRule="auto"/>
        <w:ind w:firstLineChars="200" w:firstLine="420"/>
        <w:rPr>
          <w:rFonts w:eastAsiaTheme="minorEastAsia"/>
          <w:color w:val="000000" w:themeColor="text1"/>
          <w:szCs w:val="21"/>
        </w:rPr>
      </w:pPr>
      <w:r w:rsidRPr="00C56D9D">
        <w:rPr>
          <w:rFonts w:eastAsiaTheme="minorEastAsia"/>
          <w:color w:val="000000" w:themeColor="text1"/>
          <w:kern w:val="0"/>
          <w:szCs w:val="21"/>
        </w:rPr>
        <w:t>基金管理人拟调整本基金运作方式，加大营销力度，提升基金规模，方案已报监管机关。</w:t>
      </w:r>
    </w:p>
    <w:p w:rsidR="00710008" w:rsidRPr="00C56D9D" w:rsidRDefault="00710008" w:rsidP="00625AE8">
      <w:pPr>
        <w:spacing w:line="360" w:lineRule="auto"/>
        <w:ind w:firstLineChars="200" w:firstLine="420"/>
        <w:rPr>
          <w:rFonts w:eastAsiaTheme="minorEastAsia"/>
          <w:color w:val="000000" w:themeColor="text1"/>
          <w:szCs w:val="21"/>
        </w:rPr>
      </w:pPr>
    </w:p>
    <w:p w:rsidR="001A59F9" w:rsidRPr="00C56D9D" w:rsidRDefault="001A59F9" w:rsidP="00E34772">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60" w:name="_Toc225498263"/>
      <w:bookmarkStart w:id="61" w:name="_Toc361324864"/>
      <w:bookmarkStart w:id="62" w:name="_Toc374374944"/>
      <w:r w:rsidRPr="00C56D9D">
        <w:rPr>
          <w:rFonts w:eastAsiaTheme="minorEastAsia"/>
          <w:b/>
          <w:bCs/>
          <w:color w:val="000000" w:themeColor="text1"/>
          <w:sz w:val="21"/>
          <w:szCs w:val="21"/>
          <w:lang w:val="en-US"/>
        </w:rPr>
        <w:t xml:space="preserve">§5  </w:t>
      </w:r>
      <w:r w:rsidRPr="00C56D9D">
        <w:rPr>
          <w:rFonts w:eastAsiaTheme="minorEastAsia"/>
          <w:b/>
          <w:bCs/>
          <w:color w:val="000000" w:themeColor="text1"/>
          <w:sz w:val="21"/>
          <w:szCs w:val="21"/>
          <w:lang w:val="en-US"/>
        </w:rPr>
        <w:t>托管人报告</w:t>
      </w:r>
      <w:bookmarkEnd w:id="60"/>
      <w:bookmarkEnd w:id="61"/>
      <w:bookmarkEnd w:id="62"/>
    </w:p>
    <w:p w:rsidR="001A59F9" w:rsidRPr="00C56D9D" w:rsidRDefault="001A59F9" w:rsidP="00E01E48">
      <w:pPr>
        <w:pStyle w:val="20"/>
        <w:spacing w:before="0" w:after="0"/>
        <w:rPr>
          <w:rFonts w:ascii="Times New Roman" w:eastAsiaTheme="minorEastAsia" w:hAnsi="Times New Roman"/>
          <w:color w:val="000000" w:themeColor="text1"/>
          <w:kern w:val="0"/>
          <w:sz w:val="21"/>
          <w:szCs w:val="21"/>
        </w:rPr>
      </w:pPr>
      <w:bookmarkStart w:id="63" w:name="_Toc225498264"/>
      <w:bookmarkStart w:id="64" w:name="_Toc361324865"/>
      <w:bookmarkStart w:id="65" w:name="_Toc374374945"/>
      <w:r w:rsidRPr="00C56D9D">
        <w:rPr>
          <w:rFonts w:ascii="Times New Roman" w:eastAsiaTheme="minorEastAsia" w:hAnsi="Times New Roman"/>
          <w:color w:val="000000" w:themeColor="text1"/>
          <w:kern w:val="0"/>
          <w:sz w:val="21"/>
          <w:szCs w:val="21"/>
        </w:rPr>
        <w:t xml:space="preserve">5.1 </w:t>
      </w:r>
      <w:r w:rsidRPr="00C56D9D">
        <w:rPr>
          <w:rFonts w:ascii="Times New Roman" w:eastAsiaTheme="minorEastAsia" w:hAnsi="Times New Roman"/>
          <w:color w:val="000000" w:themeColor="text1"/>
          <w:kern w:val="0"/>
          <w:sz w:val="21"/>
          <w:szCs w:val="21"/>
        </w:rPr>
        <w:t>报告期内本基金托管人遵规守信情况声明</w:t>
      </w:r>
      <w:bookmarkEnd w:id="63"/>
      <w:bookmarkEnd w:id="64"/>
      <w:bookmarkEnd w:id="65"/>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本报告期，平安银行股份有限公司在本基金的托管过程中，严格遵守了《证券投资基金法》、基</w:t>
      </w:r>
      <w:r w:rsidRPr="00C56D9D">
        <w:rPr>
          <w:rFonts w:eastAsiaTheme="minorEastAsia"/>
          <w:color w:val="000000" w:themeColor="text1"/>
          <w:szCs w:val="21"/>
        </w:rPr>
        <w:lastRenderedPageBreak/>
        <w:t>金合同、托管协议和其他有关规定，不存在损害基金份额持有人利益的行为，完全尽职尽责地履行了基金托管人应尽的义务。</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66" w:name="_Toc225498265"/>
      <w:bookmarkStart w:id="67" w:name="_Toc361324866"/>
      <w:bookmarkStart w:id="68" w:name="_Toc374374946"/>
      <w:r w:rsidRPr="00C56D9D">
        <w:rPr>
          <w:rFonts w:ascii="Times New Roman" w:eastAsiaTheme="minorEastAsia" w:hAnsi="Times New Roman"/>
          <w:color w:val="000000" w:themeColor="text1"/>
          <w:kern w:val="0"/>
          <w:sz w:val="21"/>
          <w:szCs w:val="21"/>
        </w:rPr>
        <w:t xml:space="preserve">5.2 </w:t>
      </w:r>
      <w:r w:rsidRPr="00C56D9D">
        <w:rPr>
          <w:rFonts w:ascii="Times New Roman" w:eastAsiaTheme="minorEastAsia" w:hAnsi="Times New Roman"/>
          <w:color w:val="000000" w:themeColor="text1"/>
          <w:kern w:val="0"/>
          <w:sz w:val="21"/>
          <w:szCs w:val="21"/>
        </w:rPr>
        <w:t>托管人对报告期内本基金投资运作遵规守信、净值计算、利润分配等情况的</w:t>
      </w:r>
      <w:bookmarkEnd w:id="66"/>
      <w:r w:rsidRPr="00C56D9D">
        <w:rPr>
          <w:rFonts w:ascii="Times New Roman" w:eastAsiaTheme="minorEastAsia" w:hAnsi="Times New Roman"/>
          <w:color w:val="000000" w:themeColor="text1"/>
          <w:kern w:val="0"/>
          <w:sz w:val="21"/>
          <w:szCs w:val="21"/>
        </w:rPr>
        <w:t>说明</w:t>
      </w:r>
      <w:bookmarkEnd w:id="67"/>
      <w:bookmarkEnd w:id="68"/>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C56D9D" w:rsidRDefault="001A59F9" w:rsidP="00A4203E">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该基金本报告期内未进行利润分配。</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69" w:name="_Toc225498266"/>
      <w:bookmarkStart w:id="70" w:name="_Toc361324867"/>
      <w:bookmarkStart w:id="71" w:name="_Toc374374947"/>
      <w:r w:rsidRPr="00C56D9D">
        <w:rPr>
          <w:rFonts w:ascii="Times New Roman" w:eastAsiaTheme="minorEastAsia" w:hAnsi="Times New Roman"/>
          <w:color w:val="000000" w:themeColor="text1"/>
          <w:kern w:val="0"/>
          <w:sz w:val="21"/>
          <w:szCs w:val="21"/>
        </w:rPr>
        <w:t xml:space="preserve">5.3 </w:t>
      </w:r>
      <w:r w:rsidRPr="00C56D9D">
        <w:rPr>
          <w:rFonts w:ascii="Times New Roman" w:eastAsiaTheme="minorEastAsia" w:hAnsi="Times New Roman"/>
          <w:color w:val="000000" w:themeColor="text1"/>
          <w:kern w:val="0"/>
          <w:sz w:val="21"/>
          <w:szCs w:val="21"/>
        </w:rPr>
        <w:t>托管人对本年度报告中财务信息等内容的真实、准确和完整发表意见</w:t>
      </w:r>
      <w:bookmarkEnd w:id="69"/>
      <w:bookmarkEnd w:id="70"/>
      <w:bookmarkEnd w:id="71"/>
    </w:p>
    <w:p w:rsidR="001A59F9" w:rsidRPr="00C56D9D" w:rsidRDefault="001A59F9" w:rsidP="00E01E48">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本报告期，本托管人复核的财务指标、净值表现、利润分配情况、财务会计报告、投资组合报告等内容真实、准确、完整。</w:t>
      </w:r>
    </w:p>
    <w:p w:rsidR="0073475F" w:rsidRPr="00A73188" w:rsidRDefault="0073475F" w:rsidP="00E34772">
      <w:pPr>
        <w:pStyle w:val="1"/>
        <w:keepNext/>
        <w:keepLines/>
        <w:widowControl w:val="0"/>
        <w:adjustRightInd w:val="0"/>
        <w:snapToGrid w:val="0"/>
        <w:spacing w:beforeLines="100" w:before="312" w:afterLines="100" w:after="312" w:line="360" w:lineRule="auto"/>
        <w:jc w:val="center"/>
        <w:rPr>
          <w:rFonts w:eastAsiaTheme="minorEastAsia"/>
          <w:b/>
          <w:bCs/>
          <w:color w:val="000000" w:themeColor="text1"/>
          <w:sz w:val="21"/>
          <w:szCs w:val="21"/>
          <w:lang w:val="en-US"/>
        </w:rPr>
      </w:pPr>
      <w:bookmarkStart w:id="72" w:name="_Toc245801814"/>
      <w:bookmarkStart w:id="73" w:name="_Toc247959464"/>
      <w:bookmarkStart w:id="74" w:name="_Toc352255986"/>
      <w:bookmarkStart w:id="75" w:name="_Toc352256054"/>
      <w:bookmarkStart w:id="76" w:name="_Toc352331232"/>
      <w:bookmarkStart w:id="77" w:name="_Toc362424010"/>
      <w:bookmarkStart w:id="78" w:name="_Toc374459272"/>
      <w:bookmarkStart w:id="79" w:name="_Toc361324872"/>
      <w:bookmarkStart w:id="80" w:name="_Toc374374949"/>
      <w:r w:rsidRPr="00A73188">
        <w:rPr>
          <w:rFonts w:eastAsiaTheme="minorEastAsia"/>
          <w:b/>
          <w:bCs/>
          <w:color w:val="000000" w:themeColor="text1"/>
          <w:sz w:val="21"/>
          <w:szCs w:val="21"/>
          <w:lang w:val="en-US"/>
        </w:rPr>
        <w:t xml:space="preserve">§6  </w:t>
      </w:r>
      <w:r w:rsidRPr="00A73188">
        <w:rPr>
          <w:rFonts w:eastAsiaTheme="minorEastAsia"/>
          <w:b/>
          <w:bCs/>
          <w:color w:val="000000" w:themeColor="text1"/>
          <w:sz w:val="21"/>
          <w:szCs w:val="21"/>
          <w:lang w:val="en-US"/>
        </w:rPr>
        <w:t>审计报告</w:t>
      </w:r>
      <w:bookmarkEnd w:id="72"/>
      <w:bookmarkEnd w:id="73"/>
      <w:bookmarkEnd w:id="74"/>
      <w:bookmarkEnd w:id="75"/>
      <w:bookmarkEnd w:id="76"/>
      <w:bookmarkEnd w:id="77"/>
      <w:bookmarkEnd w:id="78"/>
    </w:p>
    <w:p w:rsidR="00C952F9" w:rsidRDefault="0073475F" w:rsidP="00C952F9">
      <w:pPr>
        <w:spacing w:line="360" w:lineRule="auto"/>
        <w:rPr>
          <w:color w:val="000000" w:themeColor="text1"/>
          <w:szCs w:val="21"/>
        </w:rPr>
      </w:pPr>
      <w:r w:rsidRPr="00A73188">
        <w:rPr>
          <w:rFonts w:eastAsiaTheme="minorEastAsia"/>
          <w:color w:val="000000" w:themeColor="text1"/>
          <w:kern w:val="0"/>
          <w:szCs w:val="21"/>
        </w:rPr>
        <w:t>上投摩根岁岁金定期开放债券型证券投资基金</w:t>
      </w:r>
      <w:r w:rsidR="00C952F9">
        <w:rPr>
          <w:color w:val="000000" w:themeColor="text1"/>
          <w:szCs w:val="21"/>
        </w:rPr>
        <w:t>201</w:t>
      </w:r>
      <w:r w:rsidR="00C952F9">
        <w:rPr>
          <w:rFonts w:hint="eastAsia"/>
          <w:color w:val="000000" w:themeColor="text1"/>
          <w:szCs w:val="21"/>
        </w:rPr>
        <w:t>8</w:t>
      </w:r>
      <w:r w:rsidR="00C952F9">
        <w:rPr>
          <w:rFonts w:hint="eastAsia"/>
          <w:color w:val="000000" w:themeColor="text1"/>
          <w:szCs w:val="21"/>
        </w:rPr>
        <w:t>年度财务会计报告已由普华永道中天会计师事务所</w:t>
      </w:r>
      <w:r w:rsidR="00C952F9">
        <w:rPr>
          <w:color w:val="000000" w:themeColor="text1"/>
          <w:szCs w:val="21"/>
        </w:rPr>
        <w:t>(</w:t>
      </w:r>
      <w:r w:rsidR="00C952F9">
        <w:rPr>
          <w:rFonts w:hint="eastAsia"/>
          <w:color w:val="000000" w:themeColor="text1"/>
          <w:szCs w:val="21"/>
        </w:rPr>
        <w:t>特殊普通合伙</w:t>
      </w:r>
      <w:r w:rsidR="00C952F9">
        <w:rPr>
          <w:color w:val="000000" w:themeColor="text1"/>
          <w:szCs w:val="21"/>
        </w:rPr>
        <w:t>)</w:t>
      </w:r>
      <w:r w:rsidR="00C952F9">
        <w:rPr>
          <w:rFonts w:hint="eastAsia"/>
          <w:color w:val="000000" w:themeColor="text1"/>
          <w:szCs w:val="21"/>
        </w:rPr>
        <w:t>审计、注册会计师薛竞、沈兆杰签字出具了“无保留意见的审计报告”（编号：</w:t>
      </w:r>
      <w:r w:rsidR="00C952F9" w:rsidRPr="00C952F9">
        <w:rPr>
          <w:rFonts w:eastAsiaTheme="minorEastAsia" w:hint="eastAsia"/>
          <w:color w:val="000000" w:themeColor="text1"/>
          <w:kern w:val="0"/>
          <w:szCs w:val="21"/>
        </w:rPr>
        <w:t>普华永道中天审字</w:t>
      </w:r>
      <w:r w:rsidR="00C952F9" w:rsidRPr="00C952F9">
        <w:rPr>
          <w:rFonts w:eastAsiaTheme="minorEastAsia" w:hint="eastAsia"/>
          <w:color w:val="000000" w:themeColor="text1"/>
          <w:kern w:val="0"/>
          <w:szCs w:val="21"/>
        </w:rPr>
        <w:t>(2019)</w:t>
      </w:r>
      <w:r w:rsidR="00C952F9" w:rsidRPr="00C952F9">
        <w:rPr>
          <w:rFonts w:eastAsiaTheme="minorEastAsia" w:hint="eastAsia"/>
          <w:color w:val="000000" w:themeColor="text1"/>
          <w:kern w:val="0"/>
          <w:szCs w:val="21"/>
        </w:rPr>
        <w:t>第</w:t>
      </w:r>
      <w:r w:rsidR="00C952F9" w:rsidRPr="00C952F9">
        <w:rPr>
          <w:rFonts w:eastAsiaTheme="minorEastAsia" w:hint="eastAsia"/>
          <w:color w:val="000000" w:themeColor="text1"/>
          <w:kern w:val="0"/>
          <w:szCs w:val="21"/>
        </w:rPr>
        <w:t>20771</w:t>
      </w:r>
      <w:r w:rsidR="00C952F9" w:rsidRPr="00C952F9">
        <w:rPr>
          <w:rFonts w:eastAsiaTheme="minorEastAsia" w:hint="eastAsia"/>
          <w:color w:val="000000" w:themeColor="text1"/>
          <w:kern w:val="0"/>
          <w:szCs w:val="21"/>
        </w:rPr>
        <w:t>号</w:t>
      </w:r>
      <w:r w:rsidR="00C952F9">
        <w:rPr>
          <w:rFonts w:hint="eastAsia"/>
          <w:color w:val="000000" w:themeColor="text1"/>
          <w:szCs w:val="21"/>
        </w:rPr>
        <w:t>）。</w:t>
      </w:r>
    </w:p>
    <w:p w:rsidR="00C952F9" w:rsidRDefault="00C952F9" w:rsidP="00C952F9">
      <w:pPr>
        <w:spacing w:line="360" w:lineRule="auto"/>
        <w:rPr>
          <w:color w:val="000000" w:themeColor="text1"/>
          <w:szCs w:val="21"/>
        </w:rPr>
      </w:pPr>
      <w:r>
        <w:rPr>
          <w:rFonts w:hint="eastAsia"/>
          <w:color w:val="000000" w:themeColor="text1"/>
          <w:szCs w:val="21"/>
        </w:rPr>
        <w:t>投资者可通过登载于本基金管理人网站的年度报告正文查看审计报告全文。</w:t>
      </w:r>
    </w:p>
    <w:p w:rsidR="001A59F9" w:rsidRPr="00C56D9D" w:rsidRDefault="001A59F9" w:rsidP="00E34772">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r w:rsidRPr="00C56D9D">
        <w:rPr>
          <w:rFonts w:eastAsiaTheme="minorEastAsia"/>
          <w:b/>
          <w:bCs/>
          <w:color w:val="000000" w:themeColor="text1"/>
          <w:sz w:val="21"/>
          <w:szCs w:val="21"/>
          <w:lang w:val="en-US"/>
        </w:rPr>
        <w:t>§7</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年度财务报表</w:t>
      </w:r>
      <w:bookmarkEnd w:id="79"/>
      <w:bookmarkEnd w:id="80"/>
    </w:p>
    <w:p w:rsidR="001A59F9" w:rsidRPr="00C56D9D" w:rsidRDefault="001A59F9" w:rsidP="00673D18">
      <w:pPr>
        <w:pStyle w:val="20"/>
        <w:spacing w:before="0" w:after="0"/>
        <w:rPr>
          <w:rFonts w:ascii="Times New Roman" w:eastAsiaTheme="minorEastAsia" w:hAnsi="Times New Roman"/>
          <w:color w:val="000000" w:themeColor="text1"/>
          <w:kern w:val="0"/>
          <w:sz w:val="21"/>
          <w:szCs w:val="21"/>
        </w:rPr>
      </w:pPr>
      <w:bookmarkStart w:id="81" w:name="_Toc225498268"/>
      <w:bookmarkStart w:id="82" w:name="_Toc361324873"/>
      <w:bookmarkStart w:id="83" w:name="_Toc374374950"/>
      <w:r w:rsidRPr="00C56D9D">
        <w:rPr>
          <w:rFonts w:ascii="Times New Roman" w:eastAsiaTheme="minorEastAsia" w:hAnsi="Times New Roman"/>
          <w:color w:val="000000" w:themeColor="text1"/>
          <w:kern w:val="0"/>
          <w:sz w:val="21"/>
          <w:szCs w:val="21"/>
        </w:rPr>
        <w:t xml:space="preserve">7.1 </w:t>
      </w:r>
      <w:r w:rsidRPr="00C56D9D">
        <w:rPr>
          <w:rFonts w:ascii="Times New Roman" w:eastAsiaTheme="minorEastAsia" w:hAnsi="Times New Roman"/>
          <w:color w:val="000000" w:themeColor="text1"/>
          <w:kern w:val="0"/>
          <w:sz w:val="21"/>
          <w:szCs w:val="21"/>
        </w:rPr>
        <w:t>资产负债表</w:t>
      </w:r>
      <w:bookmarkEnd w:id="81"/>
      <w:bookmarkEnd w:id="82"/>
      <w:bookmarkEnd w:id="83"/>
    </w:p>
    <w:p w:rsidR="001A59F9" w:rsidRPr="00C56D9D" w:rsidRDefault="001A59F9" w:rsidP="00673D18">
      <w:pPr>
        <w:spacing w:line="360" w:lineRule="auto"/>
        <w:rPr>
          <w:rFonts w:eastAsiaTheme="minorEastAsia"/>
          <w:color w:val="000000" w:themeColor="text1"/>
          <w:szCs w:val="21"/>
        </w:rPr>
      </w:pPr>
      <w:r w:rsidRPr="00C56D9D">
        <w:rPr>
          <w:rFonts w:eastAsiaTheme="minorEastAsia"/>
          <w:color w:val="000000" w:themeColor="text1"/>
          <w:szCs w:val="21"/>
        </w:rPr>
        <w:t>会计主体：上投摩根岁岁金定期开放债券型证券投资基金</w:t>
      </w:r>
    </w:p>
    <w:p w:rsidR="001A59F9" w:rsidRPr="00C56D9D" w:rsidRDefault="001A59F9" w:rsidP="00673D18">
      <w:pPr>
        <w:spacing w:line="360" w:lineRule="auto"/>
        <w:rPr>
          <w:rFonts w:eastAsiaTheme="minorEastAsia"/>
          <w:color w:val="000000" w:themeColor="text1"/>
          <w:szCs w:val="21"/>
        </w:rPr>
      </w:pPr>
      <w:r w:rsidRPr="00C56D9D">
        <w:rPr>
          <w:rFonts w:eastAsiaTheme="minorEastAsia"/>
          <w:color w:val="000000" w:themeColor="text1"/>
          <w:szCs w:val="21"/>
        </w:rPr>
        <w:t>报告截止日：</w:t>
      </w:r>
      <w:r w:rsidR="00F64FAD" w:rsidRPr="00C56D9D">
        <w:rPr>
          <w:rFonts w:eastAsiaTheme="minorEastAsia"/>
          <w:color w:val="000000" w:themeColor="text1"/>
          <w:szCs w:val="21"/>
        </w:rPr>
        <w:t>2018</w:t>
      </w:r>
      <w:r w:rsidR="00F64FAD" w:rsidRPr="00C56D9D">
        <w:rPr>
          <w:rFonts w:eastAsiaTheme="minorEastAsia"/>
          <w:color w:val="000000" w:themeColor="text1"/>
          <w:szCs w:val="21"/>
        </w:rPr>
        <w:t>年</w:t>
      </w:r>
      <w:r w:rsidR="00F64FAD" w:rsidRPr="00C56D9D">
        <w:rPr>
          <w:rFonts w:eastAsiaTheme="minorEastAsia"/>
          <w:color w:val="000000" w:themeColor="text1"/>
          <w:szCs w:val="21"/>
        </w:rPr>
        <w:t>12</w:t>
      </w:r>
      <w:r w:rsidR="00F64FAD" w:rsidRPr="00C56D9D">
        <w:rPr>
          <w:rFonts w:eastAsiaTheme="minorEastAsia"/>
          <w:color w:val="000000" w:themeColor="text1"/>
          <w:szCs w:val="21"/>
        </w:rPr>
        <w:t>月</w:t>
      </w:r>
      <w:r w:rsidR="00F64FAD" w:rsidRPr="00C56D9D">
        <w:rPr>
          <w:rFonts w:eastAsiaTheme="minorEastAsia"/>
          <w:color w:val="000000" w:themeColor="text1"/>
          <w:szCs w:val="21"/>
        </w:rPr>
        <w:t>31</w:t>
      </w:r>
      <w:r w:rsidR="00F64FAD" w:rsidRPr="00C56D9D">
        <w:rPr>
          <w:rFonts w:eastAsiaTheme="minorEastAsia"/>
          <w:color w:val="000000" w:themeColor="text1"/>
          <w:szCs w:val="21"/>
        </w:rPr>
        <w:t>日</w:t>
      </w:r>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C56D9D" w:rsidRPr="00C56D9D" w:rsidTr="006D141C">
        <w:tc>
          <w:tcPr>
            <w:tcW w:w="28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资产</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附注号</w:t>
            </w:r>
          </w:p>
        </w:tc>
        <w:tc>
          <w:tcPr>
            <w:tcW w:w="252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本期末</w:t>
            </w:r>
          </w:p>
          <w:p w:rsidR="001A59F9" w:rsidRPr="00C56D9D"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kern w:val="2"/>
                <w:sz w:val="21"/>
                <w:szCs w:val="21"/>
              </w:rPr>
              <w:t>2018</w:t>
            </w:r>
            <w:r w:rsidRPr="00C56D9D">
              <w:rPr>
                <w:rFonts w:ascii="Times New Roman" w:eastAsiaTheme="minorEastAsia" w:hAnsi="Times New Roman"/>
                <w:b/>
                <w:color w:val="000000" w:themeColor="text1"/>
                <w:kern w:val="2"/>
                <w:sz w:val="21"/>
                <w:szCs w:val="21"/>
              </w:rPr>
              <w:t>年</w:t>
            </w:r>
            <w:r w:rsidRPr="00C56D9D">
              <w:rPr>
                <w:rFonts w:ascii="Times New Roman" w:eastAsiaTheme="minorEastAsia" w:hAnsi="Times New Roman"/>
                <w:b/>
                <w:color w:val="000000" w:themeColor="text1"/>
                <w:kern w:val="2"/>
                <w:sz w:val="21"/>
                <w:szCs w:val="21"/>
              </w:rPr>
              <w:t>12</w:t>
            </w:r>
            <w:r w:rsidRPr="00C56D9D">
              <w:rPr>
                <w:rFonts w:ascii="Times New Roman" w:eastAsiaTheme="minorEastAsia" w:hAnsi="Times New Roman"/>
                <w:b/>
                <w:color w:val="000000" w:themeColor="text1"/>
                <w:kern w:val="2"/>
                <w:sz w:val="21"/>
                <w:szCs w:val="21"/>
              </w:rPr>
              <w:t>月</w:t>
            </w:r>
            <w:r w:rsidRPr="00C56D9D">
              <w:rPr>
                <w:rFonts w:ascii="Times New Roman" w:eastAsiaTheme="minorEastAsia" w:hAnsi="Times New Roman"/>
                <w:b/>
                <w:color w:val="000000" w:themeColor="text1"/>
                <w:kern w:val="2"/>
                <w:sz w:val="21"/>
                <w:szCs w:val="21"/>
              </w:rPr>
              <w:t>31</w:t>
            </w:r>
            <w:r w:rsidRPr="00C56D9D">
              <w:rPr>
                <w:rFonts w:ascii="Times New Roman" w:eastAsiaTheme="minorEastAsia" w:hAnsi="Times New Roman"/>
                <w:b/>
                <w:color w:val="000000" w:themeColor="text1"/>
                <w:kern w:val="2"/>
                <w:sz w:val="21"/>
                <w:szCs w:val="21"/>
              </w:rPr>
              <w:t>日</w:t>
            </w:r>
          </w:p>
        </w:tc>
        <w:tc>
          <w:tcPr>
            <w:tcW w:w="252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上年度末</w:t>
            </w:r>
          </w:p>
          <w:p w:rsidR="001A59F9" w:rsidRPr="00C56D9D" w:rsidRDefault="00955CB7"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2017</w:t>
            </w:r>
            <w:r w:rsidRPr="00C56D9D">
              <w:rPr>
                <w:rFonts w:ascii="Times New Roman" w:eastAsiaTheme="minorEastAsia" w:hAnsi="Times New Roman"/>
                <w:b/>
                <w:color w:val="000000" w:themeColor="text1"/>
                <w:sz w:val="21"/>
                <w:szCs w:val="21"/>
              </w:rPr>
              <w:t>年</w:t>
            </w:r>
            <w:r w:rsidRPr="00C56D9D">
              <w:rPr>
                <w:rFonts w:ascii="Times New Roman" w:eastAsiaTheme="minorEastAsia" w:hAnsi="Times New Roman"/>
                <w:b/>
                <w:color w:val="000000" w:themeColor="text1"/>
                <w:sz w:val="21"/>
                <w:szCs w:val="21"/>
              </w:rPr>
              <w:t>12</w:t>
            </w:r>
            <w:r w:rsidRPr="00C56D9D">
              <w:rPr>
                <w:rFonts w:ascii="Times New Roman" w:eastAsiaTheme="minorEastAsia" w:hAnsi="Times New Roman"/>
                <w:b/>
                <w:color w:val="000000" w:themeColor="text1"/>
                <w:sz w:val="21"/>
                <w:szCs w:val="21"/>
              </w:rPr>
              <w:t>月</w:t>
            </w:r>
            <w:r w:rsidRPr="00C56D9D">
              <w:rPr>
                <w:rFonts w:ascii="Times New Roman" w:eastAsiaTheme="minorEastAsia" w:hAnsi="Times New Roman"/>
                <w:b/>
                <w:color w:val="000000" w:themeColor="text1"/>
                <w:sz w:val="21"/>
                <w:szCs w:val="21"/>
              </w:rPr>
              <w:t>31</w:t>
            </w:r>
            <w:r w:rsidRPr="00C56D9D">
              <w:rPr>
                <w:rFonts w:ascii="Times New Roman" w:eastAsiaTheme="minorEastAsia" w:hAnsi="Times New Roman"/>
                <w:b/>
                <w:color w:val="000000" w:themeColor="text1"/>
                <w:sz w:val="21"/>
                <w:szCs w:val="21"/>
              </w:rPr>
              <w:t>日</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资</w:t>
            </w:r>
            <w:r w:rsidR="009E1A86" w:rsidRPr="00C56D9D">
              <w:rPr>
                <w:rFonts w:eastAsiaTheme="minorEastAsia"/>
                <w:color w:val="000000" w:themeColor="text1"/>
                <w:szCs w:val="21"/>
              </w:rPr>
              <w:t xml:space="preserve"> </w:t>
            </w:r>
            <w:r w:rsidRPr="00C56D9D">
              <w:rPr>
                <w:rFonts w:eastAsiaTheme="minorEastAsia"/>
                <w:color w:val="000000" w:themeColor="text1"/>
                <w:szCs w:val="21"/>
              </w:rPr>
              <w:t>产：</w:t>
            </w:r>
          </w:p>
        </w:tc>
        <w:tc>
          <w:tcPr>
            <w:tcW w:w="1080" w:type="dxa"/>
            <w:vAlign w:val="center"/>
          </w:tcPr>
          <w:p w:rsidR="001A59F9" w:rsidRPr="00C56D9D" w:rsidRDefault="001A59F9" w:rsidP="00026C9C">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银行存款</w:t>
            </w:r>
          </w:p>
        </w:tc>
        <w:tc>
          <w:tcPr>
            <w:tcW w:w="1080" w:type="dxa"/>
            <w:vAlign w:val="center"/>
          </w:tcPr>
          <w:p w:rsidR="001A59F9" w:rsidRPr="00C56D9D" w:rsidRDefault="00A4203E" w:rsidP="00026C9C">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hint="eastAsia"/>
                <w:color w:val="000000" w:themeColor="text1"/>
                <w:szCs w:val="21"/>
              </w:rPr>
              <w:t>7.4.7.1</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1,662,848.86</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40,267.23</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结算备付金</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917,774.85</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231,529.21</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存出保证金</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24,070.45</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15,276.95</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lastRenderedPageBreak/>
              <w:t>交易性金融资产</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7.4.7.2</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51,025,133.40</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206,905,566.30</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其中：股票投资</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D564C7">
            <w:pPr>
              <w:pStyle w:val="af6"/>
              <w:spacing w:line="360" w:lineRule="auto"/>
              <w:ind w:firstLineChars="300" w:firstLine="630"/>
              <w:jc w:val="both"/>
              <w:rPr>
                <w:rFonts w:ascii="Times New Roman" w:eastAsiaTheme="minorEastAsia" w:hAnsi="Times New Roman"/>
                <w:color w:val="000000" w:themeColor="text1"/>
                <w:sz w:val="21"/>
                <w:szCs w:val="21"/>
              </w:rPr>
            </w:pPr>
            <w:r w:rsidRPr="00C56D9D">
              <w:rPr>
                <w:rFonts w:ascii="Times New Roman" w:eastAsiaTheme="minorEastAsia" w:hAnsi="Times New Roman"/>
                <w:color w:val="000000" w:themeColor="text1"/>
                <w:sz w:val="21"/>
                <w:szCs w:val="21"/>
              </w:rPr>
              <w:t>基金投资</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债券投资</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51,025,133.40</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206,905,566.30</w:t>
            </w:r>
          </w:p>
        </w:tc>
      </w:tr>
      <w:tr w:rsidR="00C56D9D" w:rsidRPr="00C56D9D" w:rsidTr="00B673C9">
        <w:tc>
          <w:tcPr>
            <w:tcW w:w="2880" w:type="dxa"/>
            <w:vAlign w:val="center"/>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资产支持证券投资</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C709D8">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贵金属投资</w:t>
            </w:r>
          </w:p>
        </w:tc>
        <w:tc>
          <w:tcPr>
            <w:tcW w:w="1080" w:type="dxa"/>
            <w:vAlign w:val="center"/>
          </w:tcPr>
          <w:p w:rsidR="00770A19" w:rsidRPr="00C56D9D" w:rsidRDefault="00770A19" w:rsidP="00C709D8">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70A19" w:rsidRPr="00C56D9D" w:rsidRDefault="00770A19"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衍生金融资产</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7.4.7.3</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买入返售金融资产</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7.4.7.4</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应收证券清算款</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97,593.10</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应收利息</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7.4.7.5</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1,064,558.57</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4,389,726.40</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应收股利</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应收申购款</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递延所得税资产</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color w:val="000000" w:themeColor="text1"/>
                <w:szCs w:val="21"/>
              </w:rPr>
            </w:pPr>
            <w:r w:rsidRPr="00C56D9D">
              <w:rPr>
                <w:rFonts w:eastAsiaTheme="minorEastAsia"/>
                <w:color w:val="000000" w:themeColor="text1"/>
                <w:szCs w:val="21"/>
              </w:rPr>
              <w:t>其他资产</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7.4.7.6</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770A19" w:rsidRPr="00C56D9D" w:rsidRDefault="00770A19" w:rsidP="000847EE">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770A19" w:rsidRPr="00C56D9D" w:rsidRDefault="00770A19" w:rsidP="00B673C9">
            <w:pPr>
              <w:spacing w:line="360" w:lineRule="auto"/>
              <w:rPr>
                <w:rFonts w:eastAsiaTheme="minorEastAsia"/>
                <w:b/>
                <w:color w:val="000000" w:themeColor="text1"/>
                <w:szCs w:val="21"/>
              </w:rPr>
            </w:pPr>
            <w:r w:rsidRPr="00C56D9D">
              <w:rPr>
                <w:rFonts w:eastAsiaTheme="minorEastAsia"/>
                <w:b/>
                <w:color w:val="000000" w:themeColor="text1"/>
                <w:szCs w:val="21"/>
              </w:rPr>
              <w:t>资产总计</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b/>
                <w:color w:val="000000" w:themeColor="text1"/>
                <w:sz w:val="21"/>
                <w:szCs w:val="21"/>
              </w:rPr>
            </w:pPr>
          </w:p>
        </w:tc>
        <w:tc>
          <w:tcPr>
            <w:tcW w:w="2520" w:type="dxa"/>
            <w:vAlign w:val="center"/>
          </w:tcPr>
          <w:p w:rsidR="00770A19" w:rsidRPr="00C56D9D" w:rsidRDefault="00770A19" w:rsidP="000847EE">
            <w:pPr>
              <w:spacing w:line="360" w:lineRule="auto"/>
              <w:jc w:val="right"/>
              <w:rPr>
                <w:rFonts w:eastAsiaTheme="minorEastAsia"/>
                <w:b/>
                <w:color w:val="000000" w:themeColor="text1"/>
                <w:szCs w:val="21"/>
              </w:rPr>
            </w:pPr>
            <w:r w:rsidRPr="00C56D9D">
              <w:rPr>
                <w:rFonts w:eastAsiaTheme="minorEastAsia"/>
                <w:b/>
                <w:color w:val="000000" w:themeColor="text1"/>
                <w:szCs w:val="21"/>
              </w:rPr>
              <w:t>54,694,386.13</w:t>
            </w:r>
          </w:p>
        </w:tc>
        <w:tc>
          <w:tcPr>
            <w:tcW w:w="2520" w:type="dxa"/>
            <w:vAlign w:val="center"/>
          </w:tcPr>
          <w:p w:rsidR="00770A19" w:rsidRPr="00C56D9D" w:rsidRDefault="00770A19" w:rsidP="000847EE">
            <w:pPr>
              <w:spacing w:line="360" w:lineRule="auto"/>
              <w:jc w:val="right"/>
              <w:rPr>
                <w:rFonts w:eastAsiaTheme="minorEastAsia"/>
                <w:b/>
                <w:color w:val="000000" w:themeColor="text1"/>
                <w:szCs w:val="21"/>
              </w:rPr>
            </w:pPr>
            <w:r w:rsidRPr="00C56D9D">
              <w:rPr>
                <w:rFonts w:eastAsiaTheme="minorEastAsia"/>
                <w:b/>
                <w:color w:val="000000" w:themeColor="text1"/>
                <w:szCs w:val="21"/>
              </w:rPr>
              <w:t>211,679,959.19</w:t>
            </w:r>
          </w:p>
        </w:tc>
      </w:tr>
      <w:tr w:rsidR="00C56D9D" w:rsidRPr="00C56D9D" w:rsidTr="006D141C">
        <w:tc>
          <w:tcPr>
            <w:tcW w:w="28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负债和所有者权益</w:t>
            </w:r>
          </w:p>
        </w:tc>
        <w:tc>
          <w:tcPr>
            <w:tcW w:w="1080" w:type="dxa"/>
            <w:vAlign w:val="center"/>
          </w:tcPr>
          <w:p w:rsidR="001A59F9" w:rsidRPr="00C56D9D" w:rsidRDefault="001A59F9" w:rsidP="00BD4C70">
            <w:pPr>
              <w:pStyle w:val="af6"/>
              <w:spacing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附注号</w:t>
            </w:r>
          </w:p>
        </w:tc>
        <w:tc>
          <w:tcPr>
            <w:tcW w:w="252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本期末</w:t>
            </w:r>
          </w:p>
          <w:p w:rsidR="001A59F9" w:rsidRPr="00C56D9D"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kern w:val="2"/>
                <w:sz w:val="21"/>
                <w:szCs w:val="21"/>
              </w:rPr>
              <w:t>2018</w:t>
            </w:r>
            <w:r w:rsidRPr="00C56D9D">
              <w:rPr>
                <w:rFonts w:ascii="Times New Roman" w:eastAsiaTheme="minorEastAsia" w:hAnsi="Times New Roman"/>
                <w:b/>
                <w:color w:val="000000" w:themeColor="text1"/>
                <w:kern w:val="2"/>
                <w:sz w:val="21"/>
                <w:szCs w:val="21"/>
              </w:rPr>
              <w:t>年</w:t>
            </w:r>
            <w:r w:rsidRPr="00C56D9D">
              <w:rPr>
                <w:rFonts w:ascii="Times New Roman" w:eastAsiaTheme="minorEastAsia" w:hAnsi="Times New Roman"/>
                <w:b/>
                <w:color w:val="000000" w:themeColor="text1"/>
                <w:kern w:val="2"/>
                <w:sz w:val="21"/>
                <w:szCs w:val="21"/>
              </w:rPr>
              <w:t>12</w:t>
            </w:r>
            <w:r w:rsidRPr="00C56D9D">
              <w:rPr>
                <w:rFonts w:ascii="Times New Roman" w:eastAsiaTheme="minorEastAsia" w:hAnsi="Times New Roman"/>
                <w:b/>
                <w:color w:val="000000" w:themeColor="text1"/>
                <w:kern w:val="2"/>
                <w:sz w:val="21"/>
                <w:szCs w:val="21"/>
              </w:rPr>
              <w:t>月</w:t>
            </w:r>
            <w:r w:rsidRPr="00C56D9D">
              <w:rPr>
                <w:rFonts w:ascii="Times New Roman" w:eastAsiaTheme="minorEastAsia" w:hAnsi="Times New Roman"/>
                <w:b/>
                <w:color w:val="000000" w:themeColor="text1"/>
                <w:kern w:val="2"/>
                <w:sz w:val="21"/>
                <w:szCs w:val="21"/>
              </w:rPr>
              <w:t>31</w:t>
            </w:r>
            <w:r w:rsidRPr="00C56D9D">
              <w:rPr>
                <w:rFonts w:ascii="Times New Roman" w:eastAsiaTheme="minorEastAsia" w:hAnsi="Times New Roman"/>
                <w:b/>
                <w:color w:val="000000" w:themeColor="text1"/>
                <w:kern w:val="2"/>
                <w:sz w:val="21"/>
                <w:szCs w:val="21"/>
              </w:rPr>
              <w:t>日</w:t>
            </w:r>
          </w:p>
        </w:tc>
        <w:tc>
          <w:tcPr>
            <w:tcW w:w="252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上年度末</w:t>
            </w:r>
          </w:p>
          <w:p w:rsidR="001A59F9" w:rsidRPr="00C56D9D" w:rsidRDefault="00955CB7"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2017</w:t>
            </w:r>
            <w:r w:rsidRPr="00C56D9D">
              <w:rPr>
                <w:rFonts w:ascii="Times New Roman" w:eastAsiaTheme="minorEastAsia" w:hAnsi="Times New Roman"/>
                <w:b/>
                <w:color w:val="000000" w:themeColor="text1"/>
                <w:sz w:val="21"/>
                <w:szCs w:val="21"/>
              </w:rPr>
              <w:t>年</w:t>
            </w:r>
            <w:r w:rsidRPr="00C56D9D">
              <w:rPr>
                <w:rFonts w:ascii="Times New Roman" w:eastAsiaTheme="minorEastAsia" w:hAnsi="Times New Roman"/>
                <w:b/>
                <w:color w:val="000000" w:themeColor="text1"/>
                <w:sz w:val="21"/>
                <w:szCs w:val="21"/>
              </w:rPr>
              <w:t>12</w:t>
            </w:r>
            <w:r w:rsidRPr="00C56D9D">
              <w:rPr>
                <w:rFonts w:ascii="Times New Roman" w:eastAsiaTheme="minorEastAsia" w:hAnsi="Times New Roman"/>
                <w:b/>
                <w:color w:val="000000" w:themeColor="text1"/>
                <w:sz w:val="21"/>
                <w:szCs w:val="21"/>
              </w:rPr>
              <w:t>月</w:t>
            </w:r>
            <w:r w:rsidRPr="00C56D9D">
              <w:rPr>
                <w:rFonts w:ascii="Times New Roman" w:eastAsiaTheme="minorEastAsia" w:hAnsi="Times New Roman"/>
                <w:b/>
                <w:color w:val="000000" w:themeColor="text1"/>
                <w:sz w:val="21"/>
                <w:szCs w:val="21"/>
              </w:rPr>
              <w:t>31</w:t>
            </w:r>
            <w:r w:rsidRPr="00C56D9D">
              <w:rPr>
                <w:rFonts w:ascii="Times New Roman" w:eastAsiaTheme="minorEastAsia" w:hAnsi="Times New Roman"/>
                <w:b/>
                <w:color w:val="000000" w:themeColor="text1"/>
                <w:sz w:val="21"/>
                <w:szCs w:val="21"/>
              </w:rPr>
              <w:t>日</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负</w:t>
            </w:r>
            <w:r w:rsidR="009E1A86" w:rsidRPr="00C56D9D">
              <w:rPr>
                <w:rFonts w:eastAsiaTheme="minorEastAsia"/>
                <w:color w:val="000000" w:themeColor="text1"/>
                <w:szCs w:val="21"/>
              </w:rPr>
              <w:t xml:space="preserve"> </w:t>
            </w:r>
            <w:r w:rsidRPr="00C56D9D">
              <w:rPr>
                <w:rFonts w:eastAsiaTheme="minorEastAsia"/>
                <w:color w:val="000000" w:themeColor="text1"/>
                <w:szCs w:val="21"/>
              </w:rPr>
              <w:t>债：</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短期借款</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交易性金融负债</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衍生金融负债</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7.4.7.3</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卖出回购金融资产款</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14,200,000.00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1,500,000.00</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应付证券清算款</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420,910.02</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应付赎回款</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应付管理人报酬</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20,155.60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106,735.17</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应付托管费</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3,359.26</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17,789.17</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应付销售服务费</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516.00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1,196.70</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应付交易费用</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7.4.7.7</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22,903.05</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10,677.23</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应交税费</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2,680.76</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lastRenderedPageBreak/>
              <w:t>应付利息</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-1,606.90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-601.71</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应付利润</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递延所得税负债</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其他负债</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7.4.7.8</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310,000.00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300,000.00</w:t>
            </w:r>
          </w:p>
        </w:tc>
      </w:tr>
      <w:tr w:rsidR="00C56D9D" w:rsidRPr="00C56D9D" w:rsidTr="00B673C9">
        <w:tc>
          <w:tcPr>
            <w:tcW w:w="2880" w:type="dxa"/>
            <w:vAlign w:val="center"/>
          </w:tcPr>
          <w:p w:rsidR="001A59F9" w:rsidRPr="00C56D9D" w:rsidRDefault="001A59F9" w:rsidP="00B673C9">
            <w:pPr>
              <w:pStyle w:val="af6"/>
              <w:spacing w:line="360" w:lineRule="auto"/>
              <w:jc w:val="both"/>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负债合计</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14,978,917.79</w:t>
            </w: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1,935,796.56</w:t>
            </w:r>
          </w:p>
        </w:tc>
      </w:tr>
      <w:tr w:rsidR="00C56D9D" w:rsidRPr="00C56D9D" w:rsidTr="00B673C9">
        <w:tc>
          <w:tcPr>
            <w:tcW w:w="2880" w:type="dxa"/>
            <w:vAlign w:val="center"/>
          </w:tcPr>
          <w:p w:rsidR="001A59F9" w:rsidRPr="00C56D9D" w:rsidRDefault="001A59F9" w:rsidP="00B673C9">
            <w:pPr>
              <w:spacing w:line="360" w:lineRule="auto"/>
              <w:rPr>
                <w:rFonts w:eastAsiaTheme="minorEastAsia"/>
                <w:b/>
                <w:color w:val="000000" w:themeColor="text1"/>
                <w:szCs w:val="21"/>
              </w:rPr>
            </w:pPr>
            <w:r w:rsidRPr="00C56D9D">
              <w:rPr>
                <w:rFonts w:eastAsiaTheme="minorEastAsia"/>
                <w:b/>
                <w:color w:val="000000" w:themeColor="text1"/>
                <w:szCs w:val="21"/>
              </w:rPr>
              <w:t>所有者权益：</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w:t>
            </w: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实收基金</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7.4.7.9</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37,452,613.39</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205,715,016.37</w:t>
            </w:r>
          </w:p>
        </w:tc>
      </w:tr>
      <w:tr w:rsidR="00C56D9D" w:rsidRPr="00C56D9D" w:rsidTr="00B673C9">
        <w:tc>
          <w:tcPr>
            <w:tcW w:w="2880" w:type="dxa"/>
            <w:vAlign w:val="center"/>
          </w:tcPr>
          <w:p w:rsidR="001A59F9" w:rsidRPr="00C56D9D" w:rsidRDefault="001A59F9" w:rsidP="00B673C9">
            <w:pPr>
              <w:spacing w:line="360" w:lineRule="auto"/>
              <w:rPr>
                <w:rFonts w:eastAsiaTheme="minorEastAsia"/>
                <w:color w:val="000000" w:themeColor="text1"/>
                <w:szCs w:val="21"/>
              </w:rPr>
            </w:pPr>
            <w:r w:rsidRPr="00C56D9D">
              <w:rPr>
                <w:rFonts w:eastAsiaTheme="minorEastAsia"/>
                <w:color w:val="000000" w:themeColor="text1"/>
                <w:szCs w:val="21"/>
              </w:rPr>
              <w:t>未分配利润</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7.4.7.10</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2,262,854.95</w:t>
            </w:r>
          </w:p>
        </w:tc>
        <w:tc>
          <w:tcPr>
            <w:tcW w:w="2520" w:type="dxa"/>
            <w:vAlign w:val="center"/>
          </w:tcPr>
          <w:p w:rsidR="001A59F9" w:rsidRPr="00C56D9D" w:rsidRDefault="001A59F9" w:rsidP="009E1A86">
            <w:pPr>
              <w:spacing w:line="360" w:lineRule="auto"/>
              <w:jc w:val="right"/>
              <w:rPr>
                <w:rFonts w:eastAsiaTheme="minorEastAsia"/>
                <w:color w:val="000000" w:themeColor="text1"/>
                <w:szCs w:val="21"/>
              </w:rPr>
            </w:pPr>
            <w:r w:rsidRPr="00C56D9D">
              <w:rPr>
                <w:rFonts w:eastAsiaTheme="minorEastAsia"/>
                <w:color w:val="000000" w:themeColor="text1"/>
                <w:szCs w:val="21"/>
              </w:rPr>
              <w:t>4,029,146.26</w:t>
            </w:r>
          </w:p>
        </w:tc>
      </w:tr>
      <w:tr w:rsidR="00C56D9D" w:rsidRPr="00C56D9D" w:rsidTr="00B673C9">
        <w:tc>
          <w:tcPr>
            <w:tcW w:w="2880" w:type="dxa"/>
            <w:vAlign w:val="center"/>
          </w:tcPr>
          <w:p w:rsidR="001A59F9" w:rsidRPr="00C56D9D" w:rsidRDefault="001A59F9" w:rsidP="00B673C9">
            <w:pPr>
              <w:spacing w:line="360" w:lineRule="auto"/>
              <w:rPr>
                <w:rFonts w:eastAsiaTheme="minorEastAsia"/>
                <w:b/>
                <w:color w:val="000000" w:themeColor="text1"/>
                <w:szCs w:val="21"/>
              </w:rPr>
            </w:pPr>
            <w:r w:rsidRPr="00C56D9D">
              <w:rPr>
                <w:rFonts w:eastAsiaTheme="minorEastAsia"/>
                <w:b/>
                <w:color w:val="000000" w:themeColor="text1"/>
                <w:szCs w:val="21"/>
              </w:rPr>
              <w:t>所有者权益合计</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39,715,468.34</w:t>
            </w: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209,744,162.63</w:t>
            </w:r>
          </w:p>
        </w:tc>
      </w:tr>
      <w:tr w:rsidR="00C56D9D" w:rsidRPr="00C56D9D" w:rsidTr="00B673C9">
        <w:tc>
          <w:tcPr>
            <w:tcW w:w="2880" w:type="dxa"/>
            <w:vAlign w:val="center"/>
          </w:tcPr>
          <w:p w:rsidR="001A59F9" w:rsidRPr="00C56D9D" w:rsidRDefault="001A59F9" w:rsidP="00B673C9">
            <w:pPr>
              <w:spacing w:line="360" w:lineRule="auto"/>
              <w:rPr>
                <w:rFonts w:eastAsiaTheme="minorEastAsia"/>
                <w:b/>
                <w:color w:val="000000" w:themeColor="text1"/>
                <w:szCs w:val="21"/>
              </w:rPr>
            </w:pPr>
            <w:r w:rsidRPr="00C56D9D">
              <w:rPr>
                <w:rFonts w:eastAsiaTheme="minorEastAsia"/>
                <w:b/>
                <w:color w:val="000000" w:themeColor="text1"/>
                <w:szCs w:val="21"/>
              </w:rPr>
              <w:t>负债和所有者权益总计</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54,694,386.13</w:t>
            </w:r>
          </w:p>
        </w:tc>
        <w:tc>
          <w:tcPr>
            <w:tcW w:w="2520" w:type="dxa"/>
            <w:vAlign w:val="center"/>
          </w:tcPr>
          <w:p w:rsidR="001A59F9" w:rsidRPr="00C56D9D" w:rsidRDefault="001A59F9" w:rsidP="009E1A86">
            <w:pPr>
              <w:spacing w:line="360" w:lineRule="auto"/>
              <w:jc w:val="right"/>
              <w:rPr>
                <w:rFonts w:eastAsiaTheme="minorEastAsia"/>
                <w:b/>
                <w:color w:val="000000" w:themeColor="text1"/>
                <w:szCs w:val="21"/>
              </w:rPr>
            </w:pPr>
            <w:r w:rsidRPr="00C56D9D">
              <w:rPr>
                <w:rFonts w:eastAsiaTheme="minorEastAsia"/>
                <w:b/>
                <w:color w:val="000000" w:themeColor="text1"/>
                <w:szCs w:val="21"/>
              </w:rPr>
              <w:t>211,679,959.19</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注：报告截止日</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r>
        <w:rPr>
          <w:rFonts w:eastAsiaTheme="minorEastAsia"/>
          <w:color w:val="000000" w:themeColor="text1"/>
          <w:kern w:val="0"/>
          <w:szCs w:val="21"/>
        </w:rPr>
        <w:t>,</w:t>
      </w:r>
      <w:r>
        <w:rPr>
          <w:rFonts w:eastAsiaTheme="minorEastAsia"/>
          <w:color w:val="000000" w:themeColor="text1"/>
          <w:kern w:val="0"/>
          <w:szCs w:val="21"/>
        </w:rPr>
        <w:t>基金份额总额</w:t>
      </w:r>
      <w:r>
        <w:rPr>
          <w:rFonts w:eastAsiaTheme="minorEastAsia"/>
          <w:color w:val="000000" w:themeColor="text1"/>
          <w:kern w:val="0"/>
          <w:szCs w:val="21"/>
        </w:rPr>
        <w:t>37,452,613.39</w:t>
      </w:r>
      <w:r>
        <w:rPr>
          <w:rFonts w:eastAsiaTheme="minorEastAsia"/>
          <w:color w:val="000000" w:themeColor="text1"/>
          <w:kern w:val="0"/>
          <w:szCs w:val="21"/>
        </w:rPr>
        <w:t>份</w:t>
      </w:r>
      <w:r>
        <w:rPr>
          <w:rFonts w:eastAsiaTheme="minorEastAsia"/>
          <w:color w:val="000000" w:themeColor="text1"/>
          <w:kern w:val="0"/>
          <w:szCs w:val="21"/>
        </w:rPr>
        <w:t>,</w:t>
      </w:r>
      <w:r>
        <w:rPr>
          <w:rFonts w:eastAsiaTheme="minorEastAsia"/>
          <w:color w:val="000000" w:themeColor="text1"/>
          <w:kern w:val="0"/>
          <w:szCs w:val="21"/>
        </w:rPr>
        <w:t>其中</w:t>
      </w:r>
      <w:r>
        <w:rPr>
          <w:rFonts w:eastAsiaTheme="minorEastAsia"/>
          <w:color w:val="000000" w:themeColor="text1"/>
          <w:kern w:val="0"/>
          <w:szCs w:val="21"/>
        </w:rPr>
        <w:t>:</w:t>
      </w:r>
    </w:p>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A</w:t>
      </w:r>
      <w:r>
        <w:rPr>
          <w:rFonts w:eastAsiaTheme="minorEastAsia"/>
          <w:color w:val="000000" w:themeColor="text1"/>
          <w:kern w:val="0"/>
          <w:szCs w:val="21"/>
        </w:rPr>
        <w:t>类</w:t>
      </w:r>
      <w:r>
        <w:rPr>
          <w:rFonts w:eastAsiaTheme="minorEastAsia"/>
          <w:color w:val="000000" w:themeColor="text1"/>
          <w:kern w:val="0"/>
          <w:szCs w:val="21"/>
        </w:rPr>
        <w:t>,</w:t>
      </w:r>
      <w:r>
        <w:rPr>
          <w:rFonts w:eastAsiaTheme="minorEastAsia"/>
          <w:color w:val="000000" w:themeColor="text1"/>
          <w:kern w:val="0"/>
          <w:szCs w:val="21"/>
        </w:rPr>
        <w:t>基金份额净值</w:t>
      </w:r>
      <w:r>
        <w:rPr>
          <w:rFonts w:eastAsiaTheme="minorEastAsia"/>
          <w:color w:val="000000" w:themeColor="text1"/>
          <w:kern w:val="0"/>
          <w:szCs w:val="21"/>
        </w:rPr>
        <w:t>1.0607</w:t>
      </w:r>
      <w:r>
        <w:rPr>
          <w:rFonts w:eastAsiaTheme="minorEastAsia"/>
          <w:color w:val="000000" w:themeColor="text1"/>
          <w:kern w:val="0"/>
          <w:szCs w:val="21"/>
        </w:rPr>
        <w:t>元</w:t>
      </w:r>
      <w:r>
        <w:rPr>
          <w:rFonts w:eastAsiaTheme="minorEastAsia"/>
          <w:color w:val="000000" w:themeColor="text1"/>
          <w:kern w:val="0"/>
          <w:szCs w:val="21"/>
        </w:rPr>
        <w:t>,</w:t>
      </w:r>
      <w:r>
        <w:rPr>
          <w:rFonts w:eastAsiaTheme="minorEastAsia"/>
          <w:color w:val="000000" w:themeColor="text1"/>
          <w:kern w:val="0"/>
          <w:szCs w:val="21"/>
        </w:rPr>
        <w:t>基金份额</w:t>
      </w:r>
      <w:r>
        <w:rPr>
          <w:rFonts w:eastAsiaTheme="minorEastAsia"/>
          <w:color w:val="000000" w:themeColor="text1"/>
          <w:kern w:val="0"/>
          <w:szCs w:val="21"/>
        </w:rPr>
        <w:t>35,800,354.70</w:t>
      </w:r>
      <w:r>
        <w:rPr>
          <w:rFonts w:eastAsiaTheme="minorEastAsia"/>
          <w:color w:val="000000" w:themeColor="text1"/>
          <w:kern w:val="0"/>
          <w:szCs w:val="21"/>
        </w:rPr>
        <w:t>份</w:t>
      </w:r>
      <w:r>
        <w:rPr>
          <w:rFonts w:eastAsiaTheme="minorEastAsia"/>
          <w:color w:val="000000" w:themeColor="text1"/>
          <w:kern w:val="0"/>
          <w:szCs w:val="21"/>
        </w:rPr>
        <w:t>,</w:t>
      </w:r>
    </w:p>
    <w:p w:rsidR="001A59F9" w:rsidRPr="00C56D9D" w:rsidRDefault="001A59F9" w:rsidP="00A4203E">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C</w:t>
      </w:r>
      <w:r w:rsidRPr="00C56D9D">
        <w:rPr>
          <w:rFonts w:eastAsiaTheme="minorEastAsia"/>
          <w:color w:val="000000" w:themeColor="text1"/>
          <w:kern w:val="0"/>
          <w:szCs w:val="21"/>
        </w:rPr>
        <w:t>类</w:t>
      </w:r>
      <w:r w:rsidRPr="00C56D9D">
        <w:rPr>
          <w:rFonts w:eastAsiaTheme="minorEastAsia"/>
          <w:color w:val="000000" w:themeColor="text1"/>
          <w:kern w:val="0"/>
          <w:szCs w:val="21"/>
        </w:rPr>
        <w:t>,</w:t>
      </w:r>
      <w:r w:rsidRPr="00C56D9D">
        <w:rPr>
          <w:rFonts w:eastAsiaTheme="minorEastAsia"/>
          <w:color w:val="000000" w:themeColor="text1"/>
          <w:kern w:val="0"/>
          <w:szCs w:val="21"/>
        </w:rPr>
        <w:t>基金份额净值</w:t>
      </w:r>
      <w:r w:rsidRPr="00C56D9D">
        <w:rPr>
          <w:rFonts w:eastAsiaTheme="minorEastAsia"/>
          <w:color w:val="000000" w:themeColor="text1"/>
          <w:kern w:val="0"/>
          <w:szCs w:val="21"/>
        </w:rPr>
        <w:t>1.0548</w:t>
      </w:r>
      <w:r w:rsidRPr="00C56D9D">
        <w:rPr>
          <w:rFonts w:eastAsiaTheme="minorEastAsia"/>
          <w:color w:val="000000" w:themeColor="text1"/>
          <w:kern w:val="0"/>
          <w:szCs w:val="21"/>
        </w:rPr>
        <w:t>元</w:t>
      </w:r>
      <w:r w:rsidRPr="00C56D9D">
        <w:rPr>
          <w:rFonts w:eastAsiaTheme="minorEastAsia"/>
          <w:color w:val="000000" w:themeColor="text1"/>
          <w:kern w:val="0"/>
          <w:szCs w:val="21"/>
        </w:rPr>
        <w:t>,</w:t>
      </w:r>
      <w:r w:rsidRPr="00C56D9D">
        <w:rPr>
          <w:rFonts w:eastAsiaTheme="minorEastAsia"/>
          <w:color w:val="000000" w:themeColor="text1"/>
          <w:kern w:val="0"/>
          <w:szCs w:val="21"/>
        </w:rPr>
        <w:t>基金份额</w:t>
      </w:r>
      <w:r w:rsidRPr="00C56D9D">
        <w:rPr>
          <w:rFonts w:eastAsiaTheme="minorEastAsia"/>
          <w:color w:val="000000" w:themeColor="text1"/>
          <w:kern w:val="0"/>
          <w:szCs w:val="21"/>
        </w:rPr>
        <w:t>1,652,258.69</w:t>
      </w:r>
      <w:r w:rsidRPr="00C56D9D">
        <w:rPr>
          <w:rFonts w:eastAsiaTheme="minorEastAsia"/>
          <w:color w:val="000000" w:themeColor="text1"/>
          <w:kern w:val="0"/>
          <w:szCs w:val="21"/>
        </w:rPr>
        <w:t>份。</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84" w:name="_Toc225498269"/>
      <w:bookmarkStart w:id="85" w:name="_Toc361324874"/>
      <w:bookmarkStart w:id="86" w:name="_Toc374374951"/>
      <w:r w:rsidRPr="00C56D9D">
        <w:rPr>
          <w:rFonts w:ascii="Times New Roman" w:eastAsiaTheme="minorEastAsia" w:hAnsi="Times New Roman"/>
          <w:color w:val="000000" w:themeColor="text1"/>
          <w:kern w:val="0"/>
          <w:sz w:val="21"/>
          <w:szCs w:val="21"/>
        </w:rPr>
        <w:t xml:space="preserve">7.2 </w:t>
      </w:r>
      <w:r w:rsidRPr="00C56D9D">
        <w:rPr>
          <w:rFonts w:ascii="Times New Roman" w:eastAsiaTheme="minorEastAsia" w:hAnsi="Times New Roman"/>
          <w:color w:val="000000" w:themeColor="text1"/>
          <w:kern w:val="0"/>
          <w:sz w:val="21"/>
          <w:szCs w:val="21"/>
        </w:rPr>
        <w:t>利润表</w:t>
      </w:r>
      <w:bookmarkEnd w:id="84"/>
      <w:bookmarkEnd w:id="85"/>
      <w:bookmarkEnd w:id="86"/>
    </w:p>
    <w:p w:rsidR="001A59F9" w:rsidRPr="00C56D9D" w:rsidRDefault="001A59F9" w:rsidP="00673D18">
      <w:pPr>
        <w:spacing w:line="360" w:lineRule="auto"/>
        <w:rPr>
          <w:rFonts w:eastAsiaTheme="minorEastAsia"/>
          <w:color w:val="000000" w:themeColor="text1"/>
          <w:kern w:val="0"/>
          <w:szCs w:val="21"/>
        </w:rPr>
      </w:pPr>
      <w:r w:rsidRPr="00C56D9D">
        <w:rPr>
          <w:rFonts w:eastAsiaTheme="minorEastAsia"/>
          <w:color w:val="000000" w:themeColor="text1"/>
          <w:szCs w:val="21"/>
        </w:rPr>
        <w:t>会计主体：</w:t>
      </w:r>
      <w:r w:rsidRPr="00C56D9D">
        <w:rPr>
          <w:rFonts w:eastAsiaTheme="minorEastAsia"/>
          <w:color w:val="000000" w:themeColor="text1"/>
          <w:kern w:val="0"/>
          <w:szCs w:val="21"/>
        </w:rPr>
        <w:t>上投摩根岁岁金定期开放债券型证券投资基金</w:t>
      </w:r>
    </w:p>
    <w:p w:rsidR="001A59F9" w:rsidRPr="00C56D9D" w:rsidRDefault="001A59F9" w:rsidP="00673D18">
      <w:pPr>
        <w:spacing w:line="360" w:lineRule="auto"/>
        <w:rPr>
          <w:rFonts w:eastAsiaTheme="minorEastAsia"/>
          <w:color w:val="000000" w:themeColor="text1"/>
          <w:kern w:val="0"/>
          <w:szCs w:val="21"/>
        </w:rPr>
      </w:pPr>
      <w:r w:rsidRPr="00C56D9D">
        <w:rPr>
          <w:rFonts w:eastAsiaTheme="minorEastAsia"/>
          <w:color w:val="000000" w:themeColor="text1"/>
          <w:szCs w:val="21"/>
        </w:rPr>
        <w:t>本报告期：</w:t>
      </w:r>
      <w:r w:rsidR="00F64FAD" w:rsidRPr="00C56D9D">
        <w:rPr>
          <w:rFonts w:eastAsiaTheme="minorEastAsia"/>
          <w:color w:val="000000" w:themeColor="text1"/>
          <w:kern w:val="0"/>
          <w:szCs w:val="21"/>
        </w:rPr>
        <w:t>2018</w:t>
      </w:r>
      <w:r w:rsidR="00F64FAD" w:rsidRPr="00C56D9D">
        <w:rPr>
          <w:rFonts w:eastAsiaTheme="minorEastAsia"/>
          <w:color w:val="000000" w:themeColor="text1"/>
          <w:kern w:val="0"/>
          <w:szCs w:val="21"/>
        </w:rPr>
        <w:t>年</w:t>
      </w:r>
      <w:r w:rsidR="00F64FAD" w:rsidRPr="00C56D9D">
        <w:rPr>
          <w:rFonts w:eastAsiaTheme="minorEastAsia"/>
          <w:color w:val="000000" w:themeColor="text1"/>
          <w:kern w:val="0"/>
          <w:szCs w:val="21"/>
        </w:rPr>
        <w:t>1</w:t>
      </w:r>
      <w:r w:rsidR="00F64FAD" w:rsidRPr="00C56D9D">
        <w:rPr>
          <w:rFonts w:eastAsiaTheme="minorEastAsia"/>
          <w:color w:val="000000" w:themeColor="text1"/>
          <w:kern w:val="0"/>
          <w:szCs w:val="21"/>
        </w:rPr>
        <w:t>月</w:t>
      </w:r>
      <w:r w:rsidR="00F64FAD" w:rsidRPr="00C56D9D">
        <w:rPr>
          <w:rFonts w:eastAsiaTheme="minorEastAsia"/>
          <w:color w:val="000000" w:themeColor="text1"/>
          <w:kern w:val="0"/>
          <w:szCs w:val="21"/>
        </w:rPr>
        <w:t>1</w:t>
      </w:r>
      <w:r w:rsidR="00F64FAD" w:rsidRPr="00C56D9D">
        <w:rPr>
          <w:rFonts w:eastAsiaTheme="minorEastAsia"/>
          <w:color w:val="000000" w:themeColor="text1"/>
          <w:kern w:val="0"/>
          <w:szCs w:val="21"/>
        </w:rPr>
        <w:t>日</w:t>
      </w:r>
      <w:r w:rsidRPr="00C56D9D">
        <w:rPr>
          <w:rFonts w:eastAsiaTheme="minorEastAsia"/>
          <w:color w:val="000000" w:themeColor="text1"/>
          <w:kern w:val="0"/>
          <w:szCs w:val="21"/>
        </w:rPr>
        <w:t>至</w:t>
      </w:r>
      <w:r w:rsidR="00F64FAD" w:rsidRPr="00C56D9D">
        <w:rPr>
          <w:rFonts w:eastAsiaTheme="minorEastAsia"/>
          <w:color w:val="000000" w:themeColor="text1"/>
          <w:kern w:val="0"/>
          <w:szCs w:val="21"/>
        </w:rPr>
        <w:t>2018</w:t>
      </w:r>
      <w:r w:rsidR="00F64FAD" w:rsidRPr="00C56D9D">
        <w:rPr>
          <w:rFonts w:eastAsiaTheme="minorEastAsia"/>
          <w:color w:val="000000" w:themeColor="text1"/>
          <w:kern w:val="0"/>
          <w:szCs w:val="21"/>
        </w:rPr>
        <w:t>年</w:t>
      </w:r>
      <w:r w:rsidR="00F64FAD" w:rsidRPr="00C56D9D">
        <w:rPr>
          <w:rFonts w:eastAsiaTheme="minorEastAsia"/>
          <w:color w:val="000000" w:themeColor="text1"/>
          <w:kern w:val="0"/>
          <w:szCs w:val="21"/>
        </w:rPr>
        <w:t>12</w:t>
      </w:r>
      <w:r w:rsidR="00F64FAD" w:rsidRPr="00C56D9D">
        <w:rPr>
          <w:rFonts w:eastAsiaTheme="minorEastAsia"/>
          <w:color w:val="000000" w:themeColor="text1"/>
          <w:kern w:val="0"/>
          <w:szCs w:val="21"/>
        </w:rPr>
        <w:t>月</w:t>
      </w:r>
      <w:r w:rsidR="00F64FAD" w:rsidRPr="00C56D9D">
        <w:rPr>
          <w:rFonts w:eastAsiaTheme="minorEastAsia"/>
          <w:color w:val="000000" w:themeColor="text1"/>
          <w:kern w:val="0"/>
          <w:szCs w:val="21"/>
        </w:rPr>
        <w:t>31</w:t>
      </w:r>
      <w:r w:rsidR="00F64FAD" w:rsidRPr="00C56D9D">
        <w:rPr>
          <w:rFonts w:eastAsiaTheme="minorEastAsia"/>
          <w:color w:val="000000" w:themeColor="text1"/>
          <w:kern w:val="0"/>
          <w:szCs w:val="21"/>
        </w:rPr>
        <w:t>日</w:t>
      </w:r>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C56D9D" w:rsidRPr="00C56D9D" w:rsidTr="006D141C">
        <w:tc>
          <w:tcPr>
            <w:tcW w:w="342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项目</w:t>
            </w:r>
          </w:p>
        </w:tc>
        <w:tc>
          <w:tcPr>
            <w:tcW w:w="108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附注号</w:t>
            </w:r>
          </w:p>
        </w:tc>
        <w:tc>
          <w:tcPr>
            <w:tcW w:w="225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本期</w:t>
            </w:r>
          </w:p>
          <w:p w:rsidR="001A59F9" w:rsidRPr="00C56D9D"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color w:val="000000" w:themeColor="text1"/>
                <w:sz w:val="21"/>
                <w:szCs w:val="21"/>
              </w:rPr>
              <w:t>2018</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1</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1</w:t>
            </w:r>
            <w:r w:rsidRPr="00C56D9D">
              <w:rPr>
                <w:rFonts w:ascii="Times New Roman" w:eastAsiaTheme="minorEastAsia" w:hAnsi="Times New Roman"/>
                <w:color w:val="000000" w:themeColor="text1"/>
                <w:sz w:val="21"/>
                <w:szCs w:val="21"/>
              </w:rPr>
              <w:t>日</w:t>
            </w:r>
            <w:r w:rsidR="001A59F9" w:rsidRPr="00C56D9D">
              <w:rPr>
                <w:rFonts w:ascii="Times New Roman" w:eastAsiaTheme="minorEastAsia" w:hAnsi="Times New Roman"/>
                <w:color w:val="000000" w:themeColor="text1"/>
                <w:sz w:val="21"/>
                <w:szCs w:val="21"/>
              </w:rPr>
              <w:t>至</w:t>
            </w:r>
            <w:r w:rsidRPr="00C56D9D">
              <w:rPr>
                <w:rFonts w:ascii="Times New Roman" w:eastAsiaTheme="minorEastAsia" w:hAnsi="Times New Roman"/>
                <w:color w:val="000000" w:themeColor="text1"/>
                <w:sz w:val="21"/>
                <w:szCs w:val="21"/>
              </w:rPr>
              <w:t>2018</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12</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31</w:t>
            </w:r>
            <w:r w:rsidRPr="00C56D9D">
              <w:rPr>
                <w:rFonts w:ascii="Times New Roman" w:eastAsiaTheme="minorEastAsia" w:hAnsi="Times New Roman"/>
                <w:color w:val="000000" w:themeColor="text1"/>
                <w:sz w:val="21"/>
                <w:szCs w:val="21"/>
              </w:rPr>
              <w:t>日</w:t>
            </w:r>
          </w:p>
        </w:tc>
        <w:tc>
          <w:tcPr>
            <w:tcW w:w="2250" w:type="dxa"/>
            <w:vAlign w:val="center"/>
          </w:tcPr>
          <w:p w:rsidR="001A59F9" w:rsidRPr="00C56D9D" w:rsidRDefault="001A59F9"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t>上年度可比期间</w:t>
            </w:r>
          </w:p>
          <w:p w:rsidR="001A59F9" w:rsidRPr="00C56D9D" w:rsidRDefault="007F35DC" w:rsidP="00026C9C">
            <w:pPr>
              <w:pStyle w:val="af6"/>
              <w:spacing w:before="0" w:beforeAutospacing="0" w:after="0" w:afterAutospacing="0"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color w:val="000000" w:themeColor="text1"/>
                <w:sz w:val="21"/>
                <w:szCs w:val="21"/>
              </w:rPr>
              <w:t>2017</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4</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10</w:t>
            </w:r>
            <w:r w:rsidRPr="00C56D9D">
              <w:rPr>
                <w:rFonts w:ascii="Times New Roman" w:eastAsiaTheme="minorEastAsia" w:hAnsi="Times New Roman"/>
                <w:color w:val="000000" w:themeColor="text1"/>
                <w:sz w:val="21"/>
                <w:szCs w:val="21"/>
              </w:rPr>
              <w:t>日（基金合同生效日）至</w:t>
            </w:r>
            <w:r w:rsidRPr="00C56D9D">
              <w:rPr>
                <w:rFonts w:ascii="Times New Roman" w:eastAsiaTheme="minorEastAsia" w:hAnsi="Times New Roman"/>
                <w:color w:val="000000" w:themeColor="text1"/>
                <w:sz w:val="21"/>
                <w:szCs w:val="21"/>
              </w:rPr>
              <w:t>2017</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12</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31</w:t>
            </w:r>
            <w:r w:rsidRPr="00C56D9D">
              <w:rPr>
                <w:rFonts w:ascii="Times New Roman" w:eastAsiaTheme="minorEastAsia" w:hAnsi="Times New Roman"/>
                <w:color w:val="000000" w:themeColor="text1"/>
                <w:sz w:val="21"/>
                <w:szCs w:val="21"/>
              </w:rPr>
              <w:t>日</w:t>
            </w:r>
          </w:p>
        </w:tc>
      </w:tr>
      <w:tr w:rsidR="00C56D9D" w:rsidRPr="00C56D9D" w:rsidTr="00011850">
        <w:tc>
          <w:tcPr>
            <w:tcW w:w="3420" w:type="dxa"/>
            <w:vAlign w:val="center"/>
          </w:tcPr>
          <w:p w:rsidR="001A59F9" w:rsidRPr="00C56D9D" w:rsidRDefault="001A59F9" w:rsidP="00011850">
            <w:pPr>
              <w:spacing w:line="360" w:lineRule="auto"/>
              <w:rPr>
                <w:rFonts w:eastAsiaTheme="minorEastAsia"/>
                <w:b/>
                <w:color w:val="000000" w:themeColor="text1"/>
                <w:szCs w:val="21"/>
              </w:rPr>
            </w:pPr>
            <w:r w:rsidRPr="00C56D9D">
              <w:rPr>
                <w:rFonts w:eastAsiaTheme="minorEastAsia"/>
                <w:b/>
                <w:color w:val="000000" w:themeColor="text1"/>
                <w:szCs w:val="21"/>
              </w:rPr>
              <w:t>一、收入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b/>
                <w:color w:val="000000" w:themeColor="text1"/>
                <w:sz w:val="21"/>
                <w:szCs w:val="21"/>
              </w:rPr>
            </w:pPr>
          </w:p>
        </w:tc>
        <w:tc>
          <w:tcPr>
            <w:tcW w:w="2250" w:type="dxa"/>
            <w:vAlign w:val="center"/>
          </w:tcPr>
          <w:p w:rsidR="001A59F9" w:rsidRPr="00C56D9D" w:rsidRDefault="001A59F9" w:rsidP="00B673C9">
            <w:pPr>
              <w:spacing w:line="360" w:lineRule="auto"/>
              <w:jc w:val="right"/>
              <w:rPr>
                <w:rFonts w:eastAsiaTheme="minorEastAsia"/>
                <w:b/>
                <w:color w:val="000000" w:themeColor="text1"/>
                <w:szCs w:val="21"/>
              </w:rPr>
            </w:pPr>
            <w:r w:rsidRPr="00C56D9D">
              <w:rPr>
                <w:rFonts w:eastAsiaTheme="minorEastAsia"/>
                <w:b/>
                <w:color w:val="000000" w:themeColor="text1"/>
                <w:szCs w:val="21"/>
              </w:rPr>
              <w:t>5,057,404.38</w:t>
            </w:r>
          </w:p>
        </w:tc>
        <w:tc>
          <w:tcPr>
            <w:tcW w:w="2250" w:type="dxa"/>
            <w:vAlign w:val="center"/>
          </w:tcPr>
          <w:p w:rsidR="001A59F9" w:rsidRPr="00C56D9D" w:rsidRDefault="001A59F9" w:rsidP="00B673C9">
            <w:pPr>
              <w:spacing w:line="360" w:lineRule="auto"/>
              <w:jc w:val="right"/>
              <w:rPr>
                <w:rFonts w:eastAsiaTheme="minorEastAsia"/>
                <w:b/>
                <w:color w:val="000000" w:themeColor="text1"/>
                <w:szCs w:val="21"/>
              </w:rPr>
            </w:pPr>
            <w:r w:rsidRPr="00C56D9D">
              <w:rPr>
                <w:rFonts w:eastAsiaTheme="minorEastAsia"/>
                <w:b/>
                <w:color w:val="000000" w:themeColor="text1"/>
                <w:szCs w:val="21"/>
              </w:rPr>
              <w:t>5,508,437.67</w:t>
            </w:r>
          </w:p>
        </w:tc>
      </w:tr>
      <w:tr w:rsidR="00C56D9D" w:rsidRPr="00C56D9D" w:rsidTr="00011850">
        <w:tc>
          <w:tcPr>
            <w:tcW w:w="3420" w:type="dxa"/>
            <w:vAlign w:val="center"/>
          </w:tcPr>
          <w:p w:rsidR="001A59F9" w:rsidRPr="00C56D9D" w:rsidRDefault="001A59F9" w:rsidP="00011850">
            <w:pPr>
              <w:spacing w:line="360" w:lineRule="auto"/>
              <w:rPr>
                <w:rFonts w:eastAsiaTheme="minorEastAsia"/>
                <w:color w:val="000000" w:themeColor="text1"/>
                <w:szCs w:val="21"/>
              </w:rPr>
            </w:pPr>
            <w:r w:rsidRPr="00C56D9D">
              <w:rPr>
                <w:rFonts w:eastAsiaTheme="minorEastAsia"/>
                <w:color w:val="000000" w:themeColor="text1"/>
                <w:szCs w:val="21"/>
              </w:rPr>
              <w:t>1.</w:t>
            </w:r>
            <w:r w:rsidRPr="00C56D9D">
              <w:rPr>
                <w:rFonts w:eastAsiaTheme="minorEastAsia"/>
                <w:color w:val="000000" w:themeColor="text1"/>
                <w:szCs w:val="21"/>
              </w:rPr>
              <w:t>利息收入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B673C9">
            <w:pPr>
              <w:spacing w:line="360" w:lineRule="auto"/>
              <w:jc w:val="right"/>
              <w:rPr>
                <w:rFonts w:eastAsiaTheme="minorEastAsia"/>
                <w:color w:val="000000" w:themeColor="text1"/>
                <w:szCs w:val="21"/>
              </w:rPr>
            </w:pPr>
            <w:r w:rsidRPr="00C56D9D">
              <w:rPr>
                <w:rFonts w:eastAsiaTheme="minorEastAsia"/>
                <w:color w:val="000000" w:themeColor="text1"/>
                <w:szCs w:val="21"/>
              </w:rPr>
              <w:t>4,969,755.90</w:t>
            </w:r>
          </w:p>
        </w:tc>
        <w:tc>
          <w:tcPr>
            <w:tcW w:w="2250" w:type="dxa"/>
            <w:vAlign w:val="center"/>
          </w:tcPr>
          <w:p w:rsidR="001A59F9" w:rsidRPr="00C56D9D" w:rsidRDefault="001A59F9" w:rsidP="00B673C9">
            <w:pPr>
              <w:spacing w:line="360" w:lineRule="auto"/>
              <w:jc w:val="right"/>
              <w:rPr>
                <w:rFonts w:eastAsiaTheme="minorEastAsia"/>
                <w:color w:val="000000" w:themeColor="text1"/>
                <w:szCs w:val="21"/>
              </w:rPr>
            </w:pPr>
            <w:r w:rsidRPr="00C56D9D">
              <w:rPr>
                <w:rFonts w:eastAsiaTheme="minorEastAsia"/>
                <w:color w:val="000000" w:themeColor="text1"/>
                <w:szCs w:val="21"/>
              </w:rPr>
              <w:t>6,638,436.60</w:t>
            </w:r>
          </w:p>
        </w:tc>
      </w:tr>
      <w:tr w:rsidR="00C56D9D" w:rsidRPr="00C56D9D" w:rsidTr="00011850">
        <w:tc>
          <w:tcPr>
            <w:tcW w:w="3420" w:type="dxa"/>
            <w:vAlign w:val="center"/>
          </w:tcPr>
          <w:p w:rsidR="001A59F9" w:rsidRPr="00C56D9D" w:rsidRDefault="001A59F9" w:rsidP="00011850">
            <w:pPr>
              <w:spacing w:line="360" w:lineRule="auto"/>
              <w:rPr>
                <w:rFonts w:eastAsiaTheme="minorEastAsia"/>
                <w:color w:val="000000" w:themeColor="text1"/>
                <w:szCs w:val="21"/>
              </w:rPr>
            </w:pPr>
            <w:r w:rsidRPr="00C56D9D">
              <w:rPr>
                <w:rFonts w:eastAsiaTheme="minorEastAsia"/>
                <w:color w:val="000000" w:themeColor="text1"/>
                <w:szCs w:val="21"/>
              </w:rPr>
              <w:t>其中：存款利息收入</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7.4.7.11</w:t>
            </w:r>
          </w:p>
        </w:tc>
        <w:tc>
          <w:tcPr>
            <w:tcW w:w="2250" w:type="dxa"/>
            <w:vAlign w:val="center"/>
          </w:tcPr>
          <w:p w:rsidR="001A59F9" w:rsidRPr="00C56D9D" w:rsidRDefault="001A59F9" w:rsidP="00B673C9">
            <w:pPr>
              <w:spacing w:line="360" w:lineRule="auto"/>
              <w:jc w:val="right"/>
              <w:rPr>
                <w:rFonts w:eastAsiaTheme="minorEastAsia"/>
                <w:color w:val="000000" w:themeColor="text1"/>
                <w:szCs w:val="21"/>
              </w:rPr>
            </w:pPr>
            <w:r w:rsidRPr="00C56D9D">
              <w:rPr>
                <w:rFonts w:eastAsiaTheme="minorEastAsia"/>
                <w:color w:val="000000" w:themeColor="text1"/>
                <w:szCs w:val="21"/>
              </w:rPr>
              <w:t>42,700.42</w:t>
            </w:r>
          </w:p>
        </w:tc>
        <w:tc>
          <w:tcPr>
            <w:tcW w:w="2250" w:type="dxa"/>
            <w:vAlign w:val="center"/>
          </w:tcPr>
          <w:p w:rsidR="001A59F9" w:rsidRPr="00C56D9D" w:rsidRDefault="001A59F9" w:rsidP="00B673C9">
            <w:pPr>
              <w:spacing w:line="360" w:lineRule="auto"/>
              <w:jc w:val="right"/>
              <w:rPr>
                <w:rFonts w:eastAsiaTheme="minorEastAsia"/>
                <w:color w:val="000000" w:themeColor="text1"/>
                <w:szCs w:val="21"/>
              </w:rPr>
            </w:pPr>
            <w:r w:rsidRPr="00C56D9D">
              <w:rPr>
                <w:rFonts w:eastAsiaTheme="minorEastAsia"/>
                <w:color w:val="000000" w:themeColor="text1"/>
                <w:szCs w:val="21"/>
              </w:rPr>
              <w:t>1,008,122.13</w:t>
            </w:r>
          </w:p>
        </w:tc>
      </w:tr>
      <w:tr w:rsidR="00C56D9D" w:rsidRPr="00C56D9D" w:rsidTr="00011850">
        <w:tc>
          <w:tcPr>
            <w:tcW w:w="3420" w:type="dxa"/>
            <w:vAlign w:val="center"/>
          </w:tcPr>
          <w:p w:rsidR="001A59F9" w:rsidRPr="00C56D9D" w:rsidRDefault="001A59F9" w:rsidP="00D564C7">
            <w:pPr>
              <w:spacing w:line="360" w:lineRule="auto"/>
              <w:ind w:firstLineChars="250" w:firstLine="525"/>
              <w:rPr>
                <w:rFonts w:eastAsiaTheme="minorEastAsia"/>
                <w:color w:val="000000" w:themeColor="text1"/>
                <w:szCs w:val="21"/>
              </w:rPr>
            </w:pPr>
            <w:r w:rsidRPr="00C56D9D">
              <w:rPr>
                <w:rFonts w:eastAsiaTheme="minorEastAsia"/>
                <w:color w:val="000000" w:themeColor="text1"/>
                <w:szCs w:val="21"/>
              </w:rPr>
              <w:t>债券利息收入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4,813,343.45</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5,338,232.98</w:t>
            </w:r>
          </w:p>
        </w:tc>
      </w:tr>
      <w:tr w:rsidR="00C56D9D" w:rsidRPr="00C56D9D" w:rsidTr="00011850">
        <w:tc>
          <w:tcPr>
            <w:tcW w:w="3420" w:type="dxa"/>
            <w:vAlign w:val="center"/>
          </w:tcPr>
          <w:p w:rsidR="001A59F9" w:rsidRPr="00C56D9D" w:rsidRDefault="001A59F9" w:rsidP="00D564C7">
            <w:pPr>
              <w:spacing w:line="360" w:lineRule="auto"/>
              <w:ind w:firstLineChars="250" w:firstLine="525"/>
              <w:rPr>
                <w:rFonts w:eastAsiaTheme="minorEastAsia"/>
                <w:color w:val="000000" w:themeColor="text1"/>
                <w:szCs w:val="21"/>
              </w:rPr>
            </w:pPr>
            <w:r w:rsidRPr="00C56D9D">
              <w:rPr>
                <w:rFonts w:eastAsiaTheme="minorEastAsia"/>
                <w:color w:val="000000" w:themeColor="text1"/>
                <w:szCs w:val="21"/>
              </w:rPr>
              <w:t>资产支持证券利息收入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1A59F9" w:rsidRPr="00C56D9D" w:rsidRDefault="001A59F9" w:rsidP="00D564C7">
            <w:pPr>
              <w:spacing w:line="360" w:lineRule="auto"/>
              <w:ind w:firstLineChars="250" w:firstLine="525"/>
              <w:rPr>
                <w:rFonts w:eastAsiaTheme="minorEastAsia"/>
                <w:color w:val="000000" w:themeColor="text1"/>
                <w:szCs w:val="21"/>
              </w:rPr>
            </w:pPr>
            <w:r w:rsidRPr="00C56D9D">
              <w:rPr>
                <w:rFonts w:eastAsiaTheme="minorEastAsia"/>
                <w:color w:val="000000" w:themeColor="text1"/>
                <w:szCs w:val="21"/>
              </w:rPr>
              <w:t>买入返售金融资产收入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113,712.03</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292,081.49</w:t>
            </w:r>
          </w:p>
        </w:tc>
      </w:tr>
      <w:tr w:rsidR="00C56D9D" w:rsidRPr="00C56D9D" w:rsidTr="00011850">
        <w:tc>
          <w:tcPr>
            <w:tcW w:w="3420" w:type="dxa"/>
            <w:vAlign w:val="center"/>
          </w:tcPr>
          <w:p w:rsidR="001A59F9" w:rsidRPr="00C56D9D" w:rsidRDefault="001A59F9" w:rsidP="00D564C7">
            <w:pPr>
              <w:spacing w:line="360" w:lineRule="auto"/>
              <w:ind w:firstLineChars="250" w:firstLine="525"/>
              <w:rPr>
                <w:rFonts w:eastAsiaTheme="minorEastAsia"/>
                <w:color w:val="000000" w:themeColor="text1"/>
                <w:szCs w:val="21"/>
              </w:rPr>
            </w:pPr>
            <w:r w:rsidRPr="00C56D9D">
              <w:rPr>
                <w:rFonts w:eastAsiaTheme="minorEastAsia"/>
                <w:color w:val="000000" w:themeColor="text1"/>
                <w:szCs w:val="21"/>
              </w:rPr>
              <w:t>其他利息收入</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1A59F9" w:rsidRPr="00C56D9D" w:rsidRDefault="001A59F9" w:rsidP="00011850">
            <w:pPr>
              <w:spacing w:line="360" w:lineRule="auto"/>
              <w:rPr>
                <w:rFonts w:eastAsiaTheme="minorEastAsia"/>
                <w:color w:val="000000" w:themeColor="text1"/>
                <w:szCs w:val="21"/>
              </w:rPr>
            </w:pPr>
            <w:r w:rsidRPr="00C56D9D">
              <w:rPr>
                <w:rFonts w:eastAsiaTheme="minorEastAsia"/>
                <w:color w:val="000000" w:themeColor="text1"/>
                <w:szCs w:val="21"/>
              </w:rPr>
              <w:t>2.</w:t>
            </w:r>
            <w:r w:rsidRPr="00C56D9D">
              <w:rPr>
                <w:rFonts w:eastAsiaTheme="minorEastAsia"/>
                <w:color w:val="000000" w:themeColor="text1"/>
                <w:szCs w:val="21"/>
              </w:rPr>
              <w:t>投资收益（损失以</w:t>
            </w:r>
            <w:r w:rsidRPr="00C56D9D">
              <w:rPr>
                <w:rFonts w:eastAsiaTheme="minorEastAsia"/>
                <w:color w:val="000000" w:themeColor="text1"/>
                <w:szCs w:val="21"/>
              </w:rPr>
              <w:t>“-”</w:t>
            </w:r>
            <w:r w:rsidRPr="00C56D9D">
              <w:rPr>
                <w:rFonts w:eastAsiaTheme="minorEastAsia"/>
                <w:color w:val="000000" w:themeColor="text1"/>
                <w:szCs w:val="21"/>
              </w:rPr>
              <w:t>填列）</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-747,566.98</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-487,563.79</w:t>
            </w:r>
          </w:p>
        </w:tc>
      </w:tr>
      <w:tr w:rsidR="00C56D9D" w:rsidRPr="00C56D9D" w:rsidTr="00011850">
        <w:tc>
          <w:tcPr>
            <w:tcW w:w="3420" w:type="dxa"/>
            <w:vAlign w:val="center"/>
          </w:tcPr>
          <w:p w:rsidR="001A59F9" w:rsidRPr="00C56D9D" w:rsidRDefault="001A59F9" w:rsidP="00011850">
            <w:pPr>
              <w:spacing w:line="360" w:lineRule="auto"/>
              <w:rPr>
                <w:rFonts w:eastAsiaTheme="minorEastAsia"/>
                <w:color w:val="000000" w:themeColor="text1"/>
                <w:szCs w:val="21"/>
              </w:rPr>
            </w:pPr>
            <w:r w:rsidRPr="00C56D9D">
              <w:rPr>
                <w:rFonts w:eastAsiaTheme="minorEastAsia"/>
                <w:color w:val="000000" w:themeColor="text1"/>
                <w:szCs w:val="21"/>
              </w:rPr>
              <w:lastRenderedPageBreak/>
              <w:t>其中：股票投资收益</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7.4.7.12</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基金投资收益</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债券投资收益</w:t>
            </w:r>
          </w:p>
        </w:tc>
        <w:tc>
          <w:tcPr>
            <w:tcW w:w="1080" w:type="dxa"/>
            <w:vAlign w:val="center"/>
          </w:tcPr>
          <w:p w:rsidR="001A59F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7.4.7.13</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-747,566.98</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-487,563.79</w:t>
            </w:r>
          </w:p>
        </w:tc>
      </w:tr>
      <w:tr w:rsidR="00C56D9D" w:rsidRPr="00C56D9D" w:rsidTr="00011850">
        <w:tc>
          <w:tcPr>
            <w:tcW w:w="3420" w:type="dxa"/>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资产支持证券投资收益</w:t>
            </w:r>
          </w:p>
        </w:tc>
        <w:tc>
          <w:tcPr>
            <w:tcW w:w="1080" w:type="dxa"/>
            <w:vAlign w:val="center"/>
          </w:tcPr>
          <w:p w:rsidR="001A59F9" w:rsidRPr="00C56D9D" w:rsidRDefault="001A59F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1A59F9" w:rsidRPr="00C56D9D" w:rsidRDefault="001A59F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tcPr>
          <w:p w:rsidR="00770A19" w:rsidRPr="00C56D9D" w:rsidRDefault="00770A19" w:rsidP="00C709D8">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贵金属投资收益</w:t>
            </w:r>
          </w:p>
        </w:tc>
        <w:tc>
          <w:tcPr>
            <w:tcW w:w="1080" w:type="dxa"/>
            <w:vAlign w:val="center"/>
          </w:tcPr>
          <w:p w:rsidR="00770A19" w:rsidRPr="00C56D9D" w:rsidRDefault="00770A19" w:rsidP="00C709D8">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770A19" w:rsidRPr="00C56D9D" w:rsidRDefault="00770A19" w:rsidP="00C709D8">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770A19" w:rsidRPr="00C56D9D" w:rsidRDefault="00770A1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衍生工具收益</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7.4.7.14</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770A19" w:rsidRPr="00C56D9D" w:rsidRDefault="00770A1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股利收益</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7.4.7.15</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3.</w:t>
            </w:r>
            <w:r w:rsidRPr="00C56D9D">
              <w:rPr>
                <w:rFonts w:eastAsiaTheme="minorEastAsia"/>
                <w:color w:val="000000" w:themeColor="text1"/>
                <w:szCs w:val="21"/>
              </w:rPr>
              <w:t>公允价值变动收益（损失以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7.4.7.16</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835,185.44</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-642,435.14</w:t>
            </w:r>
          </w:p>
        </w:tc>
      </w:tr>
      <w:tr w:rsidR="00C56D9D" w:rsidRPr="00C56D9D" w:rsidTr="00011850">
        <w:tc>
          <w:tcPr>
            <w:tcW w:w="3420" w:type="dxa"/>
            <w:vAlign w:val="center"/>
          </w:tcPr>
          <w:p w:rsidR="00770A19" w:rsidRPr="00C56D9D" w:rsidRDefault="00770A19" w:rsidP="00011850">
            <w:pPr>
              <w:pStyle w:val="af6"/>
              <w:spacing w:line="360" w:lineRule="auto"/>
              <w:jc w:val="both"/>
              <w:rPr>
                <w:rFonts w:ascii="Times New Roman" w:eastAsiaTheme="minorEastAsia" w:hAnsi="Times New Roman"/>
                <w:color w:val="000000" w:themeColor="text1"/>
                <w:sz w:val="21"/>
                <w:szCs w:val="21"/>
              </w:rPr>
            </w:pPr>
            <w:r w:rsidRPr="00C56D9D">
              <w:rPr>
                <w:rFonts w:ascii="Times New Roman" w:eastAsiaTheme="minorEastAsia" w:hAnsi="Times New Roman"/>
                <w:color w:val="000000" w:themeColor="text1"/>
                <w:sz w:val="21"/>
                <w:szCs w:val="21"/>
              </w:rPr>
              <w:t>4.</w:t>
            </w:r>
            <w:r w:rsidRPr="00C56D9D">
              <w:rPr>
                <w:rFonts w:ascii="Times New Roman" w:eastAsiaTheme="minorEastAsia" w:hAnsi="Times New Roman"/>
                <w:color w:val="000000" w:themeColor="text1"/>
                <w:sz w:val="21"/>
                <w:szCs w:val="21"/>
              </w:rPr>
              <w:t>汇兑收益（损失以</w:t>
            </w:r>
            <w:r w:rsidRPr="00C56D9D">
              <w:rPr>
                <w:rFonts w:ascii="Times New Roman" w:eastAsiaTheme="minorEastAsia" w:hAnsi="Times New Roman"/>
                <w:color w:val="000000" w:themeColor="text1"/>
                <w:sz w:val="21"/>
                <w:szCs w:val="21"/>
              </w:rPr>
              <w:t>“</w:t>
            </w:r>
            <w:r w:rsidRPr="00C56D9D">
              <w:rPr>
                <w:rFonts w:ascii="Times New Roman" w:eastAsiaTheme="minorEastAsia" w:hAnsi="Times New Roman"/>
                <w:color w:val="000000" w:themeColor="text1"/>
                <w:sz w:val="21"/>
                <w:szCs w:val="21"/>
              </w:rPr>
              <w:t>－</w:t>
            </w:r>
            <w:r w:rsidRPr="00C56D9D">
              <w:rPr>
                <w:rFonts w:ascii="Times New Roman" w:eastAsiaTheme="minorEastAsia" w:hAnsi="Times New Roman"/>
                <w:color w:val="000000" w:themeColor="text1"/>
                <w:sz w:val="21"/>
                <w:szCs w:val="21"/>
              </w:rPr>
              <w:t>”</w:t>
            </w:r>
            <w:r w:rsidRPr="00C56D9D">
              <w:rPr>
                <w:rFonts w:ascii="Times New Roman" w:eastAsiaTheme="minorEastAsia" w:hAnsi="Times New Roman"/>
                <w:color w:val="000000" w:themeColor="text1"/>
                <w:sz w:val="21"/>
                <w:szCs w:val="21"/>
              </w:rPr>
              <w:t>号填列）</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5.</w:t>
            </w:r>
            <w:r w:rsidRPr="00C56D9D">
              <w:rPr>
                <w:rFonts w:eastAsiaTheme="minorEastAsia"/>
                <w:color w:val="000000" w:themeColor="text1"/>
                <w:szCs w:val="21"/>
              </w:rPr>
              <w:t>其他收入（损失以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7.4.7.17</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30.02</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11850">
        <w:tc>
          <w:tcPr>
            <w:tcW w:w="3420" w:type="dxa"/>
            <w:vAlign w:val="center"/>
          </w:tcPr>
          <w:p w:rsidR="00770A19" w:rsidRPr="00C56D9D" w:rsidRDefault="00770A19" w:rsidP="00011850">
            <w:pPr>
              <w:spacing w:line="360" w:lineRule="auto"/>
              <w:rPr>
                <w:rFonts w:eastAsiaTheme="minorEastAsia"/>
                <w:b/>
                <w:color w:val="000000" w:themeColor="text1"/>
                <w:szCs w:val="21"/>
              </w:rPr>
            </w:pPr>
            <w:r w:rsidRPr="00C56D9D">
              <w:rPr>
                <w:rFonts w:eastAsiaTheme="minorEastAsia"/>
                <w:b/>
                <w:color w:val="000000" w:themeColor="text1"/>
                <w:szCs w:val="21"/>
              </w:rPr>
              <w:t>减：二、费用</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b/>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1,154,570.00</w:t>
            </w:r>
          </w:p>
        </w:tc>
        <w:tc>
          <w:tcPr>
            <w:tcW w:w="2250" w:type="dxa"/>
            <w:vAlign w:val="center"/>
          </w:tcPr>
          <w:p w:rsidR="00770A19" w:rsidRPr="00C56D9D" w:rsidRDefault="00770A19"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1,479,291.41</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1</w:t>
            </w:r>
            <w:r w:rsidRPr="00C56D9D">
              <w:rPr>
                <w:rFonts w:eastAsiaTheme="minorEastAsia"/>
                <w:color w:val="000000" w:themeColor="text1"/>
                <w:szCs w:val="21"/>
              </w:rPr>
              <w:t>．管理人报酬</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523,230.45</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905,191.78</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2</w:t>
            </w:r>
            <w:r w:rsidRPr="00C56D9D">
              <w:rPr>
                <w:rFonts w:eastAsiaTheme="minorEastAsia"/>
                <w:color w:val="000000" w:themeColor="text1"/>
                <w:szCs w:val="21"/>
              </w:rPr>
              <w:t>．托管费</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87,204.99</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150,865.30</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3</w:t>
            </w:r>
            <w:r w:rsidRPr="00C56D9D">
              <w:rPr>
                <w:rFonts w:eastAsiaTheme="minorEastAsia"/>
                <w:color w:val="000000" w:themeColor="text1"/>
                <w:szCs w:val="21"/>
              </w:rPr>
              <w:t>．销售服务费</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8,288.34</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10,159.89</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4</w:t>
            </w:r>
            <w:r w:rsidRPr="00C56D9D">
              <w:rPr>
                <w:rFonts w:eastAsiaTheme="minorEastAsia"/>
                <w:color w:val="000000" w:themeColor="text1"/>
                <w:szCs w:val="21"/>
              </w:rPr>
              <w:t>．交易费用</w:t>
            </w:r>
          </w:p>
        </w:tc>
        <w:tc>
          <w:tcPr>
            <w:tcW w:w="1080" w:type="dxa"/>
            <w:vAlign w:val="center"/>
          </w:tcPr>
          <w:p w:rsidR="00770A19" w:rsidRPr="00C56D9D" w:rsidRDefault="00A4203E"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7.4.7.18</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80,922.50</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44,395.59</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5</w:t>
            </w:r>
            <w:r w:rsidRPr="00C56D9D">
              <w:rPr>
                <w:rFonts w:eastAsiaTheme="minorEastAsia"/>
                <w:color w:val="000000" w:themeColor="text1"/>
                <w:szCs w:val="21"/>
              </w:rPr>
              <w:t>．利息支出</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248,659.85</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53,178.85</w:t>
            </w:r>
          </w:p>
        </w:tc>
      </w:tr>
      <w:tr w:rsidR="00C56D9D" w:rsidRPr="00C56D9D" w:rsidTr="00011850">
        <w:tc>
          <w:tcPr>
            <w:tcW w:w="3420" w:type="dxa"/>
            <w:vAlign w:val="center"/>
          </w:tcPr>
          <w:p w:rsidR="00770A19" w:rsidRPr="00C56D9D" w:rsidRDefault="00770A19" w:rsidP="00011850">
            <w:pPr>
              <w:spacing w:line="360" w:lineRule="auto"/>
              <w:rPr>
                <w:rFonts w:eastAsiaTheme="minorEastAsia"/>
                <w:color w:val="000000" w:themeColor="text1"/>
                <w:szCs w:val="21"/>
              </w:rPr>
            </w:pPr>
            <w:r w:rsidRPr="00C56D9D">
              <w:rPr>
                <w:rFonts w:eastAsiaTheme="minorEastAsia"/>
                <w:color w:val="000000" w:themeColor="text1"/>
                <w:szCs w:val="21"/>
              </w:rPr>
              <w:t>其中：卖出回购金融资产支出</w:t>
            </w:r>
          </w:p>
        </w:tc>
        <w:tc>
          <w:tcPr>
            <w:tcW w:w="1080" w:type="dxa"/>
            <w:vAlign w:val="center"/>
          </w:tcPr>
          <w:p w:rsidR="00770A19" w:rsidRPr="00C56D9D" w:rsidRDefault="00770A19"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248,659.85</w:t>
            </w:r>
          </w:p>
        </w:tc>
        <w:tc>
          <w:tcPr>
            <w:tcW w:w="2250" w:type="dxa"/>
            <w:vAlign w:val="center"/>
          </w:tcPr>
          <w:p w:rsidR="00770A19" w:rsidRPr="00C56D9D" w:rsidRDefault="00770A19"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53,178.85</w:t>
            </w:r>
          </w:p>
        </w:tc>
      </w:tr>
      <w:tr w:rsidR="00905283" w:rsidRPr="00C56D9D" w:rsidTr="00905283">
        <w:tc>
          <w:tcPr>
            <w:tcW w:w="3420" w:type="dxa"/>
            <w:vAlign w:val="center"/>
          </w:tcPr>
          <w:p w:rsidR="00905283" w:rsidRPr="00905283" w:rsidRDefault="00905283" w:rsidP="00905283">
            <w:pPr>
              <w:rPr>
                <w:rFonts w:eastAsiaTheme="minorEastAsia"/>
                <w:color w:val="000000"/>
                <w:szCs w:val="21"/>
              </w:rPr>
            </w:pPr>
            <w:r w:rsidRPr="00905283">
              <w:rPr>
                <w:rFonts w:eastAsiaTheme="minorEastAsia" w:hint="eastAsia"/>
                <w:color w:val="000000"/>
                <w:szCs w:val="21"/>
              </w:rPr>
              <w:t>6</w:t>
            </w:r>
            <w:r w:rsidRPr="00905283">
              <w:rPr>
                <w:rFonts w:eastAsiaTheme="minorEastAsia"/>
                <w:color w:val="000000"/>
                <w:szCs w:val="21"/>
              </w:rPr>
              <w:t>．</w:t>
            </w:r>
            <w:r w:rsidRPr="00905283">
              <w:rPr>
                <w:rFonts w:eastAsiaTheme="minorEastAsia" w:hint="eastAsia"/>
                <w:color w:val="000000"/>
                <w:szCs w:val="21"/>
              </w:rPr>
              <w:t>税金及附加</w:t>
            </w:r>
          </w:p>
        </w:tc>
        <w:tc>
          <w:tcPr>
            <w:tcW w:w="1080" w:type="dxa"/>
            <w:vAlign w:val="center"/>
          </w:tcPr>
          <w:p w:rsidR="00905283" w:rsidRPr="00905283" w:rsidRDefault="00905283" w:rsidP="00905283">
            <w:pPr>
              <w:pStyle w:val="af6"/>
              <w:jc w:val="center"/>
              <w:rPr>
                <w:rFonts w:ascii="Times New Roman" w:eastAsiaTheme="minorEastAsia" w:hAnsi="Times New Roman"/>
                <w:color w:val="000000"/>
                <w:sz w:val="21"/>
                <w:szCs w:val="21"/>
              </w:rPr>
            </w:pPr>
          </w:p>
        </w:tc>
        <w:tc>
          <w:tcPr>
            <w:tcW w:w="2250" w:type="dxa"/>
            <w:vAlign w:val="bottom"/>
          </w:tcPr>
          <w:p w:rsidR="00905283" w:rsidRPr="00905283" w:rsidRDefault="00905283" w:rsidP="00905283">
            <w:pPr>
              <w:jc w:val="right"/>
              <w:rPr>
                <w:rFonts w:eastAsiaTheme="minorEastAsia"/>
                <w:color w:val="000000"/>
                <w:szCs w:val="21"/>
              </w:rPr>
            </w:pPr>
            <w:r w:rsidRPr="00905283">
              <w:rPr>
                <w:rFonts w:eastAsiaTheme="minorEastAsia"/>
                <w:color w:val="000000"/>
                <w:szCs w:val="21"/>
              </w:rPr>
              <w:t>14,063.87</w:t>
            </w:r>
          </w:p>
        </w:tc>
        <w:tc>
          <w:tcPr>
            <w:tcW w:w="2250" w:type="dxa"/>
            <w:vAlign w:val="bottom"/>
          </w:tcPr>
          <w:p w:rsidR="00905283" w:rsidRPr="00905283" w:rsidRDefault="00905283" w:rsidP="00905283">
            <w:pPr>
              <w:jc w:val="right"/>
              <w:rPr>
                <w:rFonts w:eastAsiaTheme="minorEastAsia"/>
                <w:color w:val="000000"/>
                <w:szCs w:val="21"/>
              </w:rPr>
            </w:pPr>
            <w:r w:rsidRPr="00905283">
              <w:rPr>
                <w:rFonts w:eastAsiaTheme="minorEastAsia"/>
                <w:color w:val="000000"/>
                <w:szCs w:val="21"/>
              </w:rPr>
              <w:t>-</w:t>
            </w:r>
          </w:p>
        </w:tc>
      </w:tr>
      <w:tr w:rsidR="00905283" w:rsidRPr="00C56D9D" w:rsidTr="00011850">
        <w:tc>
          <w:tcPr>
            <w:tcW w:w="3420" w:type="dxa"/>
            <w:vAlign w:val="center"/>
          </w:tcPr>
          <w:p w:rsidR="00905283" w:rsidRPr="00C56D9D" w:rsidRDefault="00905283" w:rsidP="00011850">
            <w:pPr>
              <w:spacing w:line="360" w:lineRule="auto"/>
              <w:rPr>
                <w:rFonts w:eastAsiaTheme="minorEastAsia"/>
                <w:color w:val="000000" w:themeColor="text1"/>
                <w:szCs w:val="21"/>
              </w:rPr>
            </w:pPr>
            <w:r>
              <w:rPr>
                <w:rFonts w:eastAsiaTheme="minorEastAsia" w:hint="eastAsia"/>
                <w:color w:val="000000" w:themeColor="text1"/>
                <w:szCs w:val="21"/>
              </w:rPr>
              <w:t>7</w:t>
            </w:r>
            <w:r w:rsidRPr="00C56D9D">
              <w:rPr>
                <w:rFonts w:eastAsiaTheme="minorEastAsia"/>
                <w:color w:val="000000" w:themeColor="text1"/>
                <w:szCs w:val="21"/>
              </w:rPr>
              <w:t>．其他费用</w:t>
            </w:r>
          </w:p>
        </w:tc>
        <w:tc>
          <w:tcPr>
            <w:tcW w:w="1080" w:type="dxa"/>
            <w:vAlign w:val="center"/>
          </w:tcPr>
          <w:p w:rsidR="00905283" w:rsidRPr="00C56D9D" w:rsidRDefault="00905283" w:rsidP="00026C9C">
            <w:pPr>
              <w:pStyle w:val="af6"/>
              <w:spacing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hint="eastAsia"/>
                <w:color w:val="000000" w:themeColor="text1"/>
                <w:sz w:val="21"/>
                <w:szCs w:val="21"/>
              </w:rPr>
              <w:t>7.4.7.19</w:t>
            </w:r>
          </w:p>
        </w:tc>
        <w:tc>
          <w:tcPr>
            <w:tcW w:w="2250" w:type="dxa"/>
            <w:vAlign w:val="center"/>
          </w:tcPr>
          <w:p w:rsidR="00905283" w:rsidRPr="00C56D9D" w:rsidRDefault="00905283"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192,200.00</w:t>
            </w:r>
          </w:p>
        </w:tc>
        <w:tc>
          <w:tcPr>
            <w:tcW w:w="2250" w:type="dxa"/>
            <w:vAlign w:val="center"/>
          </w:tcPr>
          <w:p w:rsidR="00905283" w:rsidRPr="00C56D9D" w:rsidRDefault="00905283"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315,500.00</w:t>
            </w:r>
          </w:p>
        </w:tc>
      </w:tr>
      <w:tr w:rsidR="00905283" w:rsidRPr="00C56D9D" w:rsidTr="00011850">
        <w:tc>
          <w:tcPr>
            <w:tcW w:w="3420" w:type="dxa"/>
            <w:vAlign w:val="center"/>
          </w:tcPr>
          <w:p w:rsidR="00905283" w:rsidRPr="00C56D9D" w:rsidRDefault="00905283" w:rsidP="00011850">
            <w:pPr>
              <w:spacing w:line="360" w:lineRule="auto"/>
              <w:rPr>
                <w:rFonts w:eastAsiaTheme="minorEastAsia"/>
                <w:b/>
                <w:color w:val="000000" w:themeColor="text1"/>
                <w:szCs w:val="21"/>
              </w:rPr>
            </w:pPr>
            <w:r w:rsidRPr="00C56D9D">
              <w:rPr>
                <w:rFonts w:eastAsiaTheme="minorEastAsia"/>
                <w:b/>
                <w:color w:val="000000" w:themeColor="text1"/>
                <w:szCs w:val="21"/>
              </w:rPr>
              <w:t>三、利润总额（亏损总额以</w:t>
            </w:r>
            <w:r w:rsidRPr="00C56D9D">
              <w:rPr>
                <w:rFonts w:eastAsiaTheme="minorEastAsia"/>
                <w:b/>
                <w:color w:val="000000" w:themeColor="text1"/>
                <w:szCs w:val="21"/>
              </w:rPr>
              <w:t>“-”</w:t>
            </w:r>
            <w:r w:rsidRPr="00C56D9D">
              <w:rPr>
                <w:rFonts w:eastAsiaTheme="minorEastAsia"/>
                <w:b/>
                <w:color w:val="000000" w:themeColor="text1"/>
                <w:szCs w:val="21"/>
              </w:rPr>
              <w:t>号填列）</w:t>
            </w:r>
          </w:p>
        </w:tc>
        <w:tc>
          <w:tcPr>
            <w:tcW w:w="1080" w:type="dxa"/>
            <w:vAlign w:val="center"/>
          </w:tcPr>
          <w:p w:rsidR="00905283" w:rsidRPr="00C56D9D" w:rsidRDefault="00905283" w:rsidP="00026C9C">
            <w:pPr>
              <w:pStyle w:val="af6"/>
              <w:spacing w:line="360" w:lineRule="auto"/>
              <w:jc w:val="center"/>
              <w:rPr>
                <w:rFonts w:ascii="Times New Roman" w:eastAsiaTheme="minorEastAsia" w:hAnsi="Times New Roman"/>
                <w:b/>
                <w:color w:val="000000" w:themeColor="text1"/>
                <w:sz w:val="21"/>
                <w:szCs w:val="21"/>
              </w:rPr>
            </w:pPr>
          </w:p>
        </w:tc>
        <w:tc>
          <w:tcPr>
            <w:tcW w:w="2250" w:type="dxa"/>
            <w:vAlign w:val="center"/>
          </w:tcPr>
          <w:p w:rsidR="00905283" w:rsidRPr="00C56D9D" w:rsidRDefault="00905283"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3,902,834.38</w:t>
            </w:r>
          </w:p>
        </w:tc>
        <w:tc>
          <w:tcPr>
            <w:tcW w:w="2250" w:type="dxa"/>
            <w:vAlign w:val="center"/>
          </w:tcPr>
          <w:p w:rsidR="00905283" w:rsidRPr="00C56D9D" w:rsidRDefault="00905283"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4,029,146.26</w:t>
            </w:r>
          </w:p>
        </w:tc>
      </w:tr>
      <w:tr w:rsidR="00905283" w:rsidRPr="00C56D9D" w:rsidTr="00011850">
        <w:tc>
          <w:tcPr>
            <w:tcW w:w="3420" w:type="dxa"/>
            <w:vAlign w:val="center"/>
          </w:tcPr>
          <w:p w:rsidR="00905283" w:rsidRPr="00C56D9D" w:rsidRDefault="00905283" w:rsidP="00011850">
            <w:pPr>
              <w:spacing w:line="360" w:lineRule="auto"/>
              <w:rPr>
                <w:rFonts w:eastAsiaTheme="minorEastAsia"/>
                <w:b/>
                <w:color w:val="000000" w:themeColor="text1"/>
                <w:szCs w:val="21"/>
              </w:rPr>
            </w:pPr>
            <w:r w:rsidRPr="00C56D9D">
              <w:rPr>
                <w:rFonts w:eastAsiaTheme="minorEastAsia"/>
                <w:color w:val="000000" w:themeColor="text1"/>
                <w:szCs w:val="21"/>
              </w:rPr>
              <w:t>减：所得税费用</w:t>
            </w:r>
          </w:p>
        </w:tc>
        <w:tc>
          <w:tcPr>
            <w:tcW w:w="1080" w:type="dxa"/>
            <w:vAlign w:val="center"/>
          </w:tcPr>
          <w:p w:rsidR="00905283" w:rsidRPr="00C56D9D" w:rsidRDefault="00905283" w:rsidP="00026C9C">
            <w:pPr>
              <w:pStyle w:val="af6"/>
              <w:spacing w:line="360" w:lineRule="auto"/>
              <w:jc w:val="center"/>
              <w:rPr>
                <w:rFonts w:ascii="Times New Roman" w:eastAsiaTheme="minorEastAsia" w:hAnsi="Times New Roman"/>
                <w:color w:val="000000" w:themeColor="text1"/>
                <w:sz w:val="21"/>
                <w:szCs w:val="21"/>
              </w:rPr>
            </w:pPr>
          </w:p>
        </w:tc>
        <w:tc>
          <w:tcPr>
            <w:tcW w:w="2250" w:type="dxa"/>
            <w:vAlign w:val="center"/>
          </w:tcPr>
          <w:p w:rsidR="00905283" w:rsidRPr="00C56D9D" w:rsidRDefault="00905283"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250" w:type="dxa"/>
            <w:vAlign w:val="center"/>
          </w:tcPr>
          <w:p w:rsidR="00905283" w:rsidRPr="00C56D9D" w:rsidRDefault="00905283" w:rsidP="00011850">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905283" w:rsidRPr="00C56D9D" w:rsidTr="00011850">
        <w:tc>
          <w:tcPr>
            <w:tcW w:w="3420" w:type="dxa"/>
            <w:vAlign w:val="center"/>
          </w:tcPr>
          <w:p w:rsidR="00905283" w:rsidRPr="00C56D9D" w:rsidRDefault="00905283" w:rsidP="00011850">
            <w:pPr>
              <w:spacing w:line="360" w:lineRule="auto"/>
              <w:rPr>
                <w:rFonts w:eastAsiaTheme="minorEastAsia"/>
                <w:b/>
                <w:color w:val="000000" w:themeColor="text1"/>
                <w:szCs w:val="21"/>
              </w:rPr>
            </w:pPr>
            <w:r w:rsidRPr="00C56D9D">
              <w:rPr>
                <w:rFonts w:eastAsiaTheme="minorEastAsia"/>
                <w:b/>
                <w:color w:val="000000" w:themeColor="text1"/>
                <w:szCs w:val="21"/>
              </w:rPr>
              <w:t>四、净利润（净亏损以</w:t>
            </w:r>
            <w:r w:rsidRPr="00C56D9D">
              <w:rPr>
                <w:rFonts w:eastAsiaTheme="minorEastAsia"/>
                <w:b/>
                <w:color w:val="000000" w:themeColor="text1"/>
                <w:szCs w:val="21"/>
              </w:rPr>
              <w:t>“-”</w:t>
            </w:r>
            <w:r w:rsidRPr="00C56D9D">
              <w:rPr>
                <w:rFonts w:eastAsiaTheme="minorEastAsia"/>
                <w:b/>
                <w:color w:val="000000" w:themeColor="text1"/>
                <w:szCs w:val="21"/>
              </w:rPr>
              <w:t>号填列）</w:t>
            </w:r>
          </w:p>
        </w:tc>
        <w:tc>
          <w:tcPr>
            <w:tcW w:w="1080" w:type="dxa"/>
            <w:vAlign w:val="center"/>
          </w:tcPr>
          <w:p w:rsidR="00905283" w:rsidRPr="00C56D9D" w:rsidRDefault="00905283" w:rsidP="00026C9C">
            <w:pPr>
              <w:pStyle w:val="af6"/>
              <w:spacing w:line="360" w:lineRule="auto"/>
              <w:jc w:val="center"/>
              <w:rPr>
                <w:rFonts w:ascii="Times New Roman" w:eastAsiaTheme="minorEastAsia" w:hAnsi="Times New Roman"/>
                <w:b/>
                <w:color w:val="000000" w:themeColor="text1"/>
                <w:sz w:val="21"/>
                <w:szCs w:val="21"/>
              </w:rPr>
            </w:pPr>
          </w:p>
        </w:tc>
        <w:tc>
          <w:tcPr>
            <w:tcW w:w="2250" w:type="dxa"/>
            <w:vAlign w:val="center"/>
          </w:tcPr>
          <w:p w:rsidR="00905283" w:rsidRPr="00C56D9D" w:rsidRDefault="00905283"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3,902,834.38</w:t>
            </w:r>
          </w:p>
        </w:tc>
        <w:tc>
          <w:tcPr>
            <w:tcW w:w="2250" w:type="dxa"/>
            <w:vAlign w:val="center"/>
          </w:tcPr>
          <w:p w:rsidR="00905283" w:rsidRPr="00C56D9D" w:rsidRDefault="00905283" w:rsidP="00011850">
            <w:pPr>
              <w:spacing w:line="360" w:lineRule="auto"/>
              <w:jc w:val="right"/>
              <w:rPr>
                <w:rFonts w:eastAsiaTheme="minorEastAsia"/>
                <w:b/>
                <w:color w:val="000000" w:themeColor="text1"/>
                <w:szCs w:val="21"/>
              </w:rPr>
            </w:pPr>
            <w:r w:rsidRPr="00C56D9D">
              <w:rPr>
                <w:rFonts w:eastAsiaTheme="minorEastAsia"/>
                <w:b/>
                <w:color w:val="000000" w:themeColor="text1"/>
                <w:szCs w:val="21"/>
              </w:rPr>
              <w:t>4,029,146.26</w:t>
            </w:r>
          </w:p>
        </w:tc>
      </w:tr>
    </w:tbl>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87" w:name="_Toc225498270"/>
      <w:bookmarkStart w:id="88" w:name="_Toc361324875"/>
      <w:bookmarkStart w:id="89" w:name="_Toc374374952"/>
      <w:r w:rsidRPr="00C56D9D">
        <w:rPr>
          <w:rFonts w:ascii="Times New Roman" w:eastAsiaTheme="minorEastAsia" w:hAnsi="Times New Roman"/>
          <w:color w:val="000000" w:themeColor="text1"/>
          <w:kern w:val="0"/>
          <w:sz w:val="21"/>
          <w:szCs w:val="21"/>
        </w:rPr>
        <w:t xml:space="preserve">7.3 </w:t>
      </w:r>
      <w:r w:rsidRPr="00C56D9D">
        <w:rPr>
          <w:rFonts w:ascii="Times New Roman" w:eastAsiaTheme="minorEastAsia" w:hAnsi="Times New Roman"/>
          <w:color w:val="000000" w:themeColor="text1"/>
          <w:kern w:val="0"/>
          <w:sz w:val="21"/>
          <w:szCs w:val="21"/>
        </w:rPr>
        <w:t>所有者权益（基金净值）变动表</w:t>
      </w:r>
      <w:bookmarkEnd w:id="87"/>
      <w:bookmarkEnd w:id="88"/>
      <w:bookmarkEnd w:id="89"/>
    </w:p>
    <w:p w:rsidR="001A59F9" w:rsidRPr="00C56D9D" w:rsidRDefault="001A59F9" w:rsidP="00673D18">
      <w:pPr>
        <w:spacing w:line="360" w:lineRule="auto"/>
        <w:rPr>
          <w:rFonts w:eastAsiaTheme="minorEastAsia"/>
          <w:color w:val="000000" w:themeColor="text1"/>
          <w:kern w:val="0"/>
          <w:szCs w:val="21"/>
        </w:rPr>
      </w:pPr>
      <w:r w:rsidRPr="00C56D9D">
        <w:rPr>
          <w:rFonts w:eastAsiaTheme="minorEastAsia"/>
          <w:color w:val="000000" w:themeColor="text1"/>
          <w:szCs w:val="21"/>
        </w:rPr>
        <w:t>会计主体：</w:t>
      </w:r>
      <w:r w:rsidRPr="00C56D9D">
        <w:rPr>
          <w:rFonts w:eastAsiaTheme="minorEastAsia"/>
          <w:color w:val="000000" w:themeColor="text1"/>
          <w:kern w:val="0"/>
          <w:szCs w:val="21"/>
        </w:rPr>
        <w:t>上投摩根岁岁金定期开放债券型证券投资基金</w:t>
      </w:r>
    </w:p>
    <w:p w:rsidR="001A59F9" w:rsidRPr="00C56D9D" w:rsidRDefault="001A59F9" w:rsidP="00673D18">
      <w:pPr>
        <w:spacing w:line="360" w:lineRule="auto"/>
        <w:rPr>
          <w:rFonts w:eastAsiaTheme="minorEastAsia"/>
          <w:color w:val="000000" w:themeColor="text1"/>
          <w:kern w:val="0"/>
          <w:szCs w:val="21"/>
        </w:rPr>
      </w:pPr>
      <w:r w:rsidRPr="00C56D9D">
        <w:rPr>
          <w:rFonts w:eastAsiaTheme="minorEastAsia"/>
          <w:color w:val="000000" w:themeColor="text1"/>
          <w:szCs w:val="21"/>
        </w:rPr>
        <w:t>本报告期：</w:t>
      </w:r>
      <w:r w:rsidR="00F64FAD" w:rsidRPr="00C56D9D">
        <w:rPr>
          <w:rFonts w:eastAsiaTheme="minorEastAsia"/>
          <w:color w:val="000000" w:themeColor="text1"/>
          <w:kern w:val="0"/>
          <w:szCs w:val="21"/>
        </w:rPr>
        <w:t>2018</w:t>
      </w:r>
      <w:r w:rsidR="00F64FAD" w:rsidRPr="00C56D9D">
        <w:rPr>
          <w:rFonts w:eastAsiaTheme="minorEastAsia"/>
          <w:color w:val="000000" w:themeColor="text1"/>
          <w:kern w:val="0"/>
          <w:szCs w:val="21"/>
        </w:rPr>
        <w:t>年</w:t>
      </w:r>
      <w:r w:rsidR="00F64FAD" w:rsidRPr="00C56D9D">
        <w:rPr>
          <w:rFonts w:eastAsiaTheme="minorEastAsia"/>
          <w:color w:val="000000" w:themeColor="text1"/>
          <w:kern w:val="0"/>
          <w:szCs w:val="21"/>
        </w:rPr>
        <w:t>1</w:t>
      </w:r>
      <w:r w:rsidR="00F64FAD" w:rsidRPr="00C56D9D">
        <w:rPr>
          <w:rFonts w:eastAsiaTheme="minorEastAsia"/>
          <w:color w:val="000000" w:themeColor="text1"/>
          <w:kern w:val="0"/>
          <w:szCs w:val="21"/>
        </w:rPr>
        <w:t>月</w:t>
      </w:r>
      <w:r w:rsidR="00F64FAD" w:rsidRPr="00C56D9D">
        <w:rPr>
          <w:rFonts w:eastAsiaTheme="minorEastAsia"/>
          <w:color w:val="000000" w:themeColor="text1"/>
          <w:kern w:val="0"/>
          <w:szCs w:val="21"/>
        </w:rPr>
        <w:t>1</w:t>
      </w:r>
      <w:r w:rsidR="00F64FAD" w:rsidRPr="00C56D9D">
        <w:rPr>
          <w:rFonts w:eastAsiaTheme="minorEastAsia"/>
          <w:color w:val="000000" w:themeColor="text1"/>
          <w:kern w:val="0"/>
          <w:szCs w:val="21"/>
        </w:rPr>
        <w:t>日</w:t>
      </w:r>
      <w:r w:rsidRPr="00C56D9D">
        <w:rPr>
          <w:rFonts w:eastAsiaTheme="minorEastAsia"/>
          <w:color w:val="000000" w:themeColor="text1"/>
          <w:kern w:val="0"/>
          <w:szCs w:val="21"/>
        </w:rPr>
        <w:t>至</w:t>
      </w:r>
      <w:r w:rsidR="00F64FAD" w:rsidRPr="00C56D9D">
        <w:rPr>
          <w:rFonts w:eastAsiaTheme="minorEastAsia"/>
          <w:color w:val="000000" w:themeColor="text1"/>
          <w:kern w:val="0"/>
          <w:szCs w:val="21"/>
        </w:rPr>
        <w:t>2018</w:t>
      </w:r>
      <w:r w:rsidR="00F64FAD" w:rsidRPr="00C56D9D">
        <w:rPr>
          <w:rFonts w:eastAsiaTheme="minorEastAsia"/>
          <w:color w:val="000000" w:themeColor="text1"/>
          <w:kern w:val="0"/>
          <w:szCs w:val="21"/>
        </w:rPr>
        <w:t>年</w:t>
      </w:r>
      <w:r w:rsidR="00F64FAD" w:rsidRPr="00C56D9D">
        <w:rPr>
          <w:rFonts w:eastAsiaTheme="minorEastAsia"/>
          <w:color w:val="000000" w:themeColor="text1"/>
          <w:kern w:val="0"/>
          <w:szCs w:val="21"/>
        </w:rPr>
        <w:t>12</w:t>
      </w:r>
      <w:r w:rsidR="00F64FAD" w:rsidRPr="00C56D9D">
        <w:rPr>
          <w:rFonts w:eastAsiaTheme="minorEastAsia"/>
          <w:color w:val="000000" w:themeColor="text1"/>
          <w:kern w:val="0"/>
          <w:szCs w:val="21"/>
        </w:rPr>
        <w:t>月</w:t>
      </w:r>
      <w:r w:rsidR="00F64FAD" w:rsidRPr="00C56D9D">
        <w:rPr>
          <w:rFonts w:eastAsiaTheme="minorEastAsia"/>
          <w:color w:val="000000" w:themeColor="text1"/>
          <w:kern w:val="0"/>
          <w:szCs w:val="21"/>
        </w:rPr>
        <w:t>31</w:t>
      </w:r>
      <w:r w:rsidR="00F64FAD" w:rsidRPr="00C56D9D">
        <w:rPr>
          <w:rFonts w:eastAsiaTheme="minorEastAsia"/>
          <w:color w:val="000000" w:themeColor="text1"/>
          <w:kern w:val="0"/>
          <w:szCs w:val="21"/>
        </w:rPr>
        <w:t>日</w:t>
      </w:r>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C56D9D" w:rsidRPr="00C56D9D" w:rsidTr="0009357E">
        <w:tc>
          <w:tcPr>
            <w:tcW w:w="2410" w:type="dxa"/>
            <w:vMerge w:val="restart"/>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项目</w:t>
            </w:r>
          </w:p>
        </w:tc>
        <w:tc>
          <w:tcPr>
            <w:tcW w:w="6590" w:type="dxa"/>
            <w:gridSpan w:val="3"/>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本期</w:t>
            </w:r>
          </w:p>
          <w:p w:rsidR="001A59F9" w:rsidRPr="00C56D9D" w:rsidRDefault="00F64FAD" w:rsidP="00026C9C">
            <w:pPr>
              <w:pStyle w:val="af6"/>
              <w:spacing w:before="0" w:beforeAutospacing="0" w:after="0" w:afterAutospacing="0" w:line="360" w:lineRule="auto"/>
              <w:jc w:val="center"/>
              <w:rPr>
                <w:rFonts w:ascii="Times New Roman" w:eastAsiaTheme="minorEastAsia" w:hAnsi="Times New Roman"/>
                <w:b/>
                <w:color w:val="000000" w:themeColor="text1"/>
                <w:sz w:val="21"/>
                <w:szCs w:val="21"/>
              </w:rPr>
            </w:pPr>
            <w:r w:rsidRPr="00C56D9D">
              <w:rPr>
                <w:rFonts w:ascii="Times New Roman" w:eastAsiaTheme="minorEastAsia" w:hAnsi="Times New Roman"/>
                <w:b/>
                <w:color w:val="000000" w:themeColor="text1"/>
                <w:sz w:val="21"/>
                <w:szCs w:val="21"/>
              </w:rPr>
              <w:lastRenderedPageBreak/>
              <w:t>2018</w:t>
            </w:r>
            <w:r w:rsidRPr="00C56D9D">
              <w:rPr>
                <w:rFonts w:ascii="Times New Roman" w:eastAsiaTheme="minorEastAsia" w:hAnsi="Times New Roman"/>
                <w:b/>
                <w:color w:val="000000" w:themeColor="text1"/>
                <w:sz w:val="21"/>
                <w:szCs w:val="21"/>
              </w:rPr>
              <w:t>年</w:t>
            </w:r>
            <w:r w:rsidRPr="00C56D9D">
              <w:rPr>
                <w:rFonts w:ascii="Times New Roman" w:eastAsiaTheme="minorEastAsia" w:hAnsi="Times New Roman"/>
                <w:b/>
                <w:color w:val="000000" w:themeColor="text1"/>
                <w:sz w:val="21"/>
                <w:szCs w:val="21"/>
              </w:rPr>
              <w:t>1</w:t>
            </w:r>
            <w:r w:rsidRPr="00C56D9D">
              <w:rPr>
                <w:rFonts w:ascii="Times New Roman" w:eastAsiaTheme="minorEastAsia" w:hAnsi="Times New Roman"/>
                <w:b/>
                <w:color w:val="000000" w:themeColor="text1"/>
                <w:sz w:val="21"/>
                <w:szCs w:val="21"/>
              </w:rPr>
              <w:t>月</w:t>
            </w:r>
            <w:r w:rsidRPr="00C56D9D">
              <w:rPr>
                <w:rFonts w:ascii="Times New Roman" w:eastAsiaTheme="minorEastAsia" w:hAnsi="Times New Roman"/>
                <w:b/>
                <w:color w:val="000000" w:themeColor="text1"/>
                <w:sz w:val="21"/>
                <w:szCs w:val="21"/>
              </w:rPr>
              <w:t>1</w:t>
            </w:r>
            <w:r w:rsidRPr="00C56D9D">
              <w:rPr>
                <w:rFonts w:ascii="Times New Roman" w:eastAsiaTheme="minorEastAsia" w:hAnsi="Times New Roman"/>
                <w:b/>
                <w:color w:val="000000" w:themeColor="text1"/>
                <w:sz w:val="21"/>
                <w:szCs w:val="21"/>
              </w:rPr>
              <w:t>日</w:t>
            </w:r>
            <w:r w:rsidR="001A59F9" w:rsidRPr="00C56D9D">
              <w:rPr>
                <w:rFonts w:ascii="Times New Roman" w:eastAsiaTheme="minorEastAsia" w:hAnsi="Times New Roman"/>
                <w:b/>
                <w:color w:val="000000" w:themeColor="text1"/>
                <w:sz w:val="21"/>
                <w:szCs w:val="21"/>
              </w:rPr>
              <w:t>至</w:t>
            </w:r>
            <w:r w:rsidRPr="00C56D9D">
              <w:rPr>
                <w:rFonts w:ascii="Times New Roman" w:eastAsiaTheme="minorEastAsia" w:hAnsi="Times New Roman"/>
                <w:b/>
                <w:color w:val="000000" w:themeColor="text1"/>
                <w:sz w:val="21"/>
                <w:szCs w:val="21"/>
              </w:rPr>
              <w:t>2018</w:t>
            </w:r>
            <w:r w:rsidRPr="00C56D9D">
              <w:rPr>
                <w:rFonts w:ascii="Times New Roman" w:eastAsiaTheme="minorEastAsia" w:hAnsi="Times New Roman"/>
                <w:b/>
                <w:color w:val="000000" w:themeColor="text1"/>
                <w:sz w:val="21"/>
                <w:szCs w:val="21"/>
              </w:rPr>
              <w:t>年</w:t>
            </w:r>
            <w:r w:rsidRPr="00C56D9D">
              <w:rPr>
                <w:rFonts w:ascii="Times New Roman" w:eastAsiaTheme="minorEastAsia" w:hAnsi="Times New Roman"/>
                <w:b/>
                <w:color w:val="000000" w:themeColor="text1"/>
                <w:sz w:val="21"/>
                <w:szCs w:val="21"/>
              </w:rPr>
              <w:t>12</w:t>
            </w:r>
            <w:r w:rsidRPr="00C56D9D">
              <w:rPr>
                <w:rFonts w:ascii="Times New Roman" w:eastAsiaTheme="minorEastAsia" w:hAnsi="Times New Roman"/>
                <w:b/>
                <w:color w:val="000000" w:themeColor="text1"/>
                <w:sz w:val="21"/>
                <w:szCs w:val="21"/>
              </w:rPr>
              <w:t>月</w:t>
            </w:r>
            <w:r w:rsidRPr="00C56D9D">
              <w:rPr>
                <w:rFonts w:ascii="Times New Roman" w:eastAsiaTheme="minorEastAsia" w:hAnsi="Times New Roman"/>
                <w:b/>
                <w:color w:val="000000" w:themeColor="text1"/>
                <w:sz w:val="21"/>
                <w:szCs w:val="21"/>
              </w:rPr>
              <w:t>31</w:t>
            </w:r>
            <w:r w:rsidRPr="00C56D9D">
              <w:rPr>
                <w:rFonts w:ascii="Times New Roman" w:eastAsiaTheme="minorEastAsia" w:hAnsi="Times New Roman"/>
                <w:b/>
                <w:color w:val="000000" w:themeColor="text1"/>
                <w:sz w:val="21"/>
                <w:szCs w:val="21"/>
              </w:rPr>
              <w:t>日</w:t>
            </w:r>
          </w:p>
        </w:tc>
      </w:tr>
      <w:tr w:rsidR="00C56D9D" w:rsidRPr="00C56D9D" w:rsidTr="0009357E">
        <w:tc>
          <w:tcPr>
            <w:tcW w:w="2410" w:type="dxa"/>
            <w:vMerge/>
            <w:vAlign w:val="center"/>
          </w:tcPr>
          <w:p w:rsidR="001A59F9" w:rsidRPr="00C56D9D" w:rsidRDefault="001A59F9" w:rsidP="00026C9C">
            <w:pPr>
              <w:widowControl/>
              <w:spacing w:line="360" w:lineRule="auto"/>
              <w:jc w:val="left"/>
              <w:rPr>
                <w:rFonts w:eastAsiaTheme="minorEastAsia"/>
                <w:b/>
                <w:color w:val="000000" w:themeColor="text1"/>
                <w:szCs w:val="21"/>
              </w:rPr>
            </w:pPr>
          </w:p>
        </w:tc>
        <w:tc>
          <w:tcPr>
            <w:tcW w:w="2196" w:type="dxa"/>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实收基金</w:t>
            </w:r>
          </w:p>
        </w:tc>
        <w:tc>
          <w:tcPr>
            <w:tcW w:w="2197" w:type="dxa"/>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未分配利润</w:t>
            </w:r>
          </w:p>
        </w:tc>
        <w:tc>
          <w:tcPr>
            <w:tcW w:w="2197"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b/>
                <w:color w:val="000000" w:themeColor="text1"/>
                <w:szCs w:val="21"/>
              </w:rPr>
              <w:t>所有者权益合计</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一、期初所有者权益（基金净值）</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205,715,016.37</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4,029,146.26</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209,744,162.63</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二、本期经营活动产生的基金净值变动数（本期利润）</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3,902,834.38</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3,902,834.38</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三、本期基金份额交易产生的基金净值变动数（净值减少以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-168,262,402.98</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-5,669,125.69</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-173,931,528.67</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其中：</w:t>
            </w:r>
            <w:r w:rsidRPr="00C56D9D">
              <w:rPr>
                <w:rFonts w:eastAsiaTheme="minorEastAsia"/>
                <w:color w:val="000000" w:themeColor="text1"/>
                <w:szCs w:val="21"/>
              </w:rPr>
              <w:t>1.</w:t>
            </w:r>
            <w:r w:rsidRPr="00C56D9D">
              <w:rPr>
                <w:rFonts w:eastAsiaTheme="minorEastAsia"/>
                <w:color w:val="000000" w:themeColor="text1"/>
                <w:szCs w:val="21"/>
              </w:rPr>
              <w:t>基金申购款</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31,069.34</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1,042.79</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32,112.13</w:t>
            </w:r>
          </w:p>
        </w:tc>
      </w:tr>
      <w:tr w:rsidR="00C56D9D" w:rsidRPr="00C56D9D" w:rsidTr="0009357E">
        <w:tc>
          <w:tcPr>
            <w:tcW w:w="2410" w:type="dxa"/>
            <w:vAlign w:val="center"/>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2.</w:t>
            </w:r>
            <w:r w:rsidRPr="00C56D9D">
              <w:rPr>
                <w:rFonts w:eastAsiaTheme="minorEastAsia"/>
                <w:color w:val="000000" w:themeColor="text1"/>
                <w:szCs w:val="21"/>
              </w:rPr>
              <w:t>基金赎回款</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-168,293,472.32</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-5,670,168.48</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-173,963,640.80</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四、本期向基金份额持有人分配利润产生的基金净值变动（净值减少以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9357E">
        <w:tc>
          <w:tcPr>
            <w:tcW w:w="2410" w:type="dxa"/>
            <w:vAlign w:val="center"/>
          </w:tcPr>
          <w:p w:rsidR="001A59F9" w:rsidRPr="00C56D9D" w:rsidRDefault="001A59F9" w:rsidP="00B06615">
            <w:pPr>
              <w:spacing w:line="360" w:lineRule="auto"/>
              <w:rPr>
                <w:rFonts w:eastAsiaTheme="minorEastAsia"/>
                <w:color w:val="000000" w:themeColor="text1"/>
                <w:szCs w:val="21"/>
              </w:rPr>
            </w:pPr>
            <w:r w:rsidRPr="00C56D9D">
              <w:rPr>
                <w:rFonts w:eastAsiaTheme="minorEastAsia"/>
                <w:color w:val="000000" w:themeColor="text1"/>
                <w:szCs w:val="21"/>
              </w:rPr>
              <w:t>五、期末所有者权益（基金净值）</w:t>
            </w:r>
          </w:p>
        </w:tc>
        <w:tc>
          <w:tcPr>
            <w:tcW w:w="2196"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37,452,613.39</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2,262,854.95</w:t>
            </w:r>
          </w:p>
        </w:tc>
        <w:tc>
          <w:tcPr>
            <w:tcW w:w="2197" w:type="dxa"/>
            <w:vAlign w:val="center"/>
          </w:tcPr>
          <w:p w:rsidR="001A59F9" w:rsidRPr="00C56D9D" w:rsidRDefault="001A59F9" w:rsidP="00B06615">
            <w:pPr>
              <w:spacing w:line="360" w:lineRule="auto"/>
              <w:jc w:val="right"/>
              <w:rPr>
                <w:rFonts w:eastAsiaTheme="minorEastAsia"/>
                <w:color w:val="000000" w:themeColor="text1"/>
                <w:szCs w:val="21"/>
              </w:rPr>
            </w:pPr>
            <w:r w:rsidRPr="00C56D9D">
              <w:rPr>
                <w:rFonts w:eastAsiaTheme="minorEastAsia"/>
                <w:color w:val="000000" w:themeColor="text1"/>
                <w:szCs w:val="21"/>
              </w:rPr>
              <w:t>39,715,468.34</w:t>
            </w:r>
          </w:p>
        </w:tc>
      </w:tr>
      <w:tr w:rsidR="00C56D9D" w:rsidRPr="00C56D9D" w:rsidTr="0009357E">
        <w:tc>
          <w:tcPr>
            <w:tcW w:w="241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b/>
                <w:color w:val="000000" w:themeColor="text1"/>
                <w:szCs w:val="21"/>
              </w:rPr>
              <w:t>项目</w:t>
            </w:r>
          </w:p>
        </w:tc>
        <w:tc>
          <w:tcPr>
            <w:tcW w:w="6590" w:type="dxa"/>
            <w:gridSpan w:val="3"/>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上年度可比期间</w:t>
            </w:r>
          </w:p>
          <w:p w:rsidR="001A59F9" w:rsidRPr="00C56D9D" w:rsidRDefault="007F35DC" w:rsidP="00026C9C">
            <w:pPr>
              <w:pStyle w:val="af6"/>
              <w:spacing w:before="0" w:beforeAutospacing="0" w:after="0" w:afterAutospacing="0" w:line="360" w:lineRule="auto"/>
              <w:jc w:val="center"/>
              <w:rPr>
                <w:rFonts w:ascii="Times New Roman" w:eastAsiaTheme="minorEastAsia" w:hAnsi="Times New Roman"/>
                <w:color w:val="000000" w:themeColor="text1"/>
                <w:sz w:val="21"/>
                <w:szCs w:val="21"/>
              </w:rPr>
            </w:pPr>
            <w:r w:rsidRPr="00C56D9D">
              <w:rPr>
                <w:rFonts w:ascii="Times New Roman" w:eastAsiaTheme="minorEastAsia" w:hAnsi="Times New Roman"/>
                <w:color w:val="000000" w:themeColor="text1"/>
                <w:sz w:val="21"/>
                <w:szCs w:val="21"/>
              </w:rPr>
              <w:t>2017</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4</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10</w:t>
            </w:r>
            <w:r w:rsidRPr="00C56D9D">
              <w:rPr>
                <w:rFonts w:ascii="Times New Roman" w:eastAsiaTheme="minorEastAsia" w:hAnsi="Times New Roman"/>
                <w:color w:val="000000" w:themeColor="text1"/>
                <w:sz w:val="21"/>
                <w:szCs w:val="21"/>
              </w:rPr>
              <w:t>日（基金合同生效日）至</w:t>
            </w:r>
            <w:r w:rsidRPr="00C56D9D">
              <w:rPr>
                <w:rFonts w:ascii="Times New Roman" w:eastAsiaTheme="minorEastAsia" w:hAnsi="Times New Roman"/>
                <w:color w:val="000000" w:themeColor="text1"/>
                <w:sz w:val="21"/>
                <w:szCs w:val="21"/>
              </w:rPr>
              <w:t>2017</w:t>
            </w:r>
            <w:r w:rsidRPr="00C56D9D">
              <w:rPr>
                <w:rFonts w:ascii="Times New Roman" w:eastAsiaTheme="minorEastAsia" w:hAnsi="Times New Roman"/>
                <w:color w:val="000000" w:themeColor="text1"/>
                <w:sz w:val="21"/>
                <w:szCs w:val="21"/>
              </w:rPr>
              <w:t>年</w:t>
            </w:r>
            <w:r w:rsidRPr="00C56D9D">
              <w:rPr>
                <w:rFonts w:ascii="Times New Roman" w:eastAsiaTheme="minorEastAsia" w:hAnsi="Times New Roman"/>
                <w:color w:val="000000" w:themeColor="text1"/>
                <w:sz w:val="21"/>
                <w:szCs w:val="21"/>
              </w:rPr>
              <w:t>12</w:t>
            </w:r>
            <w:r w:rsidRPr="00C56D9D">
              <w:rPr>
                <w:rFonts w:ascii="Times New Roman" w:eastAsiaTheme="minorEastAsia" w:hAnsi="Times New Roman"/>
                <w:color w:val="000000" w:themeColor="text1"/>
                <w:sz w:val="21"/>
                <w:szCs w:val="21"/>
              </w:rPr>
              <w:t>月</w:t>
            </w:r>
            <w:r w:rsidRPr="00C56D9D">
              <w:rPr>
                <w:rFonts w:ascii="Times New Roman" w:eastAsiaTheme="minorEastAsia" w:hAnsi="Times New Roman"/>
                <w:color w:val="000000" w:themeColor="text1"/>
                <w:sz w:val="21"/>
                <w:szCs w:val="21"/>
              </w:rPr>
              <w:t>31</w:t>
            </w:r>
            <w:r w:rsidRPr="00C56D9D">
              <w:rPr>
                <w:rFonts w:ascii="Times New Roman" w:eastAsiaTheme="minorEastAsia" w:hAnsi="Times New Roman"/>
                <w:color w:val="000000" w:themeColor="text1"/>
                <w:sz w:val="21"/>
                <w:szCs w:val="21"/>
              </w:rPr>
              <w:t>日</w:t>
            </w:r>
          </w:p>
        </w:tc>
      </w:tr>
      <w:tr w:rsidR="00C56D9D" w:rsidRPr="00C56D9D" w:rsidTr="0009357E">
        <w:tc>
          <w:tcPr>
            <w:tcW w:w="241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2196"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b/>
                <w:color w:val="000000" w:themeColor="text1"/>
                <w:szCs w:val="21"/>
              </w:rPr>
              <w:t>实收基金</w:t>
            </w:r>
          </w:p>
        </w:tc>
        <w:tc>
          <w:tcPr>
            <w:tcW w:w="219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b/>
                <w:color w:val="000000" w:themeColor="text1"/>
                <w:szCs w:val="21"/>
              </w:rPr>
              <w:t>未分配利润</w:t>
            </w:r>
          </w:p>
        </w:tc>
        <w:tc>
          <w:tcPr>
            <w:tcW w:w="2197" w:type="dxa"/>
            <w:vAlign w:val="center"/>
          </w:tcPr>
          <w:p w:rsidR="001A59F9" w:rsidRPr="00C56D9D" w:rsidRDefault="001A59F9" w:rsidP="00026C9C">
            <w:pPr>
              <w:spacing w:line="360" w:lineRule="auto"/>
              <w:jc w:val="center"/>
              <w:rPr>
                <w:rFonts w:eastAsiaTheme="minorEastAsia"/>
                <w:b/>
                <w:color w:val="000000" w:themeColor="text1"/>
                <w:szCs w:val="21"/>
              </w:rPr>
            </w:pPr>
            <w:r w:rsidRPr="00C56D9D">
              <w:rPr>
                <w:rFonts w:eastAsiaTheme="minorEastAsia"/>
                <w:b/>
                <w:color w:val="000000" w:themeColor="text1"/>
                <w:szCs w:val="21"/>
              </w:rPr>
              <w:t>所有者权益合计</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t>一、期初所有者权益（基金净值）</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205,715,016.37</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205,715,016.37</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t>二、本期经营活动产生的基金净值变动数（本期利润）</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4,029,146.26</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4,029,146.26</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t>三、本期基金份额交易产生的基金净值变动数（净值减少以</w:t>
            </w:r>
            <w:r w:rsidRPr="00C56D9D">
              <w:rPr>
                <w:rFonts w:eastAsiaTheme="minorEastAsia"/>
                <w:color w:val="000000" w:themeColor="text1"/>
                <w:szCs w:val="21"/>
              </w:rPr>
              <w:t>“-”</w:t>
            </w:r>
            <w:r w:rsidRPr="00C56D9D">
              <w:rPr>
                <w:rFonts w:eastAsiaTheme="minorEastAsia"/>
                <w:color w:val="000000" w:themeColor="text1"/>
                <w:szCs w:val="21"/>
              </w:rPr>
              <w:t>号填</w:t>
            </w:r>
            <w:r w:rsidRPr="00C56D9D">
              <w:rPr>
                <w:rFonts w:eastAsiaTheme="minorEastAsia"/>
                <w:color w:val="000000" w:themeColor="text1"/>
                <w:szCs w:val="21"/>
              </w:rPr>
              <w:lastRenderedPageBreak/>
              <w:t>列）</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lastRenderedPageBreak/>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lastRenderedPageBreak/>
              <w:t>其中：</w:t>
            </w:r>
            <w:r w:rsidRPr="00C56D9D">
              <w:rPr>
                <w:rFonts w:eastAsiaTheme="minorEastAsia"/>
                <w:color w:val="000000" w:themeColor="text1"/>
                <w:szCs w:val="21"/>
              </w:rPr>
              <w:t>1.</w:t>
            </w:r>
            <w:r w:rsidRPr="00C56D9D">
              <w:rPr>
                <w:rFonts w:eastAsiaTheme="minorEastAsia"/>
                <w:color w:val="000000" w:themeColor="text1"/>
                <w:szCs w:val="21"/>
              </w:rPr>
              <w:t>基金申购款</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9357E">
        <w:tc>
          <w:tcPr>
            <w:tcW w:w="2410" w:type="dxa"/>
            <w:vAlign w:val="center"/>
          </w:tcPr>
          <w:p w:rsidR="001A59F9" w:rsidRPr="00C56D9D" w:rsidRDefault="001A59F9" w:rsidP="00D564C7">
            <w:pPr>
              <w:spacing w:line="360" w:lineRule="auto"/>
              <w:ind w:firstLineChars="300" w:firstLine="630"/>
              <w:rPr>
                <w:rFonts w:eastAsiaTheme="minorEastAsia"/>
                <w:color w:val="000000" w:themeColor="text1"/>
                <w:szCs w:val="21"/>
              </w:rPr>
            </w:pPr>
            <w:r w:rsidRPr="00C56D9D">
              <w:rPr>
                <w:rFonts w:eastAsiaTheme="minorEastAsia"/>
                <w:color w:val="000000" w:themeColor="text1"/>
                <w:szCs w:val="21"/>
              </w:rPr>
              <w:t>2.</w:t>
            </w:r>
            <w:r w:rsidRPr="00C56D9D">
              <w:rPr>
                <w:rFonts w:eastAsiaTheme="minorEastAsia"/>
                <w:color w:val="000000" w:themeColor="text1"/>
                <w:szCs w:val="21"/>
              </w:rPr>
              <w:t>基金赎回款</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t>四、本期向基金份额持有人分配利润产生的基金净值变动（净值减少以</w:t>
            </w:r>
            <w:r w:rsidRPr="00C56D9D">
              <w:rPr>
                <w:rFonts w:eastAsiaTheme="minorEastAsia"/>
                <w:color w:val="000000" w:themeColor="text1"/>
                <w:szCs w:val="21"/>
              </w:rPr>
              <w:t>“-”</w:t>
            </w:r>
            <w:r w:rsidRPr="00C56D9D">
              <w:rPr>
                <w:rFonts w:eastAsiaTheme="minorEastAsia"/>
                <w:color w:val="000000" w:themeColor="text1"/>
                <w:szCs w:val="21"/>
              </w:rPr>
              <w:t>号填列）</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09357E">
        <w:tc>
          <w:tcPr>
            <w:tcW w:w="2410" w:type="dxa"/>
            <w:vAlign w:val="center"/>
          </w:tcPr>
          <w:p w:rsidR="001A59F9" w:rsidRPr="00C56D9D" w:rsidRDefault="001A59F9" w:rsidP="00860AC3">
            <w:pPr>
              <w:spacing w:line="360" w:lineRule="auto"/>
              <w:rPr>
                <w:rFonts w:eastAsiaTheme="minorEastAsia"/>
                <w:color w:val="000000" w:themeColor="text1"/>
                <w:szCs w:val="21"/>
              </w:rPr>
            </w:pPr>
            <w:r w:rsidRPr="00C56D9D">
              <w:rPr>
                <w:rFonts w:eastAsiaTheme="minorEastAsia"/>
                <w:color w:val="000000" w:themeColor="text1"/>
                <w:szCs w:val="21"/>
              </w:rPr>
              <w:t>五、期末所有者权益（基金净值）</w:t>
            </w:r>
          </w:p>
        </w:tc>
        <w:tc>
          <w:tcPr>
            <w:tcW w:w="2196"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205,715,016.37</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4,029,146.26</w:t>
            </w:r>
          </w:p>
        </w:tc>
        <w:tc>
          <w:tcPr>
            <w:tcW w:w="2197" w:type="dxa"/>
            <w:vAlign w:val="center"/>
          </w:tcPr>
          <w:p w:rsidR="001A59F9" w:rsidRPr="00C56D9D" w:rsidRDefault="001A59F9" w:rsidP="00860AC3">
            <w:pPr>
              <w:spacing w:line="360" w:lineRule="auto"/>
              <w:jc w:val="right"/>
              <w:rPr>
                <w:rFonts w:eastAsiaTheme="minorEastAsia"/>
                <w:color w:val="000000" w:themeColor="text1"/>
                <w:szCs w:val="21"/>
              </w:rPr>
            </w:pPr>
            <w:r w:rsidRPr="00C56D9D">
              <w:rPr>
                <w:rFonts w:eastAsiaTheme="minorEastAsia"/>
                <w:color w:val="000000" w:themeColor="text1"/>
                <w:szCs w:val="21"/>
              </w:rPr>
              <w:t>209,744,162.63</w:t>
            </w:r>
          </w:p>
        </w:tc>
      </w:tr>
    </w:tbl>
    <w:p w:rsidR="001F790F" w:rsidRPr="00C56D9D" w:rsidRDefault="001F790F" w:rsidP="00E34772">
      <w:pPr>
        <w:spacing w:beforeLines="100" w:before="312" w:line="360" w:lineRule="auto"/>
        <w:rPr>
          <w:rFonts w:eastAsiaTheme="minorEastAsia"/>
          <w:color w:val="000000" w:themeColor="text1"/>
          <w:szCs w:val="21"/>
        </w:rPr>
      </w:pPr>
      <w:r w:rsidRPr="00C56D9D">
        <w:rPr>
          <w:rFonts w:eastAsiaTheme="minorEastAsia"/>
          <w:color w:val="000000" w:themeColor="text1"/>
          <w:szCs w:val="21"/>
        </w:rPr>
        <w:t>报表附注为财务报表的组成部分。</w:t>
      </w:r>
    </w:p>
    <w:p w:rsidR="001F790F" w:rsidRPr="00C56D9D" w:rsidRDefault="001F790F" w:rsidP="00673D18">
      <w:pPr>
        <w:spacing w:line="360" w:lineRule="auto"/>
        <w:rPr>
          <w:rFonts w:eastAsiaTheme="minorEastAsia"/>
          <w:color w:val="000000" w:themeColor="text1"/>
          <w:szCs w:val="21"/>
        </w:rPr>
      </w:pPr>
      <w:r w:rsidRPr="00C56D9D">
        <w:rPr>
          <w:rFonts w:eastAsiaTheme="minorEastAsia"/>
          <w:color w:val="000000" w:themeColor="text1"/>
          <w:szCs w:val="21"/>
        </w:rPr>
        <w:t>本报告</w:t>
      </w:r>
      <w:r w:rsidR="000379E9" w:rsidRPr="00C56D9D">
        <w:rPr>
          <w:rFonts w:eastAsiaTheme="minorEastAsia"/>
          <w:color w:val="000000" w:themeColor="text1"/>
          <w:szCs w:val="21"/>
        </w:rPr>
        <w:t>页码（序号）从</w:t>
      </w:r>
      <w:r w:rsidRPr="00C56D9D">
        <w:rPr>
          <w:rFonts w:eastAsiaTheme="minorEastAsia"/>
          <w:color w:val="000000" w:themeColor="text1"/>
          <w:szCs w:val="21"/>
        </w:rPr>
        <w:t>7.1</w:t>
      </w:r>
      <w:r w:rsidRPr="00C56D9D">
        <w:rPr>
          <w:rFonts w:eastAsiaTheme="minorEastAsia"/>
          <w:color w:val="000000" w:themeColor="text1"/>
          <w:szCs w:val="21"/>
        </w:rPr>
        <w:t>至</w:t>
      </w:r>
      <w:r w:rsidRPr="00C56D9D">
        <w:rPr>
          <w:rFonts w:eastAsiaTheme="minorEastAsia"/>
          <w:color w:val="000000" w:themeColor="text1"/>
          <w:szCs w:val="21"/>
        </w:rPr>
        <w:t>7.4</w:t>
      </w:r>
      <w:r w:rsidRPr="00C56D9D">
        <w:rPr>
          <w:rFonts w:eastAsiaTheme="minorEastAsia"/>
          <w:color w:val="000000" w:themeColor="text1"/>
          <w:szCs w:val="21"/>
        </w:rPr>
        <w:t>，财务报表由下列负责人签署：</w:t>
      </w:r>
    </w:p>
    <w:p w:rsidR="001A59F9" w:rsidRPr="00C56D9D" w:rsidRDefault="003B5D20" w:rsidP="00961AC0">
      <w:pPr>
        <w:spacing w:line="360" w:lineRule="auto"/>
        <w:rPr>
          <w:rFonts w:eastAsiaTheme="minorEastAsia"/>
          <w:color w:val="000000" w:themeColor="text1"/>
          <w:szCs w:val="21"/>
        </w:rPr>
      </w:pPr>
      <w:r w:rsidRPr="00C56D9D">
        <w:rPr>
          <w:rFonts w:eastAsiaTheme="minorEastAsia"/>
          <w:color w:val="000000" w:themeColor="text1"/>
          <w:szCs w:val="21"/>
        </w:rPr>
        <w:t>基金管理人</w:t>
      </w:r>
      <w:r w:rsidR="001F790F" w:rsidRPr="00C56D9D">
        <w:rPr>
          <w:rFonts w:eastAsiaTheme="minorEastAsia"/>
          <w:color w:val="000000" w:themeColor="text1"/>
          <w:szCs w:val="21"/>
        </w:rPr>
        <w:t>负责人：章硕麟，主管会计工作负责人：杨怡，会计机构负责人：张璐</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90" w:name="_Toc225498271"/>
      <w:bookmarkStart w:id="91" w:name="_Toc361324876"/>
      <w:bookmarkStart w:id="92" w:name="_Toc374374953"/>
      <w:r w:rsidRPr="00C56D9D">
        <w:rPr>
          <w:rFonts w:ascii="Times New Roman" w:eastAsiaTheme="minorEastAsia" w:hAnsi="Times New Roman"/>
          <w:color w:val="000000" w:themeColor="text1"/>
          <w:kern w:val="0"/>
          <w:sz w:val="21"/>
          <w:szCs w:val="21"/>
        </w:rPr>
        <w:t xml:space="preserve">7.4 </w:t>
      </w:r>
      <w:r w:rsidRPr="00C56D9D">
        <w:rPr>
          <w:rFonts w:ascii="Times New Roman" w:eastAsiaTheme="minorEastAsia" w:hAnsi="Times New Roman"/>
          <w:color w:val="000000" w:themeColor="text1"/>
          <w:kern w:val="0"/>
          <w:sz w:val="21"/>
          <w:szCs w:val="21"/>
        </w:rPr>
        <w:t>报表附注</w:t>
      </w:r>
      <w:bookmarkEnd w:id="90"/>
      <w:bookmarkEnd w:id="91"/>
      <w:bookmarkEnd w:id="92"/>
    </w:p>
    <w:p w:rsidR="001A59F9" w:rsidRPr="00C56D9D" w:rsidRDefault="001A59F9" w:rsidP="00644AF0">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7.4.1</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基金基本情况</w:t>
      </w:r>
    </w:p>
    <w:p w:rsidR="003049BB" w:rsidRPr="003049BB" w:rsidRDefault="003049BB" w:rsidP="003049BB">
      <w:pPr>
        <w:spacing w:line="360" w:lineRule="auto"/>
        <w:ind w:firstLineChars="200" w:firstLine="420"/>
        <w:rPr>
          <w:rFonts w:eastAsiaTheme="minorEastAsia"/>
          <w:color w:val="000000" w:themeColor="text1"/>
          <w:szCs w:val="21"/>
          <w:lang w:val="en-GB"/>
        </w:rPr>
      </w:pPr>
      <w:bookmarkStart w:id="93" w:name="PL9"/>
      <w:r w:rsidRPr="003049BB">
        <w:rPr>
          <w:rFonts w:eastAsiaTheme="minorEastAsia"/>
          <w:color w:val="000000" w:themeColor="text1"/>
          <w:szCs w:val="21"/>
          <w:lang w:val="en-GB"/>
        </w:rPr>
        <w:t>上投摩根岁岁金定期开放债券型证券投资基金</w:t>
      </w:r>
      <w:r w:rsidRPr="003049BB">
        <w:rPr>
          <w:rFonts w:eastAsiaTheme="minorEastAsia"/>
          <w:color w:val="000000" w:themeColor="text1"/>
          <w:szCs w:val="21"/>
          <w:lang w:val="en-GB"/>
        </w:rPr>
        <w:t>(</w:t>
      </w:r>
      <w:r w:rsidRPr="003049BB">
        <w:rPr>
          <w:rFonts w:eastAsiaTheme="minorEastAsia"/>
          <w:color w:val="000000" w:themeColor="text1"/>
          <w:szCs w:val="21"/>
          <w:lang w:val="en-GB"/>
        </w:rPr>
        <w:t>以下简称</w:t>
      </w:r>
      <w:r w:rsidRPr="003049BB">
        <w:rPr>
          <w:rFonts w:eastAsiaTheme="minorEastAsia"/>
          <w:color w:val="000000" w:themeColor="text1"/>
          <w:szCs w:val="21"/>
          <w:lang w:val="en-GB"/>
        </w:rPr>
        <w:t>“</w:t>
      </w:r>
      <w:r w:rsidRPr="003049BB">
        <w:rPr>
          <w:rFonts w:eastAsiaTheme="minorEastAsia"/>
          <w:color w:val="000000" w:themeColor="text1"/>
          <w:szCs w:val="21"/>
          <w:lang w:val="en-GB"/>
        </w:rPr>
        <w:t>本基金</w:t>
      </w:r>
      <w:r w:rsidRPr="003049BB">
        <w:rPr>
          <w:rFonts w:eastAsiaTheme="minorEastAsia"/>
          <w:color w:val="000000" w:themeColor="text1"/>
          <w:szCs w:val="21"/>
          <w:lang w:val="en-GB"/>
        </w:rPr>
        <w:t>”)</w:t>
      </w:r>
      <w:r w:rsidRPr="003049BB">
        <w:rPr>
          <w:rFonts w:eastAsiaTheme="minorEastAsia"/>
          <w:color w:val="000000" w:themeColor="text1"/>
          <w:szCs w:val="21"/>
          <w:lang w:val="en-GB"/>
        </w:rPr>
        <w:t>经中国证券监督管理委员会</w:t>
      </w:r>
      <w:r w:rsidRPr="003049BB">
        <w:rPr>
          <w:rFonts w:eastAsiaTheme="minorEastAsia"/>
          <w:color w:val="000000" w:themeColor="text1"/>
          <w:szCs w:val="21"/>
          <w:lang w:val="en-GB"/>
        </w:rPr>
        <w:t>(</w:t>
      </w:r>
      <w:r w:rsidRPr="003049BB">
        <w:rPr>
          <w:rFonts w:eastAsiaTheme="minorEastAsia"/>
          <w:color w:val="000000" w:themeColor="text1"/>
          <w:szCs w:val="21"/>
          <w:lang w:val="en-GB"/>
        </w:rPr>
        <w:t>以下简称</w:t>
      </w:r>
      <w:r w:rsidRPr="003049BB">
        <w:rPr>
          <w:rFonts w:eastAsiaTheme="minorEastAsia"/>
          <w:color w:val="000000" w:themeColor="text1"/>
          <w:szCs w:val="21"/>
          <w:lang w:val="en-GB"/>
        </w:rPr>
        <w:t>“</w:t>
      </w:r>
      <w:r w:rsidRPr="003049BB">
        <w:rPr>
          <w:rFonts w:eastAsiaTheme="minorEastAsia"/>
          <w:color w:val="000000" w:themeColor="text1"/>
          <w:szCs w:val="21"/>
          <w:lang w:val="en-GB"/>
        </w:rPr>
        <w:t>中国证监会</w:t>
      </w:r>
      <w:r w:rsidRPr="003049BB">
        <w:rPr>
          <w:rFonts w:eastAsiaTheme="minorEastAsia"/>
          <w:color w:val="000000" w:themeColor="text1"/>
          <w:szCs w:val="21"/>
          <w:lang w:val="en-GB"/>
        </w:rPr>
        <w:t>”)</w:t>
      </w:r>
      <w:r w:rsidRPr="003049BB">
        <w:rPr>
          <w:rFonts w:eastAsiaTheme="minorEastAsia"/>
          <w:color w:val="000000" w:themeColor="text1"/>
          <w:szCs w:val="21"/>
          <w:lang w:val="en-GB"/>
        </w:rPr>
        <w:t>证监许可</w:t>
      </w:r>
      <w:r w:rsidRPr="003049BB">
        <w:rPr>
          <w:rFonts w:eastAsiaTheme="minorEastAsia"/>
          <w:color w:val="000000" w:themeColor="text1"/>
          <w:szCs w:val="21"/>
          <w:lang w:val="en-GB"/>
        </w:rPr>
        <w:t>[2016]2932</w:t>
      </w:r>
      <w:r w:rsidRPr="003049BB">
        <w:rPr>
          <w:rFonts w:eastAsiaTheme="minorEastAsia"/>
          <w:color w:val="000000" w:themeColor="text1"/>
          <w:szCs w:val="21"/>
          <w:lang w:val="en-GB"/>
        </w:rPr>
        <w:t>号《关于准予上投摩根岁岁金定期开放债券型证券投资基金注册的批复》核准，由上投摩根基金管理有限公司依照《中华人民共和国证券投资基金法》和《上投摩根岁岁金定期开放债券型证券投资基金基金合同》负责公开募集。本基金为契约型、定期开放式，存续期限不定，首次设立募集不包括认购资金利息共募集人民币</w:t>
      </w:r>
      <w:r w:rsidRPr="003049BB">
        <w:rPr>
          <w:rFonts w:eastAsiaTheme="minorEastAsia"/>
          <w:color w:val="000000" w:themeColor="text1"/>
          <w:szCs w:val="21"/>
          <w:lang w:val="en-GB"/>
        </w:rPr>
        <w:t>205,603,394.46</w:t>
      </w:r>
      <w:r w:rsidRPr="003049BB">
        <w:rPr>
          <w:rFonts w:eastAsiaTheme="minorEastAsia"/>
          <w:color w:val="000000" w:themeColor="text1"/>
          <w:szCs w:val="21"/>
          <w:lang w:val="en-GB"/>
        </w:rPr>
        <w:t>元，业经普华永道中天会计师事务所</w:t>
      </w:r>
      <w:r w:rsidRPr="003049BB">
        <w:rPr>
          <w:rFonts w:eastAsiaTheme="minorEastAsia"/>
          <w:color w:val="000000" w:themeColor="text1"/>
          <w:szCs w:val="21"/>
          <w:lang w:val="en-GB"/>
        </w:rPr>
        <w:t>(</w:t>
      </w:r>
      <w:r w:rsidRPr="003049BB">
        <w:rPr>
          <w:rFonts w:eastAsiaTheme="minorEastAsia"/>
          <w:color w:val="000000" w:themeColor="text1"/>
          <w:szCs w:val="21"/>
          <w:lang w:val="en-GB"/>
        </w:rPr>
        <w:t>特殊普通合伙</w:t>
      </w:r>
      <w:r w:rsidRPr="003049BB">
        <w:rPr>
          <w:rFonts w:eastAsiaTheme="minorEastAsia"/>
          <w:color w:val="000000" w:themeColor="text1"/>
          <w:szCs w:val="21"/>
          <w:lang w:val="en-GB"/>
        </w:rPr>
        <w:t>)</w:t>
      </w:r>
      <w:r w:rsidRPr="003049BB">
        <w:rPr>
          <w:rFonts w:eastAsiaTheme="minorEastAsia"/>
          <w:color w:val="000000" w:themeColor="text1"/>
          <w:szCs w:val="21"/>
          <w:lang w:val="en-GB"/>
        </w:rPr>
        <w:t>普华永道中天验字</w:t>
      </w:r>
      <w:r w:rsidRPr="003049BB">
        <w:rPr>
          <w:rFonts w:eastAsiaTheme="minorEastAsia"/>
          <w:color w:val="000000" w:themeColor="text1"/>
          <w:szCs w:val="21"/>
          <w:lang w:val="en-GB"/>
        </w:rPr>
        <w:t>(2017)</w:t>
      </w:r>
      <w:r w:rsidRPr="003049BB">
        <w:rPr>
          <w:rFonts w:eastAsiaTheme="minorEastAsia"/>
          <w:color w:val="000000" w:themeColor="text1"/>
          <w:szCs w:val="21"/>
          <w:lang w:val="en-GB"/>
        </w:rPr>
        <w:t>第</w:t>
      </w:r>
      <w:r w:rsidRPr="003049BB">
        <w:rPr>
          <w:rFonts w:eastAsiaTheme="minorEastAsia"/>
          <w:color w:val="000000" w:themeColor="text1"/>
          <w:szCs w:val="21"/>
          <w:lang w:val="en-GB"/>
        </w:rPr>
        <w:t>257</w:t>
      </w:r>
      <w:r w:rsidRPr="003049BB">
        <w:rPr>
          <w:rFonts w:eastAsiaTheme="minorEastAsia"/>
          <w:color w:val="000000" w:themeColor="text1"/>
          <w:szCs w:val="21"/>
          <w:lang w:val="en-GB"/>
        </w:rPr>
        <w:t>号验资报告予以验证。经向中国证监会备案，《上投摩根岁岁金定期开放债券型证券投资基金基金合同》于</w:t>
      </w:r>
      <w:r w:rsidRPr="003049BB">
        <w:rPr>
          <w:rFonts w:eastAsiaTheme="minorEastAsia"/>
          <w:color w:val="000000" w:themeColor="text1"/>
          <w:szCs w:val="21"/>
          <w:lang w:val="en-GB"/>
        </w:rPr>
        <w:t>2017</w:t>
      </w:r>
      <w:r w:rsidRPr="003049BB">
        <w:rPr>
          <w:rFonts w:eastAsiaTheme="minorEastAsia"/>
          <w:color w:val="000000" w:themeColor="text1"/>
          <w:szCs w:val="21"/>
          <w:lang w:val="en-GB"/>
        </w:rPr>
        <w:t>年</w:t>
      </w:r>
      <w:r w:rsidRPr="003049BB">
        <w:rPr>
          <w:rFonts w:eastAsiaTheme="minorEastAsia"/>
          <w:color w:val="000000" w:themeColor="text1"/>
          <w:szCs w:val="21"/>
          <w:lang w:val="en-GB"/>
        </w:rPr>
        <w:t>4</w:t>
      </w:r>
      <w:r w:rsidRPr="003049BB">
        <w:rPr>
          <w:rFonts w:eastAsiaTheme="minorEastAsia"/>
          <w:color w:val="000000" w:themeColor="text1"/>
          <w:szCs w:val="21"/>
          <w:lang w:val="en-GB"/>
        </w:rPr>
        <w:t>月</w:t>
      </w:r>
      <w:r w:rsidRPr="003049BB">
        <w:rPr>
          <w:rFonts w:eastAsiaTheme="minorEastAsia"/>
          <w:color w:val="000000" w:themeColor="text1"/>
          <w:szCs w:val="21"/>
          <w:lang w:val="en-GB"/>
        </w:rPr>
        <w:t>10</w:t>
      </w:r>
      <w:r w:rsidRPr="003049BB">
        <w:rPr>
          <w:rFonts w:eastAsiaTheme="minorEastAsia"/>
          <w:color w:val="000000" w:themeColor="text1"/>
          <w:szCs w:val="21"/>
          <w:lang w:val="en-GB"/>
        </w:rPr>
        <w:t>日正式生效，基金合同生效日的基金份额总额为</w:t>
      </w:r>
      <w:r w:rsidRPr="003049BB">
        <w:rPr>
          <w:rFonts w:eastAsiaTheme="minorEastAsia"/>
          <w:color w:val="000000" w:themeColor="text1"/>
          <w:szCs w:val="21"/>
          <w:lang w:val="en-GB"/>
        </w:rPr>
        <w:t>205,715,016.37</w:t>
      </w:r>
      <w:r w:rsidRPr="003049BB">
        <w:rPr>
          <w:rFonts w:eastAsiaTheme="minorEastAsia"/>
          <w:color w:val="000000" w:themeColor="text1"/>
          <w:szCs w:val="21"/>
          <w:lang w:val="en-GB"/>
        </w:rPr>
        <w:t>份基金份额，其中认购资金利息折合</w:t>
      </w:r>
      <w:r w:rsidRPr="003049BB">
        <w:rPr>
          <w:rFonts w:eastAsiaTheme="minorEastAsia"/>
          <w:color w:val="000000" w:themeColor="text1"/>
          <w:szCs w:val="21"/>
          <w:lang w:val="en-GB"/>
        </w:rPr>
        <w:t>111,621.91</w:t>
      </w:r>
      <w:r w:rsidRPr="003049BB">
        <w:rPr>
          <w:rFonts w:eastAsiaTheme="minorEastAsia"/>
          <w:color w:val="000000" w:themeColor="text1"/>
          <w:szCs w:val="21"/>
          <w:lang w:val="en-GB"/>
        </w:rPr>
        <w:t>份基金份额。本基金的基金管理人为上投摩根基金管理有限公司，基金托管人为平安银行股份有限公司。</w:t>
      </w:r>
    </w:p>
    <w:p w:rsidR="003049BB" w:rsidRPr="003049BB" w:rsidRDefault="003049BB" w:rsidP="003049BB">
      <w:pPr>
        <w:spacing w:line="360" w:lineRule="auto"/>
        <w:ind w:firstLineChars="200" w:firstLine="420"/>
        <w:rPr>
          <w:rFonts w:eastAsiaTheme="minorEastAsia"/>
          <w:color w:val="000000" w:themeColor="text1"/>
          <w:szCs w:val="21"/>
          <w:lang w:val="en-GB"/>
        </w:rPr>
      </w:pPr>
    </w:p>
    <w:p w:rsidR="003049BB" w:rsidRPr="003049BB" w:rsidRDefault="003049BB" w:rsidP="003049BB">
      <w:pPr>
        <w:spacing w:line="360" w:lineRule="auto"/>
        <w:ind w:firstLineChars="200" w:firstLine="420"/>
        <w:rPr>
          <w:rFonts w:eastAsiaTheme="minorEastAsia"/>
          <w:color w:val="000000" w:themeColor="text1"/>
          <w:szCs w:val="21"/>
          <w:lang w:val="en-GB"/>
        </w:rPr>
      </w:pPr>
      <w:r w:rsidRPr="003049BB">
        <w:rPr>
          <w:rFonts w:eastAsiaTheme="minorEastAsia"/>
          <w:color w:val="000000" w:themeColor="text1"/>
          <w:szCs w:val="21"/>
          <w:lang w:val="en-GB"/>
        </w:rPr>
        <w:t>根据《上投摩根岁岁金定期开放债券型证券投资基金基金合同》和《上投摩根岁岁金定期开放债券型证券投资基金招募说明书》的有关规定，本基金根据认购费、申购费和销售服务费收取方式的不同，将基金份额分为不同的类别。在投资人认购</w:t>
      </w:r>
      <w:r w:rsidRPr="003049BB">
        <w:rPr>
          <w:rFonts w:eastAsiaTheme="minorEastAsia"/>
          <w:color w:val="000000" w:themeColor="text1"/>
          <w:szCs w:val="21"/>
          <w:lang w:val="en-GB"/>
        </w:rPr>
        <w:t>/</w:t>
      </w:r>
      <w:r w:rsidRPr="003049BB">
        <w:rPr>
          <w:rFonts w:eastAsiaTheme="minorEastAsia"/>
          <w:color w:val="000000" w:themeColor="text1"/>
          <w:szCs w:val="21"/>
          <w:lang w:val="en-GB"/>
        </w:rPr>
        <w:t>申购时，收取认购</w:t>
      </w:r>
      <w:r w:rsidRPr="003049BB">
        <w:rPr>
          <w:rFonts w:eastAsiaTheme="minorEastAsia"/>
          <w:color w:val="000000" w:themeColor="text1"/>
          <w:szCs w:val="21"/>
          <w:lang w:val="en-GB"/>
        </w:rPr>
        <w:t>/</w:t>
      </w:r>
      <w:r w:rsidRPr="003049BB">
        <w:rPr>
          <w:rFonts w:eastAsiaTheme="minorEastAsia"/>
          <w:color w:val="000000" w:themeColor="text1"/>
          <w:szCs w:val="21"/>
          <w:lang w:val="en-GB"/>
        </w:rPr>
        <w:t>申购费用的，称为</w:t>
      </w:r>
      <w:r w:rsidRPr="003049BB">
        <w:rPr>
          <w:rFonts w:eastAsiaTheme="minorEastAsia"/>
          <w:color w:val="000000" w:themeColor="text1"/>
          <w:szCs w:val="21"/>
          <w:lang w:val="en-GB"/>
        </w:rPr>
        <w:t>A</w:t>
      </w:r>
      <w:r w:rsidRPr="003049BB">
        <w:rPr>
          <w:rFonts w:eastAsiaTheme="minorEastAsia"/>
          <w:color w:val="000000" w:themeColor="text1"/>
          <w:szCs w:val="21"/>
          <w:lang w:val="en-GB"/>
        </w:rPr>
        <w:t>类基金份额；不收取认购</w:t>
      </w:r>
      <w:r w:rsidRPr="003049BB">
        <w:rPr>
          <w:rFonts w:eastAsiaTheme="minorEastAsia"/>
          <w:color w:val="000000" w:themeColor="text1"/>
          <w:szCs w:val="21"/>
          <w:lang w:val="en-GB"/>
        </w:rPr>
        <w:t>/</w:t>
      </w:r>
      <w:r w:rsidRPr="003049BB">
        <w:rPr>
          <w:rFonts w:eastAsiaTheme="minorEastAsia"/>
          <w:color w:val="000000" w:themeColor="text1"/>
          <w:szCs w:val="21"/>
          <w:lang w:val="en-GB"/>
        </w:rPr>
        <w:t>申购费用，但从本类别基金资产中计提销售服务费的，称为</w:t>
      </w:r>
      <w:r w:rsidRPr="003049BB">
        <w:rPr>
          <w:rFonts w:eastAsiaTheme="minorEastAsia"/>
          <w:color w:val="000000" w:themeColor="text1"/>
          <w:szCs w:val="21"/>
          <w:lang w:val="en-GB"/>
        </w:rPr>
        <w:t>C</w:t>
      </w:r>
      <w:r w:rsidRPr="003049BB">
        <w:rPr>
          <w:rFonts w:eastAsiaTheme="minorEastAsia"/>
          <w:color w:val="000000" w:themeColor="text1"/>
          <w:szCs w:val="21"/>
          <w:lang w:val="en-GB"/>
        </w:rPr>
        <w:t>类基金份额。</w:t>
      </w:r>
      <w:r w:rsidRPr="003049BB">
        <w:rPr>
          <w:rFonts w:eastAsiaTheme="minorEastAsia"/>
          <w:color w:val="000000" w:themeColor="text1"/>
          <w:szCs w:val="21"/>
          <w:lang w:val="en-GB"/>
        </w:rPr>
        <w:t>A</w:t>
      </w:r>
      <w:r w:rsidRPr="003049BB">
        <w:rPr>
          <w:rFonts w:eastAsiaTheme="minorEastAsia"/>
          <w:color w:val="000000" w:themeColor="text1"/>
          <w:szCs w:val="21"/>
          <w:lang w:val="en-GB"/>
        </w:rPr>
        <w:lastRenderedPageBreak/>
        <w:t>类基金份额和</w:t>
      </w:r>
      <w:r w:rsidRPr="003049BB">
        <w:rPr>
          <w:rFonts w:eastAsiaTheme="minorEastAsia"/>
          <w:color w:val="000000" w:themeColor="text1"/>
          <w:szCs w:val="21"/>
          <w:lang w:val="en-GB"/>
        </w:rPr>
        <w:t>C</w:t>
      </w:r>
      <w:r w:rsidRPr="003049BB">
        <w:rPr>
          <w:rFonts w:eastAsiaTheme="minorEastAsia"/>
          <w:color w:val="000000" w:themeColor="text1"/>
          <w:szCs w:val="21"/>
          <w:lang w:val="en-GB"/>
        </w:rPr>
        <w:t>类基金份额分别设置代码，分别计算基金份额净值并分别公告。投资人可自由选择申购某一类别的基金份额，但各类别基金份额之间不能相互转换。</w:t>
      </w:r>
    </w:p>
    <w:p w:rsidR="003049BB" w:rsidRPr="003049BB" w:rsidRDefault="003049BB" w:rsidP="003049BB">
      <w:pPr>
        <w:spacing w:line="360" w:lineRule="auto"/>
        <w:ind w:firstLineChars="200" w:firstLine="420"/>
        <w:rPr>
          <w:rFonts w:eastAsiaTheme="minorEastAsia"/>
          <w:color w:val="000000" w:themeColor="text1"/>
          <w:szCs w:val="21"/>
          <w:lang w:val="en-GB"/>
        </w:rPr>
      </w:pPr>
    </w:p>
    <w:p w:rsidR="003049BB" w:rsidRPr="003049BB" w:rsidRDefault="003049BB" w:rsidP="003049BB">
      <w:pPr>
        <w:spacing w:line="360" w:lineRule="auto"/>
        <w:ind w:firstLineChars="200" w:firstLine="420"/>
        <w:rPr>
          <w:rFonts w:eastAsiaTheme="minorEastAsia"/>
          <w:color w:val="000000" w:themeColor="text1"/>
          <w:szCs w:val="21"/>
          <w:lang w:val="en-GB"/>
        </w:rPr>
      </w:pPr>
      <w:r w:rsidRPr="003049BB">
        <w:rPr>
          <w:rFonts w:eastAsiaTheme="minorEastAsia"/>
          <w:color w:val="000000" w:themeColor="text1"/>
          <w:szCs w:val="21"/>
          <w:lang w:val="en-GB"/>
        </w:rPr>
        <w:t>根据《中华人民共和国证券投资基金法》和《上投摩根岁岁金定期开放债券型证券投资基金基金合同》的有关规定，本基金主要投资于具有良好流动性的金融工具，具体包括国债、央行票据、金融债、企业债、公司债、证券公司短期公司债、地方政府债、次级债、短期融资券、中期票据、中小企业私募债、可分离交易可转债的纯债部分、资产支持证券、债券回购、同业存单、银行存款等以及法律法规或中国证监会允许基金投资的其他金融工具</w:t>
      </w:r>
      <w:r w:rsidRPr="003049BB">
        <w:rPr>
          <w:rFonts w:eastAsiaTheme="minorEastAsia"/>
          <w:color w:val="000000" w:themeColor="text1"/>
          <w:szCs w:val="21"/>
          <w:lang w:val="en-GB"/>
        </w:rPr>
        <w:t>(</w:t>
      </w:r>
      <w:r w:rsidRPr="003049BB">
        <w:rPr>
          <w:rFonts w:eastAsiaTheme="minorEastAsia"/>
          <w:color w:val="000000" w:themeColor="text1"/>
          <w:szCs w:val="21"/>
          <w:lang w:val="en-GB"/>
        </w:rPr>
        <w:t>但须符合中国证监会的相关规定</w:t>
      </w:r>
      <w:r w:rsidRPr="003049BB">
        <w:rPr>
          <w:rFonts w:eastAsiaTheme="minorEastAsia"/>
          <w:color w:val="000000" w:themeColor="text1"/>
          <w:szCs w:val="21"/>
          <w:lang w:val="en-GB"/>
        </w:rPr>
        <w:t>)</w:t>
      </w:r>
      <w:r w:rsidRPr="003049BB">
        <w:rPr>
          <w:rFonts w:eastAsiaTheme="minorEastAsia"/>
          <w:color w:val="000000" w:themeColor="text1"/>
          <w:szCs w:val="21"/>
          <w:lang w:val="en-GB"/>
        </w:rPr>
        <w:t>。</w:t>
      </w:r>
      <w:r w:rsidRPr="003049BB">
        <w:rPr>
          <w:rFonts w:eastAsiaTheme="minorEastAsia" w:hint="eastAsia"/>
          <w:color w:val="000000" w:themeColor="text1"/>
          <w:szCs w:val="21"/>
          <w:lang w:val="en-GB"/>
        </w:rPr>
        <w:t>本基金不直接从二级市场买入股票、权证，也不参与新股申购或增发，可转换债券仅投资可分离交易可转债的纯债部分。</w:t>
      </w:r>
      <w:r w:rsidRPr="003049BB">
        <w:rPr>
          <w:rFonts w:eastAsiaTheme="minorEastAsia"/>
          <w:color w:val="000000" w:themeColor="text1"/>
          <w:szCs w:val="21"/>
          <w:lang w:val="en-GB"/>
        </w:rPr>
        <w:t>本基金的投资组合比例为：债券投资比例不低于基金资产的</w:t>
      </w:r>
      <w:r w:rsidRPr="003049BB">
        <w:rPr>
          <w:rFonts w:eastAsiaTheme="minorEastAsia"/>
          <w:color w:val="000000" w:themeColor="text1"/>
          <w:szCs w:val="21"/>
          <w:lang w:val="en-GB"/>
        </w:rPr>
        <w:t>80%</w:t>
      </w:r>
      <w:r w:rsidRPr="003049BB">
        <w:rPr>
          <w:rFonts w:eastAsiaTheme="minorEastAsia"/>
          <w:color w:val="000000" w:themeColor="text1"/>
          <w:szCs w:val="21"/>
          <w:lang w:val="en-GB"/>
        </w:rPr>
        <w:t>，但在每次开放期前一个月、开放期及开放期结束后一个月的时间内，本基金投资不受上述比例限制；开放期内现金及到期日在一年以内的政府债券占基金资产净值的比例不低于</w:t>
      </w:r>
      <w:r w:rsidRPr="003049BB">
        <w:rPr>
          <w:rFonts w:eastAsiaTheme="minorEastAsia"/>
          <w:color w:val="000000" w:themeColor="text1"/>
          <w:szCs w:val="21"/>
          <w:lang w:val="en-GB"/>
        </w:rPr>
        <w:t>5%</w:t>
      </w:r>
      <w:r w:rsidRPr="003049BB">
        <w:rPr>
          <w:rFonts w:eastAsiaTheme="minorEastAsia" w:hint="eastAsia"/>
          <w:color w:val="000000" w:themeColor="text1"/>
          <w:szCs w:val="21"/>
          <w:lang w:val="en-GB"/>
        </w:rPr>
        <w:t>，其中现金不包括结算备付金、存出保证金、应收申购款等</w:t>
      </w:r>
      <w:r w:rsidRPr="003049BB">
        <w:rPr>
          <w:rFonts w:eastAsiaTheme="minorEastAsia"/>
          <w:color w:val="000000" w:themeColor="text1"/>
          <w:szCs w:val="21"/>
          <w:lang w:val="en-GB"/>
        </w:rPr>
        <w:t>。本基金的业绩比较基准为：中债总指数收益率。</w:t>
      </w:r>
    </w:p>
    <w:bookmarkEnd w:id="93"/>
    <w:p w:rsidR="003049BB" w:rsidRPr="003049BB" w:rsidRDefault="003049BB" w:rsidP="003049BB">
      <w:pPr>
        <w:spacing w:line="360" w:lineRule="auto"/>
        <w:ind w:firstLineChars="200" w:firstLine="420"/>
        <w:rPr>
          <w:rFonts w:eastAsiaTheme="minorEastAsia"/>
          <w:color w:val="000000" w:themeColor="text1"/>
          <w:szCs w:val="21"/>
          <w:lang w:val="en-GB"/>
        </w:rPr>
      </w:pPr>
    </w:p>
    <w:p w:rsidR="003049BB" w:rsidRPr="003049BB" w:rsidRDefault="003049BB" w:rsidP="003049BB">
      <w:pPr>
        <w:spacing w:line="360" w:lineRule="auto"/>
        <w:ind w:firstLineChars="200" w:firstLine="420"/>
        <w:rPr>
          <w:rFonts w:eastAsiaTheme="minorEastAsia"/>
          <w:color w:val="000000" w:themeColor="text1"/>
          <w:szCs w:val="21"/>
          <w:lang w:val="en-GB"/>
        </w:rPr>
      </w:pPr>
      <w:bookmarkStart w:id="94" w:name="PL13"/>
      <w:r w:rsidRPr="003049BB">
        <w:rPr>
          <w:rFonts w:eastAsiaTheme="minorEastAsia"/>
          <w:color w:val="000000" w:themeColor="text1"/>
          <w:szCs w:val="21"/>
          <w:lang w:val="en-GB"/>
        </w:rPr>
        <w:t>本财务报表由本基金的基金管理人上投摩根基金管理有限公司于</w:t>
      </w:r>
      <w:r w:rsidRPr="003049BB">
        <w:rPr>
          <w:rFonts w:eastAsiaTheme="minorEastAsia"/>
          <w:color w:val="000000" w:themeColor="text1"/>
          <w:szCs w:val="21"/>
          <w:lang w:val="en-GB"/>
        </w:rPr>
        <w:t>2019</w:t>
      </w:r>
      <w:r w:rsidRPr="003049BB">
        <w:rPr>
          <w:rFonts w:eastAsiaTheme="minorEastAsia"/>
          <w:color w:val="000000" w:themeColor="text1"/>
          <w:szCs w:val="21"/>
          <w:lang w:val="en-GB"/>
        </w:rPr>
        <w:t>年</w:t>
      </w:r>
      <w:r w:rsidRPr="003049BB">
        <w:rPr>
          <w:rFonts w:eastAsiaTheme="minorEastAsia"/>
          <w:color w:val="000000" w:themeColor="text1"/>
          <w:szCs w:val="21"/>
          <w:lang w:val="en-GB"/>
        </w:rPr>
        <w:t>3</w:t>
      </w:r>
      <w:r w:rsidRPr="003049BB">
        <w:rPr>
          <w:rFonts w:eastAsiaTheme="minorEastAsia"/>
          <w:color w:val="000000" w:themeColor="text1"/>
          <w:szCs w:val="21"/>
          <w:lang w:val="en-GB"/>
        </w:rPr>
        <w:t>月</w:t>
      </w:r>
      <w:r w:rsidRPr="003049BB">
        <w:rPr>
          <w:rFonts w:eastAsiaTheme="minorEastAsia"/>
          <w:color w:val="000000" w:themeColor="text1"/>
          <w:szCs w:val="21"/>
          <w:lang w:val="en-GB"/>
        </w:rPr>
        <w:t>26</w:t>
      </w:r>
      <w:r w:rsidRPr="003049BB">
        <w:rPr>
          <w:rFonts w:eastAsiaTheme="minorEastAsia"/>
          <w:color w:val="000000" w:themeColor="text1"/>
          <w:szCs w:val="21"/>
          <w:lang w:val="en-GB"/>
        </w:rPr>
        <w:t>日批准报出。</w:t>
      </w:r>
      <w:bookmarkEnd w:id="94"/>
    </w:p>
    <w:p w:rsidR="001A59F9" w:rsidRPr="003049BB" w:rsidRDefault="001A59F9" w:rsidP="00961AC0">
      <w:pPr>
        <w:spacing w:line="360" w:lineRule="auto"/>
        <w:ind w:firstLineChars="200" w:firstLine="420"/>
        <w:rPr>
          <w:rFonts w:eastAsiaTheme="minorEastAsia"/>
          <w:color w:val="000000" w:themeColor="text1"/>
          <w:szCs w:val="21"/>
          <w:lang w:val="en-GB"/>
        </w:rPr>
      </w:pP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7.4.2</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会计报表的编制基础</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本基金的财务报表按照财政部于</w:t>
      </w:r>
      <w:r>
        <w:rPr>
          <w:rFonts w:eastAsiaTheme="minorEastAsia"/>
          <w:color w:val="000000" w:themeColor="text1"/>
          <w:szCs w:val="21"/>
        </w:rPr>
        <w:t>2006</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w:t>
      </w:r>
      <w:r>
        <w:rPr>
          <w:rFonts w:eastAsiaTheme="minorEastAsia"/>
          <w:color w:val="000000" w:themeColor="text1"/>
          <w:szCs w:val="21"/>
        </w:rPr>
        <w:t>15</w:t>
      </w:r>
      <w:r>
        <w:rPr>
          <w:rFonts w:eastAsiaTheme="minorEastAsia"/>
          <w:color w:val="000000" w:themeColor="text1"/>
          <w:szCs w:val="21"/>
        </w:rPr>
        <w:t>日及以后期间颁布的《企业会计准则－基本准则》、各项具体会计准则及相关规定</w:t>
      </w:r>
      <w:r>
        <w:rPr>
          <w:rFonts w:eastAsiaTheme="minorEastAsia"/>
          <w:color w:val="000000" w:themeColor="text1"/>
          <w:szCs w:val="21"/>
        </w:rPr>
        <w:t>(</w:t>
      </w:r>
      <w:r>
        <w:rPr>
          <w:rFonts w:eastAsiaTheme="minorEastAsia"/>
          <w:color w:val="000000" w:themeColor="text1"/>
          <w:szCs w:val="21"/>
        </w:rPr>
        <w:t>以下合称</w:t>
      </w:r>
      <w:r>
        <w:rPr>
          <w:rFonts w:eastAsiaTheme="minorEastAsia"/>
          <w:color w:val="000000" w:themeColor="text1"/>
          <w:szCs w:val="21"/>
        </w:rPr>
        <w:t>“</w:t>
      </w:r>
      <w:r>
        <w:rPr>
          <w:rFonts w:eastAsiaTheme="minorEastAsia"/>
          <w:color w:val="000000" w:themeColor="text1"/>
          <w:szCs w:val="21"/>
        </w:rPr>
        <w:t>企业会计准则</w:t>
      </w:r>
      <w:r>
        <w:rPr>
          <w:rFonts w:eastAsiaTheme="minorEastAsia"/>
          <w:color w:val="000000" w:themeColor="text1"/>
          <w:szCs w:val="21"/>
        </w:rPr>
        <w:t>”)</w:t>
      </w:r>
      <w:r>
        <w:rPr>
          <w:rFonts w:eastAsiaTheme="minorEastAsia"/>
          <w:color w:val="000000" w:themeColor="text1"/>
          <w:szCs w:val="21"/>
        </w:rPr>
        <w:t>、中国证监会颁布的《证券投资基金信息披露</w:t>
      </w:r>
      <w:r>
        <w:rPr>
          <w:rFonts w:eastAsiaTheme="minorEastAsia"/>
          <w:color w:val="000000" w:themeColor="text1"/>
          <w:szCs w:val="21"/>
        </w:rPr>
        <w:t>XBRL</w:t>
      </w:r>
      <w:r>
        <w:rPr>
          <w:rFonts w:eastAsiaTheme="minorEastAsia"/>
          <w:color w:val="000000" w:themeColor="text1"/>
          <w:szCs w:val="21"/>
        </w:rPr>
        <w:t>模板第</w:t>
      </w:r>
      <w:r>
        <w:rPr>
          <w:rFonts w:eastAsiaTheme="minorEastAsia"/>
          <w:color w:val="000000" w:themeColor="text1"/>
          <w:szCs w:val="21"/>
        </w:rPr>
        <w:t>3</w:t>
      </w:r>
      <w:r>
        <w:rPr>
          <w:rFonts w:eastAsiaTheme="minorEastAsia"/>
          <w:color w:val="000000" w:themeColor="text1"/>
          <w:szCs w:val="21"/>
        </w:rPr>
        <w:t>号</w:t>
      </w:r>
      <w:r>
        <w:rPr>
          <w:rFonts w:eastAsiaTheme="minorEastAsia"/>
          <w:color w:val="000000" w:themeColor="text1"/>
          <w:szCs w:val="21"/>
        </w:rPr>
        <w:t>&lt;</w:t>
      </w:r>
      <w:r>
        <w:rPr>
          <w:rFonts w:eastAsiaTheme="minorEastAsia"/>
          <w:color w:val="000000" w:themeColor="text1"/>
          <w:szCs w:val="21"/>
        </w:rPr>
        <w:t>年度报告和半年度报告</w:t>
      </w:r>
      <w:r>
        <w:rPr>
          <w:rFonts w:eastAsiaTheme="minorEastAsia"/>
          <w:color w:val="000000" w:themeColor="text1"/>
          <w:szCs w:val="21"/>
        </w:rPr>
        <w:t>&gt;</w:t>
      </w:r>
      <w:r>
        <w:rPr>
          <w:rFonts w:eastAsiaTheme="minorEastAsia"/>
          <w:color w:val="000000" w:themeColor="text1"/>
          <w:szCs w:val="21"/>
        </w:rPr>
        <w:t>》、中国证券投资基金业协会</w:t>
      </w:r>
      <w:r>
        <w:rPr>
          <w:rFonts w:eastAsiaTheme="minorEastAsia"/>
          <w:color w:val="000000" w:themeColor="text1"/>
          <w:szCs w:val="21"/>
        </w:rPr>
        <w:t>(</w:t>
      </w:r>
      <w:r>
        <w:rPr>
          <w:rFonts w:eastAsiaTheme="minorEastAsia"/>
          <w:color w:val="000000" w:themeColor="text1"/>
          <w:szCs w:val="21"/>
        </w:rPr>
        <w:t>以下简称</w:t>
      </w:r>
      <w:r>
        <w:rPr>
          <w:rFonts w:eastAsiaTheme="minorEastAsia"/>
          <w:color w:val="000000" w:themeColor="text1"/>
          <w:szCs w:val="21"/>
        </w:rPr>
        <w:t>“</w:t>
      </w:r>
      <w:r>
        <w:rPr>
          <w:rFonts w:eastAsiaTheme="minorEastAsia"/>
          <w:color w:val="000000" w:themeColor="text1"/>
          <w:szCs w:val="21"/>
        </w:rPr>
        <w:t>中国基金业协会</w:t>
      </w:r>
      <w:r>
        <w:rPr>
          <w:rFonts w:eastAsiaTheme="minorEastAsia"/>
          <w:color w:val="000000" w:themeColor="text1"/>
          <w:szCs w:val="21"/>
        </w:rPr>
        <w:t>”)</w:t>
      </w:r>
      <w:r>
        <w:rPr>
          <w:rFonts w:eastAsiaTheme="minorEastAsia"/>
          <w:color w:val="000000" w:themeColor="text1"/>
          <w:szCs w:val="21"/>
        </w:rPr>
        <w:t>颁布的《证券投资基金会计核算业务指引》、《上投摩根岁岁金定期开放债券型证券投资基金基金合同》和在财务报表附注</w:t>
      </w:r>
      <w:r>
        <w:rPr>
          <w:rFonts w:eastAsiaTheme="minorEastAsia"/>
          <w:color w:val="000000" w:themeColor="text1"/>
          <w:szCs w:val="21"/>
        </w:rPr>
        <w:t>7.4.4</w:t>
      </w:r>
      <w:r>
        <w:rPr>
          <w:rFonts w:eastAsiaTheme="minorEastAsia"/>
          <w:color w:val="000000" w:themeColor="text1"/>
          <w:szCs w:val="21"/>
        </w:rPr>
        <w:t>所列示的中国证监会、中国基金业协会发布的有关规定及允许的基金行业实务操作编制。</w:t>
      </w:r>
    </w:p>
    <w:p w:rsidR="00C133DD" w:rsidRDefault="00C133DD">
      <w:pPr>
        <w:spacing w:line="360" w:lineRule="auto"/>
        <w:ind w:firstLineChars="200" w:firstLine="420"/>
        <w:rPr>
          <w:rFonts w:eastAsiaTheme="minorEastAsia"/>
          <w:color w:val="000000" w:themeColor="text1"/>
          <w:szCs w:val="21"/>
        </w:rPr>
      </w:pPr>
    </w:p>
    <w:p w:rsidR="001A59F9" w:rsidRPr="00C56D9D" w:rsidRDefault="00F22AB4" w:rsidP="00F22AB4">
      <w:pPr>
        <w:spacing w:line="360" w:lineRule="auto"/>
        <w:ind w:firstLineChars="200" w:firstLine="420"/>
        <w:rPr>
          <w:rFonts w:eastAsiaTheme="minorEastAsia"/>
          <w:color w:val="000000" w:themeColor="text1"/>
          <w:szCs w:val="21"/>
        </w:rPr>
      </w:pPr>
      <w:bookmarkStart w:id="95" w:name="PL25"/>
      <w:r w:rsidRPr="00F22AB4">
        <w:rPr>
          <w:rFonts w:eastAsiaTheme="minorEastAsia"/>
          <w:color w:val="000000" w:themeColor="text1"/>
          <w:szCs w:val="21"/>
          <w:lang w:val="en-GB"/>
        </w:rPr>
        <w:t>根据《公开募集证券投资基金运作管理办法》的相关规定，开放式基金在基金合同生效后，连续</w:t>
      </w:r>
      <w:r w:rsidRPr="00F22AB4">
        <w:rPr>
          <w:rFonts w:eastAsiaTheme="minorEastAsia"/>
          <w:color w:val="000000" w:themeColor="text1"/>
          <w:szCs w:val="21"/>
          <w:lang w:val="en-GB"/>
        </w:rPr>
        <w:t>60</w:t>
      </w:r>
      <w:r w:rsidRPr="00F22AB4">
        <w:rPr>
          <w:rFonts w:eastAsiaTheme="minorEastAsia"/>
          <w:color w:val="000000" w:themeColor="text1"/>
          <w:szCs w:val="21"/>
          <w:lang w:val="en-GB"/>
        </w:rPr>
        <w:t>个工作日出现基金份额持有人数量不满</w:t>
      </w:r>
      <w:r w:rsidRPr="00F22AB4">
        <w:rPr>
          <w:rFonts w:eastAsiaTheme="minorEastAsia"/>
          <w:color w:val="000000" w:themeColor="text1"/>
          <w:szCs w:val="21"/>
          <w:lang w:val="en-GB"/>
        </w:rPr>
        <w:t>200</w:t>
      </w:r>
      <w:r w:rsidRPr="00F22AB4">
        <w:rPr>
          <w:rFonts w:eastAsiaTheme="minorEastAsia"/>
          <w:color w:val="000000" w:themeColor="text1"/>
          <w:szCs w:val="21"/>
          <w:lang w:val="en-GB"/>
        </w:rPr>
        <w:t>人或者基金资产净值低于</w:t>
      </w:r>
      <w:r w:rsidRPr="00F22AB4">
        <w:rPr>
          <w:rFonts w:eastAsiaTheme="minorEastAsia"/>
          <w:color w:val="000000" w:themeColor="text1"/>
          <w:szCs w:val="21"/>
          <w:lang w:val="en-GB"/>
        </w:rPr>
        <w:t>5,000</w:t>
      </w:r>
      <w:r w:rsidRPr="00F22AB4">
        <w:rPr>
          <w:rFonts w:eastAsiaTheme="minorEastAsia"/>
          <w:color w:val="000000" w:themeColor="text1"/>
          <w:szCs w:val="21"/>
          <w:lang w:val="en-GB"/>
        </w:rPr>
        <w:t>万元情形的，基金管理人应当向中国证监会报告并提出解决方案，如转换运作方式、与其他基金合并或者终止基金合同等，并召开基金份额持有人大会进行表决。于</w:t>
      </w:r>
      <w:r w:rsidRPr="00F22AB4">
        <w:rPr>
          <w:rFonts w:eastAsiaTheme="minorEastAsia"/>
          <w:color w:val="000000" w:themeColor="text1"/>
          <w:szCs w:val="21"/>
          <w:lang w:val="en-GB"/>
        </w:rPr>
        <w:t>2018</w:t>
      </w:r>
      <w:r w:rsidRPr="00F22AB4">
        <w:rPr>
          <w:rFonts w:eastAsiaTheme="minorEastAsia"/>
          <w:color w:val="000000" w:themeColor="text1"/>
          <w:szCs w:val="21"/>
          <w:lang w:val="en-GB"/>
        </w:rPr>
        <w:t>年</w:t>
      </w:r>
      <w:r w:rsidRPr="00F22AB4">
        <w:rPr>
          <w:rFonts w:eastAsiaTheme="minorEastAsia"/>
          <w:color w:val="000000" w:themeColor="text1"/>
          <w:szCs w:val="21"/>
          <w:lang w:val="en-GB"/>
        </w:rPr>
        <w:t>12</w:t>
      </w:r>
      <w:r w:rsidRPr="00F22AB4">
        <w:rPr>
          <w:rFonts w:eastAsiaTheme="minorEastAsia"/>
          <w:color w:val="000000" w:themeColor="text1"/>
          <w:szCs w:val="21"/>
          <w:lang w:val="en-GB"/>
        </w:rPr>
        <w:t>月</w:t>
      </w:r>
      <w:r w:rsidRPr="00F22AB4">
        <w:rPr>
          <w:rFonts w:eastAsiaTheme="minorEastAsia"/>
          <w:color w:val="000000" w:themeColor="text1"/>
          <w:szCs w:val="21"/>
          <w:lang w:val="en-GB"/>
        </w:rPr>
        <w:t>31</w:t>
      </w:r>
      <w:r w:rsidRPr="00F22AB4">
        <w:rPr>
          <w:rFonts w:eastAsiaTheme="minorEastAsia"/>
          <w:color w:val="000000" w:themeColor="text1"/>
          <w:szCs w:val="21"/>
          <w:lang w:val="en-GB"/>
        </w:rPr>
        <w:t>日，本基金出现连续</w:t>
      </w:r>
      <w:r w:rsidRPr="00F22AB4">
        <w:rPr>
          <w:rFonts w:eastAsiaTheme="minorEastAsia"/>
          <w:color w:val="000000" w:themeColor="text1"/>
          <w:szCs w:val="21"/>
          <w:lang w:val="en-GB"/>
        </w:rPr>
        <w:t>60</w:t>
      </w:r>
      <w:r w:rsidRPr="00F22AB4">
        <w:rPr>
          <w:rFonts w:eastAsiaTheme="minorEastAsia"/>
          <w:color w:val="000000" w:themeColor="text1"/>
          <w:szCs w:val="21"/>
          <w:lang w:val="en-GB"/>
        </w:rPr>
        <w:t>个工作日基金资产净值低于</w:t>
      </w:r>
      <w:r w:rsidRPr="00F22AB4">
        <w:rPr>
          <w:rFonts w:eastAsiaTheme="minorEastAsia"/>
          <w:color w:val="000000" w:themeColor="text1"/>
          <w:szCs w:val="21"/>
          <w:lang w:val="en-GB"/>
        </w:rPr>
        <w:t>5,000</w:t>
      </w:r>
      <w:r w:rsidRPr="00F22AB4">
        <w:rPr>
          <w:rFonts w:eastAsiaTheme="minorEastAsia"/>
          <w:color w:val="000000" w:themeColor="text1"/>
          <w:szCs w:val="21"/>
          <w:lang w:val="en-GB"/>
        </w:rPr>
        <w:t>万元的情形，本基金的基金管理人已向中国证监会报告并在评估后续处理</w:t>
      </w:r>
      <w:r w:rsidRPr="00F22AB4">
        <w:rPr>
          <w:rFonts w:eastAsiaTheme="minorEastAsia"/>
          <w:color w:val="000000" w:themeColor="text1"/>
          <w:szCs w:val="21"/>
          <w:lang w:val="en-GB"/>
        </w:rPr>
        <w:lastRenderedPageBreak/>
        <w:t>方案，故本财务报表仍以持续经营为基础编制。</w:t>
      </w:r>
      <w:bookmarkEnd w:id="95"/>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7.4.3</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遵循企业会计准则及其他有关规定的声明</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w:t>
      </w:r>
      <w:r w:rsidRPr="00C56D9D">
        <w:rPr>
          <w:rFonts w:eastAsiaTheme="minorEastAsia"/>
          <w:color w:val="000000" w:themeColor="text1"/>
          <w:szCs w:val="21"/>
        </w:rPr>
        <w:t>2018</w:t>
      </w:r>
      <w:r w:rsidRPr="00C56D9D">
        <w:rPr>
          <w:rFonts w:eastAsiaTheme="minorEastAsia"/>
          <w:color w:val="000000" w:themeColor="text1"/>
          <w:szCs w:val="21"/>
        </w:rPr>
        <w:t>年度财务报表符合企业会计准则的要求，真实、完整地反映了本基金</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日的财务状况以及</w:t>
      </w:r>
      <w:r w:rsidRPr="00C56D9D">
        <w:rPr>
          <w:rFonts w:eastAsiaTheme="minorEastAsia"/>
          <w:color w:val="000000" w:themeColor="text1"/>
          <w:szCs w:val="21"/>
        </w:rPr>
        <w:t>2018</w:t>
      </w:r>
      <w:r w:rsidRPr="00C56D9D">
        <w:rPr>
          <w:rFonts w:eastAsiaTheme="minorEastAsia"/>
          <w:color w:val="000000" w:themeColor="text1"/>
          <w:szCs w:val="21"/>
        </w:rPr>
        <w:t>年度的经营成果和基金净值变动情况等有关信息。</w:t>
      </w:r>
    </w:p>
    <w:p w:rsidR="00E10D4D" w:rsidRPr="00DA3772" w:rsidRDefault="00E10D4D" w:rsidP="00E10D4D">
      <w:pPr>
        <w:spacing w:line="360" w:lineRule="auto"/>
        <w:rPr>
          <w:b/>
          <w:color w:val="000000" w:themeColor="text1"/>
          <w:szCs w:val="21"/>
        </w:rPr>
      </w:pPr>
      <w:r w:rsidRPr="00DA3772">
        <w:rPr>
          <w:b/>
          <w:color w:val="000000" w:themeColor="text1"/>
          <w:szCs w:val="21"/>
        </w:rPr>
        <w:t>7.4.4</w:t>
      </w:r>
      <w:r w:rsidRPr="00DA3772">
        <w:rPr>
          <w:rFonts w:hint="eastAsia"/>
          <w:b/>
          <w:color w:val="000000" w:themeColor="text1"/>
          <w:szCs w:val="21"/>
        </w:rPr>
        <w:t>本报告期所采用的会计政策、会计估计与最近一期年度报告相一致的说明</w:t>
      </w:r>
    </w:p>
    <w:p w:rsidR="00E10D4D" w:rsidRPr="00DA3772" w:rsidRDefault="00E10D4D" w:rsidP="00E10D4D">
      <w:pPr>
        <w:spacing w:line="360" w:lineRule="auto"/>
        <w:rPr>
          <w:color w:val="000000" w:themeColor="text1"/>
          <w:szCs w:val="21"/>
        </w:rPr>
      </w:pPr>
      <w:r w:rsidRPr="00DA3772">
        <w:rPr>
          <w:rFonts w:hint="eastAsia"/>
          <w:color w:val="000000" w:themeColor="text1"/>
          <w:szCs w:val="21"/>
        </w:rPr>
        <w:t xml:space="preserve">    </w:t>
      </w:r>
      <w:r w:rsidRPr="00DA3772">
        <w:rPr>
          <w:rFonts w:hint="eastAsia"/>
          <w:color w:val="000000" w:themeColor="text1"/>
          <w:szCs w:val="21"/>
        </w:rPr>
        <w:t>本基金本报告期所采用的会计政策、会计估计与最近一期年度报告相一致。</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7.4.5</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会计政策和会计估计变更以及差错更正的说明</w:t>
      </w:r>
    </w:p>
    <w:p w:rsidR="001A59F9" w:rsidRPr="00C56D9D" w:rsidRDefault="001A59F9" w:rsidP="00644AF0">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7.4.5.1</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会计政策变更的说明</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本基金本报告期未发生会计政策变更。</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7.4.5.2</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会计估计变更的说明</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本基金本报告期未发生会计估计变更。</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7.4.5.3</w:t>
      </w:r>
      <w:r w:rsidRPr="00C56D9D">
        <w:rPr>
          <w:rFonts w:eastAsiaTheme="minorEastAsia"/>
          <w:b/>
          <w:color w:val="000000" w:themeColor="text1"/>
          <w:kern w:val="0"/>
          <w:szCs w:val="21"/>
        </w:rPr>
        <w:t xml:space="preserve"> </w:t>
      </w:r>
      <w:r w:rsidRPr="00C56D9D">
        <w:rPr>
          <w:rFonts w:eastAsiaTheme="minorEastAsia"/>
          <w:b/>
          <w:color w:val="000000" w:themeColor="text1"/>
          <w:kern w:val="0"/>
          <w:szCs w:val="21"/>
        </w:rPr>
        <w:t>差错更正的说明</w:t>
      </w: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本基金在本报告期间无须说明的会计差错更正。</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7.4.6</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税项</w:t>
      </w: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根据财政部、国家税务总局财税</w:t>
      </w:r>
      <w:r>
        <w:rPr>
          <w:rFonts w:eastAsiaTheme="minorEastAsia"/>
          <w:color w:val="000000" w:themeColor="text1"/>
          <w:szCs w:val="21"/>
        </w:rPr>
        <w:t>[2008]1</w:t>
      </w:r>
      <w:r>
        <w:rPr>
          <w:rFonts w:eastAsiaTheme="minorEastAsia"/>
          <w:color w:val="000000" w:themeColor="text1"/>
          <w:szCs w:val="21"/>
        </w:rPr>
        <w:t>号《关于企业所得税若干优惠政策的通知》、财税</w:t>
      </w:r>
      <w:r>
        <w:rPr>
          <w:rFonts w:eastAsiaTheme="minorEastAsia"/>
          <w:color w:val="000000" w:themeColor="text1"/>
          <w:szCs w:val="21"/>
        </w:rPr>
        <w:t>[2016]36</w:t>
      </w:r>
      <w:r>
        <w:rPr>
          <w:rFonts w:eastAsiaTheme="minorEastAsia"/>
          <w:color w:val="000000" w:themeColor="text1"/>
          <w:szCs w:val="21"/>
        </w:rPr>
        <w:t>号《关于全面推开营业税改征增值税试点的通知》、财税</w:t>
      </w:r>
      <w:r>
        <w:rPr>
          <w:rFonts w:eastAsiaTheme="minorEastAsia"/>
          <w:color w:val="000000" w:themeColor="text1"/>
          <w:szCs w:val="21"/>
        </w:rPr>
        <w:t>[2016]46</w:t>
      </w:r>
      <w:r>
        <w:rPr>
          <w:rFonts w:eastAsiaTheme="minorEastAsia"/>
          <w:color w:val="000000" w:themeColor="text1"/>
          <w:szCs w:val="21"/>
        </w:rPr>
        <w:t>号《关于进一步明确全面推开营改增试点金融业有关政策的通知》、财税</w:t>
      </w:r>
      <w:r>
        <w:rPr>
          <w:rFonts w:eastAsiaTheme="minorEastAsia"/>
          <w:color w:val="000000" w:themeColor="text1"/>
          <w:szCs w:val="21"/>
        </w:rPr>
        <w:t>[2016]70</w:t>
      </w:r>
      <w:r>
        <w:rPr>
          <w:rFonts w:eastAsiaTheme="minorEastAsia"/>
          <w:color w:val="000000" w:themeColor="text1"/>
          <w:szCs w:val="21"/>
        </w:rPr>
        <w:t>号《关于金融机构同业往来等增值税政策的补充通知》、财税</w:t>
      </w:r>
      <w:r>
        <w:rPr>
          <w:rFonts w:eastAsiaTheme="minorEastAsia"/>
          <w:color w:val="000000" w:themeColor="text1"/>
          <w:szCs w:val="21"/>
        </w:rPr>
        <w:t>[2016]140</w:t>
      </w:r>
      <w:r>
        <w:rPr>
          <w:rFonts w:eastAsiaTheme="minorEastAsia"/>
          <w:color w:val="000000" w:themeColor="text1"/>
          <w:szCs w:val="21"/>
        </w:rPr>
        <w:t>号《关于明确金融房地产开发教育辅助服务等增值税政策的通知》、财税</w:t>
      </w:r>
      <w:r>
        <w:rPr>
          <w:rFonts w:eastAsiaTheme="minorEastAsia"/>
          <w:color w:val="000000" w:themeColor="text1"/>
          <w:szCs w:val="21"/>
        </w:rPr>
        <w:t>[2017]2</w:t>
      </w:r>
      <w:r>
        <w:rPr>
          <w:rFonts w:eastAsiaTheme="minorEastAsia"/>
          <w:color w:val="000000" w:themeColor="text1"/>
          <w:szCs w:val="21"/>
        </w:rPr>
        <w:t>号《关于资管产品增值税政策有关问题的补充通知》、财税</w:t>
      </w:r>
      <w:r>
        <w:rPr>
          <w:rFonts w:eastAsiaTheme="minorEastAsia"/>
          <w:color w:val="000000" w:themeColor="text1"/>
          <w:szCs w:val="21"/>
        </w:rPr>
        <w:t>[2017]56</w:t>
      </w:r>
      <w:r>
        <w:rPr>
          <w:rFonts w:eastAsiaTheme="minorEastAsia"/>
          <w:color w:val="000000" w:themeColor="text1"/>
          <w:szCs w:val="21"/>
        </w:rPr>
        <w:t>号《关于资管产品增值税有关问题的通知》、财税</w:t>
      </w:r>
      <w:r>
        <w:rPr>
          <w:rFonts w:eastAsiaTheme="minorEastAsia"/>
          <w:color w:val="000000" w:themeColor="text1"/>
          <w:szCs w:val="21"/>
        </w:rPr>
        <w:t>[2017]90</w:t>
      </w:r>
      <w:r>
        <w:rPr>
          <w:rFonts w:eastAsiaTheme="minorEastAsia"/>
          <w:color w:val="000000" w:themeColor="text1"/>
          <w:szCs w:val="21"/>
        </w:rPr>
        <w:t>号《关于租入固定资产进项税额抵扣等增值税政策的通知》及其他相关财税法规和实务操作，主要税项列示如下：</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 xml:space="preserve">(1) </w:t>
      </w:r>
      <w:r>
        <w:rPr>
          <w:rFonts w:eastAsiaTheme="minorEastAsia"/>
          <w:color w:val="000000" w:themeColor="text1"/>
          <w:szCs w:val="21"/>
        </w:rPr>
        <w:t>资管产品运营过程中发生的增值税应税行为，以资管产品管理人为增值税纳税人。资管产品管理人运营资管产品过程中发生的增值税应税行为，暂适用简易计税方法，按照</w:t>
      </w:r>
      <w:r>
        <w:rPr>
          <w:rFonts w:eastAsiaTheme="minorEastAsia"/>
          <w:color w:val="000000" w:themeColor="text1"/>
          <w:szCs w:val="21"/>
        </w:rPr>
        <w:t>3%</w:t>
      </w:r>
      <w:r>
        <w:rPr>
          <w:rFonts w:eastAsiaTheme="minorEastAsia"/>
          <w:color w:val="000000" w:themeColor="text1"/>
          <w:szCs w:val="21"/>
        </w:rPr>
        <w:t>的征收率缴纳增值税。对资管产品在</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日前运营过程中发生的增值税应税行为，未缴纳增值税的，不再缴纳；已缴纳增值税的，已纳税额从资管产品管理人以后月份的增值税应纳税额中抵减。</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对证券投资基金管理人运用基金买卖债券的转让收入免征增值税，对国债、地方政府债以及金融同业往来利息收入亦免征增值税。资管产品管理人运营资管产品提供的贷款服务，以</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日起产生的利息及利息性质的收入为销售额。</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对基金从证券市场中取得的收入，包括买卖债券的差价收入，债券的利息收入及其他收入，暂不征收企业所得税。</w:t>
      </w:r>
    </w:p>
    <w:p w:rsidR="00C133DD" w:rsidRDefault="00C133DD">
      <w:pPr>
        <w:spacing w:line="360" w:lineRule="auto"/>
        <w:ind w:firstLineChars="200" w:firstLine="420"/>
        <w:rPr>
          <w:rFonts w:eastAsiaTheme="minorEastAsia"/>
          <w:color w:val="000000" w:themeColor="text1"/>
          <w:szCs w:val="21"/>
        </w:rPr>
      </w:pPr>
    </w:p>
    <w:p w:rsidR="00C133DD" w:rsidRDefault="00157FC2">
      <w:pPr>
        <w:spacing w:line="360" w:lineRule="auto"/>
        <w:ind w:firstLineChars="200" w:firstLine="420"/>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对基金取得的企业债券利息收入，应由发行债券的企业在向基金支付利息时代扣代缴</w:t>
      </w:r>
      <w:r>
        <w:rPr>
          <w:rFonts w:eastAsiaTheme="minorEastAsia"/>
          <w:color w:val="000000" w:themeColor="text1"/>
          <w:szCs w:val="21"/>
        </w:rPr>
        <w:t>20%</w:t>
      </w:r>
      <w:r>
        <w:rPr>
          <w:rFonts w:eastAsiaTheme="minorEastAsia"/>
          <w:color w:val="000000" w:themeColor="text1"/>
          <w:szCs w:val="21"/>
        </w:rPr>
        <w:t>的个人所得税。</w:t>
      </w:r>
    </w:p>
    <w:p w:rsidR="00C133DD" w:rsidRDefault="00C133DD">
      <w:pPr>
        <w:spacing w:line="360" w:lineRule="auto"/>
        <w:ind w:firstLineChars="200" w:firstLine="420"/>
        <w:rPr>
          <w:rFonts w:eastAsiaTheme="minorEastAsia"/>
          <w:color w:val="000000" w:themeColor="text1"/>
          <w:szCs w:val="21"/>
        </w:rPr>
      </w:pPr>
    </w:p>
    <w:p w:rsidR="001A59F9" w:rsidRPr="00C56D9D" w:rsidRDefault="001A59F9" w:rsidP="00961AC0">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t>(4)</w:t>
      </w:r>
      <w:r w:rsidRPr="00C56D9D">
        <w:rPr>
          <w:rFonts w:eastAsiaTheme="minorEastAsia"/>
          <w:color w:val="000000" w:themeColor="text1"/>
          <w:szCs w:val="21"/>
        </w:rPr>
        <w:t>本基金的城市维护建设税、教育费附加和地方教育费附加等税费按照实际缴纳增值税额的适用比例计算缴纳。</w:t>
      </w:r>
    </w:p>
    <w:p w:rsidR="001A59F9" w:rsidRPr="00C56D9D" w:rsidRDefault="001A59F9" w:rsidP="007320FB">
      <w:pPr>
        <w:spacing w:line="360" w:lineRule="auto"/>
        <w:ind w:firstLineChars="200" w:firstLine="420"/>
        <w:rPr>
          <w:rFonts w:eastAsiaTheme="minorEastAsia"/>
          <w:color w:val="000000" w:themeColor="text1"/>
          <w:szCs w:val="21"/>
        </w:rPr>
      </w:pP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7</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C56D9D" w:rsidRPr="00C56D9D" w:rsidTr="006D141C">
        <w:tc>
          <w:tcPr>
            <w:tcW w:w="5220"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关联方名称</w:t>
            </w:r>
          </w:p>
        </w:tc>
        <w:tc>
          <w:tcPr>
            <w:tcW w:w="3780"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与本基金的关系</w:t>
            </w:r>
          </w:p>
        </w:tc>
      </w:tr>
      <w:tr w:rsidR="00C133DD">
        <w:tc>
          <w:tcPr>
            <w:tcW w:w="5220" w:type="dxa"/>
            <w:vAlign w:val="center"/>
          </w:tcPr>
          <w:p w:rsidR="00C133DD" w:rsidRDefault="00157FC2">
            <w:pPr>
              <w:jc w:val="left"/>
            </w:pPr>
            <w:r>
              <w:rPr>
                <w:rFonts w:eastAsiaTheme="minorEastAsia"/>
                <w:color w:val="000000" w:themeColor="text1"/>
                <w:szCs w:val="21"/>
              </w:rPr>
              <w:t>上投摩根基金管理有限公司</w:t>
            </w:r>
          </w:p>
        </w:tc>
        <w:tc>
          <w:tcPr>
            <w:tcW w:w="3780" w:type="dxa"/>
            <w:vAlign w:val="center"/>
          </w:tcPr>
          <w:p w:rsidR="00C133DD" w:rsidRDefault="00157FC2">
            <w:pPr>
              <w:jc w:val="center"/>
            </w:pPr>
            <w:r>
              <w:rPr>
                <w:rFonts w:eastAsiaTheme="minorEastAsia"/>
                <w:color w:val="000000" w:themeColor="text1"/>
                <w:szCs w:val="21"/>
              </w:rPr>
              <w:t>基金管理人、注册登记机构、基金销售机构</w:t>
            </w:r>
          </w:p>
        </w:tc>
      </w:tr>
      <w:tr w:rsidR="00C133DD">
        <w:tc>
          <w:tcPr>
            <w:tcW w:w="5220" w:type="dxa"/>
            <w:vAlign w:val="center"/>
          </w:tcPr>
          <w:p w:rsidR="00C133DD" w:rsidRDefault="00157FC2">
            <w:pPr>
              <w:jc w:val="left"/>
            </w:pPr>
            <w:r>
              <w:rPr>
                <w:rFonts w:eastAsiaTheme="minorEastAsia"/>
                <w:color w:val="000000" w:themeColor="text1"/>
                <w:szCs w:val="21"/>
              </w:rPr>
              <w:t>平安银行股份有限公司</w:t>
            </w:r>
            <w:r>
              <w:rPr>
                <w:rFonts w:eastAsiaTheme="minorEastAsia"/>
                <w:color w:val="000000" w:themeColor="text1"/>
                <w:szCs w:val="21"/>
              </w:rPr>
              <w:t>(“</w:t>
            </w:r>
            <w:r>
              <w:rPr>
                <w:rFonts w:eastAsiaTheme="minorEastAsia"/>
                <w:color w:val="000000" w:themeColor="text1"/>
                <w:szCs w:val="21"/>
              </w:rPr>
              <w:t>平安银行</w:t>
            </w:r>
            <w:r>
              <w:rPr>
                <w:rFonts w:eastAsiaTheme="minorEastAsia"/>
                <w:color w:val="000000" w:themeColor="text1"/>
                <w:szCs w:val="21"/>
              </w:rPr>
              <w:t>”)</w:t>
            </w:r>
          </w:p>
        </w:tc>
        <w:tc>
          <w:tcPr>
            <w:tcW w:w="3780" w:type="dxa"/>
            <w:vAlign w:val="center"/>
          </w:tcPr>
          <w:p w:rsidR="00C133DD" w:rsidRDefault="00157FC2">
            <w:pPr>
              <w:jc w:val="center"/>
            </w:pPr>
            <w:r>
              <w:rPr>
                <w:rFonts w:eastAsiaTheme="minorEastAsia"/>
                <w:color w:val="000000" w:themeColor="text1"/>
                <w:szCs w:val="21"/>
              </w:rPr>
              <w:t>基金托管人、基金销售机构</w:t>
            </w:r>
          </w:p>
        </w:tc>
      </w:tr>
      <w:tr w:rsidR="00C133DD">
        <w:tc>
          <w:tcPr>
            <w:tcW w:w="5220" w:type="dxa"/>
            <w:vAlign w:val="center"/>
          </w:tcPr>
          <w:p w:rsidR="00C133DD" w:rsidRDefault="00157FC2">
            <w:pPr>
              <w:jc w:val="left"/>
            </w:pPr>
            <w:r>
              <w:rPr>
                <w:rFonts w:eastAsiaTheme="minorEastAsia"/>
                <w:color w:val="000000" w:themeColor="text1"/>
                <w:szCs w:val="21"/>
              </w:rPr>
              <w:t>上海国际信托有限公司</w:t>
            </w:r>
            <w:r>
              <w:rPr>
                <w:rFonts w:eastAsiaTheme="minorEastAsia"/>
                <w:color w:val="000000" w:themeColor="text1"/>
                <w:szCs w:val="21"/>
              </w:rPr>
              <w:t>(“</w:t>
            </w:r>
            <w:r>
              <w:rPr>
                <w:rFonts w:eastAsiaTheme="minorEastAsia"/>
                <w:color w:val="000000" w:themeColor="text1"/>
                <w:szCs w:val="21"/>
              </w:rPr>
              <w:t>上海信托</w:t>
            </w:r>
            <w:r>
              <w:rPr>
                <w:rFonts w:eastAsiaTheme="minorEastAsia"/>
                <w:color w:val="000000" w:themeColor="text1"/>
                <w:szCs w:val="21"/>
              </w:rPr>
              <w:t>”)</w:t>
            </w:r>
          </w:p>
        </w:tc>
        <w:tc>
          <w:tcPr>
            <w:tcW w:w="3780" w:type="dxa"/>
            <w:vAlign w:val="center"/>
          </w:tcPr>
          <w:p w:rsidR="00C133DD" w:rsidRDefault="00157FC2">
            <w:pPr>
              <w:jc w:val="center"/>
            </w:pPr>
            <w:r>
              <w:rPr>
                <w:rFonts w:eastAsiaTheme="minorEastAsia"/>
                <w:color w:val="000000" w:themeColor="text1"/>
                <w:szCs w:val="21"/>
              </w:rPr>
              <w:t>基金管理人的股东</w:t>
            </w:r>
          </w:p>
        </w:tc>
      </w:tr>
      <w:tr w:rsidR="00C133DD">
        <w:tc>
          <w:tcPr>
            <w:tcW w:w="5220" w:type="dxa"/>
            <w:vAlign w:val="center"/>
          </w:tcPr>
          <w:p w:rsidR="00C133DD" w:rsidRDefault="00157FC2">
            <w:pPr>
              <w:jc w:val="left"/>
            </w:pPr>
            <w:r>
              <w:rPr>
                <w:rFonts w:eastAsiaTheme="minorEastAsia"/>
                <w:color w:val="000000" w:themeColor="text1"/>
                <w:szCs w:val="21"/>
              </w:rPr>
              <w:t>摩根资产管理</w:t>
            </w:r>
            <w:r>
              <w:rPr>
                <w:rFonts w:eastAsiaTheme="minorEastAsia"/>
                <w:color w:val="000000" w:themeColor="text1"/>
                <w:szCs w:val="21"/>
              </w:rPr>
              <w:t>(</w:t>
            </w:r>
            <w:r>
              <w:rPr>
                <w:rFonts w:eastAsiaTheme="minorEastAsia"/>
                <w:color w:val="000000" w:themeColor="text1"/>
                <w:szCs w:val="21"/>
              </w:rPr>
              <w:t>英国</w:t>
            </w:r>
            <w:r>
              <w:rPr>
                <w:rFonts w:eastAsiaTheme="minorEastAsia"/>
                <w:color w:val="000000" w:themeColor="text1"/>
                <w:szCs w:val="21"/>
              </w:rPr>
              <w:t>)</w:t>
            </w:r>
            <w:r>
              <w:rPr>
                <w:rFonts w:eastAsiaTheme="minorEastAsia"/>
                <w:color w:val="000000" w:themeColor="text1"/>
                <w:szCs w:val="21"/>
              </w:rPr>
              <w:t>有限公司</w:t>
            </w:r>
          </w:p>
        </w:tc>
        <w:tc>
          <w:tcPr>
            <w:tcW w:w="3780" w:type="dxa"/>
            <w:vAlign w:val="center"/>
          </w:tcPr>
          <w:p w:rsidR="00C133DD" w:rsidRDefault="00157FC2">
            <w:pPr>
              <w:jc w:val="center"/>
            </w:pPr>
            <w:r>
              <w:rPr>
                <w:rFonts w:eastAsiaTheme="minorEastAsia"/>
                <w:color w:val="000000" w:themeColor="text1"/>
                <w:szCs w:val="21"/>
              </w:rPr>
              <w:t>基金管理人的股东</w:t>
            </w:r>
          </w:p>
        </w:tc>
      </w:tr>
      <w:tr w:rsidR="00C133DD">
        <w:tc>
          <w:tcPr>
            <w:tcW w:w="5220" w:type="dxa"/>
            <w:vAlign w:val="center"/>
          </w:tcPr>
          <w:p w:rsidR="00C133DD" w:rsidRDefault="00157FC2">
            <w:pPr>
              <w:jc w:val="left"/>
            </w:pPr>
            <w:r>
              <w:rPr>
                <w:rFonts w:eastAsiaTheme="minorEastAsia"/>
                <w:color w:val="000000" w:themeColor="text1"/>
                <w:szCs w:val="21"/>
              </w:rPr>
              <w:t>上海浦东发展银行股份有限公司</w:t>
            </w:r>
            <w:r>
              <w:rPr>
                <w:rFonts w:eastAsiaTheme="minorEastAsia"/>
                <w:color w:val="000000" w:themeColor="text1"/>
                <w:szCs w:val="21"/>
              </w:rPr>
              <w:t>(“</w:t>
            </w:r>
            <w:r>
              <w:rPr>
                <w:rFonts w:eastAsiaTheme="minorEastAsia"/>
                <w:color w:val="000000" w:themeColor="text1"/>
                <w:szCs w:val="21"/>
              </w:rPr>
              <w:t>浦发银行</w:t>
            </w:r>
            <w:r>
              <w:rPr>
                <w:rFonts w:eastAsiaTheme="minorEastAsia"/>
                <w:color w:val="000000" w:themeColor="text1"/>
                <w:szCs w:val="21"/>
              </w:rPr>
              <w:t>”)</w:t>
            </w:r>
          </w:p>
        </w:tc>
        <w:tc>
          <w:tcPr>
            <w:tcW w:w="3780" w:type="dxa"/>
            <w:vAlign w:val="center"/>
          </w:tcPr>
          <w:p w:rsidR="00C133DD" w:rsidRDefault="00157FC2">
            <w:pPr>
              <w:jc w:val="center"/>
            </w:pPr>
            <w:r>
              <w:rPr>
                <w:rFonts w:eastAsiaTheme="minorEastAsia"/>
                <w:color w:val="000000" w:themeColor="text1"/>
                <w:szCs w:val="21"/>
              </w:rPr>
              <w:t>基金管理人的股东上海国际信托有限公司的控股股东、基金销售机构</w:t>
            </w:r>
          </w:p>
        </w:tc>
      </w:tr>
      <w:tr w:rsidR="00C133DD">
        <w:tc>
          <w:tcPr>
            <w:tcW w:w="5220" w:type="dxa"/>
            <w:vAlign w:val="center"/>
          </w:tcPr>
          <w:p w:rsidR="00C133DD" w:rsidRDefault="00157FC2">
            <w:pPr>
              <w:jc w:val="left"/>
            </w:pPr>
            <w:r>
              <w:rPr>
                <w:rFonts w:eastAsiaTheme="minorEastAsia"/>
                <w:color w:val="000000" w:themeColor="text1"/>
                <w:szCs w:val="21"/>
              </w:rPr>
              <w:t>尚腾资本管理有限公司</w:t>
            </w:r>
          </w:p>
        </w:tc>
        <w:tc>
          <w:tcPr>
            <w:tcW w:w="3780" w:type="dxa"/>
            <w:vAlign w:val="center"/>
          </w:tcPr>
          <w:p w:rsidR="00C133DD" w:rsidRDefault="00157FC2">
            <w:pPr>
              <w:jc w:val="center"/>
            </w:pPr>
            <w:r>
              <w:rPr>
                <w:rFonts w:eastAsiaTheme="minorEastAsia"/>
                <w:color w:val="000000" w:themeColor="text1"/>
                <w:szCs w:val="21"/>
              </w:rPr>
              <w:t>基金管理人的子公司</w:t>
            </w:r>
          </w:p>
        </w:tc>
      </w:tr>
      <w:tr w:rsidR="00C133DD">
        <w:tc>
          <w:tcPr>
            <w:tcW w:w="5220" w:type="dxa"/>
            <w:vAlign w:val="center"/>
          </w:tcPr>
          <w:p w:rsidR="00C133DD" w:rsidRDefault="00157FC2">
            <w:pPr>
              <w:jc w:val="left"/>
            </w:pPr>
            <w:r>
              <w:rPr>
                <w:rFonts w:eastAsiaTheme="minorEastAsia"/>
                <w:color w:val="000000" w:themeColor="text1"/>
                <w:szCs w:val="21"/>
              </w:rPr>
              <w:t>上投摩根资产管理</w:t>
            </w:r>
            <w:r>
              <w:rPr>
                <w:rFonts w:eastAsiaTheme="minorEastAsia"/>
                <w:color w:val="000000" w:themeColor="text1"/>
                <w:szCs w:val="21"/>
              </w:rPr>
              <w:t>(</w:t>
            </w:r>
            <w:r>
              <w:rPr>
                <w:rFonts w:eastAsiaTheme="minorEastAsia"/>
                <w:color w:val="000000" w:themeColor="text1"/>
                <w:szCs w:val="21"/>
              </w:rPr>
              <w:t>香港</w:t>
            </w:r>
            <w:r>
              <w:rPr>
                <w:rFonts w:eastAsiaTheme="minorEastAsia"/>
                <w:color w:val="000000" w:themeColor="text1"/>
                <w:szCs w:val="21"/>
              </w:rPr>
              <w:t>)</w:t>
            </w:r>
            <w:r>
              <w:rPr>
                <w:rFonts w:eastAsiaTheme="minorEastAsia"/>
                <w:color w:val="000000" w:themeColor="text1"/>
                <w:szCs w:val="21"/>
              </w:rPr>
              <w:t>有限公司</w:t>
            </w:r>
          </w:p>
        </w:tc>
        <w:tc>
          <w:tcPr>
            <w:tcW w:w="3780" w:type="dxa"/>
            <w:vAlign w:val="center"/>
          </w:tcPr>
          <w:p w:rsidR="00C133DD" w:rsidRDefault="00157FC2">
            <w:pPr>
              <w:jc w:val="center"/>
            </w:pPr>
            <w:r>
              <w:rPr>
                <w:rFonts w:eastAsiaTheme="minorEastAsia"/>
                <w:color w:val="000000" w:themeColor="text1"/>
                <w:szCs w:val="21"/>
              </w:rPr>
              <w:t>基金管理人的子公司</w:t>
            </w:r>
          </w:p>
        </w:tc>
      </w:tr>
      <w:tr w:rsidR="00C133DD">
        <w:tc>
          <w:tcPr>
            <w:tcW w:w="5220" w:type="dxa"/>
            <w:vAlign w:val="center"/>
          </w:tcPr>
          <w:p w:rsidR="00C133DD" w:rsidRDefault="00157FC2">
            <w:pPr>
              <w:jc w:val="left"/>
            </w:pPr>
            <w:r>
              <w:rPr>
                <w:rFonts w:eastAsiaTheme="minorEastAsia"/>
                <w:color w:val="000000" w:themeColor="text1"/>
                <w:szCs w:val="21"/>
              </w:rPr>
              <w:t>上信资产管理有限公司</w:t>
            </w:r>
          </w:p>
        </w:tc>
        <w:tc>
          <w:tcPr>
            <w:tcW w:w="3780" w:type="dxa"/>
            <w:vAlign w:val="center"/>
          </w:tcPr>
          <w:p w:rsidR="00C133DD" w:rsidRDefault="00157FC2">
            <w:pPr>
              <w:jc w:val="center"/>
            </w:pPr>
            <w:r>
              <w:rPr>
                <w:rFonts w:eastAsiaTheme="minorEastAsia"/>
                <w:color w:val="000000" w:themeColor="text1"/>
                <w:szCs w:val="21"/>
              </w:rPr>
              <w:t>基金管理人的股东上海国际信托有限公司控制的公司</w:t>
            </w:r>
          </w:p>
        </w:tc>
      </w:tr>
      <w:tr w:rsidR="00C133DD">
        <w:tc>
          <w:tcPr>
            <w:tcW w:w="5220" w:type="dxa"/>
            <w:vAlign w:val="center"/>
          </w:tcPr>
          <w:p w:rsidR="00C133DD" w:rsidRDefault="00157FC2">
            <w:pPr>
              <w:jc w:val="left"/>
            </w:pPr>
            <w:r>
              <w:rPr>
                <w:rFonts w:eastAsiaTheme="minorEastAsia"/>
                <w:color w:val="000000" w:themeColor="text1"/>
                <w:szCs w:val="21"/>
              </w:rPr>
              <w:t>上海国利货币经纪有限公司</w:t>
            </w:r>
          </w:p>
        </w:tc>
        <w:tc>
          <w:tcPr>
            <w:tcW w:w="3780" w:type="dxa"/>
            <w:vAlign w:val="center"/>
          </w:tcPr>
          <w:p w:rsidR="00C133DD" w:rsidRDefault="00157FC2">
            <w:pPr>
              <w:jc w:val="center"/>
            </w:pPr>
            <w:r>
              <w:rPr>
                <w:rFonts w:eastAsiaTheme="minorEastAsia"/>
                <w:color w:val="000000" w:themeColor="text1"/>
                <w:szCs w:val="21"/>
              </w:rPr>
              <w:t>基金管理人的股东上海国际信托有限公司控制的公司</w:t>
            </w:r>
          </w:p>
        </w:tc>
      </w:tr>
      <w:tr w:rsidR="00C133DD">
        <w:tc>
          <w:tcPr>
            <w:tcW w:w="5220" w:type="dxa"/>
            <w:vAlign w:val="center"/>
          </w:tcPr>
          <w:p w:rsidR="00C133DD" w:rsidRDefault="00157FC2">
            <w:pPr>
              <w:jc w:val="left"/>
            </w:pPr>
            <w:r>
              <w:rPr>
                <w:rFonts w:eastAsiaTheme="minorEastAsia"/>
                <w:color w:val="000000" w:themeColor="text1"/>
                <w:szCs w:val="21"/>
              </w:rPr>
              <w:t>J.P. Morgan 8CS Investments (GP) Limited</w:t>
            </w:r>
          </w:p>
        </w:tc>
        <w:tc>
          <w:tcPr>
            <w:tcW w:w="3780" w:type="dxa"/>
            <w:vAlign w:val="center"/>
          </w:tcPr>
          <w:p w:rsidR="00C133DD" w:rsidRDefault="00157FC2">
            <w:pPr>
              <w:jc w:val="center"/>
            </w:pPr>
            <w:r>
              <w:rPr>
                <w:rFonts w:eastAsiaTheme="minorEastAsia"/>
                <w:color w:val="000000" w:themeColor="text1"/>
                <w:szCs w:val="21"/>
              </w:rPr>
              <w:t>基金管理人的股东摩根资产管理</w:t>
            </w:r>
            <w:r>
              <w:rPr>
                <w:rFonts w:eastAsiaTheme="minorEastAsia"/>
                <w:color w:val="000000" w:themeColor="text1"/>
                <w:szCs w:val="21"/>
              </w:rPr>
              <w:t>(</w:t>
            </w:r>
            <w:r>
              <w:rPr>
                <w:rFonts w:eastAsiaTheme="minorEastAsia"/>
                <w:color w:val="000000" w:themeColor="text1"/>
                <w:szCs w:val="21"/>
              </w:rPr>
              <w:t>英国</w:t>
            </w:r>
            <w:r>
              <w:rPr>
                <w:rFonts w:eastAsiaTheme="minorEastAsia"/>
                <w:color w:val="000000" w:themeColor="text1"/>
                <w:szCs w:val="21"/>
              </w:rPr>
              <w:t>)</w:t>
            </w:r>
            <w:r>
              <w:rPr>
                <w:rFonts w:eastAsiaTheme="minorEastAsia"/>
                <w:color w:val="000000" w:themeColor="text1"/>
                <w:szCs w:val="21"/>
              </w:rPr>
              <w:t>有限公司控制的公司</w:t>
            </w:r>
          </w:p>
        </w:tc>
      </w:tr>
    </w:tbl>
    <w:p w:rsidR="001A59F9" w:rsidRPr="00C56D9D" w:rsidRDefault="001A59F9" w:rsidP="007320FB">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注：下述关联交易均在正常业务范围内按一般商业条款订立。</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8</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本报告期及上年度可比期间的关联方交易</w:t>
      </w:r>
    </w:p>
    <w:p w:rsidR="001A59F9" w:rsidRPr="00C56D9D" w:rsidRDefault="001A59F9" w:rsidP="0091526B">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8</w:t>
      </w:r>
      <w:r w:rsidRPr="00C56D9D">
        <w:rPr>
          <w:rFonts w:eastAsiaTheme="minorEastAsia"/>
          <w:b/>
          <w:bCs/>
          <w:color w:val="000000" w:themeColor="text1"/>
          <w:kern w:val="0"/>
          <w:szCs w:val="21"/>
        </w:rPr>
        <w:t>.1</w:t>
      </w:r>
      <w:r w:rsidR="004C2C35"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通过关联方交易单元进行的交易</w:t>
      </w:r>
    </w:p>
    <w:p w:rsidR="001A59F9" w:rsidRPr="00C56D9D" w:rsidRDefault="001A59F9" w:rsidP="0091526B">
      <w:pPr>
        <w:spacing w:line="360" w:lineRule="auto"/>
        <w:ind w:firstLineChars="200" w:firstLine="420"/>
        <w:rPr>
          <w:rFonts w:eastAsiaTheme="minorEastAsia"/>
          <w:color w:val="000000" w:themeColor="text1"/>
          <w:szCs w:val="21"/>
        </w:rPr>
      </w:pPr>
      <w:r w:rsidRPr="00C56D9D">
        <w:rPr>
          <w:rFonts w:eastAsiaTheme="minorEastAsia"/>
          <w:color w:val="000000" w:themeColor="text1"/>
          <w:szCs w:val="21"/>
        </w:rPr>
        <w:lastRenderedPageBreak/>
        <w:t>无。</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8</w:t>
      </w:r>
      <w:r w:rsidRPr="00C56D9D">
        <w:rPr>
          <w:rFonts w:eastAsiaTheme="minorEastAsia"/>
          <w:b/>
          <w:bCs/>
          <w:color w:val="000000" w:themeColor="text1"/>
          <w:kern w:val="0"/>
          <w:szCs w:val="21"/>
        </w:rPr>
        <w:t>.2</w:t>
      </w:r>
      <w:r w:rsidR="002637E8"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关联方报酬</w:t>
      </w:r>
    </w:p>
    <w:p w:rsidR="001A59F9" w:rsidRPr="00C56D9D" w:rsidRDefault="001A59F9" w:rsidP="0091526B">
      <w:pPr>
        <w:autoSpaceDE w:val="0"/>
        <w:autoSpaceDN w:val="0"/>
        <w:adjustRightInd w:val="0"/>
        <w:spacing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8</w:t>
      </w:r>
      <w:r w:rsidRPr="00C56D9D">
        <w:rPr>
          <w:rFonts w:eastAsiaTheme="minorEastAsia"/>
          <w:b/>
          <w:bCs/>
          <w:color w:val="000000" w:themeColor="text1"/>
          <w:kern w:val="0"/>
          <w:szCs w:val="21"/>
        </w:rPr>
        <w:t>.2.1</w:t>
      </w:r>
      <w:r w:rsidR="002637E8"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基金管理费</w:t>
      </w:r>
    </w:p>
    <w:p w:rsidR="001A59F9" w:rsidRPr="00C56D9D" w:rsidRDefault="001A59F9" w:rsidP="00026C9C">
      <w:pPr>
        <w:autoSpaceDE w:val="0"/>
        <w:autoSpaceDN w:val="0"/>
        <w:adjustRightInd w:val="0"/>
        <w:spacing w:before="29" w:line="360" w:lineRule="auto"/>
        <w:ind w:left="15" w:right="210"/>
        <w:jc w:val="right"/>
        <w:rPr>
          <w:rFonts w:eastAsiaTheme="minorEastAsia"/>
          <w:color w:val="000000" w:themeColor="text1"/>
          <w:kern w:val="0"/>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C56D9D" w:rsidRPr="00C56D9D" w:rsidTr="000F5396">
        <w:tc>
          <w:tcPr>
            <w:tcW w:w="3686"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265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1A59F9" w:rsidRPr="00C56D9D"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w:t>
            </w:r>
            <w:r w:rsidR="001A59F9" w:rsidRPr="00C56D9D">
              <w:rPr>
                <w:rFonts w:eastAsiaTheme="minorEastAsia"/>
                <w:color w:val="000000" w:themeColor="text1"/>
                <w:szCs w:val="21"/>
              </w:rPr>
              <w:t>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265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上年度可比期间</w:t>
            </w:r>
          </w:p>
          <w:p w:rsidR="001A59F9" w:rsidRPr="00C56D9D"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C657A6">
        <w:tc>
          <w:tcPr>
            <w:tcW w:w="3686" w:type="dxa"/>
            <w:vAlign w:val="center"/>
          </w:tcPr>
          <w:p w:rsidR="001A59F9" w:rsidRPr="00C56D9D" w:rsidRDefault="001A59F9" w:rsidP="00C657A6">
            <w:pPr>
              <w:spacing w:line="360" w:lineRule="auto"/>
              <w:rPr>
                <w:rFonts w:eastAsiaTheme="minorEastAsia"/>
                <w:color w:val="000000" w:themeColor="text1"/>
                <w:szCs w:val="21"/>
              </w:rPr>
            </w:pPr>
            <w:r w:rsidRPr="00C56D9D">
              <w:rPr>
                <w:rFonts w:eastAsiaTheme="minorEastAsia"/>
                <w:color w:val="000000" w:themeColor="text1"/>
                <w:szCs w:val="21"/>
              </w:rPr>
              <w:t>当期发生的基金应支付的管理费</w:t>
            </w:r>
          </w:p>
        </w:tc>
        <w:tc>
          <w:tcPr>
            <w:tcW w:w="2657" w:type="dxa"/>
            <w:vAlign w:val="center"/>
          </w:tcPr>
          <w:p w:rsidR="001A59F9" w:rsidRPr="00C56D9D" w:rsidRDefault="001A59F9" w:rsidP="00C657A6">
            <w:pPr>
              <w:spacing w:line="360" w:lineRule="auto"/>
              <w:jc w:val="right"/>
              <w:rPr>
                <w:rFonts w:eastAsiaTheme="minorEastAsia"/>
                <w:color w:val="000000" w:themeColor="text1"/>
                <w:szCs w:val="21"/>
              </w:rPr>
            </w:pPr>
            <w:r w:rsidRPr="00C56D9D">
              <w:rPr>
                <w:rFonts w:eastAsiaTheme="minorEastAsia"/>
                <w:color w:val="000000" w:themeColor="text1"/>
                <w:szCs w:val="21"/>
              </w:rPr>
              <w:t>523,230.45</w:t>
            </w:r>
          </w:p>
        </w:tc>
        <w:tc>
          <w:tcPr>
            <w:tcW w:w="2657" w:type="dxa"/>
            <w:vAlign w:val="center"/>
          </w:tcPr>
          <w:p w:rsidR="001A59F9" w:rsidRPr="00C56D9D" w:rsidRDefault="001A59F9" w:rsidP="00C657A6">
            <w:pPr>
              <w:spacing w:line="360" w:lineRule="auto"/>
              <w:jc w:val="right"/>
              <w:rPr>
                <w:rFonts w:eastAsiaTheme="minorEastAsia"/>
                <w:color w:val="000000" w:themeColor="text1"/>
                <w:szCs w:val="21"/>
              </w:rPr>
            </w:pPr>
            <w:r w:rsidRPr="00C56D9D">
              <w:rPr>
                <w:rFonts w:eastAsiaTheme="minorEastAsia"/>
                <w:color w:val="000000" w:themeColor="text1"/>
                <w:szCs w:val="21"/>
              </w:rPr>
              <w:t>905,191.78</w:t>
            </w:r>
          </w:p>
        </w:tc>
      </w:tr>
      <w:tr w:rsidR="00C56D9D" w:rsidRPr="00C56D9D" w:rsidTr="00C657A6">
        <w:tc>
          <w:tcPr>
            <w:tcW w:w="3686" w:type="dxa"/>
            <w:vAlign w:val="center"/>
          </w:tcPr>
          <w:p w:rsidR="001A59F9" w:rsidRPr="00C56D9D" w:rsidRDefault="001A59F9" w:rsidP="00C657A6">
            <w:pPr>
              <w:spacing w:line="360" w:lineRule="auto"/>
              <w:rPr>
                <w:rFonts w:eastAsiaTheme="minorEastAsia"/>
                <w:color w:val="000000" w:themeColor="text1"/>
                <w:szCs w:val="21"/>
              </w:rPr>
            </w:pPr>
            <w:r w:rsidRPr="00C56D9D">
              <w:rPr>
                <w:rFonts w:eastAsiaTheme="minorEastAsia"/>
                <w:color w:val="000000" w:themeColor="text1"/>
                <w:szCs w:val="21"/>
              </w:rPr>
              <w:t>其中：支付销售机构的客户维护费</w:t>
            </w:r>
          </w:p>
        </w:tc>
        <w:tc>
          <w:tcPr>
            <w:tcW w:w="2657" w:type="dxa"/>
            <w:vAlign w:val="center"/>
          </w:tcPr>
          <w:p w:rsidR="001A59F9" w:rsidRPr="00C56D9D" w:rsidRDefault="001A59F9" w:rsidP="00C657A6">
            <w:pPr>
              <w:spacing w:line="360" w:lineRule="auto"/>
              <w:jc w:val="right"/>
              <w:rPr>
                <w:rFonts w:eastAsiaTheme="minorEastAsia"/>
                <w:color w:val="000000" w:themeColor="text1"/>
                <w:szCs w:val="21"/>
              </w:rPr>
            </w:pPr>
            <w:r w:rsidRPr="00C56D9D">
              <w:rPr>
                <w:rFonts w:eastAsiaTheme="minorEastAsia"/>
                <w:color w:val="000000" w:themeColor="text1"/>
                <w:szCs w:val="21"/>
              </w:rPr>
              <w:t>59,048.11</w:t>
            </w:r>
          </w:p>
        </w:tc>
        <w:tc>
          <w:tcPr>
            <w:tcW w:w="2657" w:type="dxa"/>
            <w:vAlign w:val="center"/>
          </w:tcPr>
          <w:p w:rsidR="001A59F9" w:rsidRPr="00C56D9D" w:rsidRDefault="001A59F9" w:rsidP="00C657A6">
            <w:pPr>
              <w:spacing w:line="360" w:lineRule="auto"/>
              <w:jc w:val="right"/>
              <w:rPr>
                <w:rFonts w:eastAsiaTheme="minorEastAsia"/>
                <w:color w:val="000000" w:themeColor="text1"/>
                <w:szCs w:val="21"/>
              </w:rPr>
            </w:pPr>
            <w:r w:rsidRPr="00C56D9D">
              <w:rPr>
                <w:rFonts w:eastAsiaTheme="minorEastAsia"/>
                <w:color w:val="000000" w:themeColor="text1"/>
                <w:szCs w:val="21"/>
              </w:rPr>
              <w:t>96,275.81</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注：支付基金管理人上投摩根基金管理有限公司的管理人报酬按前一日基金资产净值</w:t>
      </w:r>
      <w:r>
        <w:rPr>
          <w:rFonts w:eastAsiaTheme="minorEastAsia"/>
          <w:color w:val="000000" w:themeColor="text1"/>
          <w:kern w:val="0"/>
          <w:szCs w:val="21"/>
        </w:rPr>
        <w:t>0.60%</w:t>
      </w:r>
      <w:r>
        <w:rPr>
          <w:rFonts w:eastAsiaTheme="minorEastAsia"/>
          <w:color w:val="000000" w:themeColor="text1"/>
          <w:kern w:val="0"/>
          <w:szCs w:val="21"/>
        </w:rPr>
        <w:t>的年费率计提，逐日累计至每月月底，按月支付。其计算公式为：</w:t>
      </w:r>
    </w:p>
    <w:p w:rsidR="001A59F9" w:rsidRPr="00C56D9D"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日管理人报酬＝前一日基金资产净值</w:t>
      </w:r>
      <w:r w:rsidRPr="00C56D9D">
        <w:rPr>
          <w:rFonts w:eastAsiaTheme="minorEastAsia"/>
          <w:color w:val="000000" w:themeColor="text1"/>
          <w:kern w:val="0"/>
          <w:szCs w:val="21"/>
        </w:rPr>
        <w:t xml:space="preserve"> X 0.60% / </w:t>
      </w:r>
      <w:r w:rsidRPr="00C56D9D">
        <w:rPr>
          <w:rFonts w:eastAsiaTheme="minorEastAsia"/>
          <w:color w:val="000000" w:themeColor="text1"/>
          <w:kern w:val="0"/>
          <w:szCs w:val="21"/>
        </w:rPr>
        <w:t>当年天数。</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8</w:t>
      </w:r>
      <w:r w:rsidRPr="00C56D9D">
        <w:rPr>
          <w:rFonts w:eastAsiaTheme="minorEastAsia"/>
          <w:b/>
          <w:bCs/>
          <w:color w:val="000000" w:themeColor="text1"/>
          <w:kern w:val="0"/>
          <w:szCs w:val="21"/>
        </w:rPr>
        <w:t>.2.2</w:t>
      </w:r>
      <w:r w:rsidR="002637E8"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基金托管费</w:t>
      </w:r>
    </w:p>
    <w:p w:rsidR="001A59F9" w:rsidRPr="00C56D9D" w:rsidRDefault="001A59F9" w:rsidP="00026C9C">
      <w:pPr>
        <w:autoSpaceDE w:val="0"/>
        <w:autoSpaceDN w:val="0"/>
        <w:adjustRightInd w:val="0"/>
        <w:spacing w:before="29" w:line="360" w:lineRule="auto"/>
        <w:ind w:left="15" w:right="210"/>
        <w:jc w:val="right"/>
        <w:rPr>
          <w:rFonts w:eastAsiaTheme="minorEastAsia"/>
          <w:color w:val="000000" w:themeColor="text1"/>
          <w:kern w:val="0"/>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C56D9D" w:rsidRPr="00C56D9D" w:rsidTr="005B1208">
        <w:tc>
          <w:tcPr>
            <w:tcW w:w="3686"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265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1A59F9" w:rsidRPr="00C56D9D" w:rsidRDefault="00F64FAD" w:rsidP="00026C9C">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w:t>
            </w:r>
            <w:r w:rsidR="001A59F9" w:rsidRPr="00C56D9D">
              <w:rPr>
                <w:rFonts w:eastAsiaTheme="minorEastAsia"/>
                <w:color w:val="000000" w:themeColor="text1"/>
                <w:szCs w:val="21"/>
              </w:rPr>
              <w:t>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265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上年度可比期间</w:t>
            </w:r>
          </w:p>
          <w:p w:rsidR="001A59F9" w:rsidRPr="00C56D9D" w:rsidRDefault="007F35DC" w:rsidP="00026C9C">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5B1208">
        <w:tc>
          <w:tcPr>
            <w:tcW w:w="3686" w:type="dxa"/>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当期发生的基金应支付的托管费</w:t>
            </w:r>
          </w:p>
        </w:tc>
        <w:tc>
          <w:tcPr>
            <w:tcW w:w="2657" w:type="dxa"/>
            <w:vAlign w:val="center"/>
          </w:tcPr>
          <w:p w:rsidR="001A59F9" w:rsidRPr="00C56D9D" w:rsidRDefault="001A59F9" w:rsidP="00026C9C">
            <w:pPr>
              <w:spacing w:line="360" w:lineRule="auto"/>
              <w:jc w:val="right"/>
              <w:rPr>
                <w:rFonts w:eastAsiaTheme="minorEastAsia"/>
                <w:color w:val="000000" w:themeColor="text1"/>
                <w:kern w:val="0"/>
                <w:szCs w:val="21"/>
              </w:rPr>
            </w:pPr>
            <w:r w:rsidRPr="00C56D9D">
              <w:rPr>
                <w:rFonts w:eastAsiaTheme="minorEastAsia"/>
                <w:color w:val="000000" w:themeColor="text1"/>
                <w:szCs w:val="21"/>
              </w:rPr>
              <w:t>87,204.99</w:t>
            </w:r>
          </w:p>
        </w:tc>
        <w:tc>
          <w:tcPr>
            <w:tcW w:w="2657" w:type="dxa"/>
            <w:vAlign w:val="center"/>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150,865.30</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注：支付基金托管人平安银行的托管费按前一日基金资产净值</w:t>
      </w:r>
      <w:r>
        <w:rPr>
          <w:rFonts w:eastAsiaTheme="minorEastAsia"/>
          <w:color w:val="000000" w:themeColor="text1"/>
          <w:kern w:val="0"/>
          <w:szCs w:val="21"/>
        </w:rPr>
        <w:t>0.10%</w:t>
      </w:r>
      <w:r>
        <w:rPr>
          <w:rFonts w:eastAsiaTheme="minorEastAsia"/>
          <w:color w:val="000000" w:themeColor="text1"/>
          <w:kern w:val="0"/>
          <w:szCs w:val="21"/>
        </w:rPr>
        <w:t>的年费率计提，逐日累计至每月月底，按月支付。其计算公式为：</w:t>
      </w:r>
    </w:p>
    <w:p w:rsidR="001A59F9" w:rsidRPr="00C56D9D"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日托管费＝前一日基金资产净值</w:t>
      </w:r>
      <w:r w:rsidRPr="00C56D9D">
        <w:rPr>
          <w:rFonts w:eastAsiaTheme="minorEastAsia"/>
          <w:color w:val="000000" w:themeColor="text1"/>
          <w:kern w:val="0"/>
          <w:szCs w:val="21"/>
        </w:rPr>
        <w:t xml:space="preserve"> X 0.10% / </w:t>
      </w:r>
      <w:r w:rsidRPr="00C56D9D">
        <w:rPr>
          <w:rFonts w:eastAsiaTheme="minorEastAsia"/>
          <w:color w:val="000000" w:themeColor="text1"/>
          <w:kern w:val="0"/>
          <w:szCs w:val="21"/>
        </w:rPr>
        <w:t>当年天数。</w:t>
      </w:r>
    </w:p>
    <w:p w:rsidR="001A59F9" w:rsidRPr="00C56D9D" w:rsidRDefault="001A59F9" w:rsidP="00E34772">
      <w:pPr>
        <w:autoSpaceDE w:val="0"/>
        <w:autoSpaceDN w:val="0"/>
        <w:adjustRightInd w:val="0"/>
        <w:spacing w:beforeLines="100" w:before="312" w:line="360" w:lineRule="auto"/>
        <w:jc w:val="left"/>
        <w:rPr>
          <w:rFonts w:eastAsiaTheme="minorEastAsia"/>
          <w:b/>
          <w:color w:val="000000" w:themeColor="text1"/>
          <w:kern w:val="0"/>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8</w:t>
      </w:r>
      <w:r w:rsidRPr="00C56D9D">
        <w:rPr>
          <w:rFonts w:eastAsiaTheme="minorEastAsia"/>
          <w:b/>
          <w:bCs/>
          <w:color w:val="000000" w:themeColor="text1"/>
          <w:kern w:val="0"/>
          <w:szCs w:val="21"/>
        </w:rPr>
        <w:t>.2.3</w:t>
      </w:r>
      <w:r w:rsidR="002637E8" w:rsidRPr="00C56D9D">
        <w:rPr>
          <w:rFonts w:eastAsiaTheme="minorEastAsia"/>
          <w:b/>
          <w:bCs/>
          <w:color w:val="000000" w:themeColor="text1"/>
          <w:kern w:val="0"/>
          <w:szCs w:val="21"/>
        </w:rPr>
        <w:t xml:space="preserve"> </w:t>
      </w:r>
      <w:r w:rsidRPr="00C56D9D">
        <w:rPr>
          <w:rFonts w:eastAsiaTheme="minorEastAsia"/>
          <w:b/>
          <w:color w:val="000000" w:themeColor="text1"/>
          <w:kern w:val="0"/>
          <w:szCs w:val="21"/>
        </w:rPr>
        <w:t>销售服务费</w:t>
      </w:r>
    </w:p>
    <w:p w:rsidR="00C020BF" w:rsidRPr="00C56D9D" w:rsidRDefault="00C020BF" w:rsidP="00C020BF">
      <w:pPr>
        <w:autoSpaceDE w:val="0"/>
        <w:autoSpaceDN w:val="0"/>
        <w:adjustRightInd w:val="0"/>
        <w:spacing w:before="29" w:line="360" w:lineRule="auto"/>
        <w:jc w:val="right"/>
        <w:rPr>
          <w:rFonts w:eastAsiaTheme="minorEastAsia"/>
          <w:color w:val="000000" w:themeColor="text1"/>
          <w:szCs w:val="21"/>
        </w:rPr>
      </w:pPr>
      <w:r w:rsidRPr="00C56D9D">
        <w:rPr>
          <w:rFonts w:eastAsiaTheme="minorEastAsia"/>
          <w:color w:val="000000" w:themeColor="text1"/>
          <w:szCs w:val="21"/>
        </w:rPr>
        <w:t>单位：人民币元</w:t>
      </w:r>
    </w:p>
    <w:tbl>
      <w:tblPr>
        <w:tblStyle w:val="af7"/>
        <w:tblW w:w="0" w:type="auto"/>
        <w:tblLayout w:type="fixed"/>
        <w:tblLook w:val="04A0" w:firstRow="1" w:lastRow="0" w:firstColumn="1" w:lastColumn="0" w:noHBand="0" w:noVBand="1"/>
      </w:tblPr>
      <w:tblGrid>
        <w:gridCol w:w="2110"/>
        <w:gridCol w:w="2534"/>
        <w:gridCol w:w="2694"/>
        <w:gridCol w:w="1948"/>
      </w:tblGrid>
      <w:tr w:rsidR="00C56D9D" w:rsidRPr="00C56D9D" w:rsidTr="00CE5C5C">
        <w:tc>
          <w:tcPr>
            <w:tcW w:w="2110" w:type="dxa"/>
            <w:vMerge w:val="restart"/>
            <w:vAlign w:val="center"/>
          </w:tcPr>
          <w:p w:rsidR="002349AF" w:rsidRPr="00C56D9D" w:rsidRDefault="002349AF" w:rsidP="00CE5C5C">
            <w:pPr>
              <w:tabs>
                <w:tab w:val="left" w:pos="426"/>
              </w:tabs>
              <w:spacing w:line="360" w:lineRule="auto"/>
              <w:jc w:val="center"/>
              <w:rPr>
                <w:rFonts w:eastAsiaTheme="minorEastAsia"/>
                <w:color w:val="000000" w:themeColor="text1"/>
                <w:kern w:val="0"/>
                <w:szCs w:val="21"/>
              </w:rPr>
            </w:pPr>
            <w:r w:rsidRPr="00C56D9D">
              <w:rPr>
                <w:rFonts w:eastAsiaTheme="minorEastAsia"/>
                <w:color w:val="000000" w:themeColor="text1"/>
                <w:szCs w:val="21"/>
              </w:rPr>
              <w:t>获得销售服务费的各关联方名称</w:t>
            </w:r>
          </w:p>
        </w:tc>
        <w:tc>
          <w:tcPr>
            <w:tcW w:w="7176" w:type="dxa"/>
            <w:gridSpan w:val="3"/>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本期</w:t>
            </w:r>
          </w:p>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905283">
        <w:tc>
          <w:tcPr>
            <w:tcW w:w="2110" w:type="dxa"/>
            <w:vMerge/>
          </w:tcPr>
          <w:p w:rsidR="002349AF" w:rsidRPr="00C56D9D" w:rsidRDefault="002349AF" w:rsidP="00905283">
            <w:pPr>
              <w:tabs>
                <w:tab w:val="left" w:pos="426"/>
              </w:tabs>
              <w:spacing w:line="360" w:lineRule="auto"/>
              <w:jc w:val="left"/>
              <w:rPr>
                <w:rFonts w:eastAsiaTheme="minorEastAsia"/>
                <w:color w:val="000000" w:themeColor="text1"/>
                <w:kern w:val="0"/>
                <w:szCs w:val="21"/>
              </w:rPr>
            </w:pPr>
          </w:p>
        </w:tc>
        <w:tc>
          <w:tcPr>
            <w:tcW w:w="7176" w:type="dxa"/>
            <w:gridSpan w:val="3"/>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当期发生的基金应支付的销售服务费</w:t>
            </w:r>
          </w:p>
        </w:tc>
      </w:tr>
      <w:tr w:rsidR="00C56D9D" w:rsidRPr="00C56D9D" w:rsidTr="009506BF">
        <w:tc>
          <w:tcPr>
            <w:tcW w:w="2110" w:type="dxa"/>
            <w:vMerge/>
          </w:tcPr>
          <w:p w:rsidR="002349AF" w:rsidRPr="00C56D9D" w:rsidRDefault="002349AF" w:rsidP="00905283">
            <w:pPr>
              <w:tabs>
                <w:tab w:val="left" w:pos="426"/>
              </w:tabs>
              <w:spacing w:line="360" w:lineRule="auto"/>
              <w:jc w:val="left"/>
              <w:rPr>
                <w:rFonts w:eastAsiaTheme="minorEastAsia"/>
                <w:color w:val="000000" w:themeColor="text1"/>
                <w:kern w:val="0"/>
                <w:szCs w:val="21"/>
              </w:rPr>
            </w:pPr>
          </w:p>
        </w:tc>
        <w:tc>
          <w:tcPr>
            <w:tcW w:w="2534" w:type="dxa"/>
            <w:vAlign w:val="center"/>
          </w:tcPr>
          <w:p w:rsidR="002349AF" w:rsidRPr="00C56D9D" w:rsidRDefault="002349AF" w:rsidP="00905283">
            <w:pPr>
              <w:widowControl/>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t>上投摩根岁岁金定期开放债</w:t>
            </w:r>
            <w:r w:rsidRPr="00C56D9D">
              <w:rPr>
                <w:rFonts w:eastAsiaTheme="minorEastAsia"/>
                <w:color w:val="000000" w:themeColor="text1"/>
                <w:szCs w:val="21"/>
              </w:rPr>
              <w:lastRenderedPageBreak/>
              <w:t>券</w:t>
            </w:r>
            <w:r w:rsidRPr="00C56D9D">
              <w:rPr>
                <w:rFonts w:eastAsiaTheme="minorEastAsia"/>
                <w:color w:val="000000" w:themeColor="text1"/>
                <w:szCs w:val="21"/>
              </w:rPr>
              <w:t>A</w:t>
            </w:r>
          </w:p>
        </w:tc>
        <w:tc>
          <w:tcPr>
            <w:tcW w:w="2694" w:type="dxa"/>
            <w:vAlign w:val="center"/>
          </w:tcPr>
          <w:p w:rsidR="002349AF" w:rsidRPr="00C56D9D" w:rsidRDefault="002349AF" w:rsidP="00905283">
            <w:pPr>
              <w:widowControl/>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lastRenderedPageBreak/>
              <w:t>上投摩根岁岁金定期开放债</w:t>
            </w:r>
            <w:r w:rsidRPr="00C56D9D">
              <w:rPr>
                <w:rFonts w:eastAsiaTheme="minorEastAsia"/>
                <w:color w:val="000000" w:themeColor="text1"/>
                <w:szCs w:val="21"/>
              </w:rPr>
              <w:lastRenderedPageBreak/>
              <w:t>券</w:t>
            </w:r>
            <w:r w:rsidRPr="00C56D9D">
              <w:rPr>
                <w:rFonts w:eastAsiaTheme="minorEastAsia"/>
                <w:color w:val="000000" w:themeColor="text1"/>
                <w:szCs w:val="21"/>
              </w:rPr>
              <w:t>C</w:t>
            </w:r>
          </w:p>
        </w:tc>
        <w:tc>
          <w:tcPr>
            <w:tcW w:w="1948" w:type="dxa"/>
            <w:vAlign w:val="center"/>
          </w:tcPr>
          <w:p w:rsidR="002349AF" w:rsidRPr="00C56D9D" w:rsidRDefault="002349AF" w:rsidP="00905283">
            <w:pPr>
              <w:widowControl/>
              <w:ind w:leftChars="-51" w:left="-107" w:rightChars="-51" w:right="-107"/>
              <w:jc w:val="center"/>
              <w:rPr>
                <w:rFonts w:eastAsiaTheme="minorEastAsia"/>
                <w:color w:val="000000" w:themeColor="text1"/>
                <w:szCs w:val="21"/>
              </w:rPr>
            </w:pPr>
            <w:r w:rsidRPr="00C56D9D">
              <w:rPr>
                <w:rFonts w:eastAsiaTheme="minorEastAsia"/>
                <w:color w:val="000000" w:themeColor="text1"/>
                <w:szCs w:val="21"/>
              </w:rPr>
              <w:lastRenderedPageBreak/>
              <w:t>合计</w:t>
            </w:r>
          </w:p>
        </w:tc>
      </w:tr>
      <w:tr w:rsidR="00C133DD">
        <w:tc>
          <w:tcPr>
            <w:tcW w:w="2110" w:type="dxa"/>
            <w:vAlign w:val="center"/>
          </w:tcPr>
          <w:p w:rsidR="00C133DD" w:rsidRDefault="00157FC2">
            <w:pPr>
              <w:jc w:val="left"/>
            </w:pPr>
            <w:r>
              <w:rPr>
                <w:rFonts w:eastAsiaTheme="minorEastAsia"/>
                <w:color w:val="000000" w:themeColor="text1"/>
                <w:szCs w:val="21"/>
              </w:rPr>
              <w:lastRenderedPageBreak/>
              <w:t>上投摩根基金管理有限公司</w:t>
            </w:r>
          </w:p>
        </w:tc>
        <w:tc>
          <w:tcPr>
            <w:tcW w:w="2534" w:type="dxa"/>
            <w:vAlign w:val="center"/>
          </w:tcPr>
          <w:p w:rsidR="00C133DD" w:rsidRDefault="00157FC2">
            <w:pPr>
              <w:jc w:val="right"/>
            </w:pPr>
            <w:r>
              <w:rPr>
                <w:rFonts w:eastAsiaTheme="minorEastAsia"/>
                <w:color w:val="000000" w:themeColor="text1"/>
                <w:szCs w:val="21"/>
              </w:rPr>
              <w:t>-</w:t>
            </w:r>
          </w:p>
        </w:tc>
        <w:tc>
          <w:tcPr>
            <w:tcW w:w="2694" w:type="dxa"/>
            <w:vAlign w:val="center"/>
          </w:tcPr>
          <w:p w:rsidR="00C133DD" w:rsidRDefault="00157FC2">
            <w:pPr>
              <w:jc w:val="right"/>
            </w:pPr>
            <w:r>
              <w:rPr>
                <w:rFonts w:eastAsiaTheme="minorEastAsia"/>
                <w:color w:val="000000" w:themeColor="text1"/>
                <w:szCs w:val="21"/>
              </w:rPr>
              <w:t>2.58</w:t>
            </w:r>
          </w:p>
        </w:tc>
        <w:tc>
          <w:tcPr>
            <w:tcW w:w="1948" w:type="dxa"/>
            <w:vAlign w:val="center"/>
          </w:tcPr>
          <w:p w:rsidR="00C133DD" w:rsidRDefault="00157FC2">
            <w:pPr>
              <w:jc w:val="right"/>
            </w:pPr>
            <w:r>
              <w:rPr>
                <w:rFonts w:eastAsiaTheme="minorEastAsia"/>
                <w:color w:val="000000" w:themeColor="text1"/>
                <w:szCs w:val="21"/>
              </w:rPr>
              <w:t>2.58</w:t>
            </w:r>
          </w:p>
        </w:tc>
      </w:tr>
      <w:tr w:rsidR="00C133DD">
        <w:tc>
          <w:tcPr>
            <w:tcW w:w="2110" w:type="dxa"/>
            <w:vAlign w:val="center"/>
          </w:tcPr>
          <w:p w:rsidR="00C133DD" w:rsidRDefault="00157FC2">
            <w:pPr>
              <w:jc w:val="left"/>
            </w:pPr>
            <w:r>
              <w:rPr>
                <w:rFonts w:eastAsiaTheme="minorEastAsia"/>
                <w:color w:val="000000" w:themeColor="text1"/>
                <w:szCs w:val="21"/>
              </w:rPr>
              <w:t>浦发银行</w:t>
            </w:r>
          </w:p>
        </w:tc>
        <w:tc>
          <w:tcPr>
            <w:tcW w:w="2534" w:type="dxa"/>
            <w:vAlign w:val="center"/>
          </w:tcPr>
          <w:p w:rsidR="00C133DD" w:rsidRDefault="00157FC2">
            <w:pPr>
              <w:jc w:val="right"/>
            </w:pPr>
            <w:r>
              <w:rPr>
                <w:rFonts w:eastAsiaTheme="minorEastAsia"/>
                <w:color w:val="000000" w:themeColor="text1"/>
                <w:szCs w:val="21"/>
              </w:rPr>
              <w:t>-</w:t>
            </w:r>
          </w:p>
        </w:tc>
        <w:tc>
          <w:tcPr>
            <w:tcW w:w="2694" w:type="dxa"/>
            <w:vAlign w:val="center"/>
          </w:tcPr>
          <w:p w:rsidR="00C133DD" w:rsidRDefault="00157FC2">
            <w:pPr>
              <w:jc w:val="right"/>
            </w:pPr>
            <w:r>
              <w:rPr>
                <w:rFonts w:eastAsiaTheme="minorEastAsia"/>
                <w:color w:val="000000" w:themeColor="text1"/>
                <w:szCs w:val="21"/>
              </w:rPr>
              <w:t>467.38</w:t>
            </w:r>
          </w:p>
        </w:tc>
        <w:tc>
          <w:tcPr>
            <w:tcW w:w="1948" w:type="dxa"/>
            <w:vAlign w:val="center"/>
          </w:tcPr>
          <w:p w:rsidR="00C133DD" w:rsidRDefault="00157FC2">
            <w:pPr>
              <w:jc w:val="right"/>
            </w:pPr>
            <w:r>
              <w:rPr>
                <w:rFonts w:eastAsiaTheme="minorEastAsia"/>
                <w:color w:val="000000" w:themeColor="text1"/>
                <w:szCs w:val="21"/>
              </w:rPr>
              <w:t>467.38</w:t>
            </w:r>
          </w:p>
        </w:tc>
      </w:tr>
      <w:tr w:rsidR="00C56D9D" w:rsidRPr="00C56D9D" w:rsidTr="009506BF">
        <w:tc>
          <w:tcPr>
            <w:tcW w:w="2110" w:type="dxa"/>
            <w:vAlign w:val="center"/>
          </w:tcPr>
          <w:p w:rsidR="002349AF" w:rsidRPr="00C56D9D" w:rsidRDefault="002349AF" w:rsidP="00CE5C5C">
            <w:pPr>
              <w:tabs>
                <w:tab w:val="left" w:pos="426"/>
              </w:tabs>
              <w:spacing w:line="360" w:lineRule="auto"/>
              <w:jc w:val="center"/>
              <w:rPr>
                <w:rFonts w:eastAsiaTheme="minorEastAsia"/>
                <w:color w:val="000000" w:themeColor="text1"/>
                <w:kern w:val="0"/>
                <w:szCs w:val="21"/>
              </w:rPr>
            </w:pPr>
            <w:r w:rsidRPr="00C56D9D">
              <w:rPr>
                <w:rFonts w:eastAsiaTheme="minorEastAsia"/>
                <w:color w:val="000000" w:themeColor="text1"/>
                <w:szCs w:val="21"/>
              </w:rPr>
              <w:t>合计</w:t>
            </w:r>
          </w:p>
        </w:tc>
        <w:tc>
          <w:tcPr>
            <w:tcW w:w="2534" w:type="dxa"/>
            <w:vAlign w:val="center"/>
          </w:tcPr>
          <w:p w:rsidR="002349AF" w:rsidRPr="00C56D9D" w:rsidRDefault="002349AF" w:rsidP="00905283">
            <w:pPr>
              <w:tabs>
                <w:tab w:val="left" w:pos="426"/>
              </w:tabs>
              <w:spacing w:line="360" w:lineRule="auto"/>
              <w:jc w:val="right"/>
              <w:rPr>
                <w:rFonts w:eastAsiaTheme="minorEastAsia"/>
                <w:color w:val="000000" w:themeColor="text1"/>
                <w:kern w:val="0"/>
                <w:szCs w:val="21"/>
              </w:rPr>
            </w:pPr>
            <w:r w:rsidRPr="00C56D9D">
              <w:rPr>
                <w:rFonts w:eastAsiaTheme="minorEastAsia"/>
                <w:color w:val="000000" w:themeColor="text1"/>
                <w:szCs w:val="21"/>
              </w:rPr>
              <w:t>-</w:t>
            </w:r>
          </w:p>
        </w:tc>
        <w:tc>
          <w:tcPr>
            <w:tcW w:w="2694" w:type="dxa"/>
            <w:vAlign w:val="center"/>
          </w:tcPr>
          <w:p w:rsidR="002349AF" w:rsidRPr="00C56D9D" w:rsidRDefault="002349AF" w:rsidP="00905283">
            <w:pPr>
              <w:jc w:val="right"/>
              <w:rPr>
                <w:rFonts w:eastAsiaTheme="minorEastAsia"/>
                <w:color w:val="000000" w:themeColor="text1"/>
                <w:szCs w:val="21"/>
              </w:rPr>
            </w:pPr>
            <w:r w:rsidRPr="00C56D9D">
              <w:rPr>
                <w:rFonts w:eastAsiaTheme="minorEastAsia"/>
                <w:color w:val="000000" w:themeColor="text1"/>
                <w:szCs w:val="21"/>
              </w:rPr>
              <w:t>469.96</w:t>
            </w:r>
          </w:p>
        </w:tc>
        <w:tc>
          <w:tcPr>
            <w:tcW w:w="1948" w:type="dxa"/>
            <w:vAlign w:val="center"/>
          </w:tcPr>
          <w:p w:rsidR="002349AF" w:rsidRPr="00C56D9D" w:rsidRDefault="002349AF" w:rsidP="00905283">
            <w:pPr>
              <w:jc w:val="right"/>
              <w:rPr>
                <w:rFonts w:eastAsiaTheme="minorEastAsia"/>
                <w:color w:val="000000" w:themeColor="text1"/>
                <w:szCs w:val="21"/>
              </w:rPr>
            </w:pPr>
            <w:r w:rsidRPr="00C56D9D">
              <w:rPr>
                <w:rFonts w:eastAsiaTheme="minorEastAsia"/>
                <w:color w:val="000000" w:themeColor="text1"/>
                <w:szCs w:val="21"/>
              </w:rPr>
              <w:t>469.96</w:t>
            </w:r>
          </w:p>
        </w:tc>
      </w:tr>
      <w:tr w:rsidR="00C56D9D" w:rsidRPr="00C56D9D" w:rsidTr="00CE5C5C">
        <w:tc>
          <w:tcPr>
            <w:tcW w:w="2110" w:type="dxa"/>
            <w:vMerge w:val="restart"/>
            <w:vAlign w:val="center"/>
          </w:tcPr>
          <w:p w:rsidR="002349AF" w:rsidRPr="00C56D9D" w:rsidRDefault="002349AF" w:rsidP="00CE5C5C">
            <w:pPr>
              <w:tabs>
                <w:tab w:val="left" w:pos="426"/>
              </w:tabs>
              <w:spacing w:line="360" w:lineRule="auto"/>
              <w:jc w:val="center"/>
              <w:rPr>
                <w:rFonts w:eastAsiaTheme="minorEastAsia"/>
                <w:color w:val="000000" w:themeColor="text1"/>
                <w:kern w:val="0"/>
                <w:szCs w:val="21"/>
              </w:rPr>
            </w:pPr>
            <w:r w:rsidRPr="00C56D9D">
              <w:rPr>
                <w:rFonts w:eastAsiaTheme="minorEastAsia"/>
                <w:color w:val="000000" w:themeColor="text1"/>
                <w:szCs w:val="21"/>
              </w:rPr>
              <w:t>获得销售服务费的各关联方名称</w:t>
            </w:r>
          </w:p>
        </w:tc>
        <w:tc>
          <w:tcPr>
            <w:tcW w:w="7176" w:type="dxa"/>
            <w:gridSpan w:val="3"/>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上年度可比期间</w:t>
            </w:r>
          </w:p>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905283">
        <w:tc>
          <w:tcPr>
            <w:tcW w:w="2110" w:type="dxa"/>
            <w:vMerge/>
          </w:tcPr>
          <w:p w:rsidR="002349AF" w:rsidRPr="00C56D9D" w:rsidRDefault="002349AF" w:rsidP="00905283">
            <w:pPr>
              <w:tabs>
                <w:tab w:val="left" w:pos="426"/>
              </w:tabs>
              <w:spacing w:line="360" w:lineRule="auto"/>
              <w:jc w:val="left"/>
              <w:rPr>
                <w:rFonts w:eastAsiaTheme="minorEastAsia"/>
                <w:color w:val="000000" w:themeColor="text1"/>
                <w:kern w:val="0"/>
                <w:szCs w:val="21"/>
              </w:rPr>
            </w:pPr>
          </w:p>
        </w:tc>
        <w:tc>
          <w:tcPr>
            <w:tcW w:w="7176" w:type="dxa"/>
            <w:gridSpan w:val="3"/>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当期发生的基金应支付的销售服务费</w:t>
            </w:r>
          </w:p>
        </w:tc>
      </w:tr>
      <w:tr w:rsidR="00C56D9D" w:rsidRPr="00C56D9D" w:rsidTr="009506BF">
        <w:tc>
          <w:tcPr>
            <w:tcW w:w="2110" w:type="dxa"/>
            <w:vMerge/>
          </w:tcPr>
          <w:p w:rsidR="002349AF" w:rsidRPr="00C56D9D" w:rsidRDefault="002349AF" w:rsidP="00905283">
            <w:pPr>
              <w:tabs>
                <w:tab w:val="left" w:pos="426"/>
              </w:tabs>
              <w:spacing w:line="360" w:lineRule="auto"/>
              <w:jc w:val="left"/>
              <w:rPr>
                <w:rFonts w:eastAsiaTheme="minorEastAsia"/>
                <w:color w:val="000000" w:themeColor="text1"/>
                <w:kern w:val="0"/>
                <w:szCs w:val="21"/>
              </w:rPr>
            </w:pPr>
          </w:p>
        </w:tc>
        <w:tc>
          <w:tcPr>
            <w:tcW w:w="2534" w:type="dxa"/>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2694" w:type="dxa"/>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c>
          <w:tcPr>
            <w:tcW w:w="1948" w:type="dxa"/>
            <w:vAlign w:val="center"/>
          </w:tcPr>
          <w:p w:rsidR="002349AF" w:rsidRPr="00C56D9D" w:rsidRDefault="002349AF" w:rsidP="00905283">
            <w:pPr>
              <w:widowControl/>
              <w:autoSpaceDE w:val="0"/>
              <w:autoSpaceDN w:val="0"/>
              <w:ind w:leftChars="-51" w:left="-107" w:rightChars="-51" w:right="-107"/>
              <w:jc w:val="center"/>
              <w:textAlignment w:val="bottom"/>
              <w:rPr>
                <w:rFonts w:eastAsiaTheme="minorEastAsia"/>
                <w:color w:val="000000" w:themeColor="text1"/>
                <w:szCs w:val="21"/>
              </w:rPr>
            </w:pPr>
            <w:r w:rsidRPr="00C56D9D">
              <w:rPr>
                <w:rFonts w:eastAsiaTheme="minorEastAsia"/>
                <w:color w:val="000000" w:themeColor="text1"/>
                <w:szCs w:val="21"/>
              </w:rPr>
              <w:t>合计</w:t>
            </w:r>
          </w:p>
        </w:tc>
      </w:tr>
      <w:tr w:rsidR="00C133DD">
        <w:tc>
          <w:tcPr>
            <w:tcW w:w="2110" w:type="dxa"/>
            <w:vAlign w:val="center"/>
          </w:tcPr>
          <w:p w:rsidR="00C133DD" w:rsidRDefault="00157FC2">
            <w:pPr>
              <w:jc w:val="left"/>
            </w:pPr>
            <w:r>
              <w:rPr>
                <w:rFonts w:eastAsiaTheme="minorEastAsia"/>
                <w:color w:val="000000" w:themeColor="text1"/>
                <w:szCs w:val="21"/>
              </w:rPr>
              <w:t>浦发银行</w:t>
            </w:r>
          </w:p>
        </w:tc>
        <w:tc>
          <w:tcPr>
            <w:tcW w:w="2534" w:type="dxa"/>
            <w:vAlign w:val="center"/>
          </w:tcPr>
          <w:p w:rsidR="00C133DD" w:rsidRDefault="00157FC2">
            <w:pPr>
              <w:jc w:val="right"/>
            </w:pPr>
            <w:r>
              <w:rPr>
                <w:rFonts w:eastAsiaTheme="minorEastAsia"/>
                <w:color w:val="000000" w:themeColor="text1"/>
                <w:szCs w:val="21"/>
              </w:rPr>
              <w:t>-</w:t>
            </w:r>
          </w:p>
        </w:tc>
        <w:tc>
          <w:tcPr>
            <w:tcW w:w="2694" w:type="dxa"/>
            <w:vAlign w:val="center"/>
          </w:tcPr>
          <w:p w:rsidR="00C133DD" w:rsidRDefault="00157FC2">
            <w:pPr>
              <w:jc w:val="right"/>
            </w:pPr>
            <w:r>
              <w:rPr>
                <w:rFonts w:eastAsiaTheme="minorEastAsia"/>
                <w:color w:val="000000" w:themeColor="text1"/>
                <w:szCs w:val="21"/>
              </w:rPr>
              <w:t>826.19</w:t>
            </w:r>
          </w:p>
        </w:tc>
        <w:tc>
          <w:tcPr>
            <w:tcW w:w="1948" w:type="dxa"/>
            <w:vAlign w:val="center"/>
          </w:tcPr>
          <w:p w:rsidR="00C133DD" w:rsidRDefault="00157FC2">
            <w:pPr>
              <w:jc w:val="right"/>
            </w:pPr>
            <w:r>
              <w:rPr>
                <w:rFonts w:eastAsiaTheme="minorEastAsia"/>
                <w:color w:val="000000" w:themeColor="text1"/>
                <w:szCs w:val="21"/>
              </w:rPr>
              <w:t>826.19</w:t>
            </w:r>
          </w:p>
        </w:tc>
      </w:tr>
      <w:tr w:rsidR="00C133DD">
        <w:tc>
          <w:tcPr>
            <w:tcW w:w="2110" w:type="dxa"/>
            <w:vAlign w:val="center"/>
          </w:tcPr>
          <w:p w:rsidR="00C133DD" w:rsidRDefault="00157FC2">
            <w:pPr>
              <w:jc w:val="left"/>
            </w:pPr>
            <w:r>
              <w:rPr>
                <w:rFonts w:eastAsiaTheme="minorEastAsia"/>
                <w:color w:val="000000" w:themeColor="text1"/>
                <w:szCs w:val="21"/>
              </w:rPr>
              <w:t>上投摩根基金管理有限公司</w:t>
            </w:r>
          </w:p>
        </w:tc>
        <w:tc>
          <w:tcPr>
            <w:tcW w:w="2534" w:type="dxa"/>
            <w:vAlign w:val="center"/>
          </w:tcPr>
          <w:p w:rsidR="00C133DD" w:rsidRDefault="00157FC2">
            <w:pPr>
              <w:jc w:val="right"/>
            </w:pPr>
            <w:r>
              <w:rPr>
                <w:rFonts w:eastAsiaTheme="minorEastAsia"/>
                <w:color w:val="000000" w:themeColor="text1"/>
                <w:szCs w:val="21"/>
              </w:rPr>
              <w:t>-</w:t>
            </w:r>
          </w:p>
        </w:tc>
        <w:tc>
          <w:tcPr>
            <w:tcW w:w="2694" w:type="dxa"/>
            <w:vAlign w:val="center"/>
          </w:tcPr>
          <w:p w:rsidR="00C133DD" w:rsidRDefault="00157FC2">
            <w:pPr>
              <w:jc w:val="right"/>
            </w:pPr>
            <w:r>
              <w:rPr>
                <w:rFonts w:eastAsiaTheme="minorEastAsia"/>
                <w:color w:val="000000" w:themeColor="text1"/>
                <w:szCs w:val="21"/>
              </w:rPr>
              <w:t>1.00</w:t>
            </w:r>
          </w:p>
        </w:tc>
        <w:tc>
          <w:tcPr>
            <w:tcW w:w="1948" w:type="dxa"/>
            <w:vAlign w:val="center"/>
          </w:tcPr>
          <w:p w:rsidR="00C133DD" w:rsidRDefault="00157FC2">
            <w:pPr>
              <w:jc w:val="right"/>
            </w:pPr>
            <w:r>
              <w:rPr>
                <w:rFonts w:eastAsiaTheme="minorEastAsia"/>
                <w:color w:val="000000" w:themeColor="text1"/>
                <w:szCs w:val="21"/>
              </w:rPr>
              <w:t>1.00</w:t>
            </w:r>
          </w:p>
        </w:tc>
      </w:tr>
      <w:tr w:rsidR="00C56D9D" w:rsidRPr="00C56D9D" w:rsidTr="009506BF">
        <w:tc>
          <w:tcPr>
            <w:tcW w:w="2110" w:type="dxa"/>
            <w:vAlign w:val="center"/>
          </w:tcPr>
          <w:p w:rsidR="002349AF" w:rsidRPr="00C56D9D" w:rsidRDefault="002349AF" w:rsidP="00CE5C5C">
            <w:pPr>
              <w:widowControl/>
              <w:jc w:val="center"/>
              <w:rPr>
                <w:rFonts w:eastAsiaTheme="minorEastAsia"/>
                <w:color w:val="000000" w:themeColor="text1"/>
                <w:szCs w:val="21"/>
              </w:rPr>
            </w:pPr>
            <w:r w:rsidRPr="00C56D9D">
              <w:rPr>
                <w:rFonts w:eastAsiaTheme="minorEastAsia"/>
                <w:color w:val="000000" w:themeColor="text1"/>
                <w:szCs w:val="21"/>
              </w:rPr>
              <w:t>合计</w:t>
            </w:r>
          </w:p>
        </w:tc>
        <w:tc>
          <w:tcPr>
            <w:tcW w:w="2534" w:type="dxa"/>
            <w:vAlign w:val="center"/>
          </w:tcPr>
          <w:p w:rsidR="002349AF" w:rsidRPr="00C56D9D" w:rsidRDefault="002349AF" w:rsidP="00905283">
            <w:pPr>
              <w:jc w:val="right"/>
              <w:rPr>
                <w:rFonts w:eastAsiaTheme="minorEastAsia"/>
                <w:color w:val="000000" w:themeColor="text1"/>
                <w:szCs w:val="21"/>
              </w:rPr>
            </w:pPr>
            <w:r w:rsidRPr="00C56D9D">
              <w:rPr>
                <w:rFonts w:eastAsiaTheme="minorEastAsia"/>
                <w:color w:val="000000" w:themeColor="text1"/>
                <w:szCs w:val="21"/>
              </w:rPr>
              <w:t>-</w:t>
            </w:r>
          </w:p>
        </w:tc>
        <w:tc>
          <w:tcPr>
            <w:tcW w:w="2694" w:type="dxa"/>
            <w:vAlign w:val="center"/>
          </w:tcPr>
          <w:p w:rsidR="002349AF" w:rsidRPr="00C56D9D" w:rsidRDefault="002349AF" w:rsidP="00905283">
            <w:pPr>
              <w:jc w:val="right"/>
              <w:rPr>
                <w:rFonts w:eastAsiaTheme="minorEastAsia"/>
                <w:color w:val="000000" w:themeColor="text1"/>
                <w:szCs w:val="21"/>
              </w:rPr>
            </w:pPr>
            <w:r w:rsidRPr="00C56D9D">
              <w:rPr>
                <w:rFonts w:eastAsiaTheme="minorEastAsia"/>
                <w:color w:val="000000" w:themeColor="text1"/>
                <w:szCs w:val="21"/>
              </w:rPr>
              <w:t>827.19</w:t>
            </w:r>
          </w:p>
        </w:tc>
        <w:tc>
          <w:tcPr>
            <w:tcW w:w="1948" w:type="dxa"/>
            <w:vAlign w:val="center"/>
          </w:tcPr>
          <w:p w:rsidR="002349AF" w:rsidRPr="00C56D9D" w:rsidRDefault="002349AF" w:rsidP="00905283">
            <w:pPr>
              <w:jc w:val="right"/>
              <w:rPr>
                <w:rFonts w:eastAsiaTheme="minorEastAsia"/>
                <w:color w:val="000000" w:themeColor="text1"/>
                <w:szCs w:val="21"/>
              </w:rPr>
            </w:pPr>
            <w:r w:rsidRPr="00C56D9D">
              <w:rPr>
                <w:rFonts w:eastAsiaTheme="minorEastAsia"/>
                <w:color w:val="000000" w:themeColor="text1"/>
                <w:szCs w:val="21"/>
              </w:rPr>
              <w:t>827.19</w:t>
            </w:r>
          </w:p>
        </w:tc>
      </w:tr>
    </w:tbl>
    <w:p w:rsidR="00C133DD" w:rsidRDefault="00157FC2">
      <w:pPr>
        <w:tabs>
          <w:tab w:val="left" w:pos="426"/>
        </w:tabs>
        <w:spacing w:line="360" w:lineRule="auto"/>
        <w:ind w:firstLineChars="200" w:firstLine="420"/>
        <w:jc w:val="left"/>
        <w:rPr>
          <w:rFonts w:eastAsiaTheme="minorEastAsia"/>
          <w:color w:val="000000" w:themeColor="text1"/>
          <w:kern w:val="0"/>
          <w:szCs w:val="21"/>
        </w:rPr>
      </w:pPr>
      <w:r>
        <w:rPr>
          <w:rFonts w:eastAsiaTheme="minorEastAsia"/>
          <w:color w:val="000000" w:themeColor="text1"/>
          <w:kern w:val="0"/>
          <w:szCs w:val="21"/>
        </w:rPr>
        <w:t>注：支付基金销售机构的销售服务费按前一日</w:t>
      </w:r>
      <w:r>
        <w:rPr>
          <w:rFonts w:eastAsiaTheme="minorEastAsia"/>
          <w:color w:val="000000" w:themeColor="text1"/>
          <w:kern w:val="0"/>
          <w:szCs w:val="21"/>
        </w:rPr>
        <w:t>C</w:t>
      </w:r>
      <w:r>
        <w:rPr>
          <w:rFonts w:eastAsiaTheme="minorEastAsia"/>
          <w:color w:val="000000" w:themeColor="text1"/>
          <w:kern w:val="0"/>
          <w:szCs w:val="21"/>
        </w:rPr>
        <w:t>类基金份额基金资产净值</w:t>
      </w:r>
      <w:r>
        <w:rPr>
          <w:rFonts w:eastAsiaTheme="minorEastAsia"/>
          <w:color w:val="000000" w:themeColor="text1"/>
          <w:kern w:val="0"/>
          <w:szCs w:val="21"/>
        </w:rPr>
        <w:t>0.35%</w:t>
      </w:r>
      <w:r>
        <w:rPr>
          <w:rFonts w:eastAsiaTheme="minorEastAsia"/>
          <w:color w:val="000000" w:themeColor="text1"/>
          <w:kern w:val="0"/>
          <w:szCs w:val="21"/>
        </w:rPr>
        <w:t>的年费率计提，逐日累计至每月月底，按月支付给上投摩根基金管理有限公司，再由计算并支付给各基金销售机构。</w:t>
      </w:r>
      <w:r>
        <w:rPr>
          <w:rFonts w:eastAsiaTheme="minorEastAsia"/>
          <w:color w:val="000000" w:themeColor="text1"/>
          <w:kern w:val="0"/>
          <w:szCs w:val="21"/>
        </w:rPr>
        <w:t>A</w:t>
      </w:r>
      <w:r>
        <w:rPr>
          <w:rFonts w:eastAsiaTheme="minorEastAsia"/>
          <w:color w:val="000000" w:themeColor="text1"/>
          <w:kern w:val="0"/>
          <w:szCs w:val="21"/>
        </w:rPr>
        <w:t>类基金份额不收取销售服务费。其计算公式为：</w:t>
      </w:r>
    </w:p>
    <w:p w:rsidR="001A59F9" w:rsidRPr="00C56D9D" w:rsidRDefault="005872C2" w:rsidP="00BC348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销售服务费＝前一日</w:t>
      </w:r>
      <w:r w:rsidRPr="00C56D9D">
        <w:rPr>
          <w:rFonts w:eastAsiaTheme="minorEastAsia"/>
          <w:color w:val="000000" w:themeColor="text1"/>
          <w:kern w:val="0"/>
          <w:szCs w:val="21"/>
        </w:rPr>
        <w:t>C</w:t>
      </w:r>
      <w:r w:rsidRPr="00C56D9D">
        <w:rPr>
          <w:rFonts w:eastAsiaTheme="minorEastAsia"/>
          <w:color w:val="000000" w:themeColor="text1"/>
          <w:kern w:val="0"/>
          <w:szCs w:val="21"/>
        </w:rPr>
        <w:t>类基金份额基金资产净值</w:t>
      </w:r>
      <w:r w:rsidRPr="00C56D9D">
        <w:rPr>
          <w:rFonts w:eastAsiaTheme="minorEastAsia"/>
          <w:color w:val="000000" w:themeColor="text1"/>
          <w:kern w:val="0"/>
          <w:szCs w:val="21"/>
        </w:rPr>
        <w:t xml:space="preserve"> X 0.35%/ </w:t>
      </w:r>
      <w:r w:rsidRPr="00C56D9D">
        <w:rPr>
          <w:rFonts w:eastAsiaTheme="minorEastAsia"/>
          <w:color w:val="000000" w:themeColor="text1"/>
          <w:kern w:val="0"/>
          <w:szCs w:val="21"/>
        </w:rPr>
        <w:t>当年天数。</w:t>
      </w:r>
    </w:p>
    <w:p w:rsidR="0064521D" w:rsidRPr="00C56D9D" w:rsidRDefault="0064521D" w:rsidP="0064521D">
      <w:pPr>
        <w:tabs>
          <w:tab w:val="left" w:pos="426"/>
        </w:tabs>
        <w:spacing w:line="360" w:lineRule="auto"/>
        <w:jc w:val="left"/>
        <w:rPr>
          <w:rFonts w:eastAsiaTheme="minorEastAsia"/>
          <w:color w:val="000000" w:themeColor="text1"/>
          <w:kern w:val="0"/>
          <w:szCs w:val="21"/>
        </w:rPr>
      </w:pPr>
    </w:p>
    <w:p w:rsidR="001A59F9" w:rsidRPr="00C56D9D" w:rsidRDefault="001A59F9" w:rsidP="00E34772">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8</w:t>
      </w:r>
      <w:r w:rsidRPr="00C56D9D">
        <w:rPr>
          <w:rFonts w:eastAsiaTheme="minorEastAsia"/>
          <w:b/>
          <w:bCs/>
          <w:color w:val="000000" w:themeColor="text1"/>
          <w:kern w:val="0"/>
          <w:szCs w:val="21"/>
        </w:rPr>
        <w:t>.3</w:t>
      </w:r>
      <w:r w:rsidR="002637E8"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与关联方进行银行间同业市场的债券</w:t>
      </w:r>
      <w:r w:rsidRPr="00C56D9D">
        <w:rPr>
          <w:rFonts w:eastAsiaTheme="minorEastAsia"/>
          <w:b/>
          <w:bCs/>
          <w:color w:val="000000" w:themeColor="text1"/>
          <w:szCs w:val="21"/>
        </w:rPr>
        <w:t>(</w:t>
      </w:r>
      <w:r w:rsidRPr="00C56D9D">
        <w:rPr>
          <w:rFonts w:eastAsiaTheme="minorEastAsia"/>
          <w:b/>
          <w:bCs/>
          <w:color w:val="000000" w:themeColor="text1"/>
          <w:szCs w:val="21"/>
        </w:rPr>
        <w:t>含回购</w:t>
      </w:r>
      <w:r w:rsidRPr="00C56D9D">
        <w:rPr>
          <w:rFonts w:eastAsiaTheme="minorEastAsia"/>
          <w:b/>
          <w:bCs/>
          <w:color w:val="000000" w:themeColor="text1"/>
          <w:szCs w:val="21"/>
        </w:rPr>
        <w:t>)</w:t>
      </w:r>
      <w:r w:rsidRPr="00C56D9D">
        <w:rPr>
          <w:rFonts w:eastAsiaTheme="minorEastAsia"/>
          <w:b/>
          <w:bCs/>
          <w:color w:val="000000" w:themeColor="text1"/>
          <w:szCs w:val="21"/>
        </w:rPr>
        <w:t>交易</w:t>
      </w:r>
    </w:p>
    <w:p w:rsidR="001A59F9" w:rsidRPr="00C56D9D" w:rsidRDefault="001A59F9" w:rsidP="00BC348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E34772">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8</w:t>
      </w:r>
      <w:r w:rsidRPr="00C56D9D">
        <w:rPr>
          <w:rFonts w:eastAsiaTheme="minorEastAsia"/>
          <w:b/>
          <w:bCs/>
          <w:color w:val="000000" w:themeColor="text1"/>
          <w:kern w:val="0"/>
          <w:szCs w:val="21"/>
        </w:rPr>
        <w:t>.4</w:t>
      </w:r>
      <w:r w:rsidR="002637E8"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由关联方保管的银行存款余额及当期产生的利息收入</w:t>
      </w:r>
    </w:p>
    <w:p w:rsidR="001A59F9" w:rsidRPr="00C56D9D" w:rsidRDefault="001A59F9" w:rsidP="00026C9C">
      <w:pPr>
        <w:autoSpaceDE w:val="0"/>
        <w:autoSpaceDN w:val="0"/>
        <w:adjustRightInd w:val="0"/>
        <w:spacing w:before="29" w:line="360" w:lineRule="auto"/>
        <w:ind w:left="15" w:right="210"/>
        <w:jc w:val="right"/>
        <w:rPr>
          <w:rFonts w:eastAsiaTheme="minorEastAsia"/>
          <w:color w:val="000000" w:themeColor="text1"/>
          <w:kern w:val="0"/>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C56D9D" w:rsidRPr="00C56D9D" w:rsidTr="00C915A6">
        <w:tc>
          <w:tcPr>
            <w:tcW w:w="2268" w:type="dxa"/>
            <w:vMerge w:val="restart"/>
            <w:vAlign w:val="center"/>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关联方名称</w:t>
            </w:r>
          </w:p>
        </w:tc>
        <w:tc>
          <w:tcPr>
            <w:tcW w:w="3366" w:type="dxa"/>
            <w:gridSpan w:val="2"/>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本期</w:t>
            </w:r>
          </w:p>
          <w:p w:rsidR="00360905" w:rsidRPr="00C56D9D" w:rsidRDefault="00360905" w:rsidP="00C915A6">
            <w:pPr>
              <w:widowControl/>
              <w:autoSpaceDE w:val="0"/>
              <w:autoSpaceDN w:val="0"/>
              <w:spacing w:line="360" w:lineRule="auto"/>
              <w:ind w:right="-15"/>
              <w:jc w:val="center"/>
              <w:textAlignment w:val="bottom"/>
              <w:rPr>
                <w:rFonts w:eastAsiaTheme="minorEastAsia"/>
                <w:color w:val="000000" w:themeColor="text1"/>
                <w:szCs w:val="21"/>
              </w:rPr>
            </w:pP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w:t>
            </w:r>
            <w:r w:rsidRPr="00C56D9D">
              <w:rPr>
                <w:rFonts w:eastAsiaTheme="minorEastAsia"/>
                <w:color w:val="000000" w:themeColor="text1"/>
                <w:szCs w:val="21"/>
              </w:rPr>
              <w:t>月</w:t>
            </w:r>
            <w:r w:rsidRPr="00C56D9D">
              <w:rPr>
                <w:rFonts w:eastAsiaTheme="minorEastAsia"/>
                <w:color w:val="000000" w:themeColor="text1"/>
                <w:szCs w:val="21"/>
              </w:rPr>
              <w:t>1</w:t>
            </w:r>
            <w:r w:rsidRPr="00C56D9D">
              <w:rPr>
                <w:rFonts w:eastAsiaTheme="minorEastAsia"/>
                <w:color w:val="000000" w:themeColor="text1"/>
                <w:szCs w:val="21"/>
              </w:rPr>
              <w:t>日至</w:t>
            </w:r>
            <w:r w:rsidRPr="00C56D9D">
              <w:rPr>
                <w:rFonts w:eastAsiaTheme="minorEastAsia"/>
                <w:color w:val="000000" w:themeColor="text1"/>
                <w:szCs w:val="21"/>
              </w:rPr>
              <w:t>2018</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c>
          <w:tcPr>
            <w:tcW w:w="3366" w:type="dxa"/>
            <w:gridSpan w:val="2"/>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上年度可比期间</w:t>
            </w:r>
          </w:p>
          <w:p w:rsidR="00360905" w:rsidRPr="00C56D9D" w:rsidRDefault="00360905" w:rsidP="00FA5528">
            <w:pPr>
              <w:widowControl/>
              <w:autoSpaceDE w:val="0"/>
              <w:autoSpaceDN w:val="0"/>
              <w:spacing w:line="360" w:lineRule="auto"/>
              <w:ind w:right="-15"/>
              <w:jc w:val="center"/>
              <w:textAlignment w:val="bottom"/>
              <w:rPr>
                <w:rFonts w:eastAsiaTheme="minorEastAsia"/>
                <w:color w:val="000000" w:themeColor="text1"/>
                <w:kern w:val="0"/>
                <w:szCs w:val="21"/>
              </w:rPr>
            </w:pP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日（基金合同生效日）至</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12</w:t>
            </w:r>
            <w:r w:rsidRPr="00C56D9D">
              <w:rPr>
                <w:rFonts w:eastAsiaTheme="minorEastAsia"/>
                <w:color w:val="000000" w:themeColor="text1"/>
                <w:szCs w:val="21"/>
              </w:rPr>
              <w:t>月</w:t>
            </w:r>
            <w:r w:rsidRPr="00C56D9D">
              <w:rPr>
                <w:rFonts w:eastAsiaTheme="minorEastAsia"/>
                <w:color w:val="000000" w:themeColor="text1"/>
                <w:szCs w:val="21"/>
              </w:rPr>
              <w:t>31</w:t>
            </w:r>
            <w:r w:rsidRPr="00C56D9D">
              <w:rPr>
                <w:rFonts w:eastAsiaTheme="minorEastAsia"/>
                <w:color w:val="000000" w:themeColor="text1"/>
                <w:szCs w:val="21"/>
              </w:rPr>
              <w:t>日</w:t>
            </w:r>
          </w:p>
        </w:tc>
      </w:tr>
      <w:tr w:rsidR="00C56D9D" w:rsidRPr="00C56D9D" w:rsidTr="00C915A6">
        <w:tc>
          <w:tcPr>
            <w:tcW w:w="2268" w:type="dxa"/>
            <w:vMerge/>
            <w:vAlign w:val="center"/>
          </w:tcPr>
          <w:p w:rsidR="00360905" w:rsidRPr="00C56D9D" w:rsidRDefault="00360905" w:rsidP="00C915A6">
            <w:pPr>
              <w:widowControl/>
              <w:spacing w:line="360" w:lineRule="auto"/>
              <w:jc w:val="left"/>
              <w:rPr>
                <w:rFonts w:eastAsiaTheme="minorEastAsia"/>
                <w:color w:val="000000" w:themeColor="text1"/>
                <w:szCs w:val="21"/>
              </w:rPr>
            </w:pPr>
          </w:p>
        </w:tc>
        <w:tc>
          <w:tcPr>
            <w:tcW w:w="1683" w:type="dxa"/>
            <w:vAlign w:val="center"/>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期末余额</w:t>
            </w:r>
          </w:p>
        </w:tc>
        <w:tc>
          <w:tcPr>
            <w:tcW w:w="1683" w:type="dxa"/>
            <w:vAlign w:val="center"/>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当期利息收入</w:t>
            </w:r>
          </w:p>
        </w:tc>
        <w:tc>
          <w:tcPr>
            <w:tcW w:w="1683" w:type="dxa"/>
            <w:vAlign w:val="center"/>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期末余额</w:t>
            </w:r>
          </w:p>
        </w:tc>
        <w:tc>
          <w:tcPr>
            <w:tcW w:w="1683" w:type="dxa"/>
            <w:vAlign w:val="center"/>
          </w:tcPr>
          <w:p w:rsidR="00360905" w:rsidRPr="00C56D9D" w:rsidRDefault="00360905" w:rsidP="00C915A6">
            <w:pPr>
              <w:spacing w:line="360" w:lineRule="auto"/>
              <w:jc w:val="center"/>
              <w:rPr>
                <w:rFonts w:eastAsiaTheme="minorEastAsia"/>
                <w:color w:val="000000" w:themeColor="text1"/>
                <w:szCs w:val="21"/>
              </w:rPr>
            </w:pPr>
            <w:r w:rsidRPr="00C56D9D">
              <w:rPr>
                <w:rFonts w:eastAsiaTheme="minorEastAsia"/>
                <w:color w:val="000000" w:themeColor="text1"/>
                <w:szCs w:val="21"/>
              </w:rPr>
              <w:t>当期利息收入</w:t>
            </w:r>
          </w:p>
        </w:tc>
      </w:tr>
      <w:tr w:rsidR="00C133DD">
        <w:tc>
          <w:tcPr>
            <w:tcW w:w="2268" w:type="dxa"/>
            <w:vAlign w:val="center"/>
          </w:tcPr>
          <w:p w:rsidR="00C133DD" w:rsidRDefault="00157FC2">
            <w:pPr>
              <w:jc w:val="left"/>
            </w:pPr>
            <w:r>
              <w:rPr>
                <w:rFonts w:eastAsiaTheme="minorEastAsia"/>
                <w:color w:val="000000" w:themeColor="text1"/>
                <w:szCs w:val="21"/>
              </w:rPr>
              <w:t>平安银行股份有限公司</w:t>
            </w:r>
          </w:p>
        </w:tc>
        <w:tc>
          <w:tcPr>
            <w:tcW w:w="1683" w:type="dxa"/>
            <w:vAlign w:val="center"/>
          </w:tcPr>
          <w:p w:rsidR="00C133DD" w:rsidRDefault="00157FC2">
            <w:pPr>
              <w:jc w:val="right"/>
            </w:pPr>
            <w:r>
              <w:rPr>
                <w:rFonts w:eastAsiaTheme="minorEastAsia"/>
                <w:color w:val="000000" w:themeColor="text1"/>
                <w:szCs w:val="21"/>
              </w:rPr>
              <w:t>1,662,848.86</w:t>
            </w:r>
          </w:p>
        </w:tc>
        <w:tc>
          <w:tcPr>
            <w:tcW w:w="1683" w:type="dxa"/>
            <w:vAlign w:val="center"/>
          </w:tcPr>
          <w:p w:rsidR="00C133DD" w:rsidRDefault="00157FC2">
            <w:pPr>
              <w:jc w:val="right"/>
            </w:pPr>
            <w:r>
              <w:rPr>
                <w:rFonts w:eastAsiaTheme="minorEastAsia"/>
                <w:color w:val="000000" w:themeColor="text1"/>
                <w:szCs w:val="21"/>
              </w:rPr>
              <w:t>28,505.46</w:t>
            </w:r>
          </w:p>
        </w:tc>
        <w:tc>
          <w:tcPr>
            <w:tcW w:w="1683" w:type="dxa"/>
            <w:vAlign w:val="center"/>
          </w:tcPr>
          <w:p w:rsidR="00C133DD" w:rsidRDefault="00157FC2">
            <w:pPr>
              <w:jc w:val="right"/>
            </w:pPr>
            <w:r>
              <w:rPr>
                <w:rFonts w:eastAsiaTheme="minorEastAsia"/>
                <w:color w:val="000000" w:themeColor="text1"/>
                <w:szCs w:val="21"/>
              </w:rPr>
              <w:t>40,267.23</w:t>
            </w:r>
          </w:p>
        </w:tc>
        <w:tc>
          <w:tcPr>
            <w:tcW w:w="1683" w:type="dxa"/>
            <w:vAlign w:val="center"/>
          </w:tcPr>
          <w:p w:rsidR="00C133DD" w:rsidRDefault="00157FC2">
            <w:pPr>
              <w:jc w:val="right"/>
            </w:pPr>
            <w:r>
              <w:rPr>
                <w:rFonts w:eastAsiaTheme="minorEastAsia"/>
                <w:color w:val="000000" w:themeColor="text1"/>
                <w:szCs w:val="21"/>
              </w:rPr>
              <w:t>105,393.58</w:t>
            </w:r>
          </w:p>
        </w:tc>
      </w:tr>
      <w:tr w:rsidR="00C133DD">
        <w:tc>
          <w:tcPr>
            <w:tcW w:w="2268" w:type="dxa"/>
            <w:vAlign w:val="center"/>
          </w:tcPr>
          <w:p w:rsidR="00C133DD" w:rsidRDefault="00157FC2">
            <w:pPr>
              <w:jc w:val="left"/>
            </w:pPr>
            <w:r>
              <w:rPr>
                <w:rFonts w:eastAsiaTheme="minorEastAsia"/>
                <w:color w:val="000000" w:themeColor="text1"/>
                <w:szCs w:val="21"/>
              </w:rPr>
              <w:t>浦发银行</w:t>
            </w:r>
          </w:p>
        </w:tc>
        <w:tc>
          <w:tcPr>
            <w:tcW w:w="1683" w:type="dxa"/>
            <w:vAlign w:val="center"/>
          </w:tcPr>
          <w:p w:rsidR="00C133DD" w:rsidRDefault="00157FC2">
            <w:pPr>
              <w:jc w:val="right"/>
            </w:pPr>
            <w:r>
              <w:rPr>
                <w:rFonts w:eastAsiaTheme="minorEastAsia"/>
                <w:color w:val="000000" w:themeColor="text1"/>
                <w:szCs w:val="21"/>
              </w:rPr>
              <w:t>-</w:t>
            </w:r>
          </w:p>
        </w:tc>
        <w:tc>
          <w:tcPr>
            <w:tcW w:w="1683" w:type="dxa"/>
            <w:vAlign w:val="center"/>
          </w:tcPr>
          <w:p w:rsidR="00C133DD" w:rsidRDefault="00157FC2">
            <w:pPr>
              <w:jc w:val="right"/>
            </w:pPr>
            <w:r>
              <w:rPr>
                <w:rFonts w:eastAsiaTheme="minorEastAsia"/>
                <w:color w:val="000000" w:themeColor="text1"/>
                <w:szCs w:val="21"/>
              </w:rPr>
              <w:t>-</w:t>
            </w:r>
          </w:p>
        </w:tc>
        <w:tc>
          <w:tcPr>
            <w:tcW w:w="1683" w:type="dxa"/>
            <w:vAlign w:val="center"/>
          </w:tcPr>
          <w:p w:rsidR="00C133DD" w:rsidRDefault="00157FC2">
            <w:pPr>
              <w:jc w:val="right"/>
            </w:pPr>
            <w:r>
              <w:rPr>
                <w:rFonts w:eastAsiaTheme="minorEastAsia"/>
                <w:color w:val="000000" w:themeColor="text1"/>
                <w:szCs w:val="21"/>
              </w:rPr>
              <w:t>-</w:t>
            </w:r>
          </w:p>
        </w:tc>
        <w:tc>
          <w:tcPr>
            <w:tcW w:w="1683" w:type="dxa"/>
            <w:vAlign w:val="center"/>
          </w:tcPr>
          <w:p w:rsidR="00C133DD" w:rsidRDefault="00157FC2">
            <w:pPr>
              <w:jc w:val="right"/>
            </w:pPr>
            <w:r>
              <w:rPr>
                <w:rFonts w:eastAsiaTheme="minorEastAsia"/>
                <w:color w:val="000000" w:themeColor="text1"/>
                <w:szCs w:val="21"/>
              </w:rPr>
              <w:t>32,666.67</w:t>
            </w:r>
          </w:p>
        </w:tc>
      </w:tr>
    </w:tbl>
    <w:p w:rsidR="001A59F9" w:rsidRPr="00C56D9D" w:rsidRDefault="00360905" w:rsidP="00BC348D">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注：本基金的银行存款由基金托管人平安银行保管，按银行同业利率计息。</w:t>
      </w:r>
    </w:p>
    <w:p w:rsidR="006C5F49" w:rsidRPr="00A73188" w:rsidRDefault="006C5F49" w:rsidP="00E34772">
      <w:pPr>
        <w:adjustRightInd w:val="0"/>
        <w:snapToGrid w:val="0"/>
        <w:spacing w:beforeLines="100" w:before="312" w:line="360" w:lineRule="auto"/>
        <w:rPr>
          <w:rFonts w:eastAsiaTheme="minorEastAsia"/>
          <w:b/>
          <w:color w:val="000000" w:themeColor="text1"/>
          <w:szCs w:val="21"/>
        </w:rPr>
      </w:pPr>
      <w:r w:rsidRPr="00A73188">
        <w:rPr>
          <w:rFonts w:eastAsiaTheme="minorEastAsia"/>
          <w:b/>
          <w:bCs/>
          <w:color w:val="000000" w:themeColor="text1"/>
          <w:kern w:val="0"/>
          <w:szCs w:val="21"/>
        </w:rPr>
        <w:t>7.4.</w:t>
      </w:r>
      <w:r w:rsidR="008A1CBD">
        <w:rPr>
          <w:rFonts w:eastAsiaTheme="minorEastAsia"/>
          <w:b/>
          <w:bCs/>
          <w:color w:val="000000" w:themeColor="text1"/>
          <w:kern w:val="0"/>
          <w:szCs w:val="21"/>
        </w:rPr>
        <w:t>8</w:t>
      </w:r>
      <w:r w:rsidRPr="00A73188">
        <w:rPr>
          <w:rFonts w:eastAsiaTheme="minorEastAsia"/>
          <w:b/>
          <w:bCs/>
          <w:color w:val="000000" w:themeColor="text1"/>
          <w:kern w:val="0"/>
          <w:szCs w:val="21"/>
        </w:rPr>
        <w:t xml:space="preserve">.5 </w:t>
      </w:r>
      <w:r w:rsidRPr="00A73188">
        <w:rPr>
          <w:rFonts w:eastAsiaTheme="minorEastAsia"/>
          <w:b/>
          <w:color w:val="000000" w:themeColor="text1"/>
          <w:szCs w:val="21"/>
        </w:rPr>
        <w:t>其他关联交易事项的说明</w:t>
      </w:r>
    </w:p>
    <w:p w:rsidR="006C5F49" w:rsidRPr="00A73188" w:rsidRDefault="006C5F49" w:rsidP="006C5F49">
      <w:pPr>
        <w:adjustRightInd w:val="0"/>
        <w:snapToGrid w:val="0"/>
        <w:spacing w:line="360" w:lineRule="auto"/>
        <w:rPr>
          <w:rFonts w:eastAsiaTheme="minorEastAsia"/>
          <w:b/>
          <w:color w:val="000000" w:themeColor="text1"/>
          <w:szCs w:val="21"/>
        </w:rPr>
      </w:pPr>
      <w:r w:rsidRPr="00A73188">
        <w:rPr>
          <w:rFonts w:eastAsiaTheme="minorEastAsia"/>
          <w:b/>
          <w:bCs/>
          <w:color w:val="000000" w:themeColor="text1"/>
          <w:kern w:val="0"/>
          <w:szCs w:val="21"/>
        </w:rPr>
        <w:t>7.4.</w:t>
      </w:r>
      <w:r w:rsidR="008A1CBD">
        <w:rPr>
          <w:rFonts w:eastAsiaTheme="minorEastAsia"/>
          <w:b/>
          <w:bCs/>
          <w:color w:val="000000" w:themeColor="text1"/>
          <w:kern w:val="0"/>
          <w:szCs w:val="21"/>
        </w:rPr>
        <w:t>8</w:t>
      </w:r>
      <w:r w:rsidRPr="00A73188">
        <w:rPr>
          <w:rFonts w:eastAsiaTheme="minorEastAsia"/>
          <w:b/>
          <w:bCs/>
          <w:color w:val="000000" w:themeColor="text1"/>
          <w:kern w:val="0"/>
          <w:szCs w:val="21"/>
        </w:rPr>
        <w:t>.5</w:t>
      </w:r>
      <w:r w:rsidRPr="00A73188">
        <w:rPr>
          <w:rFonts w:eastAsiaTheme="minorEastAsia" w:hint="eastAsia"/>
          <w:b/>
          <w:bCs/>
          <w:color w:val="000000" w:themeColor="text1"/>
          <w:kern w:val="0"/>
          <w:szCs w:val="21"/>
        </w:rPr>
        <w:t xml:space="preserve">.1 </w:t>
      </w:r>
      <w:r w:rsidRPr="00A73188">
        <w:rPr>
          <w:rFonts w:eastAsiaTheme="minorEastAsia"/>
          <w:b/>
          <w:color w:val="000000" w:themeColor="text1"/>
          <w:szCs w:val="21"/>
        </w:rPr>
        <w:t>其他关联交易事项的说明</w:t>
      </w:r>
    </w:p>
    <w:p w:rsidR="006C5F49" w:rsidRPr="00A73188" w:rsidRDefault="006C5F49" w:rsidP="006C5F49">
      <w:pPr>
        <w:widowControl/>
        <w:spacing w:line="360" w:lineRule="auto"/>
        <w:ind w:firstLineChars="200" w:firstLine="420"/>
        <w:rPr>
          <w:rFonts w:eastAsiaTheme="minorEastAsia"/>
          <w:color w:val="000000" w:themeColor="text1"/>
          <w:kern w:val="0"/>
          <w:szCs w:val="21"/>
        </w:rPr>
      </w:pPr>
      <w:r w:rsidRPr="00A73188">
        <w:rPr>
          <w:rFonts w:eastAsiaTheme="minorEastAsia"/>
          <w:color w:val="000000" w:themeColor="text1"/>
          <w:kern w:val="0"/>
          <w:szCs w:val="21"/>
        </w:rPr>
        <w:lastRenderedPageBreak/>
        <w:t>无。</w:t>
      </w:r>
    </w:p>
    <w:p w:rsidR="001A59F9" w:rsidRPr="00C56D9D" w:rsidRDefault="001A59F9" w:rsidP="00E34772">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9</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期末（</w:t>
      </w:r>
      <w:r w:rsidR="00F64FAD" w:rsidRPr="00C56D9D">
        <w:rPr>
          <w:rFonts w:eastAsiaTheme="minorEastAsia"/>
          <w:b/>
          <w:bCs/>
          <w:color w:val="000000" w:themeColor="text1"/>
          <w:szCs w:val="21"/>
        </w:rPr>
        <w:t>2018</w:t>
      </w:r>
      <w:r w:rsidR="00F64FAD" w:rsidRPr="00C56D9D">
        <w:rPr>
          <w:rFonts w:eastAsiaTheme="minorEastAsia"/>
          <w:b/>
          <w:bCs/>
          <w:color w:val="000000" w:themeColor="text1"/>
          <w:szCs w:val="21"/>
        </w:rPr>
        <w:t>年</w:t>
      </w:r>
      <w:r w:rsidR="00F64FAD" w:rsidRPr="00C56D9D">
        <w:rPr>
          <w:rFonts w:eastAsiaTheme="minorEastAsia"/>
          <w:b/>
          <w:bCs/>
          <w:color w:val="000000" w:themeColor="text1"/>
          <w:szCs w:val="21"/>
        </w:rPr>
        <w:t>12</w:t>
      </w:r>
      <w:r w:rsidR="00F64FAD" w:rsidRPr="00C56D9D">
        <w:rPr>
          <w:rFonts w:eastAsiaTheme="minorEastAsia"/>
          <w:b/>
          <w:bCs/>
          <w:color w:val="000000" w:themeColor="text1"/>
          <w:szCs w:val="21"/>
        </w:rPr>
        <w:t>月</w:t>
      </w:r>
      <w:r w:rsidR="00F64FAD" w:rsidRPr="00C56D9D">
        <w:rPr>
          <w:rFonts w:eastAsiaTheme="minorEastAsia"/>
          <w:b/>
          <w:bCs/>
          <w:color w:val="000000" w:themeColor="text1"/>
          <w:szCs w:val="21"/>
        </w:rPr>
        <w:t>31</w:t>
      </w:r>
      <w:r w:rsidR="00F64FAD" w:rsidRPr="00C56D9D">
        <w:rPr>
          <w:rFonts w:eastAsiaTheme="minorEastAsia"/>
          <w:b/>
          <w:bCs/>
          <w:color w:val="000000" w:themeColor="text1"/>
          <w:szCs w:val="21"/>
        </w:rPr>
        <w:t>日</w:t>
      </w:r>
      <w:r w:rsidRPr="00C56D9D">
        <w:rPr>
          <w:rFonts w:eastAsiaTheme="minorEastAsia"/>
          <w:b/>
          <w:bCs/>
          <w:color w:val="000000" w:themeColor="text1"/>
          <w:szCs w:val="21"/>
        </w:rPr>
        <w:t>）本基金持有的流通受限证券</w:t>
      </w:r>
    </w:p>
    <w:p w:rsidR="001A59F9" w:rsidRPr="00C56D9D" w:rsidRDefault="001A59F9" w:rsidP="00CF3A8E">
      <w:pPr>
        <w:spacing w:line="360" w:lineRule="auto"/>
        <w:rPr>
          <w:rFonts w:eastAsiaTheme="minorEastAsia"/>
          <w:b/>
          <w:bCs/>
          <w:color w:val="000000" w:themeColor="text1"/>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9</w:t>
      </w:r>
      <w:r w:rsidRPr="00C56D9D">
        <w:rPr>
          <w:rFonts w:eastAsiaTheme="minorEastAsia"/>
          <w:b/>
          <w:bCs/>
          <w:color w:val="000000" w:themeColor="text1"/>
          <w:kern w:val="0"/>
          <w:szCs w:val="21"/>
        </w:rPr>
        <w:t>.1</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因认购新发</w:t>
      </w:r>
      <w:r w:rsidRPr="00C56D9D">
        <w:rPr>
          <w:rFonts w:eastAsiaTheme="minorEastAsia"/>
          <w:b/>
          <w:bCs/>
          <w:color w:val="000000" w:themeColor="text1"/>
          <w:szCs w:val="21"/>
        </w:rPr>
        <w:t>/</w:t>
      </w:r>
      <w:r w:rsidRPr="00C56D9D">
        <w:rPr>
          <w:rFonts w:eastAsiaTheme="minorEastAsia"/>
          <w:b/>
          <w:bCs/>
          <w:color w:val="000000" w:themeColor="text1"/>
          <w:szCs w:val="21"/>
        </w:rPr>
        <w:t>增发证券而于期末持有的流通受限证券</w:t>
      </w:r>
    </w:p>
    <w:p w:rsidR="001A59F9" w:rsidRPr="00C56D9D"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E34772">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w:t>
      </w:r>
      <w:r w:rsidR="008A1CBD">
        <w:rPr>
          <w:rFonts w:eastAsiaTheme="minorEastAsia"/>
          <w:b/>
          <w:bCs/>
          <w:color w:val="000000" w:themeColor="text1"/>
          <w:kern w:val="0"/>
          <w:szCs w:val="21"/>
        </w:rPr>
        <w:t>9</w:t>
      </w:r>
      <w:r w:rsidRPr="00C56D9D">
        <w:rPr>
          <w:rFonts w:eastAsiaTheme="minorEastAsia"/>
          <w:b/>
          <w:bCs/>
          <w:color w:val="000000" w:themeColor="text1"/>
          <w:kern w:val="0"/>
          <w:szCs w:val="21"/>
        </w:rPr>
        <w:t>.2</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期末持有的暂时停牌等流通受限股票</w:t>
      </w:r>
    </w:p>
    <w:p w:rsidR="001A59F9" w:rsidRPr="00C56D9D"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E34772">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w:t>
      </w:r>
      <w:r w:rsidR="007015A5">
        <w:rPr>
          <w:rFonts w:eastAsiaTheme="minorEastAsia"/>
          <w:b/>
          <w:bCs/>
          <w:color w:val="000000" w:themeColor="text1"/>
          <w:kern w:val="0"/>
          <w:szCs w:val="21"/>
        </w:rPr>
        <w:t>9</w:t>
      </w:r>
      <w:r w:rsidRPr="00C56D9D">
        <w:rPr>
          <w:rFonts w:eastAsiaTheme="minorEastAsia"/>
          <w:b/>
          <w:bCs/>
          <w:color w:val="000000" w:themeColor="text1"/>
          <w:kern w:val="0"/>
          <w:szCs w:val="21"/>
        </w:rPr>
        <w:t>.3</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期末债券正回购交易中作为抵押的债券</w:t>
      </w:r>
    </w:p>
    <w:p w:rsidR="001A59F9" w:rsidRPr="00C56D9D" w:rsidRDefault="001A59F9" w:rsidP="00CF3A8E">
      <w:pPr>
        <w:spacing w:line="360" w:lineRule="auto"/>
        <w:rPr>
          <w:rFonts w:eastAsiaTheme="minorEastAsia"/>
          <w:b/>
          <w:bCs/>
          <w:color w:val="000000" w:themeColor="text1"/>
          <w:szCs w:val="21"/>
        </w:rPr>
      </w:pPr>
      <w:r w:rsidRPr="00C56D9D">
        <w:rPr>
          <w:rFonts w:eastAsiaTheme="minorEastAsia"/>
          <w:b/>
          <w:bCs/>
          <w:color w:val="000000" w:themeColor="text1"/>
          <w:kern w:val="0"/>
          <w:szCs w:val="21"/>
        </w:rPr>
        <w:t>7.4.</w:t>
      </w:r>
      <w:r w:rsidR="007015A5">
        <w:rPr>
          <w:rFonts w:eastAsiaTheme="minorEastAsia"/>
          <w:b/>
          <w:bCs/>
          <w:color w:val="000000" w:themeColor="text1"/>
          <w:kern w:val="0"/>
          <w:szCs w:val="21"/>
        </w:rPr>
        <w:t>9</w:t>
      </w:r>
      <w:r w:rsidRPr="00C56D9D">
        <w:rPr>
          <w:rFonts w:eastAsiaTheme="minorEastAsia"/>
          <w:b/>
          <w:bCs/>
          <w:color w:val="000000" w:themeColor="text1"/>
          <w:kern w:val="0"/>
          <w:szCs w:val="21"/>
        </w:rPr>
        <w:t>.3.1</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银行间市场债券正回购</w:t>
      </w:r>
    </w:p>
    <w:p w:rsidR="001A59F9" w:rsidRPr="00C56D9D" w:rsidRDefault="001A59F9" w:rsidP="00AB5FEF">
      <w:pPr>
        <w:tabs>
          <w:tab w:val="left" w:pos="426"/>
        </w:tabs>
        <w:spacing w:line="360" w:lineRule="auto"/>
        <w:ind w:firstLineChars="200" w:firstLine="420"/>
        <w:jc w:val="left"/>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E34772">
      <w:pPr>
        <w:spacing w:beforeLines="100" w:before="312" w:line="360" w:lineRule="auto"/>
        <w:rPr>
          <w:rFonts w:eastAsiaTheme="minorEastAsia"/>
          <w:b/>
          <w:bCs/>
          <w:color w:val="000000" w:themeColor="text1"/>
          <w:szCs w:val="21"/>
        </w:rPr>
      </w:pPr>
      <w:r w:rsidRPr="00C56D9D">
        <w:rPr>
          <w:rFonts w:eastAsiaTheme="minorEastAsia"/>
          <w:b/>
          <w:bCs/>
          <w:color w:val="000000" w:themeColor="text1"/>
          <w:kern w:val="0"/>
          <w:szCs w:val="21"/>
        </w:rPr>
        <w:t>7.4.</w:t>
      </w:r>
      <w:r w:rsidR="007015A5">
        <w:rPr>
          <w:rFonts w:eastAsiaTheme="minorEastAsia"/>
          <w:b/>
          <w:bCs/>
          <w:color w:val="000000" w:themeColor="text1"/>
          <w:kern w:val="0"/>
          <w:szCs w:val="21"/>
        </w:rPr>
        <w:t>9</w:t>
      </w:r>
      <w:r w:rsidRPr="00C56D9D">
        <w:rPr>
          <w:rFonts w:eastAsiaTheme="minorEastAsia"/>
          <w:b/>
          <w:bCs/>
          <w:color w:val="000000" w:themeColor="text1"/>
          <w:kern w:val="0"/>
          <w:szCs w:val="21"/>
        </w:rPr>
        <w:t>.3.2</w:t>
      </w:r>
      <w:r w:rsidR="00AD16A3" w:rsidRPr="00C56D9D">
        <w:rPr>
          <w:rFonts w:eastAsiaTheme="minorEastAsia"/>
          <w:b/>
          <w:bCs/>
          <w:color w:val="000000" w:themeColor="text1"/>
          <w:kern w:val="0"/>
          <w:szCs w:val="21"/>
        </w:rPr>
        <w:t xml:space="preserve"> </w:t>
      </w:r>
      <w:r w:rsidRPr="00C56D9D">
        <w:rPr>
          <w:rFonts w:eastAsiaTheme="minorEastAsia"/>
          <w:b/>
          <w:bCs/>
          <w:color w:val="000000" w:themeColor="text1"/>
          <w:szCs w:val="21"/>
        </w:rPr>
        <w:t>交易所市场债券正回购</w:t>
      </w:r>
    </w:p>
    <w:p w:rsidR="001A59F9" w:rsidRPr="00C56D9D" w:rsidRDefault="001A59F9" w:rsidP="00AB5FE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截至本报告期末</w:t>
      </w:r>
      <w:r w:rsidRPr="00C56D9D">
        <w:rPr>
          <w:rFonts w:eastAsiaTheme="minorEastAsia"/>
          <w:color w:val="000000" w:themeColor="text1"/>
          <w:kern w:val="0"/>
          <w:szCs w:val="21"/>
        </w:rPr>
        <w:t xml:space="preserve"> 2018</w:t>
      </w:r>
      <w:r w:rsidRPr="00C56D9D">
        <w:rPr>
          <w:rFonts w:eastAsiaTheme="minorEastAsia"/>
          <w:color w:val="000000" w:themeColor="text1"/>
          <w:kern w:val="0"/>
          <w:szCs w:val="21"/>
        </w:rPr>
        <w:t>年</w:t>
      </w:r>
      <w:r w:rsidRPr="00C56D9D">
        <w:rPr>
          <w:rFonts w:eastAsiaTheme="minorEastAsia"/>
          <w:color w:val="000000" w:themeColor="text1"/>
          <w:kern w:val="0"/>
          <w:szCs w:val="21"/>
        </w:rPr>
        <w:t>12</w:t>
      </w:r>
      <w:r w:rsidRPr="00C56D9D">
        <w:rPr>
          <w:rFonts w:eastAsiaTheme="minorEastAsia"/>
          <w:color w:val="000000" w:themeColor="text1"/>
          <w:kern w:val="0"/>
          <w:szCs w:val="21"/>
        </w:rPr>
        <w:t>月</w:t>
      </w:r>
      <w:r w:rsidRPr="00C56D9D">
        <w:rPr>
          <w:rFonts w:eastAsiaTheme="minorEastAsia"/>
          <w:color w:val="000000" w:themeColor="text1"/>
          <w:kern w:val="0"/>
          <w:szCs w:val="21"/>
        </w:rPr>
        <w:t>31</w:t>
      </w:r>
      <w:r w:rsidRPr="00C56D9D">
        <w:rPr>
          <w:rFonts w:eastAsiaTheme="minorEastAsia"/>
          <w:color w:val="000000" w:themeColor="text1"/>
          <w:kern w:val="0"/>
          <w:szCs w:val="21"/>
        </w:rPr>
        <w:t>日止，本基金从事证券交易所债券正回购交易形成的卖出回购证券款余额</w:t>
      </w:r>
      <w:r w:rsidRPr="00C56D9D">
        <w:rPr>
          <w:rFonts w:eastAsiaTheme="minorEastAsia"/>
          <w:color w:val="000000" w:themeColor="text1"/>
          <w:kern w:val="0"/>
          <w:szCs w:val="21"/>
        </w:rPr>
        <w:t>14,200,000.00</w:t>
      </w:r>
      <w:r w:rsidRPr="00C56D9D">
        <w:rPr>
          <w:rFonts w:eastAsiaTheme="minorEastAsia"/>
          <w:color w:val="000000" w:themeColor="text1"/>
          <w:kern w:val="0"/>
          <w:szCs w:val="21"/>
        </w:rPr>
        <w:t>元，于</w:t>
      </w:r>
      <w:r w:rsidRPr="00C56D9D">
        <w:rPr>
          <w:rFonts w:eastAsiaTheme="minorEastAsia"/>
          <w:color w:val="000000" w:themeColor="text1"/>
          <w:kern w:val="0"/>
          <w:szCs w:val="21"/>
        </w:rPr>
        <w:t>2019</w:t>
      </w:r>
      <w:r w:rsidRPr="00C56D9D">
        <w:rPr>
          <w:rFonts w:eastAsiaTheme="minorEastAsia"/>
          <w:color w:val="000000" w:themeColor="text1"/>
          <w:kern w:val="0"/>
          <w:szCs w:val="21"/>
        </w:rPr>
        <w:t>年</w:t>
      </w:r>
      <w:r w:rsidRPr="00C56D9D">
        <w:rPr>
          <w:rFonts w:eastAsiaTheme="minorEastAsia"/>
          <w:color w:val="000000" w:themeColor="text1"/>
          <w:kern w:val="0"/>
          <w:szCs w:val="21"/>
        </w:rPr>
        <w:t>01</w:t>
      </w:r>
      <w:r w:rsidRPr="00C56D9D">
        <w:rPr>
          <w:rFonts w:eastAsiaTheme="minorEastAsia"/>
          <w:color w:val="000000" w:themeColor="text1"/>
          <w:kern w:val="0"/>
          <w:szCs w:val="21"/>
        </w:rPr>
        <w:t>月</w:t>
      </w:r>
      <w:r w:rsidRPr="00C56D9D">
        <w:rPr>
          <w:rFonts w:eastAsiaTheme="minorEastAsia"/>
          <w:color w:val="000000" w:themeColor="text1"/>
          <w:kern w:val="0"/>
          <w:szCs w:val="21"/>
        </w:rPr>
        <w:t>02</w:t>
      </w:r>
      <w:r w:rsidRPr="00C56D9D">
        <w:rPr>
          <w:rFonts w:eastAsiaTheme="minorEastAsia"/>
          <w:color w:val="000000" w:themeColor="text1"/>
          <w:kern w:val="0"/>
          <w:szCs w:val="21"/>
        </w:rPr>
        <w:t>日</w:t>
      </w:r>
      <w:r w:rsidRPr="00C56D9D">
        <w:rPr>
          <w:rFonts w:eastAsiaTheme="minorEastAsia"/>
          <w:color w:val="000000" w:themeColor="text1"/>
          <w:kern w:val="0"/>
          <w:szCs w:val="21"/>
        </w:rPr>
        <w:t>(</w:t>
      </w:r>
      <w:r w:rsidRPr="00C56D9D">
        <w:rPr>
          <w:rFonts w:eastAsiaTheme="minorEastAsia"/>
          <w:color w:val="000000" w:themeColor="text1"/>
          <w:kern w:val="0"/>
          <w:szCs w:val="21"/>
        </w:rPr>
        <w:t>先后</w:t>
      </w:r>
      <w:r w:rsidRPr="00C56D9D">
        <w:rPr>
          <w:rFonts w:eastAsiaTheme="minorEastAsia"/>
          <w:color w:val="000000" w:themeColor="text1"/>
          <w:kern w:val="0"/>
          <w:szCs w:val="21"/>
        </w:rPr>
        <w:t>)</w:t>
      </w:r>
      <w:r w:rsidRPr="00C56D9D">
        <w:rPr>
          <w:rFonts w:eastAsiaTheme="minorEastAsia"/>
          <w:color w:val="000000" w:themeColor="text1"/>
          <w:kern w:val="0"/>
          <w:szCs w:val="21"/>
        </w:rPr>
        <w:t>到期。该类交易要求本基金转入质押库的债券，按证券交易所规定的比例折算为标准券后，不低于债券回购交易的余额。</w:t>
      </w:r>
    </w:p>
    <w:p w:rsidR="001A59F9" w:rsidRPr="00C56D9D" w:rsidRDefault="001A59F9" w:rsidP="00E34772">
      <w:pPr>
        <w:adjustRightInd w:val="0"/>
        <w:snapToGrid w:val="0"/>
        <w:spacing w:beforeLines="100" w:before="312" w:line="360" w:lineRule="auto"/>
        <w:rPr>
          <w:rFonts w:eastAsiaTheme="minorEastAsia"/>
          <w:b/>
          <w:color w:val="000000" w:themeColor="text1"/>
          <w:szCs w:val="21"/>
        </w:rPr>
      </w:pPr>
      <w:r w:rsidRPr="00C56D9D">
        <w:rPr>
          <w:rFonts w:eastAsiaTheme="minorEastAsia"/>
          <w:b/>
          <w:bCs/>
          <w:color w:val="000000" w:themeColor="text1"/>
          <w:kern w:val="0"/>
          <w:szCs w:val="21"/>
        </w:rPr>
        <w:t>7.4.1</w:t>
      </w:r>
      <w:r w:rsidR="007015A5">
        <w:rPr>
          <w:rFonts w:eastAsiaTheme="minorEastAsia"/>
          <w:b/>
          <w:bCs/>
          <w:color w:val="000000" w:themeColor="text1"/>
          <w:kern w:val="0"/>
          <w:szCs w:val="21"/>
        </w:rPr>
        <w:t>0</w:t>
      </w:r>
      <w:r w:rsidR="00024200" w:rsidRPr="00C56D9D">
        <w:rPr>
          <w:rFonts w:eastAsiaTheme="minorEastAsia"/>
          <w:b/>
          <w:bCs/>
          <w:color w:val="000000" w:themeColor="text1"/>
          <w:kern w:val="0"/>
          <w:szCs w:val="21"/>
        </w:rPr>
        <w:t xml:space="preserve"> </w:t>
      </w:r>
      <w:r w:rsidRPr="00C56D9D">
        <w:rPr>
          <w:rFonts w:eastAsiaTheme="minorEastAsia"/>
          <w:b/>
          <w:color w:val="000000" w:themeColor="text1"/>
          <w:szCs w:val="21"/>
        </w:rPr>
        <w:t>有助于理解和分析会计报表需要说明的其他事项</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公允价值</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(a)  </w:t>
      </w:r>
      <w:r>
        <w:rPr>
          <w:rFonts w:eastAsiaTheme="minorEastAsia"/>
          <w:color w:val="000000" w:themeColor="text1"/>
          <w:kern w:val="0"/>
          <w:szCs w:val="21"/>
        </w:rPr>
        <w:t>金融工具公允价值计量的方法</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公允价值计量结果所属的层次，由对公允价值计量整体而言具有重要意义的输入值所属的最低层次决定：</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第一层次：相同资产或负债在活跃市场上未经调整的报价。</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第二层次：除第一层次输入值外相关资产或负债直接或间接可观察的输入值。</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第三层次：相关资产或负债的不可观察输入值。</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(b)  </w:t>
      </w:r>
      <w:r>
        <w:rPr>
          <w:rFonts w:eastAsiaTheme="minorEastAsia"/>
          <w:color w:val="000000" w:themeColor="text1"/>
          <w:kern w:val="0"/>
          <w:szCs w:val="21"/>
        </w:rPr>
        <w:t>持续的以公允价值计量的金融工具</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(i)  </w:t>
      </w:r>
      <w:r>
        <w:rPr>
          <w:rFonts w:eastAsiaTheme="minorEastAsia"/>
          <w:color w:val="000000" w:themeColor="text1"/>
          <w:kern w:val="0"/>
          <w:szCs w:val="21"/>
        </w:rPr>
        <w:t>各层次金融工具公允价值</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lastRenderedPageBreak/>
        <w:t>于</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日，本基金持有的以公允价值计量且其变动计入当期损益的金融资产中属于第二层次的余额为</w:t>
      </w:r>
      <w:r>
        <w:rPr>
          <w:rFonts w:eastAsiaTheme="minorEastAsia"/>
          <w:color w:val="000000" w:themeColor="text1"/>
          <w:kern w:val="0"/>
          <w:szCs w:val="21"/>
        </w:rPr>
        <w:t>51,025,133.40</w:t>
      </w:r>
      <w:r>
        <w:rPr>
          <w:rFonts w:eastAsiaTheme="minorEastAsia"/>
          <w:color w:val="000000" w:themeColor="text1"/>
          <w:kern w:val="0"/>
          <w:szCs w:val="21"/>
        </w:rPr>
        <w:t>元，无属于第一或第三层次的余额</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日：第二层次</w:t>
      </w:r>
      <w:r>
        <w:rPr>
          <w:rFonts w:eastAsiaTheme="minorEastAsia"/>
          <w:color w:val="000000" w:themeColor="text1"/>
          <w:kern w:val="0"/>
          <w:szCs w:val="21"/>
        </w:rPr>
        <w:t>206,905,566.30</w:t>
      </w:r>
      <w:r>
        <w:rPr>
          <w:rFonts w:eastAsiaTheme="minorEastAsia"/>
          <w:color w:val="000000" w:themeColor="text1"/>
          <w:kern w:val="0"/>
          <w:szCs w:val="21"/>
        </w:rPr>
        <w:t>元，无第一或第三层次</w:t>
      </w:r>
      <w:r>
        <w:rPr>
          <w:rFonts w:eastAsiaTheme="minorEastAsia"/>
          <w:color w:val="000000" w:themeColor="text1"/>
          <w:kern w:val="0"/>
          <w:szCs w:val="21"/>
        </w:rPr>
        <w:t>)</w:t>
      </w:r>
      <w:r>
        <w:rPr>
          <w:rFonts w:eastAsiaTheme="minorEastAsia"/>
          <w:color w:val="000000" w:themeColor="text1"/>
          <w:kern w:val="0"/>
          <w:szCs w:val="21"/>
        </w:rPr>
        <w:t>。</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(ii)  </w:t>
      </w:r>
      <w:r>
        <w:rPr>
          <w:rFonts w:eastAsiaTheme="minorEastAsia"/>
          <w:color w:val="000000" w:themeColor="text1"/>
          <w:kern w:val="0"/>
          <w:szCs w:val="21"/>
        </w:rPr>
        <w:t>公允价值所属层次间的重大变动</w:t>
      </w:r>
    </w:p>
    <w:p w:rsidR="0016004B" w:rsidRDefault="0016004B" w:rsidP="0016004B">
      <w:pPr>
        <w:widowControl/>
        <w:spacing w:line="360" w:lineRule="auto"/>
        <w:ind w:firstLineChars="200" w:firstLine="420"/>
        <w:rPr>
          <w:rFonts w:eastAsiaTheme="minorEastAsia"/>
          <w:color w:val="000000" w:themeColor="text1"/>
          <w:kern w:val="0"/>
          <w:szCs w:val="21"/>
        </w:rPr>
      </w:pPr>
      <w:r w:rsidRPr="00A81711">
        <w:rPr>
          <w:rFonts w:eastAsiaTheme="minorEastAsia"/>
          <w:color w:val="000000" w:themeColor="text1"/>
          <w:kern w:val="0"/>
          <w:szCs w:val="21"/>
        </w:rPr>
        <w:t>本基金以导致各层次之间转换的事项发生日为确认各层次之间转换的时点</w:t>
      </w:r>
      <w:r>
        <w:rPr>
          <w:rFonts w:eastAsiaTheme="minorEastAsia"/>
          <w:color w:val="000000" w:themeColor="text1"/>
          <w:kern w:val="0"/>
          <w:szCs w:val="21"/>
        </w:rPr>
        <w:t>。</w:t>
      </w:r>
    </w:p>
    <w:p w:rsidR="0016004B" w:rsidRDefault="0016004B" w:rsidP="0016004B">
      <w:pPr>
        <w:widowControl/>
        <w:spacing w:line="360" w:lineRule="auto"/>
        <w:ind w:firstLineChars="200" w:firstLine="420"/>
        <w:rPr>
          <w:rFonts w:eastAsiaTheme="minorEastAsia"/>
          <w:color w:val="000000" w:themeColor="text1"/>
          <w:kern w:val="0"/>
          <w:szCs w:val="21"/>
        </w:rPr>
      </w:pPr>
      <w:r w:rsidRPr="00A81711">
        <w:rPr>
          <w:rFonts w:eastAsiaTheme="minorEastAsia"/>
          <w:color w:val="000000" w:themeColor="text1"/>
          <w:kern w:val="0"/>
          <w:szCs w:val="21"/>
        </w:rPr>
        <w:t>对于证券交易所上市的债券，若出现重大事项停牌、交易不活跃</w:t>
      </w:r>
      <w:r w:rsidRPr="00A81711">
        <w:rPr>
          <w:rFonts w:eastAsiaTheme="minorEastAsia"/>
          <w:color w:val="000000" w:themeColor="text1"/>
          <w:kern w:val="0"/>
          <w:szCs w:val="21"/>
        </w:rPr>
        <w:t>(</w:t>
      </w:r>
      <w:r w:rsidRPr="00A81711">
        <w:rPr>
          <w:rFonts w:eastAsiaTheme="minorEastAsia"/>
          <w:color w:val="000000" w:themeColor="text1"/>
          <w:kern w:val="0"/>
          <w:szCs w:val="21"/>
        </w:rPr>
        <w:t>包括涨跌停时的交易不活跃</w:t>
      </w:r>
      <w:r w:rsidRPr="00A81711">
        <w:rPr>
          <w:rFonts w:eastAsiaTheme="minorEastAsia"/>
          <w:color w:val="000000" w:themeColor="text1"/>
          <w:kern w:val="0"/>
          <w:szCs w:val="21"/>
        </w:rPr>
        <w:t>)</w:t>
      </w:r>
      <w:r w:rsidRPr="00A81711">
        <w:rPr>
          <w:rFonts w:eastAsiaTheme="minorEastAsia"/>
          <w:color w:val="000000" w:themeColor="text1"/>
          <w:kern w:val="0"/>
          <w:szCs w:val="21"/>
        </w:rPr>
        <w:t>、或属于非公开发行等情况，本基金不会于停牌日至交易恢复活跃日期间、交易不活跃期间及限售期间将相关债券的公允价值列入第一层次；并根据估值调整中采用的不可观察输入值对于公允价值的影响程度，确定相关债券公允价值应属第二层次还是第三层次</w:t>
      </w:r>
      <w:r>
        <w:rPr>
          <w:rFonts w:eastAsiaTheme="minorEastAsia"/>
          <w:color w:val="000000" w:themeColor="text1"/>
          <w:kern w:val="0"/>
          <w:szCs w:val="21"/>
        </w:rPr>
        <w:t>。</w:t>
      </w:r>
    </w:p>
    <w:p w:rsidR="00C133DD" w:rsidRPr="0016004B"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(iii)  </w:t>
      </w:r>
      <w:r>
        <w:rPr>
          <w:rFonts w:eastAsiaTheme="minorEastAsia"/>
          <w:color w:val="000000" w:themeColor="text1"/>
          <w:kern w:val="0"/>
          <w:szCs w:val="21"/>
        </w:rPr>
        <w:t>第三层次公允价值余额和本期变动金额</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无。</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(c)  </w:t>
      </w:r>
      <w:r>
        <w:rPr>
          <w:rFonts w:eastAsiaTheme="minorEastAsia"/>
          <w:color w:val="000000" w:themeColor="text1"/>
          <w:kern w:val="0"/>
          <w:szCs w:val="21"/>
        </w:rPr>
        <w:t>非持续的以公允价值计量的金融工具</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于</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日，本基金未持有非持续的以公允价值计量的金融资产</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12</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日：同</w:t>
      </w:r>
      <w:r>
        <w:rPr>
          <w:rFonts w:eastAsiaTheme="minorEastAsia"/>
          <w:color w:val="000000" w:themeColor="text1"/>
          <w:kern w:val="0"/>
          <w:szCs w:val="21"/>
        </w:rPr>
        <w:t>)</w:t>
      </w:r>
      <w:r>
        <w:rPr>
          <w:rFonts w:eastAsiaTheme="minorEastAsia"/>
          <w:color w:val="000000" w:themeColor="text1"/>
          <w:kern w:val="0"/>
          <w:szCs w:val="21"/>
        </w:rPr>
        <w:t>。</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 xml:space="preserve">(d)  </w:t>
      </w:r>
      <w:r>
        <w:rPr>
          <w:rFonts w:eastAsiaTheme="minorEastAsia"/>
          <w:color w:val="000000" w:themeColor="text1"/>
          <w:kern w:val="0"/>
          <w:szCs w:val="21"/>
        </w:rPr>
        <w:t>不以公允价值计量的金融工具</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不以公允价值计量的金融资产和负债主要包括应收款项和其他金融负债，其账面价值与公允价值相差很小。</w:t>
      </w:r>
    </w:p>
    <w:p w:rsidR="00C133DD" w:rsidRDefault="00C133DD">
      <w:pPr>
        <w:widowControl/>
        <w:spacing w:line="360" w:lineRule="auto"/>
        <w:ind w:firstLineChars="200" w:firstLine="420"/>
        <w:rPr>
          <w:rFonts w:eastAsiaTheme="minorEastAsia"/>
          <w:color w:val="000000" w:themeColor="text1"/>
          <w:kern w:val="0"/>
          <w:szCs w:val="21"/>
        </w:rPr>
      </w:pP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(2)</w:t>
      </w:r>
      <w:r>
        <w:rPr>
          <w:rFonts w:eastAsiaTheme="minorEastAsia"/>
          <w:color w:val="000000" w:themeColor="text1"/>
          <w:kern w:val="0"/>
          <w:szCs w:val="21"/>
        </w:rPr>
        <w:t>其他</w:t>
      </w:r>
    </w:p>
    <w:p w:rsidR="001A59F9" w:rsidRPr="00C56D9D" w:rsidRDefault="001A59F9" w:rsidP="005A7FD8">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除公允价值外，截至资产负债表日本基金无需要说明的其他重要事项。</w:t>
      </w:r>
    </w:p>
    <w:p w:rsidR="001A59F9" w:rsidRPr="00C56D9D" w:rsidRDefault="001A59F9" w:rsidP="00E34772">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96" w:name="_Toc225498272"/>
      <w:bookmarkStart w:id="97" w:name="_Toc361324877"/>
      <w:bookmarkStart w:id="98" w:name="_Toc374374954"/>
      <w:r w:rsidRPr="00C56D9D">
        <w:rPr>
          <w:rFonts w:eastAsiaTheme="minorEastAsia"/>
          <w:b/>
          <w:bCs/>
          <w:color w:val="000000" w:themeColor="text1"/>
          <w:sz w:val="21"/>
          <w:szCs w:val="21"/>
          <w:lang w:val="en-US"/>
        </w:rPr>
        <w:t>§8</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投资组合报告</w:t>
      </w:r>
      <w:bookmarkEnd w:id="96"/>
      <w:bookmarkEnd w:id="97"/>
      <w:bookmarkEnd w:id="98"/>
    </w:p>
    <w:p w:rsidR="001A59F9" w:rsidRPr="00C56D9D" w:rsidRDefault="001A59F9" w:rsidP="005A7FD8">
      <w:pPr>
        <w:pStyle w:val="20"/>
        <w:spacing w:before="0" w:after="0"/>
        <w:rPr>
          <w:rFonts w:ascii="Times New Roman" w:eastAsiaTheme="minorEastAsia" w:hAnsi="Times New Roman"/>
          <w:color w:val="000000" w:themeColor="text1"/>
          <w:kern w:val="0"/>
          <w:sz w:val="21"/>
          <w:szCs w:val="21"/>
        </w:rPr>
      </w:pPr>
      <w:bookmarkStart w:id="99" w:name="_Toc225498273"/>
      <w:bookmarkStart w:id="100" w:name="_Toc361324878"/>
      <w:bookmarkStart w:id="101" w:name="_Toc374374955"/>
      <w:r w:rsidRPr="00C56D9D">
        <w:rPr>
          <w:rFonts w:ascii="Times New Roman" w:eastAsiaTheme="minorEastAsia" w:hAnsi="Times New Roman"/>
          <w:bCs w:val="0"/>
          <w:color w:val="000000" w:themeColor="text1"/>
          <w:kern w:val="0"/>
          <w:sz w:val="21"/>
          <w:szCs w:val="21"/>
        </w:rPr>
        <w:t>8.1</w:t>
      </w:r>
      <w:r w:rsidR="00024200" w:rsidRPr="00C56D9D">
        <w:rPr>
          <w:rFonts w:ascii="Times New Roman" w:eastAsiaTheme="minorEastAsia" w:hAnsi="Times New Roman"/>
          <w:bCs w:val="0"/>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期末基金资产组合情况</w:t>
      </w:r>
      <w:bookmarkEnd w:id="99"/>
      <w:bookmarkEnd w:id="100"/>
      <w:bookmarkEnd w:id="101"/>
    </w:p>
    <w:p w:rsidR="00E83707" w:rsidRPr="00A73188" w:rsidRDefault="00E83707" w:rsidP="00E83707">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E83707" w:rsidRPr="00A73188" w:rsidTr="00905283">
        <w:tc>
          <w:tcPr>
            <w:tcW w:w="1080" w:type="dxa"/>
            <w:vAlign w:val="center"/>
          </w:tcPr>
          <w:p w:rsidR="00E83707" w:rsidRPr="001A6157" w:rsidRDefault="00E83707" w:rsidP="001A6157">
            <w:pPr>
              <w:rPr>
                <w:rFonts w:eastAsiaTheme="minorEastAsia"/>
                <w:color w:val="000000"/>
                <w:szCs w:val="21"/>
              </w:rPr>
            </w:pPr>
            <w:r w:rsidRPr="00AD6D5D">
              <w:rPr>
                <w:rFonts w:eastAsiaTheme="minorEastAsia"/>
                <w:color w:val="000000"/>
                <w:szCs w:val="21"/>
              </w:rPr>
              <w:t>序号</w:t>
            </w:r>
          </w:p>
        </w:tc>
        <w:tc>
          <w:tcPr>
            <w:tcW w:w="2748"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51,025,133.40</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93.29</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51,025,133.40</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93.29</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p>
        </w:tc>
        <w:tc>
          <w:tcPr>
            <w:tcW w:w="2748" w:type="dxa"/>
            <w:vAlign w:val="center"/>
          </w:tcPr>
          <w:p w:rsidR="00E83707" w:rsidRPr="00A73188" w:rsidRDefault="00E83707" w:rsidP="00905283">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E83707" w:rsidRPr="00A73188" w:rsidTr="00905283">
        <w:tc>
          <w:tcPr>
            <w:tcW w:w="1080" w:type="dxa"/>
            <w:vAlign w:val="center"/>
          </w:tcPr>
          <w:p w:rsidR="00E83707" w:rsidRPr="00A73188" w:rsidRDefault="00E83707" w:rsidP="00905283">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2,580,623.71</w:t>
            </w:r>
          </w:p>
        </w:tc>
        <w:tc>
          <w:tcPr>
            <w:tcW w:w="2621" w:type="dxa"/>
            <w:vAlign w:val="center"/>
          </w:tcPr>
          <w:p w:rsidR="00E83707" w:rsidRPr="00A73188" w:rsidRDefault="00E83707" w:rsidP="00905283">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4.72</w:t>
            </w:r>
          </w:p>
        </w:tc>
      </w:tr>
      <w:tr w:rsidR="00E83707" w:rsidRPr="00A73188" w:rsidTr="00905283">
        <w:tc>
          <w:tcPr>
            <w:tcW w:w="1080" w:type="dxa"/>
            <w:vAlign w:val="center"/>
          </w:tcPr>
          <w:p w:rsidR="00E83707" w:rsidRPr="00A73188" w:rsidRDefault="00E83707" w:rsidP="00905283">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E83707" w:rsidRPr="00A73188" w:rsidRDefault="00E83707" w:rsidP="00905283">
            <w:pPr>
              <w:spacing w:line="276" w:lineRule="auto"/>
              <w:jc w:val="right"/>
              <w:rPr>
                <w:rFonts w:eastAsiaTheme="minorEastAsia"/>
                <w:color w:val="000000" w:themeColor="text1"/>
                <w:szCs w:val="21"/>
              </w:rPr>
            </w:pPr>
            <w:r w:rsidRPr="00A73188">
              <w:rPr>
                <w:rFonts w:eastAsiaTheme="minorEastAsia"/>
                <w:color w:val="000000" w:themeColor="text1"/>
                <w:szCs w:val="21"/>
              </w:rPr>
              <w:t>1,088,629.02</w:t>
            </w:r>
          </w:p>
        </w:tc>
        <w:tc>
          <w:tcPr>
            <w:tcW w:w="2621" w:type="dxa"/>
            <w:vAlign w:val="center"/>
          </w:tcPr>
          <w:p w:rsidR="00E83707" w:rsidRPr="00A73188" w:rsidRDefault="00E83707" w:rsidP="00905283">
            <w:pPr>
              <w:spacing w:line="276" w:lineRule="auto"/>
              <w:jc w:val="right"/>
              <w:rPr>
                <w:rFonts w:eastAsiaTheme="minorEastAsia"/>
                <w:color w:val="000000" w:themeColor="text1"/>
                <w:szCs w:val="21"/>
              </w:rPr>
            </w:pPr>
            <w:r w:rsidRPr="00A73188">
              <w:rPr>
                <w:rFonts w:eastAsiaTheme="minorEastAsia"/>
                <w:color w:val="000000" w:themeColor="text1"/>
                <w:szCs w:val="21"/>
              </w:rPr>
              <w:t>1.99</w:t>
            </w:r>
          </w:p>
        </w:tc>
      </w:tr>
      <w:tr w:rsidR="00E83707" w:rsidRPr="00A73188" w:rsidTr="00905283">
        <w:tc>
          <w:tcPr>
            <w:tcW w:w="1080" w:type="dxa"/>
            <w:vAlign w:val="center"/>
          </w:tcPr>
          <w:p w:rsidR="00E83707" w:rsidRPr="00A73188" w:rsidRDefault="00E83707" w:rsidP="00905283">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E83707" w:rsidRPr="00A73188" w:rsidRDefault="00E83707" w:rsidP="00905283">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E83707" w:rsidRPr="00A73188" w:rsidRDefault="00E83707" w:rsidP="00905283">
            <w:pPr>
              <w:spacing w:line="276" w:lineRule="auto"/>
              <w:jc w:val="right"/>
              <w:rPr>
                <w:rFonts w:eastAsiaTheme="minorEastAsia"/>
                <w:color w:val="000000" w:themeColor="text1"/>
                <w:szCs w:val="21"/>
              </w:rPr>
            </w:pPr>
            <w:r w:rsidRPr="00A73188">
              <w:rPr>
                <w:rFonts w:eastAsiaTheme="minorEastAsia"/>
                <w:color w:val="000000" w:themeColor="text1"/>
                <w:szCs w:val="21"/>
              </w:rPr>
              <w:t>54,694,386.13</w:t>
            </w:r>
          </w:p>
        </w:tc>
        <w:tc>
          <w:tcPr>
            <w:tcW w:w="2621" w:type="dxa"/>
            <w:vAlign w:val="center"/>
          </w:tcPr>
          <w:p w:rsidR="00E83707" w:rsidRPr="00A73188" w:rsidRDefault="00E83707" w:rsidP="00905283">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712926" w:rsidRPr="00C56D9D" w:rsidRDefault="00712926" w:rsidP="00712926">
      <w:pPr>
        <w:widowControl/>
        <w:spacing w:line="360" w:lineRule="auto"/>
        <w:jc w:val="left"/>
        <w:rPr>
          <w:rFonts w:eastAsiaTheme="minorEastAsia"/>
          <w:color w:val="000000" w:themeColor="text1"/>
          <w:kern w:val="0"/>
          <w:szCs w:val="21"/>
        </w:rPr>
      </w:pPr>
    </w:p>
    <w:p w:rsidR="001A59F9"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102" w:name="_Toc225498274"/>
      <w:bookmarkStart w:id="103" w:name="_Toc361324879"/>
      <w:bookmarkStart w:id="104" w:name="_Toc374374956"/>
      <w:r w:rsidRPr="00C56D9D">
        <w:rPr>
          <w:rFonts w:ascii="Times New Roman" w:eastAsiaTheme="minorEastAsia" w:hAnsi="Times New Roman"/>
          <w:color w:val="000000" w:themeColor="text1"/>
          <w:kern w:val="0"/>
          <w:sz w:val="21"/>
          <w:szCs w:val="21"/>
        </w:rPr>
        <w:t>8.2</w:t>
      </w:r>
      <w:r w:rsidR="00024200"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期末按行业分类的股票投资组合</w:t>
      </w:r>
      <w:bookmarkEnd w:id="102"/>
      <w:bookmarkEnd w:id="103"/>
      <w:bookmarkEnd w:id="104"/>
    </w:p>
    <w:p w:rsidR="005B7DC9" w:rsidRPr="005B7DC9" w:rsidRDefault="005B7DC9" w:rsidP="00474D0B">
      <w:r>
        <w:rPr>
          <w:rFonts w:eastAsiaTheme="minorEastAsia"/>
          <w:color w:val="000000" w:themeColor="text1"/>
          <w:szCs w:val="21"/>
        </w:rPr>
        <w:t>8.2.1</w:t>
      </w:r>
      <w:r>
        <w:rPr>
          <w:rFonts w:hint="eastAsia"/>
        </w:rPr>
        <w:t>报告期末按行业分类的境内股票投资组合</w:t>
      </w:r>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本基金本报告期末未持有股票。</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105" w:name="_Toc361324881"/>
      <w:bookmarkStart w:id="106" w:name="_Toc374374957"/>
      <w:r w:rsidRPr="00C56D9D">
        <w:rPr>
          <w:rFonts w:ascii="Times New Roman" w:eastAsiaTheme="minorEastAsia" w:hAnsi="Times New Roman"/>
          <w:color w:val="000000" w:themeColor="text1"/>
          <w:kern w:val="0"/>
          <w:sz w:val="21"/>
          <w:szCs w:val="21"/>
        </w:rPr>
        <w:t>8.3</w:t>
      </w:r>
      <w:r w:rsidR="00024200"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期末按公允价值占基金资产净值比例大小排序的</w:t>
      </w:r>
      <w:r w:rsidR="007015A5">
        <w:rPr>
          <w:rFonts w:ascii="Times New Roman" w:eastAsiaTheme="minorEastAsia" w:hAnsi="Times New Roman" w:hint="eastAsia"/>
          <w:color w:val="000000" w:themeColor="text1"/>
          <w:kern w:val="0"/>
          <w:sz w:val="21"/>
          <w:szCs w:val="21"/>
        </w:rPr>
        <w:t>前十名</w:t>
      </w:r>
      <w:r w:rsidRPr="00C56D9D">
        <w:rPr>
          <w:rFonts w:ascii="Times New Roman" w:eastAsiaTheme="minorEastAsia" w:hAnsi="Times New Roman"/>
          <w:color w:val="000000" w:themeColor="text1"/>
          <w:kern w:val="0"/>
          <w:sz w:val="21"/>
          <w:szCs w:val="21"/>
        </w:rPr>
        <w:t>股票投资明细</w:t>
      </w:r>
      <w:bookmarkEnd w:id="105"/>
      <w:bookmarkEnd w:id="106"/>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本基金本报告期末未持有股票。</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107" w:name="_Toc361324882"/>
      <w:bookmarkStart w:id="108" w:name="_Toc374374958"/>
      <w:r w:rsidRPr="00C56D9D">
        <w:rPr>
          <w:rFonts w:ascii="Times New Roman" w:eastAsiaTheme="minorEastAsia" w:hAnsi="Times New Roman"/>
          <w:color w:val="000000" w:themeColor="text1"/>
          <w:kern w:val="0"/>
          <w:sz w:val="21"/>
          <w:szCs w:val="21"/>
        </w:rPr>
        <w:t>8.4</w:t>
      </w:r>
      <w:bookmarkStart w:id="109" w:name="_Toc234814103"/>
      <w:r w:rsidR="00024200"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报告期内股票投资组合的重大变动</w:t>
      </w:r>
      <w:bookmarkEnd w:id="107"/>
      <w:bookmarkEnd w:id="108"/>
      <w:bookmarkEnd w:id="109"/>
    </w:p>
    <w:p w:rsidR="001A59F9" w:rsidRPr="00C56D9D" w:rsidRDefault="001A59F9" w:rsidP="00AF2CCD">
      <w:pPr>
        <w:spacing w:line="360" w:lineRule="auto"/>
        <w:rPr>
          <w:rFonts w:eastAsiaTheme="minorEastAsia"/>
          <w:b/>
          <w:bCs/>
          <w:color w:val="000000" w:themeColor="text1"/>
          <w:szCs w:val="21"/>
        </w:rPr>
      </w:pPr>
      <w:r w:rsidRPr="00C56D9D">
        <w:rPr>
          <w:rFonts w:eastAsiaTheme="minorEastAsia"/>
          <w:b/>
          <w:color w:val="000000" w:themeColor="text1"/>
          <w:szCs w:val="21"/>
        </w:rPr>
        <w:t>8.4.1</w:t>
      </w:r>
      <w:r w:rsidR="00024200" w:rsidRPr="00C56D9D">
        <w:rPr>
          <w:rFonts w:eastAsiaTheme="minorEastAsia"/>
          <w:b/>
          <w:color w:val="000000" w:themeColor="text1"/>
          <w:szCs w:val="21"/>
        </w:rPr>
        <w:t xml:space="preserve"> </w:t>
      </w:r>
      <w:r w:rsidRPr="00C56D9D">
        <w:rPr>
          <w:rFonts w:eastAsiaTheme="minorEastAsia"/>
          <w:b/>
          <w:bCs/>
          <w:color w:val="000000" w:themeColor="text1"/>
          <w:szCs w:val="21"/>
        </w:rPr>
        <w:t>累计买入金额超出</w:t>
      </w:r>
      <w:r w:rsidR="006A7E68" w:rsidRPr="00C56D9D">
        <w:rPr>
          <w:rFonts w:eastAsiaTheme="minorEastAsia"/>
          <w:b/>
          <w:color w:val="000000" w:themeColor="text1"/>
          <w:kern w:val="0"/>
          <w:szCs w:val="21"/>
        </w:rPr>
        <w:t>期初</w:t>
      </w:r>
      <w:r w:rsidRPr="00C56D9D">
        <w:rPr>
          <w:rFonts w:eastAsiaTheme="minorEastAsia"/>
          <w:b/>
          <w:bCs/>
          <w:color w:val="000000" w:themeColor="text1"/>
          <w:szCs w:val="21"/>
        </w:rPr>
        <w:t>基金资产净值</w:t>
      </w:r>
      <w:r w:rsidR="006073BA" w:rsidRPr="00C56D9D">
        <w:rPr>
          <w:rFonts w:eastAsiaTheme="minorEastAsia"/>
          <w:b/>
          <w:bCs/>
          <w:color w:val="000000" w:themeColor="text1"/>
          <w:szCs w:val="21"/>
        </w:rPr>
        <w:t>2</w:t>
      </w:r>
      <w:r w:rsidR="006073BA" w:rsidRPr="00C56D9D">
        <w:rPr>
          <w:rFonts w:eastAsiaTheme="minorEastAsia"/>
          <w:b/>
          <w:bCs/>
          <w:color w:val="000000" w:themeColor="text1"/>
          <w:szCs w:val="21"/>
        </w:rPr>
        <w:t>％</w:t>
      </w:r>
      <w:r w:rsidRPr="00C56D9D">
        <w:rPr>
          <w:rFonts w:eastAsiaTheme="minorEastAsia"/>
          <w:b/>
          <w:bCs/>
          <w:color w:val="000000" w:themeColor="text1"/>
          <w:szCs w:val="21"/>
        </w:rPr>
        <w:t>或前</w:t>
      </w:r>
      <w:r w:rsidRPr="00C56D9D">
        <w:rPr>
          <w:rFonts w:eastAsiaTheme="minorEastAsia"/>
          <w:b/>
          <w:bCs/>
          <w:color w:val="000000" w:themeColor="text1"/>
          <w:szCs w:val="21"/>
        </w:rPr>
        <w:t>20</w:t>
      </w:r>
      <w:r w:rsidRPr="00C56D9D">
        <w:rPr>
          <w:rFonts w:eastAsiaTheme="minorEastAsia"/>
          <w:b/>
          <w:bCs/>
          <w:color w:val="000000" w:themeColor="text1"/>
          <w:szCs w:val="21"/>
        </w:rPr>
        <w:t>名的股票明细</w:t>
      </w:r>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本基金本报告期未持有股票。</w:t>
      </w:r>
    </w:p>
    <w:p w:rsidR="001A59F9" w:rsidRPr="00C56D9D" w:rsidRDefault="001A59F9" w:rsidP="00E34772">
      <w:pPr>
        <w:spacing w:beforeLines="100" w:before="312" w:line="360" w:lineRule="auto"/>
        <w:rPr>
          <w:rFonts w:eastAsiaTheme="minorEastAsia"/>
          <w:b/>
          <w:bCs/>
          <w:color w:val="000000" w:themeColor="text1"/>
          <w:szCs w:val="21"/>
        </w:rPr>
      </w:pPr>
      <w:r w:rsidRPr="00C56D9D">
        <w:rPr>
          <w:rFonts w:eastAsiaTheme="minorEastAsia"/>
          <w:b/>
          <w:color w:val="000000" w:themeColor="text1"/>
          <w:szCs w:val="21"/>
        </w:rPr>
        <w:t>8.4.2</w:t>
      </w:r>
      <w:r w:rsidR="008A0029" w:rsidRPr="00C56D9D">
        <w:rPr>
          <w:rFonts w:eastAsiaTheme="minorEastAsia"/>
          <w:b/>
          <w:color w:val="000000" w:themeColor="text1"/>
          <w:szCs w:val="21"/>
        </w:rPr>
        <w:t xml:space="preserve"> </w:t>
      </w:r>
      <w:r w:rsidRPr="00C56D9D">
        <w:rPr>
          <w:rFonts w:eastAsiaTheme="minorEastAsia"/>
          <w:b/>
          <w:bCs/>
          <w:color w:val="000000" w:themeColor="text1"/>
          <w:szCs w:val="21"/>
        </w:rPr>
        <w:t>累计卖出金额超出</w:t>
      </w:r>
      <w:r w:rsidR="006A7E68" w:rsidRPr="00C56D9D">
        <w:rPr>
          <w:rFonts w:eastAsiaTheme="minorEastAsia"/>
          <w:b/>
          <w:color w:val="000000" w:themeColor="text1"/>
          <w:kern w:val="0"/>
          <w:szCs w:val="21"/>
        </w:rPr>
        <w:t>期初</w:t>
      </w:r>
      <w:r w:rsidRPr="00C56D9D">
        <w:rPr>
          <w:rFonts w:eastAsiaTheme="minorEastAsia"/>
          <w:b/>
          <w:bCs/>
          <w:color w:val="000000" w:themeColor="text1"/>
          <w:szCs w:val="21"/>
        </w:rPr>
        <w:t>基金资产净值</w:t>
      </w:r>
      <w:r w:rsidR="006073BA" w:rsidRPr="00C56D9D">
        <w:rPr>
          <w:rFonts w:eastAsiaTheme="minorEastAsia"/>
          <w:b/>
          <w:bCs/>
          <w:color w:val="000000" w:themeColor="text1"/>
          <w:szCs w:val="21"/>
        </w:rPr>
        <w:t>2</w:t>
      </w:r>
      <w:r w:rsidR="006073BA" w:rsidRPr="00C56D9D">
        <w:rPr>
          <w:rFonts w:eastAsiaTheme="minorEastAsia"/>
          <w:b/>
          <w:bCs/>
          <w:color w:val="000000" w:themeColor="text1"/>
          <w:szCs w:val="21"/>
        </w:rPr>
        <w:t>％</w:t>
      </w:r>
      <w:r w:rsidRPr="00C56D9D">
        <w:rPr>
          <w:rFonts w:eastAsiaTheme="minorEastAsia"/>
          <w:b/>
          <w:bCs/>
          <w:color w:val="000000" w:themeColor="text1"/>
          <w:szCs w:val="21"/>
        </w:rPr>
        <w:t>或前</w:t>
      </w:r>
      <w:r w:rsidRPr="00C56D9D">
        <w:rPr>
          <w:rFonts w:eastAsiaTheme="minorEastAsia"/>
          <w:b/>
          <w:bCs/>
          <w:color w:val="000000" w:themeColor="text1"/>
          <w:szCs w:val="21"/>
        </w:rPr>
        <w:t>20</w:t>
      </w:r>
      <w:r w:rsidRPr="00C56D9D">
        <w:rPr>
          <w:rFonts w:eastAsiaTheme="minorEastAsia"/>
          <w:b/>
          <w:bCs/>
          <w:color w:val="000000" w:themeColor="text1"/>
          <w:szCs w:val="21"/>
        </w:rPr>
        <w:t>名的股票明细</w:t>
      </w:r>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本基金本报告期未持有股票。</w:t>
      </w:r>
    </w:p>
    <w:p w:rsidR="001A59F9" w:rsidRPr="00C56D9D" w:rsidRDefault="001A59F9" w:rsidP="00E34772">
      <w:pPr>
        <w:spacing w:beforeLines="100" w:before="312" w:line="360" w:lineRule="auto"/>
        <w:rPr>
          <w:rFonts w:eastAsiaTheme="minorEastAsia"/>
          <w:b/>
          <w:bCs/>
          <w:color w:val="000000" w:themeColor="text1"/>
          <w:szCs w:val="21"/>
        </w:rPr>
      </w:pPr>
      <w:r w:rsidRPr="00C56D9D">
        <w:rPr>
          <w:rFonts w:eastAsiaTheme="minorEastAsia"/>
          <w:b/>
          <w:color w:val="000000" w:themeColor="text1"/>
          <w:szCs w:val="21"/>
        </w:rPr>
        <w:t>8.4.3</w:t>
      </w:r>
      <w:r w:rsidR="008A0029" w:rsidRPr="00C56D9D">
        <w:rPr>
          <w:rFonts w:eastAsiaTheme="minorEastAsia"/>
          <w:b/>
          <w:color w:val="000000" w:themeColor="text1"/>
          <w:szCs w:val="21"/>
        </w:rPr>
        <w:t xml:space="preserve"> </w:t>
      </w:r>
      <w:r w:rsidRPr="00C56D9D">
        <w:rPr>
          <w:rFonts w:eastAsiaTheme="minorEastAsia"/>
          <w:b/>
          <w:bCs/>
          <w:color w:val="000000" w:themeColor="text1"/>
          <w:szCs w:val="21"/>
        </w:rPr>
        <w:t>买入股票的成本总额及卖出股票的收入总额</w:t>
      </w:r>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本基金本报告期未持有股票。</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110" w:name="_Toc234814104"/>
      <w:bookmarkStart w:id="111" w:name="_Toc361324883"/>
      <w:bookmarkStart w:id="112" w:name="_Toc374374959"/>
      <w:r w:rsidRPr="00C56D9D">
        <w:rPr>
          <w:rFonts w:ascii="Times New Roman" w:eastAsiaTheme="minorEastAsia" w:hAnsi="Times New Roman"/>
          <w:color w:val="000000" w:themeColor="text1"/>
          <w:kern w:val="0"/>
          <w:sz w:val="21"/>
          <w:szCs w:val="21"/>
        </w:rPr>
        <w:t>8.5</w:t>
      </w:r>
      <w:r w:rsidR="008A0029"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期末按债券品种分类的债券投资组合</w:t>
      </w:r>
      <w:bookmarkEnd w:id="110"/>
      <w:bookmarkEnd w:id="111"/>
      <w:bookmarkEnd w:id="112"/>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szCs w:val="21"/>
        </w:rPr>
        <w:t>金额单位：人民币元</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lastRenderedPageBreak/>
              <w:t>序号</w:t>
            </w:r>
          </w:p>
        </w:tc>
        <w:tc>
          <w:tcPr>
            <w:tcW w:w="3260"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债券品种</w:t>
            </w:r>
          </w:p>
        </w:tc>
        <w:tc>
          <w:tcPr>
            <w:tcW w:w="3349" w:type="dxa"/>
            <w:vAlign w:val="center"/>
          </w:tcPr>
          <w:p w:rsidR="001A59F9" w:rsidRPr="00C56D9D" w:rsidRDefault="001A59F9" w:rsidP="00C11FB8">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公允价值</w:t>
            </w:r>
          </w:p>
        </w:tc>
        <w:tc>
          <w:tcPr>
            <w:tcW w:w="1754"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占基金资产净值比例</w:t>
            </w:r>
            <w:r w:rsidRPr="00C56D9D">
              <w:rPr>
                <w:rFonts w:eastAsiaTheme="minorEastAsia"/>
                <w:color w:val="000000" w:themeColor="text1"/>
                <w:szCs w:val="21"/>
              </w:rPr>
              <w:t>(</w:t>
            </w:r>
            <w:r w:rsidRPr="00C56D9D">
              <w:rPr>
                <w:rFonts w:eastAsiaTheme="minorEastAsia"/>
                <w:color w:val="000000" w:themeColor="text1"/>
                <w:szCs w:val="21"/>
              </w:rPr>
              <w:t>％</w:t>
            </w:r>
            <w:r w:rsidRPr="00C56D9D">
              <w:rPr>
                <w:rFonts w:eastAsiaTheme="minorEastAsia"/>
                <w:color w:val="000000" w:themeColor="text1"/>
                <w:szCs w:val="21"/>
              </w:rPr>
              <w:t>)</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1</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国家债券</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13,942,986.30</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35.11</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2</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央行票据</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3</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金融债券</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18,708,698.10</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47.11</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其中：政策性金融债</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18,708,698.10</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47.11</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4</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企业债券</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18,357,468.20</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46.22</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5</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企业短期融资</w:t>
            </w:r>
            <w:r w:rsidR="0043264B" w:rsidRPr="00C56D9D">
              <w:rPr>
                <w:rFonts w:eastAsiaTheme="minorEastAsia"/>
                <w:color w:val="000000" w:themeColor="text1"/>
                <w:szCs w:val="21"/>
              </w:rPr>
              <w:t>券</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6</w:t>
            </w:r>
          </w:p>
        </w:tc>
        <w:tc>
          <w:tcPr>
            <w:tcW w:w="3260" w:type="dxa"/>
            <w:vAlign w:val="center"/>
          </w:tcPr>
          <w:p w:rsidR="001A59F9" w:rsidRPr="00C56D9D" w:rsidRDefault="001A59F9"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中期票据</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E27520">
        <w:tc>
          <w:tcPr>
            <w:tcW w:w="817"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7</w:t>
            </w:r>
          </w:p>
        </w:tc>
        <w:tc>
          <w:tcPr>
            <w:tcW w:w="3260" w:type="dxa"/>
            <w:vAlign w:val="center"/>
          </w:tcPr>
          <w:p w:rsidR="001A59F9" w:rsidRPr="00C56D9D" w:rsidRDefault="00D55456" w:rsidP="00026C9C">
            <w:pPr>
              <w:spacing w:before="29" w:line="360" w:lineRule="auto"/>
              <w:ind w:left="17"/>
              <w:jc w:val="left"/>
              <w:rPr>
                <w:rFonts w:eastAsiaTheme="minorEastAsia"/>
                <w:color w:val="000000" w:themeColor="text1"/>
                <w:szCs w:val="21"/>
              </w:rPr>
            </w:pPr>
            <w:r>
              <w:rPr>
                <w:rFonts w:eastAsiaTheme="minorEastAsia"/>
                <w:color w:val="000000" w:themeColor="text1"/>
                <w:szCs w:val="21"/>
              </w:rPr>
              <w:t>可转债</w:t>
            </w:r>
            <w:r>
              <w:rPr>
                <w:rFonts w:eastAsiaTheme="minorEastAsia" w:hint="eastAsia"/>
                <w:color w:val="000000"/>
                <w:szCs w:val="21"/>
              </w:rPr>
              <w:t>（可交换债）</w:t>
            </w:r>
          </w:p>
        </w:tc>
        <w:tc>
          <w:tcPr>
            <w:tcW w:w="3349"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c>
          <w:tcPr>
            <w:tcW w:w="1754" w:type="dxa"/>
            <w:vAlign w:val="center"/>
          </w:tcPr>
          <w:p w:rsidR="001A59F9" w:rsidRPr="00C56D9D" w:rsidRDefault="001A59F9"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w:t>
            </w:r>
          </w:p>
        </w:tc>
      </w:tr>
      <w:tr w:rsidR="00E27520" w:rsidRPr="00C56D9D" w:rsidTr="00E27520">
        <w:tc>
          <w:tcPr>
            <w:tcW w:w="817" w:type="dxa"/>
            <w:vAlign w:val="center"/>
          </w:tcPr>
          <w:p w:rsidR="00E27520" w:rsidRPr="00E27520" w:rsidRDefault="00E27520" w:rsidP="00905283">
            <w:pPr>
              <w:spacing w:before="29" w:line="360" w:lineRule="auto"/>
              <w:ind w:left="17"/>
              <w:jc w:val="center"/>
              <w:rPr>
                <w:rFonts w:eastAsiaTheme="minorEastAsia"/>
                <w:color w:val="000000" w:themeColor="text1"/>
                <w:szCs w:val="21"/>
              </w:rPr>
            </w:pPr>
            <w:r w:rsidRPr="00E27520">
              <w:rPr>
                <w:rFonts w:eastAsiaTheme="minorEastAsia" w:hint="eastAsia"/>
                <w:color w:val="000000" w:themeColor="text1"/>
                <w:szCs w:val="21"/>
              </w:rPr>
              <w:t>8</w:t>
            </w:r>
          </w:p>
        </w:tc>
        <w:tc>
          <w:tcPr>
            <w:tcW w:w="3260" w:type="dxa"/>
            <w:vAlign w:val="center"/>
          </w:tcPr>
          <w:p w:rsidR="00E27520" w:rsidRPr="00E27520" w:rsidRDefault="00E27520" w:rsidP="00905283">
            <w:pPr>
              <w:spacing w:before="29" w:line="360" w:lineRule="auto"/>
              <w:ind w:left="17"/>
              <w:jc w:val="left"/>
              <w:rPr>
                <w:rFonts w:eastAsiaTheme="minorEastAsia"/>
                <w:color w:val="000000" w:themeColor="text1"/>
                <w:szCs w:val="21"/>
              </w:rPr>
            </w:pPr>
            <w:r w:rsidRPr="00E27520">
              <w:rPr>
                <w:rFonts w:eastAsiaTheme="minorEastAsia" w:hint="eastAsia"/>
                <w:color w:val="000000" w:themeColor="text1"/>
                <w:szCs w:val="21"/>
              </w:rPr>
              <w:t>同业存单</w:t>
            </w:r>
          </w:p>
        </w:tc>
        <w:tc>
          <w:tcPr>
            <w:tcW w:w="3349" w:type="dxa"/>
            <w:vAlign w:val="center"/>
          </w:tcPr>
          <w:p w:rsidR="00E27520" w:rsidRPr="00E27520" w:rsidRDefault="00E27520" w:rsidP="00905283">
            <w:pPr>
              <w:spacing w:before="29" w:line="360" w:lineRule="auto"/>
              <w:ind w:left="17"/>
              <w:jc w:val="right"/>
              <w:rPr>
                <w:rFonts w:eastAsiaTheme="minorEastAsia"/>
                <w:color w:val="000000" w:themeColor="text1"/>
                <w:szCs w:val="21"/>
              </w:rPr>
            </w:pPr>
            <w:r w:rsidRPr="00E27520">
              <w:rPr>
                <w:rFonts w:eastAsiaTheme="minorEastAsia" w:hint="eastAsia"/>
                <w:color w:val="000000" w:themeColor="text1"/>
                <w:szCs w:val="21"/>
              </w:rPr>
              <w:t>-</w:t>
            </w:r>
          </w:p>
        </w:tc>
        <w:tc>
          <w:tcPr>
            <w:tcW w:w="1754" w:type="dxa"/>
            <w:vAlign w:val="center"/>
          </w:tcPr>
          <w:p w:rsidR="00E27520" w:rsidRPr="00E27520" w:rsidRDefault="00E27520" w:rsidP="00905283">
            <w:pPr>
              <w:spacing w:before="29" w:line="360" w:lineRule="auto"/>
              <w:ind w:left="17"/>
              <w:jc w:val="right"/>
              <w:rPr>
                <w:rFonts w:eastAsiaTheme="minorEastAsia"/>
                <w:color w:val="000000" w:themeColor="text1"/>
                <w:szCs w:val="21"/>
              </w:rPr>
            </w:pPr>
            <w:r w:rsidRPr="00E27520">
              <w:rPr>
                <w:rFonts w:eastAsiaTheme="minorEastAsia" w:hint="eastAsia"/>
                <w:color w:val="000000" w:themeColor="text1"/>
                <w:szCs w:val="21"/>
              </w:rPr>
              <w:t>-</w:t>
            </w:r>
          </w:p>
        </w:tc>
      </w:tr>
      <w:tr w:rsidR="00E27520" w:rsidRPr="00C56D9D" w:rsidTr="00E27520">
        <w:tc>
          <w:tcPr>
            <w:tcW w:w="817" w:type="dxa"/>
            <w:vAlign w:val="center"/>
          </w:tcPr>
          <w:p w:rsidR="00E27520" w:rsidRPr="00C56D9D" w:rsidRDefault="00E27520"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9</w:t>
            </w:r>
          </w:p>
        </w:tc>
        <w:tc>
          <w:tcPr>
            <w:tcW w:w="3260" w:type="dxa"/>
            <w:vAlign w:val="center"/>
          </w:tcPr>
          <w:p w:rsidR="00E27520" w:rsidRPr="00C56D9D" w:rsidRDefault="00E27520"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其他</w:t>
            </w:r>
          </w:p>
        </w:tc>
        <w:tc>
          <w:tcPr>
            <w:tcW w:w="3349" w:type="dxa"/>
            <w:vAlign w:val="center"/>
          </w:tcPr>
          <w:p w:rsidR="00E27520" w:rsidRPr="00C56D9D" w:rsidRDefault="00E27520"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15,980.80</w:t>
            </w:r>
          </w:p>
        </w:tc>
        <w:tc>
          <w:tcPr>
            <w:tcW w:w="1754" w:type="dxa"/>
            <w:vAlign w:val="center"/>
          </w:tcPr>
          <w:p w:rsidR="00E27520" w:rsidRPr="00C56D9D" w:rsidRDefault="00E27520"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0.04</w:t>
            </w:r>
          </w:p>
        </w:tc>
      </w:tr>
      <w:tr w:rsidR="00E27520" w:rsidRPr="00C56D9D" w:rsidTr="00E27520">
        <w:tc>
          <w:tcPr>
            <w:tcW w:w="817" w:type="dxa"/>
            <w:vAlign w:val="center"/>
          </w:tcPr>
          <w:p w:rsidR="00E27520" w:rsidRPr="00C56D9D" w:rsidRDefault="00E27520"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10</w:t>
            </w:r>
          </w:p>
        </w:tc>
        <w:tc>
          <w:tcPr>
            <w:tcW w:w="3260" w:type="dxa"/>
            <w:vAlign w:val="center"/>
          </w:tcPr>
          <w:p w:rsidR="00E27520" w:rsidRPr="00C56D9D" w:rsidRDefault="00E27520" w:rsidP="00026C9C">
            <w:pPr>
              <w:spacing w:before="29" w:line="360" w:lineRule="auto"/>
              <w:ind w:left="17"/>
              <w:jc w:val="left"/>
              <w:rPr>
                <w:rFonts w:eastAsiaTheme="minorEastAsia"/>
                <w:color w:val="000000" w:themeColor="text1"/>
                <w:szCs w:val="21"/>
              </w:rPr>
            </w:pPr>
            <w:r w:rsidRPr="00C56D9D">
              <w:rPr>
                <w:rFonts w:eastAsiaTheme="minorEastAsia"/>
                <w:color w:val="000000" w:themeColor="text1"/>
                <w:szCs w:val="21"/>
              </w:rPr>
              <w:t>合计</w:t>
            </w:r>
          </w:p>
        </w:tc>
        <w:tc>
          <w:tcPr>
            <w:tcW w:w="3349" w:type="dxa"/>
            <w:vAlign w:val="center"/>
          </w:tcPr>
          <w:p w:rsidR="00E27520" w:rsidRPr="00C56D9D" w:rsidRDefault="00E27520"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51,025,133.40</w:t>
            </w:r>
          </w:p>
        </w:tc>
        <w:tc>
          <w:tcPr>
            <w:tcW w:w="1754" w:type="dxa"/>
            <w:vAlign w:val="center"/>
          </w:tcPr>
          <w:p w:rsidR="00E27520" w:rsidRPr="00C56D9D" w:rsidRDefault="00E27520" w:rsidP="00026C9C">
            <w:pPr>
              <w:spacing w:before="29" w:line="360" w:lineRule="auto"/>
              <w:ind w:left="17"/>
              <w:jc w:val="right"/>
              <w:rPr>
                <w:rFonts w:eastAsiaTheme="minorEastAsia"/>
                <w:color w:val="000000" w:themeColor="text1"/>
                <w:szCs w:val="21"/>
              </w:rPr>
            </w:pPr>
            <w:r w:rsidRPr="00C56D9D">
              <w:rPr>
                <w:rFonts w:eastAsiaTheme="minorEastAsia"/>
                <w:color w:val="000000" w:themeColor="text1"/>
                <w:szCs w:val="21"/>
              </w:rPr>
              <w:t>128.48</w:t>
            </w:r>
          </w:p>
        </w:tc>
      </w:tr>
    </w:tbl>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113" w:name="_Toc361324884"/>
      <w:bookmarkStart w:id="114" w:name="_Toc374374960"/>
      <w:r w:rsidRPr="00C56D9D">
        <w:rPr>
          <w:rFonts w:ascii="Times New Roman" w:eastAsiaTheme="minorEastAsia" w:hAnsi="Times New Roman"/>
          <w:color w:val="000000" w:themeColor="text1"/>
          <w:kern w:val="0"/>
          <w:sz w:val="21"/>
          <w:szCs w:val="21"/>
        </w:rPr>
        <w:t>8.6</w:t>
      </w:r>
      <w:bookmarkStart w:id="115" w:name="_Toc234814105"/>
      <w:r w:rsidR="008A0029"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期末按公允价值占基金资产净值比例大小</w:t>
      </w:r>
      <w:r w:rsidR="0055511D" w:rsidRPr="00C56D9D">
        <w:rPr>
          <w:rFonts w:ascii="Times New Roman" w:eastAsiaTheme="minorEastAsia" w:hAnsi="Times New Roman"/>
          <w:color w:val="000000" w:themeColor="text1"/>
          <w:kern w:val="0"/>
          <w:sz w:val="21"/>
          <w:szCs w:val="21"/>
        </w:rPr>
        <w:t>排序</w:t>
      </w:r>
      <w:r w:rsidRPr="00C56D9D">
        <w:rPr>
          <w:rFonts w:ascii="Times New Roman" w:eastAsiaTheme="minorEastAsia" w:hAnsi="Times New Roman"/>
          <w:color w:val="000000" w:themeColor="text1"/>
          <w:kern w:val="0"/>
          <w:sz w:val="21"/>
          <w:szCs w:val="21"/>
        </w:rPr>
        <w:t>的前五名债券投资明细</w:t>
      </w:r>
      <w:bookmarkEnd w:id="113"/>
      <w:bookmarkEnd w:id="114"/>
      <w:bookmarkEnd w:id="115"/>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C56D9D" w:rsidRPr="00C56D9D" w:rsidTr="00AB5FEF">
        <w:tc>
          <w:tcPr>
            <w:tcW w:w="788"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序号</w:t>
            </w:r>
          </w:p>
        </w:tc>
        <w:tc>
          <w:tcPr>
            <w:tcW w:w="1774"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债券代码</w:t>
            </w:r>
          </w:p>
        </w:tc>
        <w:tc>
          <w:tcPr>
            <w:tcW w:w="1282"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债券名称</w:t>
            </w:r>
          </w:p>
        </w:tc>
        <w:tc>
          <w:tcPr>
            <w:tcW w:w="1763"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数量</w:t>
            </w:r>
            <w:r w:rsidRPr="00C56D9D">
              <w:rPr>
                <w:rFonts w:eastAsiaTheme="minorEastAsia"/>
                <w:color w:val="000000" w:themeColor="text1"/>
                <w:szCs w:val="21"/>
              </w:rPr>
              <w:t>(</w:t>
            </w:r>
            <w:r w:rsidRPr="00C56D9D">
              <w:rPr>
                <w:rFonts w:eastAsiaTheme="minorEastAsia"/>
                <w:color w:val="000000" w:themeColor="text1"/>
                <w:szCs w:val="21"/>
              </w:rPr>
              <w:t>张</w:t>
            </w:r>
            <w:r w:rsidRPr="00C56D9D">
              <w:rPr>
                <w:rFonts w:eastAsiaTheme="minorEastAsia"/>
                <w:color w:val="000000" w:themeColor="text1"/>
                <w:szCs w:val="21"/>
              </w:rPr>
              <w:t>)</w:t>
            </w:r>
          </w:p>
        </w:tc>
        <w:tc>
          <w:tcPr>
            <w:tcW w:w="1843" w:type="dxa"/>
            <w:vAlign w:val="center"/>
          </w:tcPr>
          <w:p w:rsidR="001A59F9" w:rsidRPr="00C56D9D" w:rsidRDefault="001A59F9" w:rsidP="007C2AE2">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公允价值</w:t>
            </w:r>
          </w:p>
        </w:tc>
        <w:tc>
          <w:tcPr>
            <w:tcW w:w="1493" w:type="dxa"/>
            <w:vAlign w:val="center"/>
          </w:tcPr>
          <w:p w:rsidR="001A59F9" w:rsidRPr="00C56D9D" w:rsidRDefault="001A59F9" w:rsidP="00026C9C">
            <w:pPr>
              <w:spacing w:before="29" w:line="360" w:lineRule="auto"/>
              <w:ind w:left="17"/>
              <w:jc w:val="center"/>
              <w:rPr>
                <w:rFonts w:eastAsiaTheme="minorEastAsia"/>
                <w:color w:val="000000" w:themeColor="text1"/>
                <w:szCs w:val="21"/>
              </w:rPr>
            </w:pPr>
            <w:r w:rsidRPr="00C56D9D">
              <w:rPr>
                <w:rFonts w:eastAsiaTheme="minorEastAsia"/>
                <w:color w:val="000000" w:themeColor="text1"/>
                <w:szCs w:val="21"/>
              </w:rPr>
              <w:t>占基金资产净值比例</w:t>
            </w:r>
            <w:r w:rsidRPr="00C56D9D">
              <w:rPr>
                <w:rFonts w:eastAsiaTheme="minorEastAsia"/>
                <w:color w:val="000000" w:themeColor="text1"/>
                <w:szCs w:val="21"/>
              </w:rPr>
              <w:t>(</w:t>
            </w:r>
            <w:r w:rsidRPr="00C56D9D">
              <w:rPr>
                <w:rFonts w:eastAsiaTheme="minorEastAsia"/>
                <w:color w:val="000000" w:themeColor="text1"/>
                <w:szCs w:val="21"/>
              </w:rPr>
              <w:t>％</w:t>
            </w:r>
            <w:r w:rsidRPr="00C56D9D">
              <w:rPr>
                <w:rFonts w:eastAsiaTheme="minorEastAsia"/>
                <w:color w:val="000000" w:themeColor="text1"/>
                <w:szCs w:val="21"/>
              </w:rPr>
              <w:t>)</w:t>
            </w:r>
          </w:p>
        </w:tc>
      </w:tr>
      <w:tr w:rsidR="00C133DD">
        <w:tc>
          <w:tcPr>
            <w:tcW w:w="788" w:type="dxa"/>
            <w:vAlign w:val="center"/>
          </w:tcPr>
          <w:p w:rsidR="00C133DD" w:rsidRDefault="00157FC2">
            <w:pPr>
              <w:jc w:val="center"/>
            </w:pPr>
            <w:r>
              <w:rPr>
                <w:rFonts w:eastAsiaTheme="minorEastAsia"/>
                <w:color w:val="000000" w:themeColor="text1"/>
                <w:szCs w:val="21"/>
              </w:rPr>
              <w:t>1</w:t>
            </w:r>
          </w:p>
        </w:tc>
        <w:tc>
          <w:tcPr>
            <w:tcW w:w="1774" w:type="dxa"/>
            <w:vAlign w:val="center"/>
          </w:tcPr>
          <w:p w:rsidR="00C133DD" w:rsidRDefault="00157FC2">
            <w:pPr>
              <w:jc w:val="center"/>
            </w:pPr>
            <w:r>
              <w:rPr>
                <w:rFonts w:eastAsiaTheme="minorEastAsia"/>
                <w:color w:val="000000" w:themeColor="text1"/>
                <w:szCs w:val="21"/>
              </w:rPr>
              <w:t>110244</w:t>
            </w:r>
          </w:p>
        </w:tc>
        <w:tc>
          <w:tcPr>
            <w:tcW w:w="1282" w:type="dxa"/>
            <w:vAlign w:val="center"/>
          </w:tcPr>
          <w:p w:rsidR="00C133DD" w:rsidRDefault="00157FC2">
            <w:pPr>
              <w:jc w:val="center"/>
            </w:pPr>
            <w:r>
              <w:rPr>
                <w:rFonts w:eastAsiaTheme="minorEastAsia"/>
                <w:color w:val="000000" w:themeColor="text1"/>
                <w:szCs w:val="21"/>
              </w:rPr>
              <w:t>11</w:t>
            </w:r>
            <w:r>
              <w:rPr>
                <w:rFonts w:eastAsiaTheme="minorEastAsia"/>
                <w:color w:val="000000" w:themeColor="text1"/>
                <w:szCs w:val="21"/>
              </w:rPr>
              <w:t>国开</w:t>
            </w:r>
            <w:r>
              <w:rPr>
                <w:rFonts w:eastAsiaTheme="minorEastAsia"/>
                <w:color w:val="000000" w:themeColor="text1"/>
                <w:szCs w:val="21"/>
              </w:rPr>
              <w:t>44</w:t>
            </w:r>
          </w:p>
        </w:tc>
        <w:tc>
          <w:tcPr>
            <w:tcW w:w="1763" w:type="dxa"/>
            <w:vAlign w:val="center"/>
          </w:tcPr>
          <w:p w:rsidR="00C133DD" w:rsidRDefault="00157FC2">
            <w:pPr>
              <w:jc w:val="right"/>
            </w:pPr>
            <w:r>
              <w:rPr>
                <w:rFonts w:eastAsiaTheme="minorEastAsia"/>
                <w:color w:val="000000" w:themeColor="text1"/>
                <w:szCs w:val="21"/>
              </w:rPr>
              <w:t>100,000</w:t>
            </w:r>
          </w:p>
        </w:tc>
        <w:tc>
          <w:tcPr>
            <w:tcW w:w="1843" w:type="dxa"/>
            <w:vAlign w:val="center"/>
          </w:tcPr>
          <w:p w:rsidR="00C133DD" w:rsidRDefault="00157FC2">
            <w:pPr>
              <w:jc w:val="right"/>
            </w:pPr>
            <w:r>
              <w:rPr>
                <w:rFonts w:eastAsiaTheme="minorEastAsia"/>
                <w:color w:val="000000" w:themeColor="text1"/>
                <w:szCs w:val="21"/>
              </w:rPr>
              <w:t>10,407,000.00</w:t>
            </w:r>
          </w:p>
        </w:tc>
        <w:tc>
          <w:tcPr>
            <w:tcW w:w="1493" w:type="dxa"/>
            <w:vAlign w:val="center"/>
          </w:tcPr>
          <w:p w:rsidR="00C133DD" w:rsidRDefault="00157FC2">
            <w:pPr>
              <w:jc w:val="right"/>
            </w:pPr>
            <w:r>
              <w:rPr>
                <w:rFonts w:eastAsiaTheme="minorEastAsia"/>
                <w:color w:val="000000" w:themeColor="text1"/>
                <w:szCs w:val="21"/>
              </w:rPr>
              <w:t>26.20</w:t>
            </w:r>
          </w:p>
        </w:tc>
      </w:tr>
      <w:tr w:rsidR="00C133DD">
        <w:tc>
          <w:tcPr>
            <w:tcW w:w="788" w:type="dxa"/>
            <w:vAlign w:val="center"/>
          </w:tcPr>
          <w:p w:rsidR="00C133DD" w:rsidRDefault="00157FC2">
            <w:pPr>
              <w:jc w:val="center"/>
            </w:pPr>
            <w:r>
              <w:rPr>
                <w:rFonts w:eastAsiaTheme="minorEastAsia"/>
                <w:color w:val="000000" w:themeColor="text1"/>
                <w:szCs w:val="21"/>
              </w:rPr>
              <w:t>2</w:t>
            </w:r>
          </w:p>
        </w:tc>
        <w:tc>
          <w:tcPr>
            <w:tcW w:w="1774" w:type="dxa"/>
            <w:vAlign w:val="center"/>
          </w:tcPr>
          <w:p w:rsidR="00C133DD" w:rsidRDefault="00157FC2">
            <w:pPr>
              <w:jc w:val="center"/>
            </w:pPr>
            <w:r>
              <w:rPr>
                <w:rFonts w:eastAsiaTheme="minorEastAsia"/>
                <w:color w:val="000000" w:themeColor="text1"/>
                <w:szCs w:val="21"/>
              </w:rPr>
              <w:t>010107</w:t>
            </w:r>
          </w:p>
        </w:tc>
        <w:tc>
          <w:tcPr>
            <w:tcW w:w="1282" w:type="dxa"/>
            <w:vAlign w:val="center"/>
          </w:tcPr>
          <w:p w:rsidR="00C133DD" w:rsidRDefault="00157FC2">
            <w:pPr>
              <w:jc w:val="center"/>
            </w:pPr>
            <w:r>
              <w:rPr>
                <w:rFonts w:eastAsiaTheme="minorEastAsia"/>
                <w:color w:val="000000" w:themeColor="text1"/>
                <w:szCs w:val="21"/>
              </w:rPr>
              <w:t>21</w:t>
            </w:r>
            <w:r>
              <w:rPr>
                <w:rFonts w:eastAsiaTheme="minorEastAsia"/>
                <w:color w:val="000000" w:themeColor="text1"/>
                <w:szCs w:val="21"/>
              </w:rPr>
              <w:t>国债</w:t>
            </w:r>
            <w:r>
              <w:rPr>
                <w:rFonts w:eastAsiaTheme="minorEastAsia"/>
                <w:color w:val="000000" w:themeColor="text1"/>
                <w:szCs w:val="21"/>
              </w:rPr>
              <w:t>⑺</w:t>
            </w:r>
          </w:p>
        </w:tc>
        <w:tc>
          <w:tcPr>
            <w:tcW w:w="1763" w:type="dxa"/>
            <w:vAlign w:val="center"/>
          </w:tcPr>
          <w:p w:rsidR="00C133DD" w:rsidRDefault="00157FC2">
            <w:pPr>
              <w:jc w:val="right"/>
            </w:pPr>
            <w:r>
              <w:rPr>
                <w:rFonts w:eastAsiaTheme="minorEastAsia"/>
                <w:color w:val="000000" w:themeColor="text1"/>
                <w:szCs w:val="21"/>
              </w:rPr>
              <w:t>81,980</w:t>
            </w:r>
          </w:p>
        </w:tc>
        <w:tc>
          <w:tcPr>
            <w:tcW w:w="1843" w:type="dxa"/>
            <w:vAlign w:val="center"/>
          </w:tcPr>
          <w:p w:rsidR="00C133DD" w:rsidRDefault="00157FC2">
            <w:pPr>
              <w:jc w:val="right"/>
            </w:pPr>
            <w:r>
              <w:rPr>
                <w:rFonts w:eastAsiaTheme="minorEastAsia"/>
                <w:color w:val="000000" w:themeColor="text1"/>
                <w:szCs w:val="21"/>
              </w:rPr>
              <w:t>8,439,841.00</w:t>
            </w:r>
          </w:p>
        </w:tc>
        <w:tc>
          <w:tcPr>
            <w:tcW w:w="1493" w:type="dxa"/>
            <w:vAlign w:val="center"/>
          </w:tcPr>
          <w:p w:rsidR="00C133DD" w:rsidRDefault="00157FC2">
            <w:pPr>
              <w:jc w:val="right"/>
            </w:pPr>
            <w:r>
              <w:rPr>
                <w:rFonts w:eastAsiaTheme="minorEastAsia"/>
                <w:color w:val="000000" w:themeColor="text1"/>
                <w:szCs w:val="21"/>
              </w:rPr>
              <w:t>21.25</w:t>
            </w:r>
          </w:p>
        </w:tc>
      </w:tr>
      <w:tr w:rsidR="00C133DD">
        <w:tc>
          <w:tcPr>
            <w:tcW w:w="788" w:type="dxa"/>
            <w:vAlign w:val="center"/>
          </w:tcPr>
          <w:p w:rsidR="00C133DD" w:rsidRDefault="00157FC2">
            <w:pPr>
              <w:jc w:val="center"/>
            </w:pPr>
            <w:r>
              <w:rPr>
                <w:rFonts w:eastAsiaTheme="minorEastAsia"/>
                <w:color w:val="000000" w:themeColor="text1"/>
                <w:szCs w:val="21"/>
              </w:rPr>
              <w:t>3</w:t>
            </w:r>
          </w:p>
        </w:tc>
        <w:tc>
          <w:tcPr>
            <w:tcW w:w="1774" w:type="dxa"/>
            <w:vAlign w:val="center"/>
          </w:tcPr>
          <w:p w:rsidR="00C133DD" w:rsidRDefault="00157FC2">
            <w:pPr>
              <w:jc w:val="center"/>
            </w:pPr>
            <w:r>
              <w:rPr>
                <w:rFonts w:eastAsiaTheme="minorEastAsia"/>
                <w:color w:val="000000" w:themeColor="text1"/>
                <w:szCs w:val="21"/>
              </w:rPr>
              <w:t>018006</w:t>
            </w:r>
          </w:p>
        </w:tc>
        <w:tc>
          <w:tcPr>
            <w:tcW w:w="1282" w:type="dxa"/>
            <w:vAlign w:val="center"/>
          </w:tcPr>
          <w:p w:rsidR="00C133DD" w:rsidRDefault="00157FC2">
            <w:pPr>
              <w:jc w:val="center"/>
            </w:pPr>
            <w:r>
              <w:rPr>
                <w:rFonts w:eastAsiaTheme="minorEastAsia"/>
                <w:color w:val="000000" w:themeColor="text1"/>
                <w:szCs w:val="21"/>
              </w:rPr>
              <w:t>国开</w:t>
            </w:r>
            <w:r>
              <w:rPr>
                <w:rFonts w:eastAsiaTheme="minorEastAsia"/>
                <w:color w:val="000000" w:themeColor="text1"/>
                <w:szCs w:val="21"/>
              </w:rPr>
              <w:t>1702</w:t>
            </w:r>
          </w:p>
        </w:tc>
        <w:tc>
          <w:tcPr>
            <w:tcW w:w="1763" w:type="dxa"/>
            <w:vAlign w:val="center"/>
          </w:tcPr>
          <w:p w:rsidR="00C133DD" w:rsidRDefault="00157FC2">
            <w:pPr>
              <w:jc w:val="right"/>
            </w:pPr>
            <w:r>
              <w:rPr>
                <w:rFonts w:eastAsiaTheme="minorEastAsia"/>
                <w:color w:val="000000" w:themeColor="text1"/>
                <w:szCs w:val="21"/>
              </w:rPr>
              <w:t>65,830</w:t>
            </w:r>
          </w:p>
        </w:tc>
        <w:tc>
          <w:tcPr>
            <w:tcW w:w="1843" w:type="dxa"/>
            <w:vAlign w:val="center"/>
          </w:tcPr>
          <w:p w:rsidR="00C133DD" w:rsidRDefault="00157FC2">
            <w:pPr>
              <w:jc w:val="right"/>
            </w:pPr>
            <w:r>
              <w:rPr>
                <w:rFonts w:eastAsiaTheme="minorEastAsia"/>
                <w:color w:val="000000" w:themeColor="text1"/>
                <w:szCs w:val="21"/>
              </w:rPr>
              <w:t>6,721,243.00</w:t>
            </w:r>
          </w:p>
        </w:tc>
        <w:tc>
          <w:tcPr>
            <w:tcW w:w="1493" w:type="dxa"/>
            <w:vAlign w:val="center"/>
          </w:tcPr>
          <w:p w:rsidR="00C133DD" w:rsidRDefault="00157FC2">
            <w:pPr>
              <w:jc w:val="right"/>
            </w:pPr>
            <w:r>
              <w:rPr>
                <w:rFonts w:eastAsiaTheme="minorEastAsia"/>
                <w:color w:val="000000" w:themeColor="text1"/>
                <w:szCs w:val="21"/>
              </w:rPr>
              <w:t>16.92</w:t>
            </w:r>
          </w:p>
        </w:tc>
      </w:tr>
      <w:tr w:rsidR="00C133DD">
        <w:tc>
          <w:tcPr>
            <w:tcW w:w="788" w:type="dxa"/>
            <w:vAlign w:val="center"/>
          </w:tcPr>
          <w:p w:rsidR="00C133DD" w:rsidRDefault="00157FC2">
            <w:pPr>
              <w:jc w:val="center"/>
            </w:pPr>
            <w:r>
              <w:rPr>
                <w:rFonts w:eastAsiaTheme="minorEastAsia"/>
                <w:color w:val="000000" w:themeColor="text1"/>
                <w:szCs w:val="21"/>
              </w:rPr>
              <w:t>4</w:t>
            </w:r>
          </w:p>
        </w:tc>
        <w:tc>
          <w:tcPr>
            <w:tcW w:w="1774" w:type="dxa"/>
            <w:vAlign w:val="center"/>
          </w:tcPr>
          <w:p w:rsidR="00C133DD" w:rsidRDefault="00157FC2">
            <w:pPr>
              <w:jc w:val="center"/>
            </w:pPr>
            <w:r>
              <w:rPr>
                <w:rFonts w:eastAsiaTheme="minorEastAsia"/>
                <w:color w:val="000000" w:themeColor="text1"/>
                <w:szCs w:val="21"/>
              </w:rPr>
              <w:t>010303</w:t>
            </w:r>
          </w:p>
        </w:tc>
        <w:tc>
          <w:tcPr>
            <w:tcW w:w="1282" w:type="dxa"/>
            <w:vAlign w:val="center"/>
          </w:tcPr>
          <w:p w:rsidR="00C133DD" w:rsidRDefault="00157FC2">
            <w:pPr>
              <w:jc w:val="center"/>
            </w:pPr>
            <w:r>
              <w:rPr>
                <w:rFonts w:eastAsiaTheme="minorEastAsia"/>
                <w:color w:val="000000" w:themeColor="text1"/>
                <w:szCs w:val="21"/>
              </w:rPr>
              <w:t>03</w:t>
            </w:r>
            <w:r>
              <w:rPr>
                <w:rFonts w:eastAsiaTheme="minorEastAsia"/>
                <w:color w:val="000000" w:themeColor="text1"/>
                <w:szCs w:val="21"/>
              </w:rPr>
              <w:t>国债</w:t>
            </w:r>
            <w:r>
              <w:rPr>
                <w:rFonts w:eastAsiaTheme="minorEastAsia"/>
                <w:color w:val="000000" w:themeColor="text1"/>
                <w:szCs w:val="21"/>
              </w:rPr>
              <w:t>⑶</w:t>
            </w:r>
          </w:p>
        </w:tc>
        <w:tc>
          <w:tcPr>
            <w:tcW w:w="1763" w:type="dxa"/>
            <w:vAlign w:val="center"/>
          </w:tcPr>
          <w:p w:rsidR="00C133DD" w:rsidRDefault="00157FC2">
            <w:pPr>
              <w:jc w:val="right"/>
            </w:pPr>
            <w:r>
              <w:rPr>
                <w:rFonts w:eastAsiaTheme="minorEastAsia"/>
                <w:color w:val="000000" w:themeColor="text1"/>
                <w:szCs w:val="21"/>
              </w:rPr>
              <w:t>33,290</w:t>
            </w:r>
          </w:p>
        </w:tc>
        <w:tc>
          <w:tcPr>
            <w:tcW w:w="1843" w:type="dxa"/>
            <w:vAlign w:val="center"/>
          </w:tcPr>
          <w:p w:rsidR="00C133DD" w:rsidRDefault="00157FC2">
            <w:pPr>
              <w:jc w:val="right"/>
            </w:pPr>
            <w:r>
              <w:rPr>
                <w:rFonts w:eastAsiaTheme="minorEastAsia"/>
                <w:color w:val="000000" w:themeColor="text1"/>
                <w:szCs w:val="21"/>
              </w:rPr>
              <w:t>3,356,297.80</w:t>
            </w:r>
          </w:p>
        </w:tc>
        <w:tc>
          <w:tcPr>
            <w:tcW w:w="1493" w:type="dxa"/>
            <w:vAlign w:val="center"/>
          </w:tcPr>
          <w:p w:rsidR="00C133DD" w:rsidRDefault="00157FC2">
            <w:pPr>
              <w:jc w:val="right"/>
            </w:pPr>
            <w:r>
              <w:rPr>
                <w:rFonts w:eastAsiaTheme="minorEastAsia"/>
                <w:color w:val="000000" w:themeColor="text1"/>
                <w:szCs w:val="21"/>
              </w:rPr>
              <w:t>8.45</w:t>
            </w:r>
          </w:p>
        </w:tc>
      </w:tr>
      <w:tr w:rsidR="00C133DD">
        <w:tc>
          <w:tcPr>
            <w:tcW w:w="788" w:type="dxa"/>
            <w:vAlign w:val="center"/>
          </w:tcPr>
          <w:p w:rsidR="00C133DD" w:rsidRDefault="00157FC2">
            <w:pPr>
              <w:jc w:val="center"/>
            </w:pPr>
            <w:r>
              <w:rPr>
                <w:rFonts w:eastAsiaTheme="minorEastAsia"/>
                <w:color w:val="000000" w:themeColor="text1"/>
                <w:szCs w:val="21"/>
              </w:rPr>
              <w:t>5</w:t>
            </w:r>
          </w:p>
        </w:tc>
        <w:tc>
          <w:tcPr>
            <w:tcW w:w="1774" w:type="dxa"/>
            <w:vAlign w:val="center"/>
          </w:tcPr>
          <w:p w:rsidR="00C133DD" w:rsidRDefault="00157FC2">
            <w:pPr>
              <w:jc w:val="center"/>
            </w:pPr>
            <w:r>
              <w:rPr>
                <w:rFonts w:eastAsiaTheme="minorEastAsia"/>
                <w:color w:val="000000" w:themeColor="text1"/>
                <w:szCs w:val="21"/>
              </w:rPr>
              <w:t>136184</w:t>
            </w:r>
          </w:p>
        </w:tc>
        <w:tc>
          <w:tcPr>
            <w:tcW w:w="1282" w:type="dxa"/>
            <w:vAlign w:val="center"/>
          </w:tcPr>
          <w:p w:rsidR="00C133DD" w:rsidRDefault="00157FC2">
            <w:pPr>
              <w:jc w:val="center"/>
            </w:pPr>
            <w:r>
              <w:rPr>
                <w:rFonts w:eastAsiaTheme="minorEastAsia"/>
                <w:color w:val="000000" w:themeColor="text1"/>
                <w:szCs w:val="21"/>
              </w:rPr>
              <w:t>16</w:t>
            </w:r>
            <w:r>
              <w:rPr>
                <w:rFonts w:eastAsiaTheme="minorEastAsia"/>
                <w:color w:val="000000" w:themeColor="text1"/>
                <w:szCs w:val="21"/>
              </w:rPr>
              <w:t>上港</w:t>
            </w:r>
            <w:r>
              <w:rPr>
                <w:rFonts w:eastAsiaTheme="minorEastAsia"/>
                <w:color w:val="000000" w:themeColor="text1"/>
                <w:szCs w:val="21"/>
              </w:rPr>
              <w:t>01</w:t>
            </w:r>
          </w:p>
        </w:tc>
        <w:tc>
          <w:tcPr>
            <w:tcW w:w="1763" w:type="dxa"/>
            <w:vAlign w:val="center"/>
          </w:tcPr>
          <w:p w:rsidR="00C133DD" w:rsidRDefault="00157FC2">
            <w:pPr>
              <w:jc w:val="right"/>
            </w:pPr>
            <w:r>
              <w:rPr>
                <w:rFonts w:eastAsiaTheme="minorEastAsia"/>
                <w:color w:val="000000" w:themeColor="text1"/>
                <w:szCs w:val="21"/>
              </w:rPr>
              <w:t>23,300</w:t>
            </w:r>
          </w:p>
        </w:tc>
        <w:tc>
          <w:tcPr>
            <w:tcW w:w="1843" w:type="dxa"/>
            <w:vAlign w:val="center"/>
          </w:tcPr>
          <w:p w:rsidR="00C133DD" w:rsidRDefault="00157FC2">
            <w:pPr>
              <w:jc w:val="right"/>
            </w:pPr>
            <w:r>
              <w:rPr>
                <w:rFonts w:eastAsiaTheme="minorEastAsia"/>
                <w:color w:val="000000" w:themeColor="text1"/>
                <w:szCs w:val="21"/>
              </w:rPr>
              <w:t>2,330,000.00</w:t>
            </w:r>
          </w:p>
        </w:tc>
        <w:tc>
          <w:tcPr>
            <w:tcW w:w="1493" w:type="dxa"/>
            <w:vAlign w:val="center"/>
          </w:tcPr>
          <w:p w:rsidR="00C133DD" w:rsidRDefault="00157FC2">
            <w:pPr>
              <w:jc w:val="right"/>
            </w:pPr>
            <w:r>
              <w:rPr>
                <w:rFonts w:eastAsiaTheme="minorEastAsia"/>
                <w:color w:val="000000" w:themeColor="text1"/>
                <w:szCs w:val="21"/>
              </w:rPr>
              <w:t>5.87</w:t>
            </w:r>
          </w:p>
        </w:tc>
      </w:tr>
    </w:tbl>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116" w:name="_Toc361324885"/>
      <w:bookmarkStart w:id="117" w:name="_Toc374374961"/>
      <w:r w:rsidRPr="00C56D9D">
        <w:rPr>
          <w:rFonts w:ascii="Times New Roman" w:eastAsiaTheme="minorEastAsia" w:hAnsi="Times New Roman"/>
          <w:color w:val="000000" w:themeColor="text1"/>
          <w:kern w:val="0"/>
          <w:sz w:val="21"/>
          <w:szCs w:val="21"/>
        </w:rPr>
        <w:t>8.7</w:t>
      </w:r>
      <w:r w:rsidR="008A0029"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期末按公允价值占基金资产净值比例大小</w:t>
      </w:r>
      <w:r w:rsidR="009819C9" w:rsidRPr="00C56D9D">
        <w:rPr>
          <w:rFonts w:ascii="Times New Roman" w:eastAsiaTheme="minorEastAsia" w:hAnsi="Times New Roman"/>
          <w:color w:val="000000" w:themeColor="text1"/>
          <w:kern w:val="0"/>
          <w:sz w:val="21"/>
          <w:szCs w:val="21"/>
        </w:rPr>
        <w:t>排序</w:t>
      </w:r>
      <w:r w:rsidRPr="00C56D9D">
        <w:rPr>
          <w:rFonts w:ascii="Times New Roman" w:eastAsiaTheme="minorEastAsia" w:hAnsi="Times New Roman"/>
          <w:color w:val="000000" w:themeColor="text1"/>
          <w:kern w:val="0"/>
          <w:sz w:val="21"/>
          <w:szCs w:val="21"/>
        </w:rPr>
        <w:t>的</w:t>
      </w:r>
      <w:r w:rsidR="002B14C9">
        <w:rPr>
          <w:rFonts w:ascii="Times New Roman" w:eastAsiaTheme="minorEastAsia" w:hAnsi="Times New Roman" w:hint="eastAsia"/>
          <w:color w:val="000000" w:themeColor="text1"/>
          <w:kern w:val="0"/>
          <w:sz w:val="21"/>
          <w:szCs w:val="21"/>
        </w:rPr>
        <w:t>前十名</w:t>
      </w:r>
      <w:r w:rsidRPr="00C56D9D">
        <w:rPr>
          <w:rFonts w:ascii="Times New Roman" w:eastAsiaTheme="minorEastAsia" w:hAnsi="Times New Roman"/>
          <w:color w:val="000000" w:themeColor="text1"/>
          <w:kern w:val="0"/>
          <w:sz w:val="21"/>
          <w:szCs w:val="21"/>
        </w:rPr>
        <w:t>资产支持证券投资明细</w:t>
      </w:r>
      <w:bookmarkEnd w:id="116"/>
      <w:bookmarkEnd w:id="117"/>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本基金本报告期末未持有资产支持证券。</w:t>
      </w:r>
    </w:p>
    <w:p w:rsidR="001B3C1C" w:rsidRPr="00C56D9D" w:rsidRDefault="001B3C1C" w:rsidP="00E34772">
      <w:pPr>
        <w:pStyle w:val="20"/>
        <w:spacing w:beforeLines="100" w:before="312" w:after="0"/>
        <w:rPr>
          <w:rFonts w:ascii="Times New Roman" w:eastAsiaTheme="minorEastAsia" w:hAnsi="Times New Roman"/>
          <w:color w:val="000000" w:themeColor="text1"/>
          <w:kern w:val="0"/>
          <w:sz w:val="21"/>
          <w:szCs w:val="21"/>
        </w:rPr>
      </w:pPr>
      <w:r w:rsidRPr="00C56D9D">
        <w:rPr>
          <w:rFonts w:ascii="Times New Roman" w:eastAsiaTheme="minorEastAsia" w:hAnsi="Times New Roman"/>
          <w:color w:val="000000" w:themeColor="text1"/>
          <w:kern w:val="0"/>
          <w:sz w:val="21"/>
          <w:szCs w:val="21"/>
        </w:rPr>
        <w:t xml:space="preserve">8.8 </w:t>
      </w:r>
      <w:r w:rsidRPr="00C56D9D">
        <w:rPr>
          <w:rFonts w:ascii="Times New Roman" w:eastAsiaTheme="minorEastAsia" w:hAnsi="Times New Roman"/>
          <w:color w:val="000000" w:themeColor="text1"/>
          <w:kern w:val="0"/>
          <w:sz w:val="21"/>
          <w:szCs w:val="21"/>
        </w:rPr>
        <w:t>报告期末按公允价值占基金资产净值比例大小排序的前五名贵金属投资明细</w:t>
      </w:r>
    </w:p>
    <w:p w:rsidR="001B3C1C" w:rsidRPr="00C56D9D" w:rsidRDefault="001B3C1C"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本基金本报告期末未持有贵金属。</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118" w:name="_Toc361324886"/>
      <w:bookmarkStart w:id="119" w:name="_Toc374374962"/>
      <w:r w:rsidRPr="00C56D9D">
        <w:rPr>
          <w:rFonts w:ascii="Times New Roman" w:eastAsiaTheme="minorEastAsia" w:hAnsi="Times New Roman"/>
          <w:color w:val="000000" w:themeColor="text1"/>
          <w:kern w:val="0"/>
          <w:sz w:val="21"/>
          <w:szCs w:val="21"/>
        </w:rPr>
        <w:t>8.9</w:t>
      </w:r>
      <w:r w:rsidR="008A0029"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期末按公允价值占基金资产净值比例大小排名的前五名权证投资明细</w:t>
      </w:r>
      <w:bookmarkEnd w:id="118"/>
      <w:bookmarkEnd w:id="119"/>
    </w:p>
    <w:p w:rsidR="001A59F9" w:rsidRPr="00C56D9D" w:rsidRDefault="001A59F9" w:rsidP="00AB5FEF">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本基金本报告期末未持有权证。</w:t>
      </w:r>
    </w:p>
    <w:p w:rsidR="005D072B" w:rsidRPr="00C56D9D" w:rsidRDefault="005D072B" w:rsidP="00E34772">
      <w:pPr>
        <w:pStyle w:val="20"/>
        <w:spacing w:beforeLines="100" w:before="312" w:after="0"/>
        <w:rPr>
          <w:rFonts w:ascii="Times New Roman" w:eastAsiaTheme="minorEastAsia" w:hAnsi="Times New Roman"/>
          <w:color w:val="000000" w:themeColor="text1"/>
          <w:kern w:val="0"/>
          <w:sz w:val="21"/>
          <w:szCs w:val="21"/>
        </w:rPr>
      </w:pPr>
      <w:bookmarkStart w:id="120" w:name="_Toc374374963"/>
      <w:r w:rsidRPr="00C56D9D">
        <w:rPr>
          <w:rFonts w:ascii="Times New Roman" w:eastAsiaTheme="minorEastAsia" w:hAnsi="Times New Roman"/>
          <w:color w:val="000000" w:themeColor="text1"/>
          <w:kern w:val="0"/>
          <w:sz w:val="21"/>
          <w:szCs w:val="21"/>
        </w:rPr>
        <w:lastRenderedPageBreak/>
        <w:t xml:space="preserve">8.10 </w:t>
      </w:r>
      <w:r w:rsidRPr="00C56D9D">
        <w:rPr>
          <w:rFonts w:ascii="Times New Roman" w:eastAsiaTheme="minorEastAsia" w:hAnsi="Times New Roman"/>
          <w:color w:val="000000" w:themeColor="text1"/>
          <w:kern w:val="0"/>
          <w:sz w:val="21"/>
          <w:szCs w:val="21"/>
        </w:rPr>
        <w:t>报告期末本基金投资的股指期货交易情况说明</w:t>
      </w:r>
      <w:bookmarkEnd w:id="120"/>
    </w:p>
    <w:p w:rsidR="005D072B" w:rsidRPr="00C56D9D" w:rsidRDefault="005D072B" w:rsidP="00AF2CCD">
      <w:pPr>
        <w:adjustRightInd w:val="0"/>
        <w:snapToGrid w:val="0"/>
        <w:spacing w:line="360" w:lineRule="auto"/>
        <w:rPr>
          <w:rFonts w:eastAsiaTheme="minorEastAsia"/>
          <w:b/>
          <w:color w:val="000000" w:themeColor="text1"/>
          <w:szCs w:val="21"/>
        </w:rPr>
      </w:pPr>
      <w:r w:rsidRPr="00C56D9D">
        <w:rPr>
          <w:rFonts w:eastAsiaTheme="minorEastAsia"/>
          <w:b/>
          <w:color w:val="000000" w:themeColor="text1"/>
          <w:szCs w:val="21"/>
        </w:rPr>
        <w:t xml:space="preserve">8.10.1 </w:t>
      </w:r>
      <w:r w:rsidRPr="00C56D9D">
        <w:rPr>
          <w:rFonts w:eastAsiaTheme="minorEastAsia"/>
          <w:b/>
          <w:color w:val="000000" w:themeColor="text1"/>
          <w:szCs w:val="21"/>
        </w:rPr>
        <w:t>报告期末本基金投资的股指期货持仓和损益明细</w:t>
      </w:r>
    </w:p>
    <w:p w:rsidR="005D072B" w:rsidRPr="00C56D9D" w:rsidRDefault="005D072B" w:rsidP="001A093D">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本基金本报告期末未持有股指期货。</w:t>
      </w:r>
    </w:p>
    <w:p w:rsidR="00FF26CE" w:rsidRPr="00C56D9D" w:rsidRDefault="00FF26CE" w:rsidP="00E34772">
      <w:pPr>
        <w:pStyle w:val="20"/>
        <w:spacing w:beforeLines="100" w:before="312" w:after="0"/>
        <w:rPr>
          <w:rFonts w:ascii="Times New Roman" w:eastAsiaTheme="minorEastAsia" w:hAnsi="Times New Roman"/>
          <w:color w:val="000000" w:themeColor="text1"/>
          <w:kern w:val="0"/>
          <w:sz w:val="21"/>
          <w:szCs w:val="21"/>
        </w:rPr>
      </w:pPr>
      <w:bookmarkStart w:id="121" w:name="_Toc374374964"/>
      <w:r w:rsidRPr="00C56D9D">
        <w:rPr>
          <w:rFonts w:ascii="Times New Roman" w:eastAsiaTheme="minorEastAsia" w:hAnsi="Times New Roman"/>
          <w:color w:val="000000" w:themeColor="text1"/>
          <w:kern w:val="0"/>
          <w:sz w:val="21"/>
          <w:szCs w:val="21"/>
        </w:rPr>
        <w:t>8.11</w:t>
      </w:r>
      <w:r w:rsidRPr="00C56D9D">
        <w:rPr>
          <w:rFonts w:ascii="Times New Roman" w:eastAsiaTheme="minorEastAsia" w:hAnsi="Times New Roman"/>
          <w:color w:val="000000" w:themeColor="text1"/>
          <w:kern w:val="0"/>
          <w:sz w:val="21"/>
          <w:szCs w:val="21"/>
        </w:rPr>
        <w:t>报告期末本基金投资的国债期货交易情况说明</w:t>
      </w:r>
      <w:bookmarkEnd w:id="121"/>
    </w:p>
    <w:p w:rsidR="00FF26CE" w:rsidRPr="00C56D9D" w:rsidRDefault="00FF26CE" w:rsidP="00231A09">
      <w:pPr>
        <w:autoSpaceDE w:val="0"/>
        <w:autoSpaceDN w:val="0"/>
        <w:adjustRightInd w:val="0"/>
        <w:spacing w:line="360" w:lineRule="auto"/>
        <w:jc w:val="left"/>
        <w:rPr>
          <w:rFonts w:eastAsiaTheme="minorEastAsia"/>
          <w:b/>
          <w:color w:val="000000" w:themeColor="text1"/>
          <w:szCs w:val="21"/>
        </w:rPr>
      </w:pPr>
      <w:r w:rsidRPr="00C56D9D">
        <w:rPr>
          <w:rFonts w:eastAsiaTheme="minorEastAsia"/>
          <w:b/>
          <w:color w:val="000000" w:themeColor="text1"/>
          <w:szCs w:val="21"/>
        </w:rPr>
        <w:t xml:space="preserve">8.11.1 </w:t>
      </w:r>
      <w:r w:rsidRPr="00C56D9D">
        <w:rPr>
          <w:rFonts w:eastAsiaTheme="minorEastAsia"/>
          <w:b/>
          <w:color w:val="000000" w:themeColor="text1"/>
          <w:szCs w:val="21"/>
        </w:rPr>
        <w:t>报告期末本基金投资的国债期货持仓和损益明细</w:t>
      </w:r>
    </w:p>
    <w:p w:rsidR="00FF26CE" w:rsidRPr="00C56D9D" w:rsidRDefault="00FF26CE" w:rsidP="001A093D">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本基金本报告期末未持有国债期货。</w:t>
      </w:r>
    </w:p>
    <w:p w:rsidR="001A59F9" w:rsidRPr="00C56D9D" w:rsidRDefault="001A59F9" w:rsidP="00E34772">
      <w:pPr>
        <w:pStyle w:val="20"/>
        <w:spacing w:beforeLines="100" w:before="312" w:after="0"/>
        <w:rPr>
          <w:rFonts w:ascii="Times New Roman" w:eastAsiaTheme="minorEastAsia" w:hAnsi="Times New Roman"/>
          <w:color w:val="000000" w:themeColor="text1"/>
          <w:kern w:val="0"/>
          <w:sz w:val="21"/>
          <w:szCs w:val="21"/>
        </w:rPr>
      </w:pPr>
      <w:bookmarkStart w:id="122" w:name="_Toc361324887"/>
      <w:bookmarkStart w:id="123" w:name="_Toc374374965"/>
      <w:r w:rsidRPr="00C56D9D">
        <w:rPr>
          <w:rFonts w:ascii="Times New Roman" w:eastAsiaTheme="minorEastAsia" w:hAnsi="Times New Roman"/>
          <w:color w:val="000000" w:themeColor="text1"/>
          <w:kern w:val="0"/>
          <w:sz w:val="21"/>
          <w:szCs w:val="21"/>
        </w:rPr>
        <w:t xml:space="preserve">8.12 </w:t>
      </w:r>
      <w:r w:rsidRPr="00C56D9D">
        <w:rPr>
          <w:rFonts w:ascii="Times New Roman" w:eastAsiaTheme="minorEastAsia" w:hAnsi="Times New Roman"/>
          <w:color w:val="000000" w:themeColor="text1"/>
          <w:kern w:val="0"/>
          <w:sz w:val="21"/>
          <w:szCs w:val="21"/>
        </w:rPr>
        <w:t>投资组合报告附注</w:t>
      </w:r>
      <w:bookmarkEnd w:id="122"/>
      <w:bookmarkEnd w:id="123"/>
    </w:p>
    <w:p w:rsidR="001A59F9" w:rsidRPr="00C56D9D" w:rsidRDefault="001A59F9" w:rsidP="00D4772B">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8.12.1</w:t>
      </w:r>
      <w:r w:rsidRPr="00C56D9D">
        <w:rPr>
          <w:rFonts w:eastAsiaTheme="minorEastAsia"/>
          <w:color w:val="000000" w:themeColor="text1"/>
          <w:kern w:val="0"/>
          <w:szCs w:val="21"/>
        </w:rPr>
        <w:t>报告期内本基金投资的前十名证券的发行主体本期没有出现被监管部门立案调查，或在报告编制日前一年内受到公开谴责、处罚的情形。</w:t>
      </w:r>
    </w:p>
    <w:p w:rsidR="001A59F9" w:rsidRPr="00C56D9D" w:rsidRDefault="001A59F9" w:rsidP="00D4772B">
      <w:pPr>
        <w:widowControl/>
        <w:spacing w:line="360" w:lineRule="auto"/>
        <w:rPr>
          <w:rFonts w:eastAsiaTheme="minorEastAsia"/>
          <w:color w:val="000000" w:themeColor="text1"/>
          <w:kern w:val="0"/>
          <w:szCs w:val="21"/>
        </w:rPr>
      </w:pPr>
      <w:r w:rsidRPr="00C56D9D">
        <w:rPr>
          <w:rFonts w:eastAsiaTheme="minorEastAsia"/>
          <w:color w:val="000000" w:themeColor="text1"/>
          <w:kern w:val="0"/>
          <w:szCs w:val="21"/>
        </w:rPr>
        <w:t>8.12.2</w:t>
      </w:r>
      <w:r w:rsidRPr="00C56D9D">
        <w:rPr>
          <w:rFonts w:eastAsiaTheme="minorEastAsia"/>
          <w:color w:val="000000" w:themeColor="text1"/>
          <w:kern w:val="0"/>
          <w:szCs w:val="21"/>
        </w:rPr>
        <w:t>报告期内本基金投资的前十名股票中没有在基金合同规定备选股票库之外的股票。</w:t>
      </w:r>
    </w:p>
    <w:p w:rsidR="001A59F9" w:rsidRPr="00C56D9D" w:rsidRDefault="001A59F9" w:rsidP="00D4772B">
      <w:pPr>
        <w:spacing w:line="360" w:lineRule="auto"/>
        <w:rPr>
          <w:rFonts w:eastAsiaTheme="minorEastAsia"/>
          <w:b/>
          <w:bCs/>
          <w:color w:val="000000" w:themeColor="text1"/>
          <w:szCs w:val="21"/>
        </w:rPr>
      </w:pPr>
      <w:r w:rsidRPr="00C56D9D">
        <w:rPr>
          <w:rFonts w:eastAsiaTheme="minorEastAsia"/>
          <w:b/>
          <w:color w:val="000000" w:themeColor="text1"/>
          <w:szCs w:val="21"/>
        </w:rPr>
        <w:t>8.12.3</w:t>
      </w:r>
      <w:r w:rsidR="008A0029" w:rsidRPr="00C56D9D">
        <w:rPr>
          <w:rFonts w:eastAsiaTheme="minorEastAsia"/>
          <w:b/>
          <w:color w:val="000000" w:themeColor="text1"/>
          <w:szCs w:val="21"/>
        </w:rPr>
        <w:t xml:space="preserve"> </w:t>
      </w:r>
      <w:r w:rsidRPr="00C56D9D">
        <w:rPr>
          <w:rFonts w:eastAsiaTheme="minorEastAsia"/>
          <w:b/>
          <w:bCs/>
          <w:color w:val="000000" w:themeColor="text1"/>
          <w:szCs w:val="21"/>
        </w:rPr>
        <w:t>期末其他各项资产构成</w:t>
      </w:r>
    </w:p>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kern w:val="0"/>
          <w:szCs w:val="21"/>
        </w:rPr>
      </w:pPr>
      <w:r w:rsidRPr="00C56D9D">
        <w:rPr>
          <w:rFonts w:eastAsiaTheme="minorEastAsia"/>
          <w:color w:val="000000" w:themeColor="text1"/>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C56D9D" w:rsidRPr="00C56D9D" w:rsidTr="006D141C">
        <w:tc>
          <w:tcPr>
            <w:tcW w:w="765"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序号</w:t>
            </w:r>
          </w:p>
        </w:tc>
        <w:tc>
          <w:tcPr>
            <w:tcW w:w="4117"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名称</w:t>
            </w:r>
          </w:p>
        </w:tc>
        <w:tc>
          <w:tcPr>
            <w:tcW w:w="4118"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金额</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1</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存出保证金</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24,070.45</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2</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应收证券清算款</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3</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应收股利</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4</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应收利息</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1,064,558.57</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5</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应收申购款</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6</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其他应收款</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7</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待摊费用</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vAlign w:val="center"/>
          </w:tcPr>
          <w:p w:rsidR="001A59F9" w:rsidRPr="00C56D9D" w:rsidRDefault="001A59F9" w:rsidP="00026C9C">
            <w:pPr>
              <w:autoSpaceDE w:val="0"/>
              <w:autoSpaceDN w:val="0"/>
              <w:adjustRightInd w:val="0"/>
              <w:spacing w:before="29" w:line="360" w:lineRule="auto"/>
              <w:ind w:left="15"/>
              <w:jc w:val="center"/>
              <w:rPr>
                <w:rFonts w:eastAsiaTheme="minorEastAsia"/>
                <w:color w:val="000000" w:themeColor="text1"/>
                <w:szCs w:val="21"/>
              </w:rPr>
            </w:pPr>
            <w:r w:rsidRPr="00C56D9D">
              <w:rPr>
                <w:rFonts w:eastAsiaTheme="minorEastAsia"/>
                <w:color w:val="000000" w:themeColor="text1"/>
                <w:szCs w:val="21"/>
              </w:rPr>
              <w:t>8</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其他</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w:t>
            </w:r>
          </w:p>
        </w:tc>
      </w:tr>
      <w:tr w:rsidR="00C56D9D" w:rsidRPr="00C56D9D" w:rsidTr="006D141C">
        <w:tc>
          <w:tcPr>
            <w:tcW w:w="765" w:type="dxa"/>
            <w:vAlign w:val="center"/>
          </w:tcPr>
          <w:p w:rsidR="001A59F9" w:rsidRPr="00C56D9D" w:rsidRDefault="001A59F9" w:rsidP="00026C9C">
            <w:pPr>
              <w:autoSpaceDE w:val="0"/>
              <w:autoSpaceDN w:val="0"/>
              <w:adjustRightInd w:val="0"/>
              <w:spacing w:before="29" w:line="360" w:lineRule="auto"/>
              <w:ind w:left="15"/>
              <w:jc w:val="center"/>
              <w:rPr>
                <w:rFonts w:eastAsiaTheme="minorEastAsia"/>
                <w:color w:val="000000" w:themeColor="text1"/>
                <w:szCs w:val="21"/>
              </w:rPr>
            </w:pPr>
            <w:r w:rsidRPr="00C56D9D">
              <w:rPr>
                <w:rFonts w:eastAsiaTheme="minorEastAsia"/>
                <w:color w:val="000000" w:themeColor="text1"/>
                <w:szCs w:val="21"/>
              </w:rPr>
              <w:t>9</w:t>
            </w:r>
          </w:p>
        </w:tc>
        <w:tc>
          <w:tcPr>
            <w:tcW w:w="4117" w:type="dxa"/>
          </w:tcPr>
          <w:p w:rsidR="001A59F9" w:rsidRPr="00C56D9D" w:rsidRDefault="001A59F9" w:rsidP="00026C9C">
            <w:pPr>
              <w:spacing w:line="360" w:lineRule="auto"/>
              <w:ind w:leftChars="50" w:left="105"/>
              <w:rPr>
                <w:rFonts w:eastAsiaTheme="minorEastAsia"/>
                <w:color w:val="000000" w:themeColor="text1"/>
                <w:szCs w:val="21"/>
              </w:rPr>
            </w:pPr>
            <w:r w:rsidRPr="00C56D9D">
              <w:rPr>
                <w:rFonts w:eastAsiaTheme="minorEastAsia"/>
                <w:color w:val="000000" w:themeColor="text1"/>
                <w:szCs w:val="21"/>
              </w:rPr>
              <w:t>合计</w:t>
            </w:r>
          </w:p>
        </w:tc>
        <w:tc>
          <w:tcPr>
            <w:tcW w:w="4118" w:type="dxa"/>
            <w:vAlign w:val="center"/>
          </w:tcPr>
          <w:p w:rsidR="001A59F9" w:rsidRPr="00C56D9D" w:rsidRDefault="001A59F9" w:rsidP="00026C9C">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1,088,629.02</w:t>
            </w:r>
          </w:p>
        </w:tc>
      </w:tr>
    </w:tbl>
    <w:p w:rsidR="001A59F9" w:rsidRPr="00C56D9D" w:rsidRDefault="001A59F9" w:rsidP="00E34772">
      <w:pPr>
        <w:spacing w:beforeLines="100" w:before="312" w:line="360" w:lineRule="auto"/>
        <w:rPr>
          <w:rFonts w:eastAsiaTheme="minorEastAsia"/>
          <w:b/>
          <w:bCs/>
          <w:color w:val="000000" w:themeColor="text1"/>
          <w:szCs w:val="21"/>
        </w:rPr>
      </w:pPr>
      <w:r w:rsidRPr="00C56D9D">
        <w:rPr>
          <w:rFonts w:eastAsiaTheme="minorEastAsia"/>
          <w:b/>
          <w:color w:val="000000" w:themeColor="text1"/>
          <w:szCs w:val="21"/>
        </w:rPr>
        <w:t>8.12.4</w:t>
      </w:r>
      <w:r w:rsidR="008A0029" w:rsidRPr="00C56D9D">
        <w:rPr>
          <w:rFonts w:eastAsiaTheme="minorEastAsia"/>
          <w:b/>
          <w:color w:val="000000" w:themeColor="text1"/>
          <w:szCs w:val="21"/>
        </w:rPr>
        <w:t xml:space="preserve"> </w:t>
      </w:r>
      <w:r w:rsidRPr="00C56D9D">
        <w:rPr>
          <w:rFonts w:eastAsiaTheme="minorEastAsia"/>
          <w:b/>
          <w:bCs/>
          <w:color w:val="000000" w:themeColor="text1"/>
          <w:szCs w:val="21"/>
        </w:rPr>
        <w:t>期末持有的处于转股期的可转换债券明细</w:t>
      </w:r>
    </w:p>
    <w:p w:rsidR="001A59F9" w:rsidRPr="00C56D9D" w:rsidRDefault="001A59F9" w:rsidP="001A093D">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本基金本报告期末未持有处于转股期的可转换债券。</w:t>
      </w:r>
    </w:p>
    <w:p w:rsidR="001A59F9" w:rsidRPr="00C56D9D" w:rsidRDefault="001A59F9" w:rsidP="00E34772">
      <w:pPr>
        <w:spacing w:beforeLines="100" w:before="312" w:line="360" w:lineRule="auto"/>
        <w:rPr>
          <w:rFonts w:eastAsiaTheme="minorEastAsia"/>
          <w:b/>
          <w:bCs/>
          <w:color w:val="000000" w:themeColor="text1"/>
          <w:szCs w:val="21"/>
        </w:rPr>
      </w:pPr>
      <w:r w:rsidRPr="00C56D9D">
        <w:rPr>
          <w:rFonts w:eastAsiaTheme="minorEastAsia"/>
          <w:b/>
          <w:color w:val="000000" w:themeColor="text1"/>
          <w:szCs w:val="21"/>
        </w:rPr>
        <w:t>8.12.5</w:t>
      </w:r>
      <w:r w:rsidR="008A0029" w:rsidRPr="00C56D9D">
        <w:rPr>
          <w:rFonts w:eastAsiaTheme="minorEastAsia"/>
          <w:b/>
          <w:color w:val="000000" w:themeColor="text1"/>
          <w:szCs w:val="21"/>
        </w:rPr>
        <w:t xml:space="preserve"> </w:t>
      </w:r>
      <w:r w:rsidRPr="00C56D9D">
        <w:rPr>
          <w:rFonts w:eastAsiaTheme="minorEastAsia"/>
          <w:b/>
          <w:bCs/>
          <w:color w:val="000000" w:themeColor="text1"/>
          <w:szCs w:val="21"/>
        </w:rPr>
        <w:t>期末前十名股票中存在流通受限情况的说明</w:t>
      </w:r>
    </w:p>
    <w:p w:rsidR="00E056A4" w:rsidRPr="00C56D9D" w:rsidRDefault="001A59F9" w:rsidP="001A093D">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本基金本报告期末前十名股票中不存在流通受限情况。</w:t>
      </w:r>
    </w:p>
    <w:p w:rsidR="001A59F9" w:rsidRPr="00C56D9D" w:rsidRDefault="001A59F9" w:rsidP="00E34772">
      <w:pPr>
        <w:spacing w:beforeLines="100" w:before="312" w:line="360" w:lineRule="auto"/>
        <w:rPr>
          <w:rFonts w:eastAsiaTheme="minorEastAsia"/>
          <w:b/>
          <w:color w:val="000000" w:themeColor="text1"/>
          <w:szCs w:val="21"/>
        </w:rPr>
      </w:pPr>
      <w:r w:rsidRPr="00C56D9D">
        <w:rPr>
          <w:rFonts w:eastAsiaTheme="minorEastAsia"/>
          <w:b/>
          <w:color w:val="000000" w:themeColor="text1"/>
          <w:szCs w:val="21"/>
        </w:rPr>
        <w:lastRenderedPageBreak/>
        <w:t>8.12.6</w:t>
      </w:r>
      <w:r w:rsidR="008A0029" w:rsidRPr="00C56D9D">
        <w:rPr>
          <w:rFonts w:eastAsiaTheme="minorEastAsia"/>
          <w:b/>
          <w:color w:val="000000" w:themeColor="text1"/>
          <w:szCs w:val="21"/>
        </w:rPr>
        <w:t xml:space="preserve"> </w:t>
      </w:r>
      <w:r w:rsidRPr="00C56D9D">
        <w:rPr>
          <w:rFonts w:eastAsiaTheme="minorEastAsia"/>
          <w:b/>
          <w:color w:val="000000" w:themeColor="text1"/>
          <w:szCs w:val="21"/>
        </w:rPr>
        <w:t>投资组合报告附注的其他文字描述部分</w:t>
      </w:r>
    </w:p>
    <w:p w:rsidR="001A59F9" w:rsidRPr="00C56D9D" w:rsidRDefault="001A59F9" w:rsidP="00A90B96">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因四舍五入的原因，投资组合报告中分项之和与合计数可能存在尾差。</w:t>
      </w:r>
    </w:p>
    <w:p w:rsidR="001A59F9" w:rsidRPr="00C56D9D" w:rsidRDefault="001A59F9" w:rsidP="00E34772">
      <w:pPr>
        <w:pStyle w:val="1"/>
        <w:keepNext/>
        <w:keepLines/>
        <w:widowControl w:val="0"/>
        <w:spacing w:beforeLines="100" w:before="312" w:afterLines="100" w:after="312" w:line="360" w:lineRule="auto"/>
        <w:jc w:val="center"/>
        <w:rPr>
          <w:rFonts w:eastAsiaTheme="minorEastAsia"/>
          <w:color w:val="000000" w:themeColor="text1"/>
          <w:sz w:val="21"/>
          <w:szCs w:val="21"/>
        </w:rPr>
      </w:pPr>
      <w:bookmarkStart w:id="124" w:name="_Toc225500050"/>
      <w:bookmarkStart w:id="125" w:name="_Toc361324888"/>
      <w:bookmarkStart w:id="126" w:name="_Toc374374966"/>
      <w:r w:rsidRPr="00C56D9D">
        <w:rPr>
          <w:rFonts w:eastAsiaTheme="minorEastAsia"/>
          <w:b/>
          <w:bCs/>
          <w:color w:val="000000" w:themeColor="text1"/>
          <w:sz w:val="21"/>
          <w:szCs w:val="21"/>
          <w:lang w:val="en-US"/>
        </w:rPr>
        <w:t>§9</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基金份额持有人信息</w:t>
      </w:r>
      <w:bookmarkEnd w:id="124"/>
      <w:bookmarkEnd w:id="125"/>
      <w:bookmarkEnd w:id="126"/>
    </w:p>
    <w:p w:rsidR="001A59F9" w:rsidRPr="00C56D9D" w:rsidRDefault="001A59F9" w:rsidP="00A90B96">
      <w:pPr>
        <w:pStyle w:val="20"/>
        <w:spacing w:before="0" w:after="0"/>
        <w:rPr>
          <w:rFonts w:ascii="Times New Roman" w:eastAsiaTheme="minorEastAsia" w:hAnsi="Times New Roman"/>
          <w:color w:val="000000" w:themeColor="text1"/>
          <w:kern w:val="0"/>
          <w:sz w:val="21"/>
          <w:szCs w:val="21"/>
        </w:rPr>
      </w:pPr>
      <w:bookmarkStart w:id="127" w:name="_Toc225500051"/>
      <w:bookmarkStart w:id="128" w:name="_Toc361324889"/>
      <w:bookmarkStart w:id="129" w:name="_Toc374374967"/>
      <w:r w:rsidRPr="00C56D9D">
        <w:rPr>
          <w:rFonts w:ascii="Times New Roman" w:eastAsiaTheme="minorEastAsia" w:hAnsi="Times New Roman"/>
          <w:color w:val="000000" w:themeColor="text1"/>
          <w:kern w:val="0"/>
          <w:sz w:val="21"/>
          <w:szCs w:val="21"/>
        </w:rPr>
        <w:t xml:space="preserve">9.1 </w:t>
      </w:r>
      <w:r w:rsidRPr="00C56D9D">
        <w:rPr>
          <w:rFonts w:ascii="Times New Roman" w:eastAsiaTheme="minorEastAsia" w:hAnsi="Times New Roman"/>
          <w:color w:val="000000" w:themeColor="text1"/>
          <w:kern w:val="0"/>
          <w:sz w:val="21"/>
          <w:szCs w:val="21"/>
        </w:rPr>
        <w:t>期末基金份额持有人户数及持有人结构</w:t>
      </w:r>
      <w:bookmarkEnd w:id="127"/>
      <w:bookmarkEnd w:id="128"/>
      <w:bookmarkEnd w:id="129"/>
    </w:p>
    <w:p w:rsidR="00C52F4A" w:rsidRPr="00C56D9D" w:rsidRDefault="00C52F4A" w:rsidP="00C52F4A">
      <w:pPr>
        <w:autoSpaceDE w:val="0"/>
        <w:autoSpaceDN w:val="0"/>
        <w:adjustRightInd w:val="0"/>
        <w:spacing w:before="29" w:line="360" w:lineRule="auto"/>
        <w:ind w:left="15"/>
        <w:jc w:val="right"/>
        <w:rPr>
          <w:rFonts w:eastAsiaTheme="minorEastAsia"/>
          <w:color w:val="000000" w:themeColor="text1"/>
          <w:szCs w:val="21"/>
        </w:rPr>
      </w:pPr>
      <w:r w:rsidRPr="00C56D9D">
        <w:rPr>
          <w:rFonts w:eastAsiaTheme="minorEastAsia"/>
          <w:color w:val="000000" w:themeColor="text1"/>
          <w:szCs w:val="21"/>
        </w:rPr>
        <w:t>份额单位：份</w:t>
      </w:r>
    </w:p>
    <w:p w:rsidR="00C52F4A" w:rsidRPr="00C56D9D" w:rsidRDefault="00C52F4A" w:rsidP="00C52F4A">
      <w:pPr>
        <w:autoSpaceDE w:val="0"/>
        <w:autoSpaceDN w:val="0"/>
        <w:adjustRightInd w:val="0"/>
        <w:spacing w:line="360" w:lineRule="auto"/>
        <w:jc w:val="left"/>
        <w:rPr>
          <w:rFonts w:eastAsiaTheme="minorEastAsia"/>
          <w:color w:val="000000" w:themeColor="text1"/>
          <w:szCs w:val="21"/>
        </w:rPr>
      </w:pP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C56D9D" w:rsidRPr="00C56D9D" w:rsidTr="001A093D">
        <w:tc>
          <w:tcPr>
            <w:tcW w:w="964" w:type="pct"/>
            <w:vMerge w:val="restart"/>
            <w:tcBorders>
              <w:top w:val="single" w:sz="8" w:space="0" w:color="000000"/>
              <w:left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color w:val="000000" w:themeColor="text1"/>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持有人户数</w:t>
            </w:r>
            <w:r w:rsidRPr="00C56D9D">
              <w:rPr>
                <w:rFonts w:eastAsiaTheme="minorEastAsia"/>
                <w:bCs/>
                <w:color w:val="000000" w:themeColor="text1"/>
                <w:szCs w:val="21"/>
              </w:rPr>
              <w:t>(</w:t>
            </w:r>
            <w:r w:rsidRPr="00C56D9D">
              <w:rPr>
                <w:rFonts w:eastAsiaTheme="minorEastAsia"/>
                <w:bCs/>
                <w:color w:val="000000" w:themeColor="text1"/>
                <w:szCs w:val="21"/>
              </w:rPr>
              <w:t>户</w:t>
            </w:r>
            <w:r w:rsidRPr="00C56D9D">
              <w:rPr>
                <w:rFonts w:eastAsiaTheme="minorEastAsia"/>
                <w:bCs/>
                <w:color w:val="000000" w:themeColor="text1"/>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持有人结构</w:t>
            </w:r>
          </w:p>
        </w:tc>
      </w:tr>
      <w:tr w:rsidR="00C56D9D" w:rsidRPr="00C56D9D" w:rsidTr="001A093D">
        <w:tc>
          <w:tcPr>
            <w:tcW w:w="964" w:type="pct"/>
            <w:vMerge/>
            <w:tcBorders>
              <w:left w:val="single" w:sz="8" w:space="0" w:color="000000"/>
              <w:right w:val="single" w:sz="8" w:space="0" w:color="000000"/>
            </w:tcBorders>
          </w:tcPr>
          <w:p w:rsidR="00C52F4A" w:rsidRPr="00C56D9D" w:rsidRDefault="00C52F4A" w:rsidP="00C709D8">
            <w:pPr>
              <w:widowControl/>
              <w:spacing w:line="360" w:lineRule="auto"/>
              <w:jc w:val="left"/>
              <w:rPr>
                <w:rFonts w:eastAsiaTheme="minorEastAsia"/>
                <w:bCs/>
                <w:color w:val="000000" w:themeColor="text1"/>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widowControl/>
              <w:spacing w:line="360" w:lineRule="auto"/>
              <w:jc w:val="left"/>
              <w:rPr>
                <w:rFonts w:eastAsiaTheme="minorEastAsia"/>
                <w:bCs/>
                <w:color w:val="000000" w:themeColor="text1"/>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widowControl/>
              <w:spacing w:line="360" w:lineRule="auto"/>
              <w:jc w:val="left"/>
              <w:rPr>
                <w:rFonts w:eastAsiaTheme="minorEastAsia"/>
                <w:bCs/>
                <w:color w:val="000000" w:themeColor="text1"/>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个人投资者</w:t>
            </w:r>
          </w:p>
        </w:tc>
      </w:tr>
      <w:tr w:rsidR="00C56D9D" w:rsidRPr="00C56D9D" w:rsidTr="001A093D">
        <w:tc>
          <w:tcPr>
            <w:tcW w:w="964" w:type="pct"/>
            <w:vMerge/>
            <w:tcBorders>
              <w:left w:val="single" w:sz="8" w:space="0" w:color="000000"/>
              <w:bottom w:val="single" w:sz="8" w:space="0" w:color="000000"/>
              <w:right w:val="single" w:sz="8" w:space="0" w:color="000000"/>
            </w:tcBorders>
          </w:tcPr>
          <w:p w:rsidR="00C52F4A" w:rsidRPr="00C56D9D" w:rsidRDefault="00C52F4A" w:rsidP="00C709D8">
            <w:pPr>
              <w:widowControl/>
              <w:spacing w:line="360" w:lineRule="auto"/>
              <w:jc w:val="left"/>
              <w:rPr>
                <w:rFonts w:eastAsiaTheme="minorEastAsia"/>
                <w:bCs/>
                <w:color w:val="000000" w:themeColor="text1"/>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widowControl/>
              <w:spacing w:line="360" w:lineRule="auto"/>
              <w:jc w:val="left"/>
              <w:rPr>
                <w:rFonts w:eastAsiaTheme="minorEastAsia"/>
                <w:bCs/>
                <w:color w:val="000000" w:themeColor="text1"/>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widowControl/>
              <w:spacing w:line="360" w:lineRule="auto"/>
              <w:jc w:val="left"/>
              <w:rPr>
                <w:rFonts w:eastAsiaTheme="minorEastAsia"/>
                <w:bCs/>
                <w:color w:val="000000" w:themeColor="text1"/>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占总份额比例</w:t>
            </w:r>
          </w:p>
        </w:tc>
      </w:tr>
      <w:tr w:rsidR="00C56D9D" w:rsidRPr="00C56D9D" w:rsidTr="001A093D">
        <w:tc>
          <w:tcPr>
            <w:tcW w:w="964" w:type="pct"/>
            <w:tcBorders>
              <w:left w:val="single" w:sz="8" w:space="0" w:color="000000"/>
              <w:bottom w:val="single" w:sz="8" w:space="0" w:color="000000"/>
              <w:right w:val="single" w:sz="8" w:space="0" w:color="000000"/>
            </w:tcBorders>
          </w:tcPr>
          <w:p w:rsidR="00C52F4A" w:rsidRPr="00C56D9D" w:rsidRDefault="00C52F4A" w:rsidP="00C709D8">
            <w:pPr>
              <w:widowControl/>
              <w:spacing w:line="360" w:lineRule="auto"/>
              <w:jc w:val="center"/>
              <w:rPr>
                <w:rFonts w:eastAsiaTheme="minorEastAsia"/>
                <w:bCs/>
                <w:color w:val="000000" w:themeColor="text1"/>
                <w:szCs w:val="21"/>
              </w:rPr>
            </w:pPr>
            <w:r w:rsidRPr="00C56D9D">
              <w:rPr>
                <w:rFonts w:eastAsiaTheme="minorEastAsia"/>
                <w:bCs/>
                <w:color w:val="000000" w:themeColor="text1"/>
                <w:szCs w:val="21"/>
              </w:rPr>
              <w:t>上投摩根岁岁金定期开放债券</w:t>
            </w:r>
            <w:r w:rsidRPr="00C56D9D">
              <w:rPr>
                <w:rFonts w:eastAsiaTheme="minorEastAsia"/>
                <w:bCs/>
                <w:color w:val="000000" w:themeColor="text1"/>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325</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110,154.94</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25,006,875.00</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69.85%</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10,793,479.70</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30.15%</w:t>
            </w:r>
          </w:p>
        </w:tc>
      </w:tr>
      <w:tr w:rsidR="00C56D9D" w:rsidRPr="00C56D9D" w:rsidTr="001A093D">
        <w:tc>
          <w:tcPr>
            <w:tcW w:w="964" w:type="pct"/>
            <w:tcBorders>
              <w:left w:val="single" w:sz="8" w:space="0" w:color="000000"/>
              <w:bottom w:val="single" w:sz="8" w:space="0" w:color="000000"/>
              <w:right w:val="single" w:sz="8" w:space="0" w:color="000000"/>
            </w:tcBorders>
          </w:tcPr>
          <w:p w:rsidR="00C52F4A" w:rsidRPr="00C56D9D" w:rsidRDefault="00C52F4A" w:rsidP="00C709D8">
            <w:pPr>
              <w:widowControl/>
              <w:spacing w:line="360" w:lineRule="auto"/>
              <w:jc w:val="center"/>
              <w:rPr>
                <w:rFonts w:eastAsiaTheme="minorEastAsia"/>
                <w:bCs/>
                <w:color w:val="000000" w:themeColor="text1"/>
                <w:szCs w:val="21"/>
              </w:rPr>
            </w:pPr>
            <w:r w:rsidRPr="00C56D9D">
              <w:rPr>
                <w:rFonts w:eastAsiaTheme="minorEastAsia"/>
                <w:bCs/>
                <w:color w:val="000000" w:themeColor="text1"/>
                <w:szCs w:val="21"/>
              </w:rPr>
              <w:t>上投摩根岁岁金定期开放债券</w:t>
            </w:r>
            <w:r w:rsidRPr="00C56D9D">
              <w:rPr>
                <w:rFonts w:eastAsiaTheme="minorEastAsia"/>
                <w:bCs/>
                <w:color w:val="000000" w:themeColor="text1"/>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144</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11,474.02</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0.00%</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1,652,258.69</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100.00%</w:t>
            </w:r>
          </w:p>
        </w:tc>
      </w:tr>
      <w:tr w:rsidR="00C56D9D" w:rsidRPr="00C56D9D" w:rsidTr="001A093D">
        <w:tc>
          <w:tcPr>
            <w:tcW w:w="964" w:type="pct"/>
            <w:tcBorders>
              <w:top w:val="single" w:sz="8" w:space="0" w:color="000000"/>
              <w:left w:val="single" w:sz="8" w:space="0" w:color="000000"/>
              <w:bottom w:val="single" w:sz="8" w:space="0" w:color="000000"/>
              <w:right w:val="single" w:sz="8" w:space="0" w:color="000000"/>
            </w:tcBorders>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center"/>
              <w:rPr>
                <w:rFonts w:eastAsiaTheme="minorEastAsia"/>
                <w:bCs/>
                <w:color w:val="000000" w:themeColor="text1"/>
                <w:szCs w:val="21"/>
              </w:rPr>
            </w:pPr>
            <w:r w:rsidRPr="00C56D9D">
              <w:rPr>
                <w:rFonts w:eastAsiaTheme="minorEastAsia"/>
                <w:bCs/>
                <w:color w:val="000000" w:themeColor="text1"/>
                <w:szCs w:val="21"/>
              </w:rPr>
              <w:t>469</w:t>
            </w:r>
          </w:p>
        </w:tc>
        <w:tc>
          <w:tcPr>
            <w:tcW w:w="688"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79,856.32</w:t>
            </w:r>
          </w:p>
        </w:tc>
        <w:tc>
          <w:tcPr>
            <w:tcW w:w="826"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25,006,875.00</w:t>
            </w:r>
          </w:p>
        </w:tc>
        <w:tc>
          <w:tcPr>
            <w:tcW w:w="531"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66.77%</w:t>
            </w:r>
          </w:p>
        </w:tc>
        <w:tc>
          <w:tcPr>
            <w:tcW w:w="843" w:type="pct"/>
            <w:tcBorders>
              <w:top w:val="single" w:sz="8" w:space="0" w:color="000000"/>
              <w:left w:val="single" w:sz="8" w:space="0" w:color="000000"/>
              <w:bottom w:val="single" w:sz="8" w:space="0" w:color="000000"/>
              <w:right w:val="single" w:sz="8" w:space="0" w:color="000000"/>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12,445,738.39</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C56D9D" w:rsidRDefault="00C52F4A" w:rsidP="00C709D8">
            <w:pPr>
              <w:spacing w:line="360" w:lineRule="auto"/>
              <w:jc w:val="right"/>
              <w:rPr>
                <w:rFonts w:eastAsiaTheme="minorEastAsia"/>
                <w:bCs/>
                <w:color w:val="000000" w:themeColor="text1"/>
                <w:szCs w:val="21"/>
              </w:rPr>
            </w:pPr>
            <w:r w:rsidRPr="00C56D9D">
              <w:rPr>
                <w:rFonts w:eastAsiaTheme="minorEastAsia"/>
                <w:bCs/>
                <w:color w:val="000000" w:themeColor="text1"/>
                <w:szCs w:val="21"/>
              </w:rPr>
              <w:t>33.23%</w:t>
            </w:r>
          </w:p>
        </w:tc>
      </w:tr>
    </w:tbl>
    <w:p w:rsidR="001A59F9" w:rsidRPr="00C56D9D" w:rsidRDefault="001A59F9" w:rsidP="00E34772">
      <w:pPr>
        <w:pStyle w:val="20"/>
        <w:spacing w:beforeLines="100" w:before="312" w:after="0"/>
        <w:rPr>
          <w:rFonts w:ascii="Times New Roman" w:eastAsiaTheme="minorEastAsia" w:hAnsi="Times New Roman"/>
          <w:color w:val="000000" w:themeColor="text1"/>
          <w:sz w:val="21"/>
          <w:szCs w:val="21"/>
        </w:rPr>
      </w:pPr>
      <w:bookmarkStart w:id="130" w:name="_Toc361324891"/>
      <w:bookmarkStart w:id="131" w:name="_Toc374374969"/>
      <w:r w:rsidRPr="00C56D9D">
        <w:rPr>
          <w:rFonts w:ascii="Times New Roman" w:eastAsiaTheme="minorEastAsia" w:hAnsi="Times New Roman"/>
          <w:color w:val="000000" w:themeColor="text1"/>
          <w:kern w:val="0"/>
          <w:sz w:val="21"/>
          <w:szCs w:val="21"/>
        </w:rPr>
        <w:t>9.2</w:t>
      </w:r>
      <w:r w:rsidR="008A0029" w:rsidRPr="00C56D9D">
        <w:rPr>
          <w:rFonts w:ascii="Times New Roman" w:eastAsiaTheme="minorEastAsia" w:hAnsi="Times New Roman"/>
          <w:color w:val="000000" w:themeColor="text1"/>
          <w:kern w:val="0"/>
          <w:sz w:val="21"/>
          <w:szCs w:val="21"/>
        </w:rPr>
        <w:t xml:space="preserve"> </w:t>
      </w:r>
      <w:r w:rsidRPr="00C56D9D">
        <w:rPr>
          <w:rFonts w:ascii="Times New Roman" w:eastAsiaTheme="minorEastAsia" w:hAnsi="Times New Roman"/>
          <w:color w:val="000000" w:themeColor="text1"/>
          <w:kern w:val="0"/>
          <w:sz w:val="21"/>
          <w:szCs w:val="21"/>
        </w:rPr>
        <w:t>期末基金管理人的从业人员持有本基金的情况</w:t>
      </w:r>
      <w:bookmarkEnd w:id="130"/>
      <w:bookmarkEnd w:id="131"/>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9"/>
        <w:gridCol w:w="2421"/>
        <w:gridCol w:w="2384"/>
        <w:gridCol w:w="1971"/>
      </w:tblGrid>
      <w:tr w:rsidR="00C56D9D" w:rsidRPr="00C56D9D" w:rsidTr="001A093D">
        <w:trPr>
          <w:trHeight w:val="285"/>
        </w:trPr>
        <w:tc>
          <w:tcPr>
            <w:tcW w:w="2839" w:type="dxa"/>
            <w:noWrap/>
            <w:vAlign w:val="center"/>
          </w:tcPr>
          <w:p w:rsidR="001A59F9" w:rsidRPr="00C56D9D"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color w:val="000000" w:themeColor="text1"/>
                <w:kern w:val="2"/>
                <w:sz w:val="21"/>
                <w:szCs w:val="21"/>
              </w:rPr>
            </w:pPr>
            <w:r w:rsidRPr="00C56D9D">
              <w:rPr>
                <w:rFonts w:ascii="Times New Roman" w:eastAsiaTheme="minorEastAsia" w:hAnsi="Times New Roman" w:cs="Times New Roman"/>
                <w:color w:val="000000" w:themeColor="text1"/>
                <w:kern w:val="2"/>
                <w:sz w:val="21"/>
                <w:szCs w:val="21"/>
              </w:rPr>
              <w:t>项目</w:t>
            </w:r>
          </w:p>
        </w:tc>
        <w:tc>
          <w:tcPr>
            <w:tcW w:w="2421" w:type="dxa"/>
            <w:vAlign w:val="center"/>
          </w:tcPr>
          <w:p w:rsidR="001A59F9" w:rsidRPr="00C56D9D"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jc w:val="center"/>
              <w:rPr>
                <w:rFonts w:ascii="Times New Roman" w:eastAsiaTheme="minorEastAsia" w:hAnsi="Times New Roman" w:cs="Times New Roman"/>
                <w:color w:val="000000" w:themeColor="text1"/>
                <w:kern w:val="2"/>
                <w:sz w:val="21"/>
                <w:szCs w:val="21"/>
              </w:rPr>
            </w:pPr>
            <w:r w:rsidRPr="00C56D9D">
              <w:rPr>
                <w:rFonts w:ascii="Times New Roman" w:eastAsiaTheme="minorEastAsia" w:hAnsi="Times New Roman" w:cs="Times New Roman"/>
                <w:color w:val="000000" w:themeColor="text1"/>
                <w:kern w:val="2"/>
                <w:sz w:val="21"/>
                <w:szCs w:val="21"/>
              </w:rPr>
              <w:t>份额级别</w:t>
            </w:r>
          </w:p>
        </w:tc>
        <w:tc>
          <w:tcPr>
            <w:tcW w:w="2384" w:type="dxa"/>
            <w:noWrap/>
            <w:vAlign w:val="center"/>
          </w:tcPr>
          <w:p w:rsidR="001A59F9" w:rsidRPr="00C56D9D"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color w:val="000000" w:themeColor="text1"/>
                <w:kern w:val="2"/>
                <w:sz w:val="21"/>
                <w:szCs w:val="21"/>
              </w:rPr>
            </w:pPr>
            <w:r w:rsidRPr="00C56D9D">
              <w:rPr>
                <w:rFonts w:ascii="Times New Roman" w:eastAsiaTheme="minorEastAsia" w:hAnsi="Times New Roman" w:cs="Times New Roman"/>
                <w:color w:val="000000" w:themeColor="text1"/>
                <w:kern w:val="2"/>
                <w:sz w:val="21"/>
                <w:szCs w:val="21"/>
              </w:rPr>
              <w:t>持有份额总数（份）</w:t>
            </w:r>
          </w:p>
        </w:tc>
        <w:tc>
          <w:tcPr>
            <w:tcW w:w="1971" w:type="dxa"/>
            <w:noWrap/>
            <w:vAlign w:val="center"/>
          </w:tcPr>
          <w:p w:rsidR="001A59F9" w:rsidRPr="00C56D9D" w:rsidRDefault="001A59F9" w:rsidP="00431763">
            <w:pPr>
              <w:pStyle w:val="xl33"/>
              <w:widowControl w:val="0"/>
              <w:pBdr>
                <w:top w:val="none" w:sz="0" w:space="0" w:color="auto"/>
                <w:left w:val="none" w:sz="0" w:space="0" w:color="auto"/>
                <w:bottom w:val="none" w:sz="0" w:space="0" w:color="auto"/>
                <w:right w:val="none" w:sz="0" w:space="0" w:color="auto"/>
              </w:pBdr>
              <w:spacing w:before="0" w:beforeAutospacing="0" w:after="0" w:afterAutospacing="0" w:line="360" w:lineRule="auto"/>
              <w:rPr>
                <w:rFonts w:ascii="Times New Roman" w:eastAsiaTheme="minorEastAsia" w:hAnsi="Times New Roman" w:cs="Times New Roman"/>
                <w:color w:val="000000" w:themeColor="text1"/>
                <w:kern w:val="2"/>
                <w:sz w:val="21"/>
                <w:szCs w:val="21"/>
              </w:rPr>
            </w:pPr>
            <w:r w:rsidRPr="00C56D9D">
              <w:rPr>
                <w:rFonts w:ascii="Times New Roman" w:eastAsiaTheme="minorEastAsia" w:hAnsi="Times New Roman" w:cs="Times New Roman"/>
                <w:color w:val="000000" w:themeColor="text1"/>
                <w:kern w:val="2"/>
                <w:sz w:val="21"/>
                <w:szCs w:val="21"/>
              </w:rPr>
              <w:t>占基金总份额比例</w:t>
            </w:r>
          </w:p>
        </w:tc>
      </w:tr>
      <w:tr w:rsidR="00C56D9D" w:rsidRPr="00C56D9D" w:rsidTr="001A093D">
        <w:trPr>
          <w:trHeight w:val="285"/>
        </w:trPr>
        <w:tc>
          <w:tcPr>
            <w:tcW w:w="2839" w:type="dxa"/>
            <w:vMerge w:val="restart"/>
            <w:noWrap/>
            <w:vAlign w:val="center"/>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基金管理人所有从业人员持有本基金</w:t>
            </w:r>
          </w:p>
        </w:tc>
        <w:tc>
          <w:tcPr>
            <w:tcW w:w="2421" w:type="dxa"/>
            <w:vAlign w:val="center"/>
          </w:tcPr>
          <w:p w:rsidR="001A59F9" w:rsidRPr="00C56D9D" w:rsidRDefault="001A59F9" w:rsidP="00026C9C">
            <w:pPr>
              <w:spacing w:line="360" w:lineRule="auto"/>
              <w:jc w:val="right"/>
              <w:rPr>
                <w:rFonts w:eastAsiaTheme="minorEastAsia"/>
                <w:color w:val="000000" w:themeColor="text1"/>
                <w:kern w:val="0"/>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2384"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w:t>
            </w:r>
          </w:p>
        </w:tc>
        <w:tc>
          <w:tcPr>
            <w:tcW w:w="1971"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0.0000%</w:t>
            </w:r>
          </w:p>
        </w:tc>
      </w:tr>
      <w:tr w:rsidR="00C56D9D" w:rsidRPr="00C56D9D" w:rsidTr="001A093D">
        <w:trPr>
          <w:trHeight w:val="285"/>
        </w:trPr>
        <w:tc>
          <w:tcPr>
            <w:tcW w:w="2839"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2421" w:type="dxa"/>
            <w:vAlign w:val="center"/>
          </w:tcPr>
          <w:p w:rsidR="001A59F9" w:rsidRPr="00C56D9D" w:rsidRDefault="001A59F9" w:rsidP="00026C9C">
            <w:pPr>
              <w:spacing w:line="360" w:lineRule="auto"/>
              <w:jc w:val="right"/>
              <w:rPr>
                <w:rFonts w:eastAsiaTheme="minorEastAsia"/>
                <w:color w:val="000000" w:themeColor="text1"/>
                <w:kern w:val="0"/>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c>
          <w:tcPr>
            <w:tcW w:w="2384"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w:t>
            </w:r>
          </w:p>
        </w:tc>
        <w:tc>
          <w:tcPr>
            <w:tcW w:w="1971"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0.0000%</w:t>
            </w:r>
          </w:p>
        </w:tc>
      </w:tr>
      <w:tr w:rsidR="00C56D9D" w:rsidRPr="00C56D9D" w:rsidTr="001A093D">
        <w:trPr>
          <w:trHeight w:val="285"/>
        </w:trPr>
        <w:tc>
          <w:tcPr>
            <w:tcW w:w="2839"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2421" w:type="dxa"/>
            <w:vAlign w:val="center"/>
          </w:tcPr>
          <w:p w:rsidR="001A59F9" w:rsidRPr="00C56D9D" w:rsidRDefault="001A59F9" w:rsidP="00026C9C">
            <w:pPr>
              <w:widowControl/>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合计</w:t>
            </w:r>
          </w:p>
        </w:tc>
        <w:tc>
          <w:tcPr>
            <w:tcW w:w="2384"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w:t>
            </w:r>
          </w:p>
        </w:tc>
        <w:tc>
          <w:tcPr>
            <w:tcW w:w="1971" w:type="dxa"/>
            <w:noWrap/>
            <w:vAlign w:val="center"/>
          </w:tcPr>
          <w:p w:rsidR="001A59F9" w:rsidRPr="00C56D9D" w:rsidRDefault="001A59F9" w:rsidP="00026C9C">
            <w:pPr>
              <w:widowControl/>
              <w:spacing w:line="360" w:lineRule="auto"/>
              <w:jc w:val="right"/>
              <w:rPr>
                <w:rFonts w:eastAsiaTheme="minorEastAsia"/>
                <w:color w:val="000000" w:themeColor="text1"/>
                <w:kern w:val="0"/>
                <w:szCs w:val="21"/>
              </w:rPr>
            </w:pPr>
            <w:r w:rsidRPr="00C56D9D">
              <w:rPr>
                <w:rFonts w:eastAsiaTheme="minorEastAsia"/>
                <w:color w:val="000000" w:themeColor="text1"/>
                <w:kern w:val="0"/>
                <w:szCs w:val="21"/>
              </w:rPr>
              <w:t>0.0000%</w:t>
            </w:r>
          </w:p>
        </w:tc>
      </w:tr>
    </w:tbl>
    <w:p w:rsidR="001C1C7F" w:rsidRPr="00C56D9D" w:rsidRDefault="001C1C7F" w:rsidP="00E34772">
      <w:pPr>
        <w:pStyle w:val="20"/>
        <w:spacing w:beforeLines="100" w:before="312" w:after="0" w:line="240" w:lineRule="auto"/>
        <w:rPr>
          <w:rFonts w:ascii="Times New Roman" w:eastAsiaTheme="minorEastAsia" w:hAnsi="Times New Roman"/>
          <w:color w:val="000000" w:themeColor="text1"/>
          <w:sz w:val="21"/>
          <w:szCs w:val="21"/>
        </w:rPr>
      </w:pPr>
      <w:r w:rsidRPr="00C56D9D">
        <w:rPr>
          <w:rFonts w:ascii="Times New Roman" w:eastAsiaTheme="minorEastAsia" w:hAnsi="Times New Roman"/>
          <w:color w:val="000000" w:themeColor="text1"/>
          <w:kern w:val="0"/>
          <w:sz w:val="21"/>
          <w:szCs w:val="21"/>
        </w:rPr>
        <w:t>9.3</w:t>
      </w:r>
      <w:r w:rsidRPr="00C56D9D">
        <w:rPr>
          <w:rFonts w:ascii="Times New Roman" w:eastAsiaTheme="minorEastAsia" w:hAnsi="Times New Roman"/>
          <w:color w:val="000000" w:themeColor="text1"/>
          <w:sz w:val="21"/>
          <w:szCs w:val="21"/>
        </w:rPr>
        <w:t>期末基金管理人的从业人员持有本开放式基金份额总量区间的情况</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C56D9D" w:rsidRPr="00C56D9D" w:rsidTr="001A093D">
        <w:trPr>
          <w:trHeight w:val="285"/>
        </w:trPr>
        <w:tc>
          <w:tcPr>
            <w:tcW w:w="2548"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项目</w:t>
            </w: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份额级别</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持有基金份额总量的数量区间（万份）</w:t>
            </w:r>
          </w:p>
        </w:tc>
      </w:tr>
      <w:tr w:rsidR="00C56D9D" w:rsidRPr="00C56D9D" w:rsidTr="001A093D">
        <w:trPr>
          <w:trHeight w:val="285"/>
        </w:trPr>
        <w:tc>
          <w:tcPr>
            <w:tcW w:w="2548" w:type="dxa"/>
            <w:vMerge w:val="restart"/>
            <w:shd w:val="clear" w:color="auto" w:fill="auto"/>
            <w:tcMar>
              <w:top w:w="0" w:type="dxa"/>
              <w:left w:w="108" w:type="dxa"/>
              <w:bottom w:w="0" w:type="dxa"/>
              <w:right w:w="108" w:type="dxa"/>
            </w:tcMar>
            <w:vAlign w:val="center"/>
            <w:hideMark/>
          </w:tcPr>
          <w:p w:rsidR="001C1C7F" w:rsidRPr="00C56D9D" w:rsidRDefault="001C1C7F" w:rsidP="00C709D8">
            <w:pPr>
              <w:widowControl/>
              <w:jc w:val="left"/>
              <w:rPr>
                <w:rFonts w:eastAsiaTheme="minorEastAsia"/>
                <w:color w:val="000000" w:themeColor="text1"/>
                <w:kern w:val="0"/>
                <w:szCs w:val="21"/>
              </w:rPr>
            </w:pPr>
            <w:r w:rsidRPr="00C56D9D">
              <w:rPr>
                <w:rFonts w:eastAsiaTheme="minorEastAsia"/>
                <w:color w:val="000000" w:themeColor="text1"/>
                <w:kern w:val="0"/>
                <w:szCs w:val="21"/>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上投摩根岁岁金定期开放债券</w:t>
            </w:r>
            <w:r w:rsidRPr="00C56D9D">
              <w:rPr>
                <w:rFonts w:eastAsiaTheme="minorEastAsia"/>
                <w:color w:val="000000" w:themeColor="text1"/>
                <w:kern w:val="0"/>
                <w:szCs w:val="21"/>
              </w:rPr>
              <w:t>A</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r w:rsidR="00C56D9D" w:rsidRPr="00C56D9D" w:rsidTr="001A093D">
        <w:trPr>
          <w:trHeight w:val="285"/>
        </w:trPr>
        <w:tc>
          <w:tcPr>
            <w:tcW w:w="2548" w:type="dxa"/>
            <w:vMerge/>
            <w:shd w:val="clear" w:color="auto" w:fill="auto"/>
            <w:vAlign w:val="center"/>
            <w:hideMark/>
          </w:tcPr>
          <w:p w:rsidR="001C1C7F" w:rsidRPr="00C56D9D"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上投摩根岁岁金定期开放债券</w:t>
            </w:r>
            <w:r w:rsidRPr="00C56D9D">
              <w:rPr>
                <w:rFonts w:eastAsiaTheme="minorEastAsia"/>
                <w:color w:val="000000" w:themeColor="text1"/>
                <w:kern w:val="0"/>
                <w:szCs w:val="21"/>
              </w:rPr>
              <w:t>C</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r w:rsidR="00C56D9D" w:rsidRPr="00C56D9D" w:rsidTr="001A093D">
        <w:trPr>
          <w:trHeight w:val="285"/>
        </w:trPr>
        <w:tc>
          <w:tcPr>
            <w:tcW w:w="2548" w:type="dxa"/>
            <w:vMerge/>
            <w:shd w:val="clear" w:color="auto" w:fill="auto"/>
            <w:vAlign w:val="center"/>
            <w:hideMark/>
          </w:tcPr>
          <w:p w:rsidR="001C1C7F" w:rsidRPr="00C56D9D"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合计</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r w:rsidR="00C56D9D" w:rsidRPr="00C56D9D" w:rsidTr="001A093D">
        <w:trPr>
          <w:trHeight w:val="285"/>
        </w:trPr>
        <w:tc>
          <w:tcPr>
            <w:tcW w:w="2548" w:type="dxa"/>
            <w:vMerge w:val="restart"/>
            <w:shd w:val="clear" w:color="auto" w:fill="auto"/>
            <w:tcMar>
              <w:top w:w="0" w:type="dxa"/>
              <w:left w:w="108" w:type="dxa"/>
              <w:bottom w:w="0" w:type="dxa"/>
              <w:right w:w="108" w:type="dxa"/>
            </w:tcMar>
            <w:vAlign w:val="center"/>
            <w:hideMark/>
          </w:tcPr>
          <w:p w:rsidR="001C1C7F" w:rsidRPr="00C56D9D" w:rsidRDefault="001C1C7F" w:rsidP="00C709D8">
            <w:pPr>
              <w:widowControl/>
              <w:jc w:val="left"/>
              <w:rPr>
                <w:rFonts w:eastAsiaTheme="minorEastAsia"/>
                <w:color w:val="000000" w:themeColor="text1"/>
                <w:kern w:val="0"/>
                <w:szCs w:val="21"/>
              </w:rPr>
            </w:pPr>
            <w:r w:rsidRPr="00C56D9D">
              <w:rPr>
                <w:rFonts w:eastAsiaTheme="minorEastAsia"/>
                <w:color w:val="000000" w:themeColor="text1"/>
                <w:kern w:val="0"/>
                <w:szCs w:val="21"/>
              </w:rPr>
              <w:lastRenderedPageBreak/>
              <w:t>本基金基金经理持有本开放式基金</w:t>
            </w: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上投摩根岁岁金定期开放债券</w:t>
            </w:r>
            <w:r w:rsidRPr="00C56D9D">
              <w:rPr>
                <w:rFonts w:eastAsiaTheme="minorEastAsia"/>
                <w:color w:val="000000" w:themeColor="text1"/>
                <w:kern w:val="0"/>
                <w:szCs w:val="21"/>
              </w:rPr>
              <w:t>A</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r w:rsidR="00C56D9D" w:rsidRPr="00C56D9D" w:rsidTr="001A093D">
        <w:trPr>
          <w:trHeight w:val="525"/>
        </w:trPr>
        <w:tc>
          <w:tcPr>
            <w:tcW w:w="2548" w:type="dxa"/>
            <w:vMerge/>
            <w:shd w:val="clear" w:color="auto" w:fill="auto"/>
            <w:vAlign w:val="center"/>
            <w:hideMark/>
          </w:tcPr>
          <w:p w:rsidR="001C1C7F" w:rsidRPr="00C56D9D"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上投摩根岁岁金定期开放债券</w:t>
            </w:r>
            <w:r w:rsidRPr="00C56D9D">
              <w:rPr>
                <w:rFonts w:eastAsiaTheme="minorEastAsia"/>
                <w:color w:val="000000" w:themeColor="text1"/>
                <w:kern w:val="0"/>
                <w:szCs w:val="21"/>
              </w:rPr>
              <w:t>C</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r w:rsidR="00C56D9D" w:rsidRPr="00C56D9D" w:rsidTr="001A093D">
        <w:trPr>
          <w:trHeight w:val="653"/>
        </w:trPr>
        <w:tc>
          <w:tcPr>
            <w:tcW w:w="2548" w:type="dxa"/>
            <w:vMerge/>
            <w:shd w:val="clear" w:color="auto" w:fill="auto"/>
            <w:vAlign w:val="center"/>
            <w:hideMark/>
          </w:tcPr>
          <w:p w:rsidR="001C1C7F" w:rsidRPr="00C56D9D" w:rsidRDefault="001C1C7F" w:rsidP="00C709D8">
            <w:pPr>
              <w:widowControl/>
              <w:jc w:val="left"/>
              <w:rPr>
                <w:rFonts w:eastAsiaTheme="minorEastAsia"/>
                <w:color w:val="000000" w:themeColor="text1"/>
                <w:kern w:val="0"/>
                <w:szCs w:val="21"/>
              </w:rPr>
            </w:pPr>
          </w:p>
        </w:tc>
        <w:tc>
          <w:tcPr>
            <w:tcW w:w="2424"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合计</w:t>
            </w:r>
          </w:p>
        </w:tc>
        <w:tc>
          <w:tcPr>
            <w:tcW w:w="4526" w:type="dxa"/>
            <w:shd w:val="clear" w:color="auto" w:fill="auto"/>
            <w:tcMar>
              <w:top w:w="0" w:type="dxa"/>
              <w:left w:w="108" w:type="dxa"/>
              <w:bottom w:w="0" w:type="dxa"/>
              <w:right w:w="108" w:type="dxa"/>
            </w:tcMar>
            <w:vAlign w:val="center"/>
            <w:hideMark/>
          </w:tcPr>
          <w:p w:rsidR="001C1C7F" w:rsidRPr="00C56D9D" w:rsidRDefault="001C1C7F" w:rsidP="00C709D8">
            <w:pPr>
              <w:widowControl/>
              <w:jc w:val="center"/>
              <w:rPr>
                <w:rFonts w:eastAsiaTheme="minorEastAsia"/>
                <w:color w:val="000000" w:themeColor="text1"/>
                <w:kern w:val="0"/>
                <w:szCs w:val="21"/>
              </w:rPr>
            </w:pPr>
            <w:r w:rsidRPr="00C56D9D">
              <w:rPr>
                <w:rFonts w:eastAsiaTheme="minorEastAsia"/>
                <w:color w:val="000000" w:themeColor="text1"/>
                <w:kern w:val="0"/>
                <w:szCs w:val="21"/>
              </w:rPr>
              <w:t>0</w:t>
            </w:r>
          </w:p>
        </w:tc>
      </w:tr>
    </w:tbl>
    <w:p w:rsidR="001A59F9" w:rsidRPr="00C56D9D" w:rsidRDefault="001A59F9" w:rsidP="00E34772">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32" w:name="_Toc225500053"/>
      <w:bookmarkStart w:id="133" w:name="_Toc361324892"/>
      <w:bookmarkStart w:id="134" w:name="_Toc374374971"/>
      <w:r w:rsidRPr="00C56D9D">
        <w:rPr>
          <w:rFonts w:eastAsiaTheme="minorEastAsia"/>
          <w:b/>
          <w:bCs/>
          <w:color w:val="000000" w:themeColor="text1"/>
          <w:sz w:val="21"/>
          <w:szCs w:val="21"/>
          <w:lang w:val="en-US"/>
        </w:rPr>
        <w:t>§</w:t>
      </w:r>
      <w:r w:rsidR="009153A3" w:rsidRPr="00C56D9D">
        <w:rPr>
          <w:rFonts w:eastAsiaTheme="minorEastAsia"/>
          <w:b/>
          <w:bCs/>
          <w:color w:val="000000" w:themeColor="text1"/>
          <w:sz w:val="21"/>
          <w:szCs w:val="21"/>
          <w:lang w:val="en-US"/>
        </w:rPr>
        <w:t xml:space="preserve">10  </w:t>
      </w:r>
      <w:r w:rsidRPr="00C56D9D">
        <w:rPr>
          <w:rFonts w:eastAsiaTheme="minorEastAsia"/>
          <w:b/>
          <w:bCs/>
          <w:color w:val="000000" w:themeColor="text1"/>
          <w:sz w:val="21"/>
          <w:szCs w:val="21"/>
          <w:lang w:val="en-US"/>
        </w:rPr>
        <w:t>开放式基金份额变动</w:t>
      </w:r>
      <w:bookmarkEnd w:id="132"/>
      <w:bookmarkEnd w:id="133"/>
      <w:bookmarkEnd w:id="134"/>
    </w:p>
    <w:p w:rsidR="001A59F9" w:rsidRPr="00C56D9D" w:rsidRDefault="001A59F9" w:rsidP="005B7BB7">
      <w:pPr>
        <w:spacing w:line="360" w:lineRule="auto"/>
        <w:jc w:val="right"/>
        <w:rPr>
          <w:rFonts w:eastAsiaTheme="minorEastAsia"/>
          <w:color w:val="000000" w:themeColor="text1"/>
          <w:szCs w:val="21"/>
        </w:rPr>
      </w:pPr>
      <w:r w:rsidRPr="00C56D9D">
        <w:rPr>
          <w:rFonts w:eastAsiaTheme="minorEastAsia"/>
          <w:color w:val="000000" w:themeColor="text1"/>
          <w:szCs w:val="21"/>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C56D9D" w:rsidRPr="00C56D9D" w:rsidTr="001A093D">
        <w:tc>
          <w:tcPr>
            <w:tcW w:w="1771" w:type="pct"/>
          </w:tcPr>
          <w:p w:rsidR="00431741" w:rsidRPr="00C56D9D" w:rsidRDefault="00431741" w:rsidP="00431741">
            <w:pPr>
              <w:spacing w:line="360" w:lineRule="auto"/>
              <w:jc w:val="center"/>
              <w:rPr>
                <w:rFonts w:eastAsiaTheme="minorEastAsia"/>
                <w:color w:val="000000" w:themeColor="text1"/>
                <w:szCs w:val="21"/>
              </w:rPr>
            </w:pPr>
            <w:r w:rsidRPr="00C56D9D">
              <w:rPr>
                <w:rFonts w:eastAsiaTheme="minorEastAsia"/>
                <w:color w:val="000000" w:themeColor="text1"/>
                <w:szCs w:val="21"/>
              </w:rPr>
              <w:t>项目</w:t>
            </w:r>
          </w:p>
        </w:tc>
        <w:tc>
          <w:tcPr>
            <w:tcW w:w="1614" w:type="pct"/>
            <w:vAlign w:val="center"/>
          </w:tcPr>
          <w:p w:rsidR="00431741" w:rsidRPr="00C56D9D" w:rsidRDefault="00431741" w:rsidP="00431741">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A</w:t>
            </w:r>
          </w:p>
        </w:tc>
        <w:tc>
          <w:tcPr>
            <w:tcW w:w="1615" w:type="pct"/>
            <w:vAlign w:val="center"/>
          </w:tcPr>
          <w:p w:rsidR="00431741" w:rsidRPr="00C56D9D" w:rsidRDefault="00431741" w:rsidP="00431741">
            <w:pPr>
              <w:spacing w:line="360" w:lineRule="auto"/>
              <w:jc w:val="center"/>
              <w:rPr>
                <w:rFonts w:eastAsiaTheme="minorEastAsia"/>
                <w:color w:val="000000" w:themeColor="text1"/>
                <w:szCs w:val="21"/>
              </w:rPr>
            </w:pPr>
            <w:r w:rsidRPr="00C56D9D">
              <w:rPr>
                <w:rFonts w:eastAsiaTheme="minorEastAsia"/>
                <w:color w:val="000000" w:themeColor="text1"/>
                <w:szCs w:val="21"/>
              </w:rPr>
              <w:t>上投摩根岁岁金定期开放债券</w:t>
            </w:r>
            <w:r w:rsidRPr="00C56D9D">
              <w:rPr>
                <w:rFonts w:eastAsiaTheme="minorEastAsia"/>
                <w:color w:val="000000" w:themeColor="text1"/>
                <w:szCs w:val="21"/>
              </w:rPr>
              <w:t>C</w:t>
            </w:r>
          </w:p>
        </w:tc>
      </w:tr>
      <w:tr w:rsidR="00C56D9D" w:rsidRPr="00C56D9D" w:rsidTr="001A093D">
        <w:tc>
          <w:tcPr>
            <w:tcW w:w="1771" w:type="pct"/>
          </w:tcPr>
          <w:p w:rsidR="001A59F9" w:rsidRPr="00C56D9D" w:rsidRDefault="001A59F9" w:rsidP="00026C9C">
            <w:pPr>
              <w:spacing w:line="360" w:lineRule="auto"/>
              <w:rPr>
                <w:rFonts w:eastAsiaTheme="minorEastAsia"/>
                <w:color w:val="000000" w:themeColor="text1"/>
                <w:szCs w:val="21"/>
              </w:rPr>
            </w:pPr>
            <w:r w:rsidRPr="00C56D9D">
              <w:rPr>
                <w:rFonts w:eastAsiaTheme="minorEastAsia"/>
                <w:color w:val="000000" w:themeColor="text1"/>
                <w:szCs w:val="21"/>
              </w:rPr>
              <w:t>基金合同生效日（</w:t>
            </w:r>
            <w:r w:rsidR="00146153" w:rsidRPr="00C56D9D">
              <w:rPr>
                <w:rFonts w:eastAsiaTheme="minorEastAsia"/>
                <w:color w:val="000000" w:themeColor="text1"/>
                <w:szCs w:val="21"/>
              </w:rPr>
              <w:t>2017</w:t>
            </w:r>
            <w:r w:rsidR="00146153" w:rsidRPr="00C56D9D">
              <w:rPr>
                <w:rFonts w:eastAsiaTheme="minorEastAsia"/>
                <w:color w:val="000000" w:themeColor="text1"/>
                <w:szCs w:val="21"/>
              </w:rPr>
              <w:t>年</w:t>
            </w:r>
            <w:r w:rsidR="00146153" w:rsidRPr="00C56D9D">
              <w:rPr>
                <w:rFonts w:eastAsiaTheme="minorEastAsia"/>
                <w:color w:val="000000" w:themeColor="text1"/>
                <w:szCs w:val="21"/>
              </w:rPr>
              <w:t>4</w:t>
            </w:r>
            <w:r w:rsidR="00146153" w:rsidRPr="00C56D9D">
              <w:rPr>
                <w:rFonts w:eastAsiaTheme="minorEastAsia"/>
                <w:color w:val="000000" w:themeColor="text1"/>
                <w:szCs w:val="21"/>
              </w:rPr>
              <w:t>月</w:t>
            </w:r>
            <w:r w:rsidR="00146153" w:rsidRPr="00C56D9D">
              <w:rPr>
                <w:rFonts w:eastAsiaTheme="minorEastAsia"/>
                <w:color w:val="000000" w:themeColor="text1"/>
                <w:szCs w:val="21"/>
              </w:rPr>
              <w:t>10</w:t>
            </w:r>
            <w:r w:rsidR="00146153" w:rsidRPr="00C56D9D">
              <w:rPr>
                <w:rFonts w:eastAsiaTheme="minorEastAsia"/>
                <w:color w:val="000000" w:themeColor="text1"/>
                <w:szCs w:val="21"/>
              </w:rPr>
              <w:t>日</w:t>
            </w:r>
            <w:r w:rsidRPr="00C56D9D">
              <w:rPr>
                <w:rFonts w:eastAsiaTheme="minorEastAsia"/>
                <w:color w:val="000000" w:themeColor="text1"/>
                <w:szCs w:val="21"/>
              </w:rPr>
              <w:t>）基金份额总额</w:t>
            </w:r>
          </w:p>
        </w:tc>
        <w:tc>
          <w:tcPr>
            <w:tcW w:w="1614" w:type="pct"/>
            <w:vAlign w:val="center"/>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201,751,869.48</w:t>
            </w:r>
          </w:p>
        </w:tc>
        <w:tc>
          <w:tcPr>
            <w:tcW w:w="1615" w:type="pct"/>
            <w:vAlign w:val="center"/>
          </w:tcPr>
          <w:p w:rsidR="001A59F9" w:rsidRPr="00C56D9D" w:rsidRDefault="001A59F9"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3,963,146.89</w:t>
            </w:r>
          </w:p>
        </w:tc>
      </w:tr>
      <w:tr w:rsidR="00C172F3" w:rsidRPr="00C56D9D" w:rsidTr="001A093D">
        <w:tc>
          <w:tcPr>
            <w:tcW w:w="1771" w:type="pct"/>
          </w:tcPr>
          <w:p w:rsidR="00C172F3" w:rsidRPr="00C56D9D" w:rsidRDefault="008044EA" w:rsidP="00C915A6">
            <w:pPr>
              <w:spacing w:line="360" w:lineRule="auto"/>
              <w:rPr>
                <w:rFonts w:eastAsiaTheme="minorEastAsia"/>
                <w:color w:val="000000" w:themeColor="text1"/>
                <w:szCs w:val="21"/>
              </w:rPr>
            </w:pPr>
            <w:r w:rsidRPr="00C56D9D">
              <w:rPr>
                <w:rFonts w:eastAsiaTheme="minorEastAsia"/>
                <w:color w:val="000000" w:themeColor="text1"/>
                <w:szCs w:val="21"/>
              </w:rPr>
              <w:t>本报告期期初基金份额总额</w:t>
            </w:r>
          </w:p>
        </w:tc>
        <w:tc>
          <w:tcPr>
            <w:tcW w:w="1614"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201,751,869.48</w:t>
            </w:r>
          </w:p>
        </w:tc>
        <w:tc>
          <w:tcPr>
            <w:tcW w:w="1615"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3,963,146.89</w:t>
            </w:r>
          </w:p>
        </w:tc>
      </w:tr>
      <w:tr w:rsidR="00C172F3" w:rsidRPr="00C56D9D" w:rsidTr="001A093D">
        <w:tc>
          <w:tcPr>
            <w:tcW w:w="1771" w:type="pct"/>
          </w:tcPr>
          <w:p w:rsidR="00C172F3" w:rsidRPr="00C56D9D" w:rsidRDefault="00C172F3" w:rsidP="00C915A6">
            <w:pPr>
              <w:spacing w:line="360" w:lineRule="auto"/>
              <w:rPr>
                <w:rFonts w:eastAsiaTheme="minorEastAsia"/>
                <w:color w:val="000000" w:themeColor="text1"/>
                <w:szCs w:val="21"/>
              </w:rPr>
            </w:pPr>
            <w:r w:rsidRPr="00C56D9D">
              <w:rPr>
                <w:rFonts w:eastAsiaTheme="minorEastAsia"/>
                <w:color w:val="000000" w:themeColor="text1"/>
                <w:szCs w:val="21"/>
              </w:rPr>
              <w:t>本报告期基金总申购份额</w:t>
            </w:r>
          </w:p>
        </w:tc>
        <w:tc>
          <w:tcPr>
            <w:tcW w:w="1614"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25,832.63</w:t>
            </w:r>
          </w:p>
        </w:tc>
        <w:tc>
          <w:tcPr>
            <w:tcW w:w="1615"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5,236.71</w:t>
            </w:r>
          </w:p>
        </w:tc>
      </w:tr>
      <w:tr w:rsidR="00C172F3" w:rsidRPr="00C56D9D" w:rsidTr="001A093D">
        <w:tc>
          <w:tcPr>
            <w:tcW w:w="1771" w:type="pct"/>
          </w:tcPr>
          <w:p w:rsidR="00C172F3" w:rsidRPr="00C56D9D" w:rsidRDefault="00C172F3" w:rsidP="00C915A6">
            <w:pPr>
              <w:spacing w:line="360" w:lineRule="auto"/>
              <w:rPr>
                <w:rFonts w:eastAsiaTheme="minorEastAsia"/>
                <w:color w:val="000000" w:themeColor="text1"/>
                <w:szCs w:val="21"/>
              </w:rPr>
            </w:pPr>
            <w:r w:rsidRPr="00C56D9D">
              <w:rPr>
                <w:rFonts w:eastAsiaTheme="minorEastAsia"/>
                <w:color w:val="000000" w:themeColor="text1"/>
                <w:szCs w:val="21"/>
              </w:rPr>
              <w:t>减：本报告期基金总赎回份额</w:t>
            </w:r>
          </w:p>
        </w:tc>
        <w:tc>
          <w:tcPr>
            <w:tcW w:w="1614"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165,977,347.41</w:t>
            </w:r>
          </w:p>
        </w:tc>
        <w:tc>
          <w:tcPr>
            <w:tcW w:w="1615"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2,316,124.91</w:t>
            </w:r>
          </w:p>
        </w:tc>
      </w:tr>
      <w:tr w:rsidR="00C172F3" w:rsidRPr="00C56D9D" w:rsidTr="001A093D">
        <w:tc>
          <w:tcPr>
            <w:tcW w:w="1771" w:type="pct"/>
          </w:tcPr>
          <w:p w:rsidR="00C172F3" w:rsidRPr="00C56D9D" w:rsidRDefault="00C172F3" w:rsidP="00C915A6">
            <w:pPr>
              <w:spacing w:line="360" w:lineRule="auto"/>
              <w:rPr>
                <w:rFonts w:eastAsiaTheme="minorEastAsia"/>
                <w:color w:val="000000" w:themeColor="text1"/>
                <w:szCs w:val="21"/>
              </w:rPr>
            </w:pPr>
            <w:r w:rsidRPr="00C56D9D">
              <w:rPr>
                <w:rFonts w:eastAsiaTheme="minorEastAsia"/>
                <w:color w:val="000000" w:themeColor="text1"/>
                <w:szCs w:val="21"/>
              </w:rPr>
              <w:t>本报告期基金拆分变动份额</w:t>
            </w:r>
          </w:p>
        </w:tc>
        <w:tc>
          <w:tcPr>
            <w:tcW w:w="1614"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c>
          <w:tcPr>
            <w:tcW w:w="1615" w:type="pct"/>
            <w:vAlign w:val="bottom"/>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w:t>
            </w:r>
          </w:p>
        </w:tc>
      </w:tr>
      <w:tr w:rsidR="00C172F3" w:rsidRPr="00C56D9D" w:rsidTr="001A093D">
        <w:tc>
          <w:tcPr>
            <w:tcW w:w="1771" w:type="pct"/>
          </w:tcPr>
          <w:p w:rsidR="00C172F3" w:rsidRPr="00C56D9D" w:rsidRDefault="00C172F3" w:rsidP="00C915A6">
            <w:pPr>
              <w:spacing w:line="360" w:lineRule="auto"/>
              <w:rPr>
                <w:rFonts w:eastAsiaTheme="minorEastAsia"/>
                <w:color w:val="000000" w:themeColor="text1"/>
                <w:szCs w:val="21"/>
              </w:rPr>
            </w:pPr>
            <w:r w:rsidRPr="00C56D9D">
              <w:rPr>
                <w:rFonts w:eastAsiaTheme="minorEastAsia"/>
                <w:color w:val="000000" w:themeColor="text1"/>
                <w:szCs w:val="21"/>
              </w:rPr>
              <w:t>本报告期期末基金份额总额</w:t>
            </w:r>
          </w:p>
        </w:tc>
        <w:tc>
          <w:tcPr>
            <w:tcW w:w="1614" w:type="pct"/>
            <w:vAlign w:val="center"/>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35,800,354.70</w:t>
            </w:r>
          </w:p>
        </w:tc>
        <w:tc>
          <w:tcPr>
            <w:tcW w:w="1615" w:type="pct"/>
            <w:vAlign w:val="center"/>
          </w:tcPr>
          <w:p w:rsidR="00C172F3" w:rsidRPr="00C56D9D" w:rsidRDefault="00C172F3" w:rsidP="00026C9C">
            <w:pPr>
              <w:spacing w:line="360" w:lineRule="auto"/>
              <w:jc w:val="right"/>
              <w:rPr>
                <w:rFonts w:eastAsiaTheme="minorEastAsia"/>
                <w:color w:val="000000" w:themeColor="text1"/>
                <w:szCs w:val="21"/>
              </w:rPr>
            </w:pPr>
            <w:r w:rsidRPr="00C56D9D">
              <w:rPr>
                <w:rFonts w:eastAsiaTheme="minorEastAsia"/>
                <w:color w:val="000000" w:themeColor="text1"/>
                <w:szCs w:val="21"/>
              </w:rPr>
              <w:t>1,652,258.69</w:t>
            </w:r>
          </w:p>
        </w:tc>
      </w:tr>
    </w:tbl>
    <w:p w:rsidR="001A59F9" w:rsidRPr="00C56D9D" w:rsidRDefault="001A59F9" w:rsidP="001A093D">
      <w:pPr>
        <w:widowControl/>
        <w:spacing w:line="360" w:lineRule="auto"/>
        <w:ind w:firstLineChars="200" w:firstLine="420"/>
        <w:jc w:val="left"/>
        <w:rPr>
          <w:rFonts w:eastAsiaTheme="minorEastAsia"/>
          <w:color w:val="000000" w:themeColor="text1"/>
          <w:szCs w:val="21"/>
        </w:rPr>
      </w:pPr>
      <w:r w:rsidRPr="00C56D9D">
        <w:rPr>
          <w:rFonts w:eastAsiaTheme="minorEastAsia"/>
          <w:color w:val="000000" w:themeColor="text1"/>
          <w:szCs w:val="21"/>
        </w:rPr>
        <w:t>注：本基金合同生效日为：</w:t>
      </w:r>
      <w:r w:rsidRPr="00C56D9D">
        <w:rPr>
          <w:rFonts w:eastAsiaTheme="minorEastAsia"/>
          <w:color w:val="000000" w:themeColor="text1"/>
          <w:szCs w:val="21"/>
        </w:rPr>
        <w:t>2017</w:t>
      </w:r>
      <w:r w:rsidRPr="00C56D9D">
        <w:rPr>
          <w:rFonts w:eastAsiaTheme="minorEastAsia"/>
          <w:color w:val="000000" w:themeColor="text1"/>
          <w:szCs w:val="21"/>
        </w:rPr>
        <w:t>年</w:t>
      </w:r>
      <w:r w:rsidRPr="00C56D9D">
        <w:rPr>
          <w:rFonts w:eastAsiaTheme="minorEastAsia"/>
          <w:color w:val="000000" w:themeColor="text1"/>
          <w:szCs w:val="21"/>
        </w:rPr>
        <w:t>4</w:t>
      </w:r>
      <w:r w:rsidRPr="00C56D9D">
        <w:rPr>
          <w:rFonts w:eastAsiaTheme="minorEastAsia"/>
          <w:color w:val="000000" w:themeColor="text1"/>
          <w:szCs w:val="21"/>
        </w:rPr>
        <w:t>月</w:t>
      </w:r>
      <w:r w:rsidRPr="00C56D9D">
        <w:rPr>
          <w:rFonts w:eastAsiaTheme="minorEastAsia"/>
          <w:color w:val="000000" w:themeColor="text1"/>
          <w:szCs w:val="21"/>
        </w:rPr>
        <w:t>10</w:t>
      </w:r>
      <w:r w:rsidRPr="00C56D9D">
        <w:rPr>
          <w:rFonts w:eastAsiaTheme="minorEastAsia"/>
          <w:color w:val="000000" w:themeColor="text1"/>
          <w:szCs w:val="21"/>
        </w:rPr>
        <w:t>日。</w:t>
      </w:r>
    </w:p>
    <w:p w:rsidR="001A59F9" w:rsidRPr="00C56D9D" w:rsidRDefault="001A59F9" w:rsidP="00E34772">
      <w:pPr>
        <w:pStyle w:val="1"/>
        <w:keepNext/>
        <w:keepLines/>
        <w:widowControl w:val="0"/>
        <w:spacing w:beforeLines="100" w:before="312" w:afterLines="100" w:after="312" w:line="360" w:lineRule="auto"/>
        <w:jc w:val="center"/>
        <w:rPr>
          <w:rFonts w:eastAsiaTheme="minorEastAsia"/>
          <w:b/>
          <w:bCs/>
          <w:color w:val="000000" w:themeColor="text1"/>
          <w:sz w:val="21"/>
          <w:szCs w:val="21"/>
          <w:lang w:val="en-US"/>
        </w:rPr>
      </w:pPr>
      <w:bookmarkStart w:id="135" w:name="_Toc225500054"/>
      <w:bookmarkStart w:id="136" w:name="_Toc361324893"/>
      <w:bookmarkStart w:id="137" w:name="_Toc374374972"/>
      <w:r w:rsidRPr="00C56D9D">
        <w:rPr>
          <w:rFonts w:eastAsiaTheme="minorEastAsia"/>
          <w:b/>
          <w:bCs/>
          <w:color w:val="000000" w:themeColor="text1"/>
          <w:sz w:val="21"/>
          <w:szCs w:val="21"/>
          <w:lang w:val="en-US"/>
        </w:rPr>
        <w:t>§11</w:t>
      </w:r>
      <w:r w:rsidR="009153A3" w:rsidRPr="00C56D9D">
        <w:rPr>
          <w:rFonts w:eastAsiaTheme="minorEastAsia"/>
          <w:b/>
          <w:bCs/>
          <w:color w:val="000000" w:themeColor="text1"/>
          <w:sz w:val="21"/>
          <w:szCs w:val="21"/>
          <w:lang w:val="en-US"/>
        </w:rPr>
        <w:t xml:space="preserve">  </w:t>
      </w:r>
      <w:r w:rsidRPr="00C56D9D">
        <w:rPr>
          <w:rFonts w:eastAsiaTheme="minorEastAsia"/>
          <w:b/>
          <w:bCs/>
          <w:color w:val="000000" w:themeColor="text1"/>
          <w:sz w:val="21"/>
          <w:szCs w:val="21"/>
          <w:lang w:val="en-US"/>
        </w:rPr>
        <w:t>重大事件揭示</w:t>
      </w:r>
      <w:bookmarkEnd w:id="135"/>
      <w:bookmarkEnd w:id="136"/>
      <w:bookmarkEnd w:id="137"/>
    </w:p>
    <w:p w:rsidR="001A59F9" w:rsidRPr="00C56D9D" w:rsidRDefault="001A59F9" w:rsidP="00AB3B5F">
      <w:pPr>
        <w:pStyle w:val="20"/>
        <w:spacing w:before="0" w:after="0"/>
        <w:rPr>
          <w:rFonts w:ascii="Times New Roman" w:eastAsiaTheme="minorEastAsia" w:hAnsi="Times New Roman"/>
          <w:color w:val="000000" w:themeColor="text1"/>
          <w:kern w:val="0"/>
          <w:sz w:val="21"/>
          <w:szCs w:val="21"/>
        </w:rPr>
      </w:pPr>
      <w:bookmarkStart w:id="138" w:name="_Toc361324894"/>
      <w:bookmarkStart w:id="139" w:name="_Toc374374973"/>
      <w:r w:rsidRPr="00C56D9D">
        <w:rPr>
          <w:rFonts w:ascii="Times New Roman" w:eastAsiaTheme="minorEastAsia" w:hAnsi="Times New Roman"/>
          <w:color w:val="000000" w:themeColor="text1"/>
          <w:kern w:val="0"/>
          <w:sz w:val="21"/>
          <w:szCs w:val="21"/>
        </w:rPr>
        <w:t>11.1</w:t>
      </w:r>
      <w:r w:rsidRPr="00C56D9D">
        <w:rPr>
          <w:rFonts w:ascii="Times New Roman" w:eastAsiaTheme="minorEastAsia" w:hAnsi="Times New Roman"/>
          <w:color w:val="000000" w:themeColor="text1"/>
          <w:kern w:val="0"/>
          <w:sz w:val="21"/>
          <w:szCs w:val="21"/>
        </w:rPr>
        <w:t>基金份额持有人大会决议</w:t>
      </w:r>
      <w:bookmarkEnd w:id="138"/>
      <w:bookmarkEnd w:id="139"/>
    </w:p>
    <w:p w:rsidR="001A59F9" w:rsidRPr="00C56D9D" w:rsidRDefault="001A59F9" w:rsidP="00AB3B5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报告期内无基金份额持有人大会决议。</w:t>
      </w:r>
    </w:p>
    <w:p w:rsidR="001A59F9" w:rsidRPr="00C56D9D" w:rsidRDefault="001A59F9" w:rsidP="00AB3B5F">
      <w:pPr>
        <w:pStyle w:val="20"/>
        <w:spacing w:before="0" w:after="0"/>
        <w:rPr>
          <w:rFonts w:ascii="Times New Roman" w:eastAsiaTheme="minorEastAsia" w:hAnsi="Times New Roman"/>
          <w:color w:val="000000" w:themeColor="text1"/>
          <w:kern w:val="0"/>
          <w:sz w:val="21"/>
          <w:szCs w:val="21"/>
        </w:rPr>
      </w:pPr>
      <w:bookmarkStart w:id="140" w:name="_Toc361324895"/>
      <w:bookmarkStart w:id="141" w:name="_Toc374374974"/>
      <w:r w:rsidRPr="00C56D9D">
        <w:rPr>
          <w:rFonts w:ascii="Times New Roman" w:eastAsiaTheme="minorEastAsia" w:hAnsi="Times New Roman"/>
          <w:color w:val="000000" w:themeColor="text1"/>
          <w:kern w:val="0"/>
          <w:sz w:val="21"/>
          <w:szCs w:val="21"/>
        </w:rPr>
        <w:t xml:space="preserve">11.2 </w:t>
      </w:r>
      <w:r w:rsidRPr="00C56D9D">
        <w:rPr>
          <w:rFonts w:ascii="Times New Roman" w:eastAsiaTheme="minorEastAsia" w:hAnsi="Times New Roman"/>
          <w:color w:val="000000" w:themeColor="text1"/>
          <w:kern w:val="0"/>
          <w:sz w:val="21"/>
          <w:szCs w:val="21"/>
        </w:rPr>
        <w:t>基金管理人、基金托管人的专门基金托管部门的重大人事变动</w:t>
      </w:r>
      <w:bookmarkEnd w:id="140"/>
      <w:bookmarkEnd w:id="141"/>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基金管理人：</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无。</w:t>
      </w:r>
    </w:p>
    <w:p w:rsidR="00C133DD" w:rsidRDefault="00157FC2">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基金托管人：</w:t>
      </w:r>
    </w:p>
    <w:p w:rsidR="001A59F9" w:rsidRPr="00C56D9D" w:rsidRDefault="001A59F9" w:rsidP="00AB3B5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无。</w:t>
      </w:r>
    </w:p>
    <w:p w:rsidR="001A59F9" w:rsidRPr="00C56D9D" w:rsidRDefault="001A59F9" w:rsidP="00AB3B5F">
      <w:pPr>
        <w:pStyle w:val="20"/>
        <w:spacing w:before="0" w:after="0"/>
        <w:rPr>
          <w:rFonts w:ascii="Times New Roman" w:eastAsiaTheme="minorEastAsia" w:hAnsi="Times New Roman"/>
          <w:color w:val="000000" w:themeColor="text1"/>
          <w:kern w:val="0"/>
          <w:sz w:val="21"/>
          <w:szCs w:val="21"/>
        </w:rPr>
      </w:pPr>
      <w:bookmarkStart w:id="142" w:name="_Toc361324896"/>
      <w:bookmarkStart w:id="143" w:name="_Toc374374975"/>
      <w:r w:rsidRPr="00C56D9D">
        <w:rPr>
          <w:rFonts w:ascii="Times New Roman" w:eastAsiaTheme="minorEastAsia" w:hAnsi="Times New Roman"/>
          <w:color w:val="000000" w:themeColor="text1"/>
          <w:kern w:val="0"/>
          <w:sz w:val="21"/>
          <w:szCs w:val="21"/>
        </w:rPr>
        <w:t xml:space="preserve">11.3 </w:t>
      </w:r>
      <w:r w:rsidRPr="00C56D9D">
        <w:rPr>
          <w:rFonts w:ascii="Times New Roman" w:eastAsiaTheme="minorEastAsia" w:hAnsi="Times New Roman"/>
          <w:color w:val="000000" w:themeColor="text1"/>
          <w:kern w:val="0"/>
          <w:sz w:val="21"/>
          <w:szCs w:val="21"/>
        </w:rPr>
        <w:t>涉及基金管理人、基金财产、基金托管业务的诉讼</w:t>
      </w:r>
      <w:bookmarkEnd w:id="142"/>
      <w:bookmarkEnd w:id="143"/>
    </w:p>
    <w:p w:rsidR="001A59F9" w:rsidRPr="00C56D9D" w:rsidRDefault="001A59F9" w:rsidP="00AB3B5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报告期内无涉及基金管理人、基金财产、基金托管业务的诉讼。</w:t>
      </w:r>
    </w:p>
    <w:p w:rsidR="001A59F9" w:rsidRPr="00C56D9D" w:rsidRDefault="001A59F9" w:rsidP="00AB3B5F">
      <w:pPr>
        <w:pStyle w:val="20"/>
        <w:spacing w:before="0" w:after="0"/>
        <w:rPr>
          <w:rFonts w:ascii="Times New Roman" w:eastAsiaTheme="minorEastAsia" w:hAnsi="Times New Roman"/>
          <w:color w:val="000000" w:themeColor="text1"/>
          <w:kern w:val="0"/>
          <w:sz w:val="21"/>
          <w:szCs w:val="21"/>
        </w:rPr>
      </w:pPr>
      <w:bookmarkStart w:id="144" w:name="_Toc361324897"/>
      <w:bookmarkStart w:id="145" w:name="_Toc374374976"/>
      <w:r w:rsidRPr="00C56D9D">
        <w:rPr>
          <w:rFonts w:ascii="Times New Roman" w:eastAsiaTheme="minorEastAsia" w:hAnsi="Times New Roman"/>
          <w:color w:val="000000" w:themeColor="text1"/>
          <w:kern w:val="0"/>
          <w:sz w:val="21"/>
          <w:szCs w:val="21"/>
        </w:rPr>
        <w:lastRenderedPageBreak/>
        <w:t xml:space="preserve">11.4 </w:t>
      </w:r>
      <w:r w:rsidRPr="00C56D9D">
        <w:rPr>
          <w:rFonts w:ascii="Times New Roman" w:eastAsiaTheme="minorEastAsia" w:hAnsi="Times New Roman"/>
          <w:color w:val="000000" w:themeColor="text1"/>
          <w:kern w:val="0"/>
          <w:sz w:val="21"/>
          <w:szCs w:val="21"/>
        </w:rPr>
        <w:t>基金投资策略的改变</w:t>
      </w:r>
      <w:bookmarkEnd w:id="144"/>
      <w:bookmarkEnd w:id="145"/>
    </w:p>
    <w:p w:rsidR="001A59F9" w:rsidRPr="00C56D9D" w:rsidRDefault="001A59F9" w:rsidP="00AB3B5F">
      <w:pPr>
        <w:widowControl/>
        <w:spacing w:line="360" w:lineRule="auto"/>
        <w:ind w:firstLineChars="200" w:firstLine="420"/>
        <w:rPr>
          <w:rFonts w:eastAsiaTheme="minorEastAsia"/>
          <w:color w:val="000000" w:themeColor="text1"/>
          <w:kern w:val="0"/>
          <w:szCs w:val="21"/>
        </w:rPr>
      </w:pPr>
      <w:r w:rsidRPr="00C56D9D">
        <w:rPr>
          <w:rFonts w:eastAsiaTheme="minorEastAsia"/>
          <w:color w:val="000000" w:themeColor="text1"/>
          <w:kern w:val="0"/>
          <w:szCs w:val="21"/>
        </w:rPr>
        <w:t>报告期内无基金投资策略的改变。</w:t>
      </w:r>
    </w:p>
    <w:p w:rsidR="0001519F" w:rsidRPr="00583911" w:rsidRDefault="0001519F" w:rsidP="0001519F">
      <w:pPr>
        <w:pStyle w:val="20"/>
        <w:spacing w:before="0" w:after="0"/>
        <w:rPr>
          <w:rFonts w:ascii="Times New Roman" w:eastAsiaTheme="minorEastAsia" w:hAnsi="Times New Roman"/>
          <w:kern w:val="0"/>
          <w:sz w:val="21"/>
          <w:szCs w:val="21"/>
        </w:rPr>
      </w:pPr>
      <w:bookmarkStart w:id="146" w:name="_Toc361324898"/>
      <w:bookmarkStart w:id="147" w:name="_Toc409100466"/>
      <w:bookmarkStart w:id="148" w:name="_Toc409100103"/>
      <w:r w:rsidRPr="00583911">
        <w:rPr>
          <w:rFonts w:ascii="Times New Roman" w:eastAsiaTheme="minorEastAsia" w:hAnsi="Times New Roman"/>
          <w:kern w:val="0"/>
          <w:sz w:val="21"/>
          <w:szCs w:val="21"/>
        </w:rPr>
        <w:t>11.</w:t>
      </w:r>
      <w:bookmarkEnd w:id="146"/>
      <w:r w:rsidR="00B26109">
        <w:rPr>
          <w:rFonts w:ascii="Times New Roman" w:eastAsiaTheme="minorEastAsia" w:hAnsi="Times New Roman"/>
          <w:kern w:val="0"/>
          <w:sz w:val="21"/>
          <w:szCs w:val="21"/>
        </w:rPr>
        <w:t xml:space="preserve">5 </w:t>
      </w:r>
      <w:r w:rsidRPr="00583911">
        <w:rPr>
          <w:rFonts w:ascii="Times New Roman" w:eastAsiaTheme="minorEastAsia" w:hAnsi="Times New Roman"/>
          <w:sz w:val="21"/>
          <w:szCs w:val="21"/>
        </w:rPr>
        <w:t>为基金进行审计的会计师事务所情况</w:t>
      </w:r>
      <w:bookmarkEnd w:id="147"/>
      <w:bookmarkEnd w:id="148"/>
    </w:p>
    <w:p w:rsidR="0001519F" w:rsidRPr="00583911" w:rsidRDefault="0001519F" w:rsidP="0001519F">
      <w:pPr>
        <w:spacing w:line="360" w:lineRule="auto"/>
        <w:ind w:firstLineChars="200" w:firstLine="420"/>
        <w:rPr>
          <w:rFonts w:eastAsiaTheme="minorEastAsia"/>
          <w:szCs w:val="21"/>
        </w:rPr>
      </w:pPr>
      <w:bookmarkStart w:id="149" w:name="OLE_LINK3"/>
      <w:r w:rsidRPr="00583911">
        <w:rPr>
          <w:rFonts w:eastAsiaTheme="minorEastAsia"/>
          <w:szCs w:val="21"/>
        </w:rPr>
        <w:t>本报告期内，本基金未发生改聘为其审计的会计师事务所情况。报告年度应支付给聘任普华永道中天会计师事务所有限公司的报酬为</w:t>
      </w:r>
      <w:r w:rsidRPr="00583911">
        <w:rPr>
          <w:rFonts w:eastAsiaTheme="minorEastAsia"/>
          <w:szCs w:val="21"/>
        </w:rPr>
        <w:t>60,000</w:t>
      </w:r>
      <w:r w:rsidRPr="00583911">
        <w:rPr>
          <w:rFonts w:eastAsiaTheme="minorEastAsia"/>
          <w:szCs w:val="21"/>
        </w:rPr>
        <w:t>元，目前该审计机构已提供审计服务的连续年限为</w:t>
      </w:r>
      <w:r w:rsidRPr="00583911">
        <w:rPr>
          <w:rFonts w:eastAsiaTheme="minorEastAsia"/>
          <w:szCs w:val="21"/>
        </w:rPr>
        <w:t>2</w:t>
      </w:r>
      <w:r w:rsidRPr="00583911">
        <w:rPr>
          <w:rFonts w:eastAsiaTheme="minorEastAsia"/>
          <w:szCs w:val="21"/>
        </w:rPr>
        <w:t>年。</w:t>
      </w:r>
    </w:p>
    <w:p w:rsidR="0001519F" w:rsidRPr="00583911" w:rsidRDefault="0001519F" w:rsidP="0001519F">
      <w:pPr>
        <w:pStyle w:val="20"/>
        <w:spacing w:before="0" w:after="0"/>
        <w:rPr>
          <w:rFonts w:ascii="Times New Roman" w:eastAsiaTheme="minorEastAsia" w:hAnsi="Times New Roman"/>
          <w:kern w:val="0"/>
          <w:sz w:val="21"/>
          <w:szCs w:val="21"/>
        </w:rPr>
      </w:pPr>
      <w:bookmarkStart w:id="150" w:name="_Toc409100104"/>
      <w:bookmarkStart w:id="151" w:name="_Toc409100467"/>
      <w:bookmarkStart w:id="152" w:name="_Toc361324899"/>
      <w:bookmarkEnd w:id="149"/>
      <w:r w:rsidRPr="00583911">
        <w:rPr>
          <w:rFonts w:ascii="Times New Roman" w:eastAsiaTheme="minorEastAsia" w:hAnsi="Times New Roman"/>
          <w:kern w:val="0"/>
          <w:sz w:val="21"/>
          <w:szCs w:val="21"/>
        </w:rPr>
        <w:t>11.</w:t>
      </w:r>
      <w:r w:rsidR="00B26109">
        <w:rPr>
          <w:rFonts w:ascii="Times New Roman" w:eastAsiaTheme="minorEastAsia" w:hAnsi="Times New Roman"/>
          <w:kern w:val="0"/>
          <w:sz w:val="21"/>
          <w:szCs w:val="21"/>
        </w:rPr>
        <w:t>6</w:t>
      </w:r>
      <w:r w:rsidRPr="00583911">
        <w:rPr>
          <w:rFonts w:ascii="Times New Roman" w:eastAsiaTheme="minorEastAsia" w:hAnsi="Times New Roman"/>
          <w:kern w:val="0"/>
          <w:sz w:val="21"/>
          <w:szCs w:val="21"/>
        </w:rPr>
        <w:t xml:space="preserve"> </w:t>
      </w:r>
      <w:r w:rsidRPr="00583911">
        <w:rPr>
          <w:rFonts w:ascii="Times New Roman" w:eastAsiaTheme="minorEastAsia" w:hAnsi="Times New Roman"/>
          <w:kern w:val="0"/>
          <w:sz w:val="21"/>
          <w:szCs w:val="21"/>
        </w:rPr>
        <w:t>管理人、托管人及其高级管理人员受稽查或处罚等情况</w:t>
      </w:r>
      <w:bookmarkEnd w:id="150"/>
      <w:bookmarkEnd w:id="151"/>
      <w:bookmarkEnd w:id="152"/>
    </w:p>
    <w:p w:rsidR="0001519F" w:rsidRPr="00583911" w:rsidRDefault="0001519F" w:rsidP="0001519F">
      <w:pPr>
        <w:spacing w:line="360" w:lineRule="auto"/>
        <w:ind w:firstLineChars="200" w:firstLine="420"/>
        <w:rPr>
          <w:rFonts w:eastAsiaTheme="minorEastAsia"/>
          <w:szCs w:val="21"/>
        </w:rPr>
      </w:pPr>
      <w:r w:rsidRPr="00583911">
        <w:rPr>
          <w:rFonts w:eastAsiaTheme="minorEastAsia"/>
          <w:szCs w:val="21"/>
        </w:rPr>
        <w:t>报告期内，管理人、托管人未受稽查或处罚，亦未发现管理人、托管人的高级管理人员受稽查或处罚。</w:t>
      </w:r>
    </w:p>
    <w:p w:rsidR="0001519F" w:rsidRPr="00583911" w:rsidRDefault="0001519F" w:rsidP="0001519F">
      <w:pPr>
        <w:pStyle w:val="20"/>
        <w:spacing w:before="0" w:after="0"/>
        <w:rPr>
          <w:rFonts w:ascii="Times New Roman" w:eastAsiaTheme="minorEastAsia" w:hAnsi="Times New Roman"/>
          <w:kern w:val="0"/>
          <w:sz w:val="21"/>
          <w:szCs w:val="21"/>
        </w:rPr>
      </w:pPr>
      <w:bookmarkStart w:id="153" w:name="_Toc361324900"/>
      <w:bookmarkStart w:id="154" w:name="_Toc409100468"/>
      <w:bookmarkStart w:id="155" w:name="_Toc409100105"/>
      <w:r w:rsidRPr="00583911">
        <w:rPr>
          <w:rFonts w:ascii="Times New Roman" w:eastAsiaTheme="minorEastAsia" w:hAnsi="Times New Roman"/>
          <w:kern w:val="0"/>
          <w:sz w:val="21"/>
          <w:szCs w:val="21"/>
        </w:rPr>
        <w:t>11.</w:t>
      </w:r>
      <w:r w:rsidR="00B26109" w:rsidRPr="00B26109">
        <w:rPr>
          <w:rFonts w:ascii="Times New Roman" w:eastAsiaTheme="minorEastAsia" w:hAnsi="Times New Roman"/>
          <w:kern w:val="0"/>
          <w:sz w:val="21"/>
          <w:szCs w:val="21"/>
        </w:rPr>
        <w:t>7</w:t>
      </w:r>
      <w:r w:rsidRPr="00583911">
        <w:rPr>
          <w:rFonts w:ascii="Times New Roman" w:eastAsiaTheme="minorEastAsia" w:hAnsi="Times New Roman"/>
          <w:kern w:val="0"/>
          <w:sz w:val="21"/>
          <w:szCs w:val="21"/>
        </w:rPr>
        <w:t xml:space="preserve"> </w:t>
      </w:r>
      <w:r w:rsidRPr="00583911">
        <w:rPr>
          <w:rFonts w:ascii="Times New Roman" w:eastAsiaTheme="minorEastAsia" w:hAnsi="Times New Roman"/>
          <w:kern w:val="0"/>
          <w:sz w:val="21"/>
          <w:szCs w:val="21"/>
        </w:rPr>
        <w:t>基金租用证券公司交易单元的有关情况</w:t>
      </w:r>
      <w:bookmarkEnd w:id="153"/>
      <w:bookmarkEnd w:id="154"/>
      <w:bookmarkEnd w:id="155"/>
    </w:p>
    <w:p w:rsidR="0001519F" w:rsidRPr="00583911" w:rsidRDefault="0001519F" w:rsidP="0001519F">
      <w:pPr>
        <w:spacing w:line="360" w:lineRule="auto"/>
        <w:rPr>
          <w:rFonts w:eastAsiaTheme="minorEastAsia"/>
          <w:b/>
          <w:szCs w:val="21"/>
        </w:rPr>
      </w:pPr>
      <w:bookmarkStart w:id="156" w:name="_Toc249760070"/>
      <w:r w:rsidRPr="00583911">
        <w:rPr>
          <w:rFonts w:eastAsiaTheme="minorEastAsia"/>
          <w:b/>
          <w:szCs w:val="21"/>
        </w:rPr>
        <w:t>11.</w:t>
      </w:r>
      <w:r w:rsidR="00B26109">
        <w:rPr>
          <w:rFonts w:eastAsiaTheme="minorEastAsia"/>
          <w:b/>
          <w:szCs w:val="21"/>
        </w:rPr>
        <w:t>7</w:t>
      </w:r>
      <w:r w:rsidRPr="00583911">
        <w:rPr>
          <w:rFonts w:eastAsiaTheme="minorEastAsia"/>
          <w:b/>
          <w:szCs w:val="21"/>
        </w:rPr>
        <w:t>.</w:t>
      </w:r>
      <w:r w:rsidR="00B26109">
        <w:rPr>
          <w:rFonts w:eastAsiaTheme="minorEastAsia"/>
          <w:b/>
          <w:szCs w:val="21"/>
        </w:rPr>
        <w:t xml:space="preserve">1 </w:t>
      </w:r>
      <w:r w:rsidRPr="00583911">
        <w:rPr>
          <w:rFonts w:eastAsiaTheme="minorEastAsia"/>
          <w:b/>
          <w:szCs w:val="21"/>
        </w:rPr>
        <w:t>基金租用证券公司交易单元进行股票投资及佣金支付情况</w:t>
      </w:r>
      <w:bookmarkEnd w:id="156"/>
    </w:p>
    <w:p w:rsidR="001A59F9" w:rsidRPr="00C56D9D" w:rsidRDefault="001A59F9" w:rsidP="00D564C7">
      <w:pPr>
        <w:pStyle w:val="a0"/>
        <w:spacing w:line="360" w:lineRule="auto"/>
        <w:ind w:firstLineChars="2600" w:firstLine="5460"/>
        <w:jc w:val="right"/>
        <w:rPr>
          <w:rFonts w:eastAsiaTheme="minorEastAsia"/>
          <w:color w:val="000000" w:themeColor="text1"/>
          <w:szCs w:val="21"/>
        </w:rPr>
      </w:pPr>
      <w:r w:rsidRPr="00C56D9D">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C56D9D" w:rsidTr="006D141C">
        <w:tc>
          <w:tcPr>
            <w:tcW w:w="156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bookmarkStart w:id="157" w:name="_Toc249760071"/>
            <w:r w:rsidRPr="00C56D9D">
              <w:rPr>
                <w:rFonts w:eastAsiaTheme="minorEastAsia"/>
                <w:color w:val="000000" w:themeColor="text1"/>
                <w:szCs w:val="21"/>
              </w:rPr>
              <w:t>券商名称</w:t>
            </w:r>
          </w:p>
        </w:tc>
        <w:tc>
          <w:tcPr>
            <w:tcW w:w="780" w:type="dxa"/>
            <w:vMerge w:val="restart"/>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交易单元数量</w:t>
            </w:r>
          </w:p>
        </w:tc>
        <w:tc>
          <w:tcPr>
            <w:tcW w:w="2880" w:type="dxa"/>
            <w:gridSpan w:val="2"/>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股票交易</w:t>
            </w:r>
          </w:p>
        </w:tc>
        <w:tc>
          <w:tcPr>
            <w:tcW w:w="2700" w:type="dxa"/>
            <w:gridSpan w:val="2"/>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应支付该券商的佣金</w:t>
            </w:r>
          </w:p>
        </w:tc>
        <w:tc>
          <w:tcPr>
            <w:tcW w:w="1080" w:type="dxa"/>
            <w:vMerge w:val="restart"/>
            <w:vAlign w:val="center"/>
          </w:tcPr>
          <w:p w:rsidR="001A59F9" w:rsidRPr="00C56D9D" w:rsidRDefault="001A59F9" w:rsidP="00026C9C">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备注</w:t>
            </w:r>
          </w:p>
        </w:tc>
      </w:tr>
      <w:tr w:rsidR="001A59F9" w:rsidRPr="00C56D9D" w:rsidTr="00157FC2">
        <w:tc>
          <w:tcPr>
            <w:tcW w:w="156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780" w:type="dxa"/>
            <w:vMerge/>
            <w:vAlign w:val="center"/>
          </w:tcPr>
          <w:p w:rsidR="001A59F9" w:rsidRPr="00C56D9D" w:rsidRDefault="001A59F9" w:rsidP="00026C9C">
            <w:pPr>
              <w:widowControl/>
              <w:spacing w:line="360" w:lineRule="auto"/>
              <w:jc w:val="left"/>
              <w:rPr>
                <w:rFonts w:eastAsiaTheme="minorEastAsia"/>
                <w:color w:val="000000" w:themeColor="text1"/>
                <w:szCs w:val="21"/>
              </w:rPr>
            </w:pPr>
          </w:p>
        </w:tc>
        <w:tc>
          <w:tcPr>
            <w:tcW w:w="180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成交金额</w:t>
            </w:r>
          </w:p>
        </w:tc>
        <w:tc>
          <w:tcPr>
            <w:tcW w:w="108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占当期股票成交总额的比例</w:t>
            </w:r>
          </w:p>
        </w:tc>
        <w:tc>
          <w:tcPr>
            <w:tcW w:w="1620" w:type="dxa"/>
            <w:vAlign w:val="center"/>
          </w:tcPr>
          <w:p w:rsidR="001A59F9" w:rsidRPr="00C56D9D" w:rsidRDefault="001A59F9" w:rsidP="00026C9C">
            <w:pPr>
              <w:spacing w:line="360" w:lineRule="auto"/>
              <w:jc w:val="center"/>
              <w:rPr>
                <w:rFonts w:eastAsiaTheme="minorEastAsia"/>
                <w:color w:val="000000" w:themeColor="text1"/>
                <w:kern w:val="0"/>
                <w:szCs w:val="21"/>
              </w:rPr>
            </w:pPr>
            <w:r w:rsidRPr="00C56D9D">
              <w:rPr>
                <w:rFonts w:eastAsiaTheme="minorEastAsia"/>
                <w:color w:val="000000" w:themeColor="text1"/>
                <w:kern w:val="0"/>
                <w:szCs w:val="21"/>
              </w:rPr>
              <w:t>佣金</w:t>
            </w:r>
          </w:p>
        </w:tc>
        <w:tc>
          <w:tcPr>
            <w:tcW w:w="1080" w:type="dxa"/>
            <w:vAlign w:val="center"/>
          </w:tcPr>
          <w:p w:rsidR="001A59F9" w:rsidRPr="00C56D9D" w:rsidRDefault="001A59F9" w:rsidP="00026C9C">
            <w:pPr>
              <w:spacing w:line="360" w:lineRule="auto"/>
              <w:jc w:val="center"/>
              <w:rPr>
                <w:rFonts w:eastAsiaTheme="minorEastAsia"/>
                <w:color w:val="000000" w:themeColor="text1"/>
                <w:szCs w:val="21"/>
              </w:rPr>
            </w:pPr>
            <w:r w:rsidRPr="00C56D9D">
              <w:rPr>
                <w:rFonts w:eastAsiaTheme="minorEastAsia"/>
                <w:color w:val="000000" w:themeColor="text1"/>
                <w:szCs w:val="21"/>
              </w:rPr>
              <w:t>占当期佣金总量的比例</w:t>
            </w:r>
          </w:p>
        </w:tc>
        <w:tc>
          <w:tcPr>
            <w:tcW w:w="1080" w:type="dxa"/>
            <w:vMerge/>
            <w:vAlign w:val="center"/>
          </w:tcPr>
          <w:p w:rsidR="001A59F9" w:rsidRPr="00C56D9D" w:rsidRDefault="001A59F9" w:rsidP="00026C9C">
            <w:pPr>
              <w:widowControl/>
              <w:spacing w:line="360" w:lineRule="auto"/>
              <w:jc w:val="left"/>
              <w:rPr>
                <w:rFonts w:eastAsiaTheme="minorEastAsia"/>
                <w:color w:val="000000" w:themeColor="text1"/>
                <w:kern w:val="0"/>
                <w:szCs w:val="21"/>
              </w:rPr>
            </w:pPr>
          </w:p>
        </w:tc>
      </w:tr>
      <w:tr w:rsidR="00C133DD">
        <w:tc>
          <w:tcPr>
            <w:tcW w:w="1560" w:type="dxa"/>
            <w:vAlign w:val="center"/>
          </w:tcPr>
          <w:p w:rsidR="00C133DD" w:rsidRDefault="00157FC2">
            <w:pPr>
              <w:jc w:val="left"/>
            </w:pPr>
            <w:r>
              <w:rPr>
                <w:rFonts w:eastAsiaTheme="minorEastAsia"/>
                <w:color w:val="000000" w:themeColor="text1"/>
                <w:szCs w:val="21"/>
              </w:rPr>
              <w:t>广发证券</w:t>
            </w:r>
          </w:p>
        </w:tc>
        <w:tc>
          <w:tcPr>
            <w:tcW w:w="780" w:type="dxa"/>
            <w:vAlign w:val="center"/>
          </w:tcPr>
          <w:p w:rsidR="00C133DD" w:rsidRDefault="00157FC2">
            <w:pPr>
              <w:jc w:val="right"/>
            </w:pPr>
            <w:r>
              <w:rPr>
                <w:rFonts w:eastAsiaTheme="minorEastAsia"/>
                <w:color w:val="000000" w:themeColor="text1"/>
                <w:szCs w:val="21"/>
              </w:rPr>
              <w:t>2</w:t>
            </w:r>
          </w:p>
        </w:tc>
        <w:tc>
          <w:tcPr>
            <w:tcW w:w="1800" w:type="dxa"/>
            <w:vAlign w:val="center"/>
          </w:tcPr>
          <w:p w:rsidR="00C133DD" w:rsidRDefault="00157FC2">
            <w:pPr>
              <w:jc w:val="right"/>
            </w:pPr>
            <w:r>
              <w:rPr>
                <w:rFonts w:eastAsiaTheme="minorEastAsia"/>
                <w:color w:val="000000" w:themeColor="text1"/>
                <w:szCs w:val="21"/>
              </w:rPr>
              <w:t>-</w:t>
            </w:r>
          </w:p>
        </w:tc>
        <w:tc>
          <w:tcPr>
            <w:tcW w:w="1080" w:type="dxa"/>
            <w:vAlign w:val="center"/>
          </w:tcPr>
          <w:p w:rsidR="00C133DD" w:rsidRDefault="00157FC2">
            <w:pPr>
              <w:jc w:val="right"/>
            </w:pPr>
            <w:r>
              <w:rPr>
                <w:rFonts w:eastAsiaTheme="minorEastAsia"/>
                <w:color w:val="000000" w:themeColor="text1"/>
                <w:szCs w:val="21"/>
              </w:rPr>
              <w:t>-</w:t>
            </w:r>
          </w:p>
        </w:tc>
        <w:tc>
          <w:tcPr>
            <w:tcW w:w="1620" w:type="dxa"/>
            <w:vAlign w:val="center"/>
          </w:tcPr>
          <w:p w:rsidR="00C133DD" w:rsidRDefault="00157FC2">
            <w:pPr>
              <w:jc w:val="right"/>
            </w:pPr>
            <w:r>
              <w:rPr>
                <w:rFonts w:eastAsiaTheme="minorEastAsia"/>
                <w:color w:val="000000" w:themeColor="text1"/>
                <w:szCs w:val="21"/>
              </w:rPr>
              <w:t>74,575.23</w:t>
            </w:r>
          </w:p>
        </w:tc>
        <w:tc>
          <w:tcPr>
            <w:tcW w:w="1080" w:type="dxa"/>
            <w:vAlign w:val="center"/>
          </w:tcPr>
          <w:p w:rsidR="00C133DD" w:rsidRDefault="00157FC2">
            <w:pPr>
              <w:jc w:val="right"/>
            </w:pPr>
            <w:r>
              <w:rPr>
                <w:rFonts w:eastAsiaTheme="minorEastAsia"/>
                <w:color w:val="000000" w:themeColor="text1"/>
                <w:szCs w:val="21"/>
              </w:rPr>
              <w:t>100.00%</w:t>
            </w:r>
          </w:p>
        </w:tc>
        <w:tc>
          <w:tcPr>
            <w:tcW w:w="1080" w:type="dxa"/>
            <w:vAlign w:val="center"/>
          </w:tcPr>
          <w:p w:rsidR="00C133DD" w:rsidRDefault="00157FC2">
            <w:pPr>
              <w:jc w:val="left"/>
            </w:pPr>
            <w:r>
              <w:rPr>
                <w:rFonts w:eastAsiaTheme="minorEastAsia"/>
                <w:color w:val="000000" w:themeColor="text1"/>
                <w:szCs w:val="21"/>
              </w:rPr>
              <w:t>-</w:t>
            </w:r>
          </w:p>
        </w:tc>
      </w:tr>
    </w:tbl>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 xml:space="preserve">1. </w:t>
      </w:r>
      <w:r>
        <w:rPr>
          <w:rFonts w:eastAsiaTheme="minorEastAsia"/>
          <w:color w:val="000000" w:themeColor="text1"/>
          <w:szCs w:val="21"/>
        </w:rPr>
        <w:t>上述佣金按市场佣金率计算，以扣除由中国证券登记结算有限责任公司收取的证管费、经手费和适用期间内由券商承担的证券结算风险基金后的净额列示。</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交易单元的选择标准：</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）资本金雄厚</w:t>
      </w:r>
      <w:r>
        <w:rPr>
          <w:rFonts w:eastAsiaTheme="minorEastAsia"/>
          <w:color w:val="000000" w:themeColor="text1"/>
          <w:szCs w:val="21"/>
        </w:rPr>
        <w:t>,</w:t>
      </w:r>
      <w:r>
        <w:rPr>
          <w:rFonts w:eastAsiaTheme="minorEastAsia"/>
          <w:color w:val="000000" w:themeColor="text1"/>
          <w:szCs w:val="21"/>
        </w:rPr>
        <w:t>信誉良好。</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）财务状况良好</w:t>
      </w:r>
      <w:r>
        <w:rPr>
          <w:rFonts w:eastAsiaTheme="minorEastAsia"/>
          <w:color w:val="000000" w:themeColor="text1"/>
          <w:szCs w:val="21"/>
        </w:rPr>
        <w:t>,</w:t>
      </w:r>
      <w:r>
        <w:rPr>
          <w:rFonts w:eastAsiaTheme="minorEastAsia"/>
          <w:color w:val="000000" w:themeColor="text1"/>
          <w:szCs w:val="21"/>
        </w:rPr>
        <w:t>经营行为规范。</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）内部管理规范、严格</w:t>
      </w:r>
      <w:r>
        <w:rPr>
          <w:rFonts w:eastAsiaTheme="minorEastAsia"/>
          <w:color w:val="000000" w:themeColor="text1"/>
          <w:szCs w:val="21"/>
        </w:rPr>
        <w:t>,</w:t>
      </w:r>
      <w:r>
        <w:rPr>
          <w:rFonts w:eastAsiaTheme="minorEastAsia"/>
          <w:color w:val="000000" w:themeColor="text1"/>
          <w:szCs w:val="21"/>
        </w:rPr>
        <w:t>具备健全的内控制度。</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4</w:t>
      </w:r>
      <w:r>
        <w:rPr>
          <w:rFonts w:eastAsiaTheme="minorEastAsia"/>
          <w:color w:val="000000" w:themeColor="text1"/>
          <w:szCs w:val="21"/>
        </w:rPr>
        <w:t>）具备基金运作所需的高效、安全的通讯条件</w:t>
      </w:r>
      <w:r>
        <w:rPr>
          <w:rFonts w:eastAsiaTheme="minorEastAsia"/>
          <w:color w:val="000000" w:themeColor="text1"/>
          <w:szCs w:val="21"/>
        </w:rPr>
        <w:t>,</w:t>
      </w:r>
      <w:r>
        <w:rPr>
          <w:rFonts w:eastAsiaTheme="minorEastAsia"/>
          <w:color w:val="000000" w:themeColor="text1"/>
          <w:szCs w:val="21"/>
        </w:rPr>
        <w:t>交易设施符合代理本基金进行证券交易的需要</w:t>
      </w:r>
      <w:r>
        <w:rPr>
          <w:rFonts w:eastAsiaTheme="minorEastAsia"/>
          <w:color w:val="000000" w:themeColor="text1"/>
          <w:szCs w:val="21"/>
        </w:rPr>
        <w:t>,</w:t>
      </w:r>
      <w:r>
        <w:rPr>
          <w:rFonts w:eastAsiaTheme="minorEastAsia"/>
          <w:color w:val="000000" w:themeColor="text1"/>
          <w:szCs w:val="21"/>
        </w:rPr>
        <w:t>并能为本基金提供全面的信息服务。</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5</w:t>
      </w:r>
      <w:r>
        <w:rPr>
          <w:rFonts w:eastAsiaTheme="minorEastAsia"/>
          <w:color w:val="000000" w:themeColor="text1"/>
          <w:szCs w:val="21"/>
        </w:rPr>
        <w:t>）研究实力较强</w:t>
      </w:r>
      <w:r>
        <w:rPr>
          <w:rFonts w:eastAsiaTheme="minorEastAsia"/>
          <w:color w:val="000000" w:themeColor="text1"/>
          <w:szCs w:val="21"/>
        </w:rPr>
        <w:t>,</w:t>
      </w:r>
      <w:r>
        <w:rPr>
          <w:rFonts w:eastAsiaTheme="minorEastAsia"/>
          <w:color w:val="000000" w:themeColor="text1"/>
          <w:szCs w:val="21"/>
        </w:rPr>
        <w:t>有固定的研究机构和专门研究人员</w:t>
      </w:r>
      <w:r>
        <w:rPr>
          <w:rFonts w:eastAsiaTheme="minorEastAsia"/>
          <w:color w:val="000000" w:themeColor="text1"/>
          <w:szCs w:val="21"/>
        </w:rPr>
        <w:t>,</w:t>
      </w:r>
      <w:r>
        <w:rPr>
          <w:rFonts w:eastAsiaTheme="minorEastAsia"/>
          <w:color w:val="000000" w:themeColor="text1"/>
          <w:szCs w:val="21"/>
        </w:rPr>
        <w:t>能及时、定期、全面地为本基金提供宏观经济、行业情况、市场走向、个股分析的研究报告及周到的信息服务。</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交易单元的选择程序：</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）本基金管理人定期召开会议，组织相关部门依据交易单元的选择标准对交易单元候选券商进行评估，确定选用交易单元的券商。</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lastRenderedPageBreak/>
        <w:t>2</w:t>
      </w:r>
      <w:r>
        <w:rPr>
          <w:rFonts w:eastAsiaTheme="minorEastAsia"/>
          <w:color w:val="000000" w:themeColor="text1"/>
          <w:szCs w:val="21"/>
        </w:rPr>
        <w:t>）本基金管理人与券商签订交易单元租用协议，并通知基金托管人。</w:t>
      </w:r>
    </w:p>
    <w:p w:rsidR="00157FC2" w:rsidRDefault="00157FC2" w:rsidP="00157FC2">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4. </w:t>
      </w:r>
      <w:r>
        <w:rPr>
          <w:rFonts w:eastAsiaTheme="minorEastAsia"/>
          <w:color w:val="000000" w:themeColor="text1"/>
          <w:szCs w:val="21"/>
        </w:rPr>
        <w:t>本基金本年度无新增席位，无注销席位。</w:t>
      </w:r>
    </w:p>
    <w:p w:rsidR="001A59F9" w:rsidRPr="00C56D9D" w:rsidRDefault="00B26109" w:rsidP="00E34772">
      <w:pPr>
        <w:spacing w:beforeLines="100" w:before="312" w:line="360" w:lineRule="auto"/>
        <w:rPr>
          <w:rFonts w:eastAsiaTheme="minorEastAsia"/>
          <w:b/>
          <w:color w:val="000000" w:themeColor="text1"/>
          <w:szCs w:val="21"/>
        </w:rPr>
      </w:pPr>
      <w:r>
        <w:rPr>
          <w:rFonts w:eastAsiaTheme="minorEastAsia"/>
          <w:b/>
          <w:color w:val="000000" w:themeColor="text1"/>
          <w:szCs w:val="21"/>
        </w:rPr>
        <w:t>11.7.</w:t>
      </w:r>
      <w:r w:rsidR="001A59F9" w:rsidRPr="00C56D9D">
        <w:rPr>
          <w:rFonts w:eastAsiaTheme="minorEastAsia"/>
          <w:b/>
          <w:color w:val="000000" w:themeColor="text1"/>
          <w:szCs w:val="21"/>
        </w:rPr>
        <w:t>2</w:t>
      </w:r>
      <w:r w:rsidR="009153A3" w:rsidRPr="00C56D9D">
        <w:rPr>
          <w:rFonts w:eastAsiaTheme="minorEastAsia"/>
          <w:b/>
          <w:color w:val="000000" w:themeColor="text1"/>
          <w:szCs w:val="21"/>
        </w:rPr>
        <w:t xml:space="preserve"> </w:t>
      </w:r>
      <w:r w:rsidR="001A59F9" w:rsidRPr="00C56D9D">
        <w:rPr>
          <w:rFonts w:eastAsiaTheme="minorEastAsia"/>
          <w:b/>
          <w:color w:val="000000" w:themeColor="text1"/>
          <w:szCs w:val="21"/>
        </w:rPr>
        <w:t>基金租用证券公司交易单元进行其他证券投资的情况</w:t>
      </w:r>
      <w:bookmarkEnd w:id="157"/>
    </w:p>
    <w:p w:rsidR="001A59F9" w:rsidRPr="00C56D9D" w:rsidRDefault="001A59F9" w:rsidP="00026C9C">
      <w:pPr>
        <w:spacing w:line="360" w:lineRule="auto"/>
        <w:ind w:firstLine="420"/>
        <w:jc w:val="right"/>
        <w:rPr>
          <w:rFonts w:eastAsiaTheme="minorEastAsia"/>
          <w:color w:val="000000" w:themeColor="text1"/>
          <w:szCs w:val="21"/>
        </w:rPr>
      </w:pPr>
      <w:bookmarkStart w:id="158" w:name="_Toc249707408"/>
      <w:r w:rsidRPr="00C56D9D">
        <w:rPr>
          <w:rFonts w:eastAsiaTheme="minorEastAsia"/>
          <w:color w:val="000000" w:themeColor="text1"/>
          <w:szCs w:val="21"/>
        </w:rPr>
        <w:t>金额单位</w:t>
      </w:r>
      <w:r w:rsidRPr="00C56D9D">
        <w:rPr>
          <w:rFonts w:eastAsiaTheme="minorEastAsia"/>
          <w:color w:val="000000" w:themeColor="text1"/>
          <w:kern w:val="0"/>
          <w:szCs w:val="21"/>
        </w:rPr>
        <w:t>：</w:t>
      </w:r>
      <w:r w:rsidRPr="00C56D9D">
        <w:rPr>
          <w:rFonts w:eastAsiaTheme="minorEastAsia"/>
          <w:color w:val="000000" w:themeColor="text1"/>
          <w:kern w:val="0"/>
          <w:szCs w:val="21"/>
          <w:lang w:val="zh-CN"/>
        </w:rPr>
        <w:t>人民币元</w:t>
      </w:r>
      <w:bookmarkEnd w:id="15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320"/>
        <w:gridCol w:w="1080"/>
        <w:gridCol w:w="1143"/>
        <w:gridCol w:w="1197"/>
        <w:gridCol w:w="1497"/>
        <w:gridCol w:w="1203"/>
      </w:tblGrid>
      <w:tr w:rsidR="006E344B" w:rsidRPr="00C56D9D" w:rsidTr="00EC47EE">
        <w:tc>
          <w:tcPr>
            <w:tcW w:w="1560" w:type="dxa"/>
            <w:vMerge w:val="restart"/>
            <w:vAlign w:val="center"/>
          </w:tcPr>
          <w:p w:rsidR="006E344B" w:rsidRPr="00C56D9D" w:rsidRDefault="006E344B" w:rsidP="00EC47EE">
            <w:pPr>
              <w:spacing w:line="360" w:lineRule="auto"/>
              <w:jc w:val="center"/>
              <w:rPr>
                <w:rFonts w:eastAsiaTheme="minorEastAsia"/>
                <w:color w:val="000000" w:themeColor="text1"/>
                <w:kern w:val="0"/>
                <w:szCs w:val="21"/>
              </w:rPr>
            </w:pPr>
            <w:r w:rsidRPr="00C56D9D">
              <w:rPr>
                <w:rFonts w:eastAsiaTheme="minorEastAsia"/>
                <w:color w:val="000000" w:themeColor="text1"/>
                <w:szCs w:val="21"/>
              </w:rPr>
              <w:t>券商名称</w:t>
            </w:r>
          </w:p>
        </w:tc>
        <w:tc>
          <w:tcPr>
            <w:tcW w:w="2400" w:type="dxa"/>
            <w:gridSpan w:val="2"/>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债券交易</w:t>
            </w:r>
          </w:p>
        </w:tc>
        <w:tc>
          <w:tcPr>
            <w:tcW w:w="2340" w:type="dxa"/>
            <w:gridSpan w:val="2"/>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回购交易</w:t>
            </w:r>
          </w:p>
        </w:tc>
        <w:tc>
          <w:tcPr>
            <w:tcW w:w="2700" w:type="dxa"/>
            <w:gridSpan w:val="2"/>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权证交易</w:t>
            </w:r>
          </w:p>
        </w:tc>
      </w:tr>
      <w:tr w:rsidR="006E344B" w:rsidRPr="00C56D9D" w:rsidTr="00EC47EE">
        <w:tc>
          <w:tcPr>
            <w:tcW w:w="1560" w:type="dxa"/>
            <w:vMerge/>
            <w:vAlign w:val="center"/>
          </w:tcPr>
          <w:p w:rsidR="006E344B" w:rsidRPr="00C56D9D" w:rsidRDefault="006E344B" w:rsidP="00EC47EE">
            <w:pPr>
              <w:widowControl/>
              <w:spacing w:line="360" w:lineRule="auto"/>
              <w:jc w:val="left"/>
              <w:rPr>
                <w:rFonts w:eastAsiaTheme="minorEastAsia"/>
                <w:color w:val="000000" w:themeColor="text1"/>
                <w:kern w:val="0"/>
                <w:szCs w:val="21"/>
              </w:rPr>
            </w:pPr>
          </w:p>
        </w:tc>
        <w:tc>
          <w:tcPr>
            <w:tcW w:w="1320"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成交金额</w:t>
            </w:r>
          </w:p>
        </w:tc>
        <w:tc>
          <w:tcPr>
            <w:tcW w:w="1080"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占当期债券成交总额的比例</w:t>
            </w:r>
          </w:p>
        </w:tc>
        <w:tc>
          <w:tcPr>
            <w:tcW w:w="1143"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成交金额</w:t>
            </w:r>
          </w:p>
        </w:tc>
        <w:tc>
          <w:tcPr>
            <w:tcW w:w="1197"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占当期回购成交总额的比例</w:t>
            </w:r>
          </w:p>
        </w:tc>
        <w:tc>
          <w:tcPr>
            <w:tcW w:w="1497"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成交金额</w:t>
            </w:r>
          </w:p>
        </w:tc>
        <w:tc>
          <w:tcPr>
            <w:tcW w:w="1203" w:type="dxa"/>
            <w:vAlign w:val="center"/>
          </w:tcPr>
          <w:p w:rsidR="006E344B" w:rsidRPr="00C56D9D" w:rsidRDefault="006E344B" w:rsidP="00EC47EE">
            <w:pPr>
              <w:spacing w:line="360" w:lineRule="auto"/>
              <w:jc w:val="center"/>
              <w:rPr>
                <w:rFonts w:eastAsiaTheme="minorEastAsia"/>
                <w:color w:val="000000" w:themeColor="text1"/>
                <w:szCs w:val="21"/>
              </w:rPr>
            </w:pPr>
            <w:r w:rsidRPr="00C56D9D">
              <w:rPr>
                <w:rFonts w:eastAsiaTheme="minorEastAsia"/>
                <w:color w:val="000000" w:themeColor="text1"/>
                <w:szCs w:val="21"/>
              </w:rPr>
              <w:t>占当期权证成交总额的比例</w:t>
            </w:r>
          </w:p>
        </w:tc>
      </w:tr>
      <w:tr w:rsidR="00C133DD">
        <w:tc>
          <w:tcPr>
            <w:tcW w:w="1560" w:type="dxa"/>
            <w:vAlign w:val="center"/>
          </w:tcPr>
          <w:p w:rsidR="00C133DD" w:rsidRDefault="00157FC2">
            <w:pPr>
              <w:jc w:val="left"/>
            </w:pPr>
            <w:r>
              <w:rPr>
                <w:rFonts w:eastAsiaTheme="minorEastAsia"/>
                <w:color w:val="000000" w:themeColor="text1"/>
                <w:szCs w:val="21"/>
              </w:rPr>
              <w:t>广发证券</w:t>
            </w:r>
          </w:p>
        </w:tc>
        <w:tc>
          <w:tcPr>
            <w:tcW w:w="1320" w:type="dxa"/>
            <w:vAlign w:val="center"/>
          </w:tcPr>
          <w:p w:rsidR="00C133DD" w:rsidRPr="00672CD5" w:rsidRDefault="000A2F6A">
            <w:pPr>
              <w:jc w:val="right"/>
              <w:rPr>
                <w:rFonts w:eastAsiaTheme="minorEastAsia"/>
                <w:color w:val="000000" w:themeColor="text1"/>
                <w:szCs w:val="21"/>
              </w:rPr>
            </w:pPr>
            <w:r>
              <w:rPr>
                <w:rFonts w:eastAsiaTheme="minorEastAsia"/>
                <w:color w:val="000000" w:themeColor="text1"/>
                <w:szCs w:val="21"/>
              </w:rPr>
              <w:t>37</w:t>
            </w:r>
            <w:r w:rsidR="00E34772">
              <w:rPr>
                <w:rFonts w:eastAsiaTheme="minorEastAsia" w:hint="eastAsia"/>
                <w:color w:val="000000" w:themeColor="text1"/>
                <w:szCs w:val="21"/>
              </w:rPr>
              <w:t>2,161,478.01</w:t>
            </w:r>
          </w:p>
        </w:tc>
        <w:tc>
          <w:tcPr>
            <w:tcW w:w="1080" w:type="dxa"/>
            <w:vAlign w:val="center"/>
          </w:tcPr>
          <w:p w:rsidR="00C133DD" w:rsidRDefault="00157FC2">
            <w:pPr>
              <w:jc w:val="right"/>
            </w:pPr>
            <w:r>
              <w:rPr>
                <w:rFonts w:eastAsiaTheme="minorEastAsia"/>
                <w:color w:val="000000" w:themeColor="text1"/>
                <w:szCs w:val="21"/>
              </w:rPr>
              <w:t>100.00%</w:t>
            </w:r>
          </w:p>
        </w:tc>
        <w:tc>
          <w:tcPr>
            <w:tcW w:w="1143" w:type="dxa"/>
            <w:vAlign w:val="center"/>
          </w:tcPr>
          <w:p w:rsidR="00C133DD" w:rsidRDefault="00157FC2">
            <w:pPr>
              <w:jc w:val="right"/>
            </w:pPr>
            <w:r>
              <w:rPr>
                <w:rFonts w:eastAsiaTheme="minorEastAsia"/>
                <w:color w:val="000000" w:themeColor="text1"/>
                <w:szCs w:val="21"/>
              </w:rPr>
              <w:t>1,883,474,000.00</w:t>
            </w:r>
          </w:p>
        </w:tc>
        <w:tc>
          <w:tcPr>
            <w:tcW w:w="1197" w:type="dxa"/>
            <w:vAlign w:val="center"/>
          </w:tcPr>
          <w:p w:rsidR="00C133DD" w:rsidRDefault="00157FC2">
            <w:pPr>
              <w:jc w:val="right"/>
            </w:pPr>
            <w:r>
              <w:rPr>
                <w:rFonts w:eastAsiaTheme="minorEastAsia"/>
                <w:color w:val="000000" w:themeColor="text1"/>
                <w:szCs w:val="21"/>
              </w:rPr>
              <w:t>100.00%</w:t>
            </w:r>
          </w:p>
        </w:tc>
        <w:tc>
          <w:tcPr>
            <w:tcW w:w="1497" w:type="dxa"/>
            <w:vAlign w:val="center"/>
          </w:tcPr>
          <w:p w:rsidR="00C133DD" w:rsidRDefault="00157FC2">
            <w:pPr>
              <w:jc w:val="right"/>
            </w:pPr>
            <w:r>
              <w:rPr>
                <w:rFonts w:eastAsiaTheme="minorEastAsia"/>
                <w:color w:val="000000" w:themeColor="text1"/>
                <w:szCs w:val="21"/>
              </w:rPr>
              <w:t>-</w:t>
            </w:r>
          </w:p>
        </w:tc>
        <w:tc>
          <w:tcPr>
            <w:tcW w:w="1203" w:type="dxa"/>
            <w:vAlign w:val="center"/>
          </w:tcPr>
          <w:p w:rsidR="00C133DD" w:rsidRDefault="00157FC2">
            <w:pPr>
              <w:jc w:val="right"/>
            </w:pPr>
            <w:r>
              <w:rPr>
                <w:rFonts w:eastAsiaTheme="minorEastAsia"/>
                <w:color w:val="000000" w:themeColor="text1"/>
                <w:szCs w:val="21"/>
              </w:rPr>
              <w:t>-</w:t>
            </w:r>
          </w:p>
        </w:tc>
      </w:tr>
    </w:tbl>
    <w:p w:rsidR="006E344B" w:rsidRPr="00C56D9D" w:rsidRDefault="006E344B" w:rsidP="006E344B">
      <w:pPr>
        <w:autoSpaceDE w:val="0"/>
        <w:autoSpaceDN w:val="0"/>
        <w:adjustRightInd w:val="0"/>
        <w:spacing w:line="360" w:lineRule="auto"/>
        <w:jc w:val="left"/>
        <w:rPr>
          <w:rFonts w:eastAsiaTheme="minorEastAsia"/>
          <w:color w:val="000000" w:themeColor="text1"/>
          <w:szCs w:val="21"/>
        </w:rPr>
      </w:pPr>
    </w:p>
    <w:p w:rsidR="000C6213" w:rsidRDefault="000C6213" w:rsidP="00E34772">
      <w:pPr>
        <w:pStyle w:val="1"/>
        <w:keepNext/>
        <w:keepLines/>
        <w:widowControl w:val="0"/>
        <w:spacing w:beforeLines="100" w:before="312" w:afterLines="100" w:after="312" w:line="360" w:lineRule="auto"/>
        <w:jc w:val="center"/>
        <w:rPr>
          <w:rFonts w:eastAsiaTheme="minorEastAsia"/>
          <w:b/>
          <w:bCs/>
          <w:sz w:val="21"/>
          <w:szCs w:val="21"/>
          <w:lang w:val="en-US"/>
        </w:rPr>
      </w:pPr>
      <w:bookmarkStart w:id="159" w:name="_Toc374532345"/>
      <w:bookmarkStart w:id="160" w:name="_Toc225500055"/>
      <w:bookmarkStart w:id="161" w:name="_Toc361324903"/>
      <w:bookmarkStart w:id="162" w:name="_Toc374374983"/>
      <w:r>
        <w:rPr>
          <w:rFonts w:eastAsiaTheme="minorEastAsia"/>
          <w:b/>
          <w:bCs/>
          <w:sz w:val="21"/>
          <w:szCs w:val="21"/>
          <w:lang w:val="en-US"/>
        </w:rPr>
        <w:t xml:space="preserve">12  </w:t>
      </w:r>
      <w:r>
        <w:rPr>
          <w:rFonts w:eastAsiaTheme="minorEastAsia"/>
          <w:b/>
          <w:bCs/>
          <w:sz w:val="21"/>
          <w:szCs w:val="21"/>
          <w:lang w:val="en-US"/>
        </w:rPr>
        <w:t>影响投资者决策的其他重要信息</w:t>
      </w:r>
      <w:bookmarkEnd w:id="159"/>
    </w:p>
    <w:p w:rsidR="000C6213" w:rsidRDefault="000C6213" w:rsidP="000C6213">
      <w:pPr>
        <w:autoSpaceDE w:val="0"/>
        <w:autoSpaceDN w:val="0"/>
        <w:adjustRightInd w:val="0"/>
        <w:spacing w:line="360" w:lineRule="auto"/>
        <w:jc w:val="left"/>
        <w:rPr>
          <w:rFonts w:ascii="宋体" w:hAnsi="宋体"/>
          <w:b/>
          <w:bCs/>
          <w:color w:val="000000"/>
          <w:kern w:val="0"/>
          <w:szCs w:val="21"/>
        </w:rPr>
      </w:pPr>
      <w:r>
        <w:rPr>
          <w:rFonts w:ascii="宋体" w:hAnsi="宋体"/>
          <w:b/>
          <w:bCs/>
          <w:color w:val="000000"/>
          <w:kern w:val="0"/>
          <w:szCs w:val="21"/>
        </w:rPr>
        <w:t>12.</w:t>
      </w:r>
      <w:r>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0C6213" w:rsidTr="00905283">
        <w:tc>
          <w:tcPr>
            <w:tcW w:w="993" w:type="dxa"/>
            <w:vMerge w:val="restart"/>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r>
              <w:rPr>
                <w:rFonts w:ascii="宋体" w:hAnsi="宋体"/>
                <w:color w:val="000000"/>
                <w:kern w:val="0"/>
                <w:szCs w:val="21"/>
              </w:rPr>
              <w:t xml:space="preserve">  </w:t>
            </w:r>
          </w:p>
        </w:tc>
        <w:tc>
          <w:tcPr>
            <w:tcW w:w="5670" w:type="dxa"/>
            <w:gridSpan w:val="5"/>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0C6213" w:rsidTr="00905283">
        <w:tc>
          <w:tcPr>
            <w:tcW w:w="993" w:type="dxa"/>
            <w:vMerge/>
            <w:vAlign w:val="center"/>
          </w:tcPr>
          <w:p w:rsidR="000C6213" w:rsidRDefault="000C6213" w:rsidP="00905283">
            <w:pPr>
              <w:autoSpaceDE w:val="0"/>
              <w:autoSpaceDN w:val="0"/>
              <w:adjustRightInd w:val="0"/>
              <w:jc w:val="center"/>
              <w:rPr>
                <w:rFonts w:ascii="宋体" w:hAnsi="宋体"/>
                <w:b/>
                <w:bCs/>
                <w:color w:val="000000"/>
                <w:kern w:val="0"/>
                <w:szCs w:val="21"/>
              </w:rPr>
            </w:pPr>
          </w:p>
        </w:tc>
        <w:tc>
          <w:tcPr>
            <w:tcW w:w="992" w:type="dxa"/>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vAlign w:val="center"/>
          </w:tcPr>
          <w:p w:rsidR="000C6213" w:rsidRDefault="000C6213" w:rsidP="00905283">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vAlign w:val="center"/>
          </w:tcPr>
          <w:p w:rsidR="000C6213" w:rsidRDefault="000C6213" w:rsidP="00905283">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vAlign w:val="center"/>
          </w:tcPr>
          <w:p w:rsidR="000C6213" w:rsidRDefault="000C6213" w:rsidP="00905283">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vAlign w:val="center"/>
          </w:tcPr>
          <w:p w:rsidR="000C6213" w:rsidRDefault="000C6213" w:rsidP="0090528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C133DD">
        <w:tc>
          <w:tcPr>
            <w:tcW w:w="993" w:type="dxa"/>
            <w:vMerge w:val="restart"/>
          </w:tcPr>
          <w:p w:rsidR="00C133DD" w:rsidRDefault="00C133DD"/>
          <w:p w:rsidR="00C133DD" w:rsidRDefault="00157FC2">
            <w:r>
              <w:rPr>
                <w:rFonts w:ascii="宋体" w:hAnsi="宋体" w:hint="eastAsia"/>
                <w:bCs/>
                <w:color w:val="000000"/>
                <w:kern w:val="0"/>
                <w:szCs w:val="21"/>
              </w:rPr>
              <w:t>机构</w:t>
            </w:r>
          </w:p>
        </w:tc>
        <w:tc>
          <w:tcPr>
            <w:tcW w:w="992" w:type="dxa"/>
            <w:vAlign w:val="center"/>
          </w:tcPr>
          <w:p w:rsidR="00C133DD" w:rsidRDefault="00157FC2">
            <w:pPr>
              <w:jc w:val="center"/>
            </w:pPr>
            <w:r>
              <w:rPr>
                <w:rFonts w:ascii="宋体" w:hAnsi="宋体"/>
                <w:color w:val="000000"/>
                <w:kern w:val="0"/>
                <w:szCs w:val="21"/>
              </w:rPr>
              <w:t>1</w:t>
            </w:r>
          </w:p>
        </w:tc>
        <w:tc>
          <w:tcPr>
            <w:tcW w:w="1843" w:type="dxa"/>
            <w:vAlign w:val="center"/>
          </w:tcPr>
          <w:p w:rsidR="00C133DD" w:rsidRDefault="00157FC2">
            <w:pPr>
              <w:jc w:val="center"/>
            </w:pPr>
            <w:r>
              <w:rPr>
                <w:rFonts w:ascii="宋体" w:hAnsi="宋体"/>
                <w:color w:val="000000"/>
                <w:kern w:val="0"/>
                <w:szCs w:val="21"/>
              </w:rPr>
              <w:t>20180411-20181231</w:t>
            </w:r>
          </w:p>
        </w:tc>
        <w:tc>
          <w:tcPr>
            <w:tcW w:w="851" w:type="dxa"/>
            <w:vAlign w:val="center"/>
          </w:tcPr>
          <w:p w:rsidR="00C133DD" w:rsidRDefault="00157FC2">
            <w:pPr>
              <w:jc w:val="center"/>
            </w:pPr>
            <w:r>
              <w:rPr>
                <w:rFonts w:ascii="宋体" w:hAnsi="宋体"/>
                <w:color w:val="000000"/>
                <w:kern w:val="0"/>
                <w:szCs w:val="21"/>
              </w:rPr>
              <w:t>25,006,875.00</w:t>
            </w:r>
          </w:p>
        </w:tc>
        <w:tc>
          <w:tcPr>
            <w:tcW w:w="850" w:type="dxa"/>
            <w:vAlign w:val="center"/>
          </w:tcPr>
          <w:p w:rsidR="00C133DD" w:rsidRDefault="00157FC2">
            <w:pPr>
              <w:jc w:val="center"/>
            </w:pPr>
            <w:r>
              <w:rPr>
                <w:rFonts w:ascii="宋体" w:hAnsi="宋体"/>
                <w:color w:val="000000"/>
                <w:kern w:val="0"/>
                <w:szCs w:val="21"/>
              </w:rPr>
              <w:t>0.00</w:t>
            </w:r>
          </w:p>
        </w:tc>
        <w:tc>
          <w:tcPr>
            <w:tcW w:w="1134" w:type="dxa"/>
            <w:vAlign w:val="center"/>
          </w:tcPr>
          <w:p w:rsidR="00C133DD" w:rsidRDefault="00157FC2">
            <w:pPr>
              <w:jc w:val="center"/>
            </w:pPr>
            <w:r>
              <w:rPr>
                <w:rFonts w:ascii="宋体" w:hAnsi="宋体"/>
                <w:color w:val="000000"/>
                <w:kern w:val="0"/>
                <w:szCs w:val="21"/>
              </w:rPr>
              <w:t>0.00</w:t>
            </w:r>
          </w:p>
        </w:tc>
        <w:tc>
          <w:tcPr>
            <w:tcW w:w="1419" w:type="dxa"/>
            <w:vAlign w:val="center"/>
          </w:tcPr>
          <w:p w:rsidR="00C133DD" w:rsidRDefault="00157FC2">
            <w:pPr>
              <w:jc w:val="center"/>
            </w:pPr>
            <w:r>
              <w:rPr>
                <w:rFonts w:ascii="宋体" w:hAnsi="宋体"/>
                <w:color w:val="000000"/>
                <w:kern w:val="0"/>
                <w:szCs w:val="21"/>
              </w:rPr>
              <w:t>25,006,875.00</w:t>
            </w:r>
          </w:p>
        </w:tc>
        <w:tc>
          <w:tcPr>
            <w:tcW w:w="1130" w:type="dxa"/>
            <w:vAlign w:val="center"/>
          </w:tcPr>
          <w:p w:rsidR="00C133DD" w:rsidRDefault="00157FC2">
            <w:pPr>
              <w:jc w:val="center"/>
            </w:pPr>
            <w:r>
              <w:rPr>
                <w:rFonts w:ascii="宋体" w:hAnsi="宋体"/>
                <w:color w:val="000000"/>
                <w:kern w:val="0"/>
                <w:szCs w:val="21"/>
              </w:rPr>
              <w:t>66.77%</w:t>
            </w:r>
          </w:p>
        </w:tc>
      </w:tr>
      <w:tr w:rsidR="00C133DD">
        <w:tc>
          <w:tcPr>
            <w:tcW w:w="993" w:type="dxa"/>
            <w:vMerge/>
          </w:tcPr>
          <w:p w:rsidR="00C133DD" w:rsidRDefault="00C133DD"/>
        </w:tc>
        <w:tc>
          <w:tcPr>
            <w:tcW w:w="992" w:type="dxa"/>
            <w:vAlign w:val="center"/>
          </w:tcPr>
          <w:p w:rsidR="00C133DD" w:rsidRDefault="00157FC2">
            <w:pPr>
              <w:jc w:val="center"/>
            </w:pPr>
            <w:r>
              <w:rPr>
                <w:rFonts w:ascii="宋体" w:hAnsi="宋体"/>
                <w:color w:val="000000"/>
                <w:kern w:val="0"/>
                <w:szCs w:val="21"/>
              </w:rPr>
              <w:t>2</w:t>
            </w:r>
          </w:p>
        </w:tc>
        <w:tc>
          <w:tcPr>
            <w:tcW w:w="1843" w:type="dxa"/>
            <w:vAlign w:val="center"/>
          </w:tcPr>
          <w:p w:rsidR="00C133DD" w:rsidRDefault="00157FC2">
            <w:pPr>
              <w:jc w:val="center"/>
            </w:pPr>
            <w:r>
              <w:rPr>
                <w:rFonts w:ascii="宋体" w:hAnsi="宋体"/>
                <w:color w:val="000000"/>
                <w:kern w:val="0"/>
                <w:szCs w:val="21"/>
              </w:rPr>
              <w:t>20180411-20180411</w:t>
            </w:r>
          </w:p>
        </w:tc>
        <w:tc>
          <w:tcPr>
            <w:tcW w:w="851" w:type="dxa"/>
            <w:vAlign w:val="center"/>
          </w:tcPr>
          <w:p w:rsidR="00C133DD" w:rsidRDefault="00157FC2">
            <w:pPr>
              <w:jc w:val="center"/>
            </w:pPr>
            <w:r>
              <w:rPr>
                <w:rFonts w:ascii="宋体" w:hAnsi="宋体"/>
                <w:color w:val="000000"/>
                <w:kern w:val="0"/>
                <w:szCs w:val="21"/>
              </w:rPr>
              <w:t>30,007,100.00</w:t>
            </w:r>
          </w:p>
        </w:tc>
        <w:tc>
          <w:tcPr>
            <w:tcW w:w="850" w:type="dxa"/>
            <w:vAlign w:val="center"/>
          </w:tcPr>
          <w:p w:rsidR="00C133DD" w:rsidRDefault="00157FC2">
            <w:pPr>
              <w:jc w:val="center"/>
            </w:pPr>
            <w:r>
              <w:rPr>
                <w:rFonts w:ascii="宋体" w:hAnsi="宋体"/>
                <w:color w:val="000000"/>
                <w:kern w:val="0"/>
                <w:szCs w:val="21"/>
              </w:rPr>
              <w:t>0.00</w:t>
            </w:r>
          </w:p>
        </w:tc>
        <w:tc>
          <w:tcPr>
            <w:tcW w:w="1134" w:type="dxa"/>
            <w:vAlign w:val="center"/>
          </w:tcPr>
          <w:p w:rsidR="00C133DD" w:rsidRDefault="00157FC2">
            <w:pPr>
              <w:jc w:val="center"/>
            </w:pPr>
            <w:r>
              <w:rPr>
                <w:rFonts w:ascii="宋体" w:hAnsi="宋体"/>
                <w:color w:val="000000"/>
                <w:kern w:val="0"/>
                <w:szCs w:val="21"/>
              </w:rPr>
              <w:t>30,007,100.00</w:t>
            </w:r>
          </w:p>
        </w:tc>
        <w:tc>
          <w:tcPr>
            <w:tcW w:w="1419" w:type="dxa"/>
            <w:vAlign w:val="center"/>
          </w:tcPr>
          <w:p w:rsidR="00C133DD" w:rsidRDefault="00157FC2">
            <w:pPr>
              <w:jc w:val="center"/>
            </w:pPr>
            <w:r>
              <w:rPr>
                <w:rFonts w:ascii="宋体" w:hAnsi="宋体"/>
                <w:color w:val="000000"/>
                <w:kern w:val="0"/>
                <w:szCs w:val="21"/>
              </w:rPr>
              <w:t>0.00</w:t>
            </w:r>
          </w:p>
        </w:tc>
        <w:tc>
          <w:tcPr>
            <w:tcW w:w="1130" w:type="dxa"/>
            <w:vAlign w:val="center"/>
          </w:tcPr>
          <w:p w:rsidR="00C133DD" w:rsidRDefault="00157FC2">
            <w:pPr>
              <w:jc w:val="center"/>
            </w:pPr>
            <w:r>
              <w:rPr>
                <w:rFonts w:ascii="宋体" w:hAnsi="宋体"/>
                <w:color w:val="000000"/>
                <w:kern w:val="0"/>
                <w:szCs w:val="21"/>
              </w:rPr>
              <w:t>0.00%</w:t>
            </w:r>
          </w:p>
        </w:tc>
      </w:tr>
      <w:tr w:rsidR="00C133DD">
        <w:tc>
          <w:tcPr>
            <w:tcW w:w="993" w:type="dxa"/>
            <w:vMerge/>
          </w:tcPr>
          <w:p w:rsidR="00C133DD" w:rsidRDefault="00C133DD"/>
        </w:tc>
        <w:tc>
          <w:tcPr>
            <w:tcW w:w="992" w:type="dxa"/>
            <w:vAlign w:val="center"/>
          </w:tcPr>
          <w:p w:rsidR="00C133DD" w:rsidRDefault="00157FC2">
            <w:pPr>
              <w:jc w:val="center"/>
            </w:pPr>
            <w:r>
              <w:rPr>
                <w:rFonts w:ascii="宋体" w:hAnsi="宋体"/>
                <w:color w:val="000000"/>
                <w:kern w:val="0"/>
                <w:szCs w:val="21"/>
              </w:rPr>
              <w:t>3</w:t>
            </w:r>
          </w:p>
        </w:tc>
        <w:tc>
          <w:tcPr>
            <w:tcW w:w="1843" w:type="dxa"/>
            <w:vAlign w:val="center"/>
          </w:tcPr>
          <w:p w:rsidR="00C133DD" w:rsidRDefault="00157FC2">
            <w:pPr>
              <w:jc w:val="center"/>
            </w:pPr>
            <w:r>
              <w:rPr>
                <w:rFonts w:ascii="宋体" w:hAnsi="宋体"/>
                <w:color w:val="000000"/>
                <w:kern w:val="0"/>
                <w:szCs w:val="21"/>
              </w:rPr>
              <w:t>20180412-20180415</w:t>
            </w:r>
          </w:p>
        </w:tc>
        <w:tc>
          <w:tcPr>
            <w:tcW w:w="851" w:type="dxa"/>
            <w:vAlign w:val="center"/>
          </w:tcPr>
          <w:p w:rsidR="00C133DD" w:rsidRDefault="00157FC2">
            <w:pPr>
              <w:jc w:val="center"/>
            </w:pPr>
            <w:r>
              <w:rPr>
                <w:rFonts w:ascii="宋体" w:hAnsi="宋体"/>
                <w:color w:val="000000"/>
                <w:kern w:val="0"/>
                <w:szCs w:val="21"/>
              </w:rPr>
              <w:t>20,004,400.00</w:t>
            </w:r>
          </w:p>
        </w:tc>
        <w:tc>
          <w:tcPr>
            <w:tcW w:w="850" w:type="dxa"/>
            <w:vAlign w:val="center"/>
          </w:tcPr>
          <w:p w:rsidR="00C133DD" w:rsidRDefault="00157FC2">
            <w:pPr>
              <w:jc w:val="center"/>
            </w:pPr>
            <w:r>
              <w:rPr>
                <w:rFonts w:ascii="宋体" w:hAnsi="宋体"/>
                <w:color w:val="000000"/>
                <w:kern w:val="0"/>
                <w:szCs w:val="21"/>
              </w:rPr>
              <w:t>0.00</w:t>
            </w:r>
          </w:p>
        </w:tc>
        <w:tc>
          <w:tcPr>
            <w:tcW w:w="1134" w:type="dxa"/>
            <w:vAlign w:val="center"/>
          </w:tcPr>
          <w:p w:rsidR="00C133DD" w:rsidRDefault="00157FC2">
            <w:pPr>
              <w:jc w:val="center"/>
            </w:pPr>
            <w:r>
              <w:rPr>
                <w:rFonts w:ascii="宋体" w:hAnsi="宋体"/>
                <w:color w:val="000000"/>
                <w:kern w:val="0"/>
                <w:szCs w:val="21"/>
              </w:rPr>
              <w:t>20,004,400.00</w:t>
            </w:r>
          </w:p>
        </w:tc>
        <w:tc>
          <w:tcPr>
            <w:tcW w:w="1419" w:type="dxa"/>
            <w:vAlign w:val="center"/>
          </w:tcPr>
          <w:p w:rsidR="00C133DD" w:rsidRDefault="00157FC2">
            <w:pPr>
              <w:jc w:val="center"/>
            </w:pPr>
            <w:r>
              <w:rPr>
                <w:rFonts w:ascii="宋体" w:hAnsi="宋体"/>
                <w:color w:val="000000"/>
                <w:kern w:val="0"/>
                <w:szCs w:val="21"/>
              </w:rPr>
              <w:t>0.00</w:t>
            </w:r>
          </w:p>
        </w:tc>
        <w:tc>
          <w:tcPr>
            <w:tcW w:w="1130" w:type="dxa"/>
            <w:vAlign w:val="center"/>
          </w:tcPr>
          <w:p w:rsidR="00C133DD" w:rsidRDefault="00157FC2">
            <w:pPr>
              <w:jc w:val="center"/>
            </w:pPr>
            <w:r>
              <w:rPr>
                <w:rFonts w:ascii="宋体" w:hAnsi="宋体"/>
                <w:color w:val="000000"/>
                <w:kern w:val="0"/>
                <w:szCs w:val="21"/>
              </w:rPr>
              <w:t>0.00%</w:t>
            </w:r>
          </w:p>
        </w:tc>
      </w:tr>
      <w:tr w:rsidR="000C6213" w:rsidTr="00905283">
        <w:tc>
          <w:tcPr>
            <w:tcW w:w="9212" w:type="dxa"/>
            <w:gridSpan w:val="8"/>
            <w:vAlign w:val="center"/>
          </w:tcPr>
          <w:p w:rsidR="000C6213" w:rsidRDefault="000C6213" w:rsidP="00905283">
            <w:pPr>
              <w:autoSpaceDE w:val="0"/>
              <w:autoSpaceDN w:val="0"/>
              <w:adjustRightInd w:val="0"/>
              <w:jc w:val="center"/>
              <w:rPr>
                <w:rFonts w:ascii="宋体" w:hAnsi="宋体"/>
                <w:kern w:val="0"/>
                <w:szCs w:val="21"/>
              </w:rPr>
            </w:pPr>
            <w:r>
              <w:rPr>
                <w:rFonts w:ascii="宋体" w:hAnsi="宋体"/>
                <w:color w:val="000000"/>
                <w:kern w:val="0"/>
                <w:szCs w:val="21"/>
              </w:rPr>
              <w:t>产品特有风险</w:t>
            </w:r>
          </w:p>
        </w:tc>
      </w:tr>
      <w:tr w:rsidR="000C6213" w:rsidTr="00905283">
        <w:tc>
          <w:tcPr>
            <w:tcW w:w="9212" w:type="dxa"/>
            <w:gridSpan w:val="8"/>
            <w:vAlign w:val="center"/>
          </w:tcPr>
          <w:p w:rsidR="000C6213" w:rsidRDefault="000C6213" w:rsidP="00905283">
            <w:pPr>
              <w:autoSpaceDE w:val="0"/>
              <w:autoSpaceDN w:val="0"/>
              <w:adjustRightInd w:val="0"/>
              <w:jc w:val="left"/>
              <w:rPr>
                <w:rFonts w:ascii="宋体" w:hAnsi="宋体"/>
                <w:kern w:val="0"/>
                <w:szCs w:val="21"/>
              </w:rPr>
            </w:pPr>
            <w:r>
              <w:rPr>
                <w:rFonts w:ascii="宋体" w:hAnsi="宋体" w:hint="eastAsia"/>
                <w:kern w:val="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p>
        </w:tc>
      </w:tr>
    </w:tbl>
    <w:p w:rsidR="002B14C9" w:rsidRDefault="002B14C9" w:rsidP="002B14C9">
      <w:pPr>
        <w:autoSpaceDE w:val="0"/>
        <w:autoSpaceDN w:val="0"/>
        <w:adjustRightInd w:val="0"/>
        <w:spacing w:line="360" w:lineRule="auto"/>
        <w:jc w:val="left"/>
        <w:rPr>
          <w:rFonts w:ascii="宋体" w:hAnsi="宋体"/>
          <w:b/>
          <w:bCs/>
          <w:color w:val="000000"/>
          <w:kern w:val="0"/>
          <w:szCs w:val="21"/>
        </w:rPr>
      </w:pPr>
      <w:r w:rsidRPr="002B14C9">
        <w:rPr>
          <w:rFonts w:ascii="宋体" w:hAnsi="宋体" w:hint="eastAsia"/>
          <w:b/>
          <w:bCs/>
          <w:color w:val="000000"/>
          <w:kern w:val="0"/>
          <w:szCs w:val="21"/>
        </w:rPr>
        <w:t>1</w:t>
      </w:r>
      <w:r>
        <w:rPr>
          <w:rFonts w:ascii="宋体" w:hAnsi="宋体"/>
          <w:b/>
          <w:bCs/>
          <w:color w:val="000000"/>
          <w:kern w:val="0"/>
          <w:szCs w:val="21"/>
        </w:rPr>
        <w:t>2</w:t>
      </w:r>
      <w:r w:rsidRPr="002B14C9">
        <w:rPr>
          <w:rFonts w:ascii="宋体" w:hAnsi="宋体" w:hint="eastAsia"/>
          <w:b/>
          <w:bCs/>
          <w:color w:val="000000"/>
          <w:kern w:val="0"/>
          <w:szCs w:val="21"/>
        </w:rPr>
        <w:t>.2 影响投资者决策的其他重要信息</w:t>
      </w:r>
    </w:p>
    <w:p w:rsidR="002B14C9" w:rsidRPr="002B14C9" w:rsidRDefault="002B14C9" w:rsidP="002B14C9">
      <w:pPr>
        <w:autoSpaceDE w:val="0"/>
        <w:autoSpaceDN w:val="0"/>
        <w:adjustRightInd w:val="0"/>
        <w:spacing w:line="360" w:lineRule="auto"/>
        <w:jc w:val="left"/>
        <w:rPr>
          <w:rFonts w:ascii="宋体" w:hAnsi="宋体"/>
          <w:bCs/>
          <w:color w:val="000000"/>
          <w:kern w:val="0"/>
          <w:szCs w:val="21"/>
        </w:rPr>
      </w:pPr>
      <w:r w:rsidRPr="002B14C9">
        <w:rPr>
          <w:rFonts w:ascii="宋体" w:hAnsi="宋体" w:hint="eastAsia"/>
          <w:bCs/>
          <w:color w:val="000000"/>
          <w:kern w:val="0"/>
          <w:szCs w:val="21"/>
        </w:rPr>
        <w:t>无</w:t>
      </w:r>
    </w:p>
    <w:bookmarkEnd w:id="160"/>
    <w:bookmarkEnd w:id="161"/>
    <w:bookmarkEnd w:id="162"/>
    <w:p w:rsidR="001A59F9" w:rsidRPr="00C56D9D" w:rsidRDefault="001A59F9" w:rsidP="00D564C7">
      <w:pPr>
        <w:spacing w:line="360" w:lineRule="auto"/>
        <w:ind w:firstLineChars="150" w:firstLine="315"/>
        <w:rPr>
          <w:rFonts w:eastAsiaTheme="minorEastAsia"/>
          <w:bCs/>
          <w:color w:val="000000" w:themeColor="text1"/>
          <w:szCs w:val="21"/>
        </w:rPr>
      </w:pPr>
    </w:p>
    <w:p w:rsidR="001A59F9" w:rsidRPr="00C56D9D" w:rsidRDefault="001A59F9" w:rsidP="00D564C7">
      <w:pPr>
        <w:spacing w:line="360" w:lineRule="auto"/>
        <w:ind w:firstLineChars="150" w:firstLine="315"/>
        <w:rPr>
          <w:rFonts w:eastAsiaTheme="minorEastAsia"/>
          <w:bCs/>
          <w:color w:val="000000" w:themeColor="text1"/>
          <w:szCs w:val="21"/>
        </w:rPr>
      </w:pPr>
    </w:p>
    <w:p w:rsidR="001A59F9" w:rsidRPr="00C56D9D" w:rsidRDefault="001A59F9" w:rsidP="00D564C7">
      <w:pPr>
        <w:spacing w:line="360" w:lineRule="auto"/>
        <w:ind w:firstLineChars="150" w:firstLine="315"/>
        <w:rPr>
          <w:rFonts w:eastAsiaTheme="minorEastAsia"/>
          <w:bCs/>
          <w:color w:val="000000" w:themeColor="text1"/>
          <w:szCs w:val="21"/>
        </w:rPr>
      </w:pPr>
    </w:p>
    <w:p w:rsidR="001A59F9" w:rsidRPr="00C56D9D" w:rsidRDefault="001A59F9" w:rsidP="000C397A">
      <w:pPr>
        <w:spacing w:line="360" w:lineRule="auto"/>
        <w:ind w:left="840"/>
        <w:jc w:val="right"/>
        <w:rPr>
          <w:rFonts w:eastAsiaTheme="minorEastAsia"/>
          <w:b/>
          <w:bCs/>
          <w:color w:val="000000" w:themeColor="text1"/>
          <w:szCs w:val="21"/>
        </w:rPr>
      </w:pPr>
      <w:r w:rsidRPr="00C56D9D">
        <w:rPr>
          <w:rFonts w:eastAsiaTheme="minorEastAsia"/>
          <w:b/>
          <w:bCs/>
          <w:color w:val="000000" w:themeColor="text1"/>
          <w:szCs w:val="21"/>
        </w:rPr>
        <w:t>上投摩根基金管理有限公司</w:t>
      </w:r>
    </w:p>
    <w:p w:rsidR="001A59F9" w:rsidRPr="00C56D9D" w:rsidRDefault="00A77C51" w:rsidP="000C397A">
      <w:pPr>
        <w:autoSpaceDE w:val="0"/>
        <w:autoSpaceDN w:val="0"/>
        <w:adjustRightInd w:val="0"/>
        <w:spacing w:line="360" w:lineRule="auto"/>
        <w:jc w:val="right"/>
        <w:rPr>
          <w:rFonts w:eastAsiaTheme="minorEastAsia"/>
          <w:b/>
          <w:bCs/>
          <w:color w:val="000000" w:themeColor="text1"/>
          <w:szCs w:val="21"/>
        </w:rPr>
      </w:pPr>
      <w:r w:rsidRPr="00C56D9D">
        <w:rPr>
          <w:rFonts w:eastAsiaTheme="minorEastAsia"/>
          <w:b/>
          <w:bCs/>
          <w:color w:val="000000" w:themeColor="text1"/>
          <w:szCs w:val="21"/>
        </w:rPr>
        <w:t>二〇一九年三月二十七日</w:t>
      </w:r>
    </w:p>
    <w:p w:rsidR="001A59F9" w:rsidRPr="00C56D9D" w:rsidRDefault="001A59F9" w:rsidP="00026C9C">
      <w:pPr>
        <w:spacing w:line="360" w:lineRule="auto"/>
        <w:rPr>
          <w:rFonts w:eastAsiaTheme="minorEastAsia"/>
          <w:color w:val="000000" w:themeColor="text1"/>
          <w:szCs w:val="21"/>
        </w:rPr>
      </w:pPr>
    </w:p>
    <w:sectPr w:rsidR="001A59F9" w:rsidRPr="00C56D9D"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CBD" w:rsidRDefault="008A1CBD">
      <w:r>
        <w:separator/>
      </w:r>
    </w:p>
  </w:endnote>
  <w:endnote w:type="continuationSeparator" w:id="0">
    <w:p w:rsidR="008A1CBD" w:rsidRDefault="008A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CBD" w:rsidRDefault="00CE649E" w:rsidP="00C03B3A">
    <w:pPr>
      <w:pStyle w:val="a7"/>
      <w:framePr w:wrap="around" w:vAnchor="text" w:hAnchor="margin" w:xAlign="right" w:y="1"/>
      <w:rPr>
        <w:rStyle w:val="a8"/>
      </w:rPr>
    </w:pPr>
    <w:r>
      <w:rPr>
        <w:rStyle w:val="a8"/>
      </w:rPr>
      <w:fldChar w:fldCharType="begin"/>
    </w:r>
    <w:r w:rsidR="008A1CBD">
      <w:rPr>
        <w:rStyle w:val="a8"/>
      </w:rPr>
      <w:instrText xml:space="preserve">PAGE  </w:instrText>
    </w:r>
    <w:r>
      <w:rPr>
        <w:rStyle w:val="a8"/>
      </w:rPr>
      <w:fldChar w:fldCharType="end"/>
    </w:r>
  </w:p>
  <w:p w:rsidR="008A1CBD" w:rsidRDefault="008A1CB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CBD" w:rsidRDefault="008A1CBD" w:rsidP="00C03B3A">
    <w:pPr>
      <w:pStyle w:val="a7"/>
      <w:ind w:right="360"/>
      <w:jc w:val="center"/>
    </w:pPr>
    <w:r>
      <w:rPr>
        <w:rFonts w:hint="eastAsia"/>
        <w:kern w:val="0"/>
        <w:szCs w:val="21"/>
      </w:rPr>
      <w:t>第</w:t>
    </w:r>
    <w:r w:rsidR="00CE649E">
      <w:rPr>
        <w:kern w:val="0"/>
        <w:szCs w:val="21"/>
      </w:rPr>
      <w:fldChar w:fldCharType="begin"/>
    </w:r>
    <w:r>
      <w:rPr>
        <w:kern w:val="0"/>
        <w:szCs w:val="21"/>
      </w:rPr>
      <w:instrText xml:space="preserve"> PAGE </w:instrText>
    </w:r>
    <w:r w:rsidR="00CE649E">
      <w:rPr>
        <w:kern w:val="0"/>
        <w:szCs w:val="21"/>
      </w:rPr>
      <w:fldChar w:fldCharType="separate"/>
    </w:r>
    <w:r w:rsidR="00CE2ADB">
      <w:rPr>
        <w:noProof/>
        <w:kern w:val="0"/>
        <w:szCs w:val="21"/>
      </w:rPr>
      <w:t>3</w:t>
    </w:r>
    <w:r w:rsidR="00CE649E">
      <w:rPr>
        <w:kern w:val="0"/>
        <w:szCs w:val="21"/>
      </w:rPr>
      <w:fldChar w:fldCharType="end"/>
    </w:r>
    <w:r>
      <w:rPr>
        <w:rFonts w:hint="eastAsia"/>
        <w:kern w:val="0"/>
        <w:szCs w:val="21"/>
      </w:rPr>
      <w:t>页共</w:t>
    </w:r>
    <w:r w:rsidR="00CE649E">
      <w:rPr>
        <w:kern w:val="0"/>
        <w:szCs w:val="21"/>
      </w:rPr>
      <w:fldChar w:fldCharType="begin"/>
    </w:r>
    <w:r>
      <w:rPr>
        <w:kern w:val="0"/>
        <w:szCs w:val="21"/>
      </w:rPr>
      <w:instrText xml:space="preserve"> NUMPAGES </w:instrText>
    </w:r>
    <w:r w:rsidR="00CE649E">
      <w:rPr>
        <w:kern w:val="0"/>
        <w:szCs w:val="21"/>
      </w:rPr>
      <w:fldChar w:fldCharType="separate"/>
    </w:r>
    <w:r w:rsidR="00CE2ADB">
      <w:rPr>
        <w:noProof/>
        <w:kern w:val="0"/>
        <w:szCs w:val="21"/>
      </w:rPr>
      <w:t>36</w:t>
    </w:r>
    <w:r w:rsidR="00CE649E">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CBD" w:rsidRDefault="008A1CBD">
      <w:r>
        <w:separator/>
      </w:r>
    </w:p>
  </w:footnote>
  <w:footnote w:type="continuationSeparator" w:id="0">
    <w:p w:rsidR="008A1CBD" w:rsidRDefault="008A1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CBD" w:rsidRPr="00C2542B" w:rsidRDefault="008A1CBD" w:rsidP="00C2542B">
    <w:pPr>
      <w:pStyle w:val="aa"/>
      <w:pBdr>
        <w:bottom w:val="single" w:sz="6" w:space="0" w:color="auto"/>
      </w:pBdr>
      <w:jc w:val="right"/>
    </w:pPr>
    <w:r w:rsidRPr="0098122D">
      <w:rPr>
        <w:sz w:val="21"/>
        <w:szCs w:val="21"/>
      </w:rPr>
      <w:t>上投摩根岁岁金定期开放债券型证券投资基金</w:t>
    </w:r>
    <w:r w:rsidRPr="0098122D">
      <w:rPr>
        <w:sz w:val="21"/>
        <w:szCs w:val="21"/>
      </w:rPr>
      <w:t>2018</w:t>
    </w:r>
    <w:r w:rsidRPr="0098122D">
      <w:rPr>
        <w:sz w:val="21"/>
        <w:szCs w:val="21"/>
      </w:rPr>
      <w:t>年年度报告</w:t>
    </w:r>
    <w:r>
      <w:rPr>
        <w:rFonts w:hint="eastAsia"/>
        <w:sz w:val="21"/>
        <w:szCs w:val="21"/>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7B52"/>
    <w:rsid w:val="000102A7"/>
    <w:rsid w:val="00010918"/>
    <w:rsid w:val="00010A83"/>
    <w:rsid w:val="00010A8E"/>
    <w:rsid w:val="00010AC3"/>
    <w:rsid w:val="00010C1F"/>
    <w:rsid w:val="00010F11"/>
    <w:rsid w:val="00011081"/>
    <w:rsid w:val="00011850"/>
    <w:rsid w:val="00011EB5"/>
    <w:rsid w:val="0001200B"/>
    <w:rsid w:val="0001280C"/>
    <w:rsid w:val="00012FE0"/>
    <w:rsid w:val="00013CAE"/>
    <w:rsid w:val="0001519F"/>
    <w:rsid w:val="000162AF"/>
    <w:rsid w:val="00017581"/>
    <w:rsid w:val="0001767C"/>
    <w:rsid w:val="00020583"/>
    <w:rsid w:val="00021813"/>
    <w:rsid w:val="0002185B"/>
    <w:rsid w:val="00021DD4"/>
    <w:rsid w:val="000221FE"/>
    <w:rsid w:val="000222C9"/>
    <w:rsid w:val="00023BE7"/>
    <w:rsid w:val="00023BEF"/>
    <w:rsid w:val="00024200"/>
    <w:rsid w:val="00024201"/>
    <w:rsid w:val="0002453B"/>
    <w:rsid w:val="00024C15"/>
    <w:rsid w:val="00024C62"/>
    <w:rsid w:val="00024CA0"/>
    <w:rsid w:val="000254D2"/>
    <w:rsid w:val="00026C9C"/>
    <w:rsid w:val="000274FE"/>
    <w:rsid w:val="000276C9"/>
    <w:rsid w:val="00030EF6"/>
    <w:rsid w:val="0003228A"/>
    <w:rsid w:val="000322D5"/>
    <w:rsid w:val="0003271C"/>
    <w:rsid w:val="00032ADD"/>
    <w:rsid w:val="00032FE1"/>
    <w:rsid w:val="000331EA"/>
    <w:rsid w:val="00033EC1"/>
    <w:rsid w:val="0003439C"/>
    <w:rsid w:val="00034BA5"/>
    <w:rsid w:val="000358FE"/>
    <w:rsid w:val="00036BD5"/>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4C1A"/>
    <w:rsid w:val="00045D10"/>
    <w:rsid w:val="00046C7D"/>
    <w:rsid w:val="000471B4"/>
    <w:rsid w:val="00050260"/>
    <w:rsid w:val="000510AB"/>
    <w:rsid w:val="000514E0"/>
    <w:rsid w:val="000525D9"/>
    <w:rsid w:val="00053091"/>
    <w:rsid w:val="0005346A"/>
    <w:rsid w:val="000534CD"/>
    <w:rsid w:val="00053EED"/>
    <w:rsid w:val="0005448A"/>
    <w:rsid w:val="00054499"/>
    <w:rsid w:val="00054AFA"/>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49D"/>
    <w:rsid w:val="00066524"/>
    <w:rsid w:val="000671A3"/>
    <w:rsid w:val="00070549"/>
    <w:rsid w:val="00070854"/>
    <w:rsid w:val="00070AEB"/>
    <w:rsid w:val="00070CD1"/>
    <w:rsid w:val="00071022"/>
    <w:rsid w:val="0007171B"/>
    <w:rsid w:val="000717A1"/>
    <w:rsid w:val="00072DE0"/>
    <w:rsid w:val="00073DB1"/>
    <w:rsid w:val="00073EA5"/>
    <w:rsid w:val="00073F87"/>
    <w:rsid w:val="00075473"/>
    <w:rsid w:val="00076397"/>
    <w:rsid w:val="000764CB"/>
    <w:rsid w:val="00076CC5"/>
    <w:rsid w:val="000801F4"/>
    <w:rsid w:val="00080423"/>
    <w:rsid w:val="00081344"/>
    <w:rsid w:val="0008141B"/>
    <w:rsid w:val="00081923"/>
    <w:rsid w:val="00081A3D"/>
    <w:rsid w:val="00081D05"/>
    <w:rsid w:val="0008226A"/>
    <w:rsid w:val="00082367"/>
    <w:rsid w:val="00082B63"/>
    <w:rsid w:val="00083BAF"/>
    <w:rsid w:val="000847EE"/>
    <w:rsid w:val="00084ADE"/>
    <w:rsid w:val="0008506D"/>
    <w:rsid w:val="00085834"/>
    <w:rsid w:val="00085F3E"/>
    <w:rsid w:val="000861D6"/>
    <w:rsid w:val="0008624A"/>
    <w:rsid w:val="000863CA"/>
    <w:rsid w:val="00086622"/>
    <w:rsid w:val="000866EC"/>
    <w:rsid w:val="00087011"/>
    <w:rsid w:val="000874BC"/>
    <w:rsid w:val="00087CF7"/>
    <w:rsid w:val="00087D8D"/>
    <w:rsid w:val="0009000C"/>
    <w:rsid w:val="000908ED"/>
    <w:rsid w:val="0009091B"/>
    <w:rsid w:val="00090C3E"/>
    <w:rsid w:val="000917D5"/>
    <w:rsid w:val="000919B7"/>
    <w:rsid w:val="0009357E"/>
    <w:rsid w:val="00094876"/>
    <w:rsid w:val="000951F7"/>
    <w:rsid w:val="00095912"/>
    <w:rsid w:val="00095C31"/>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2781"/>
    <w:rsid w:val="000A2F6A"/>
    <w:rsid w:val="000A3022"/>
    <w:rsid w:val="000A335B"/>
    <w:rsid w:val="000A38DE"/>
    <w:rsid w:val="000A3C31"/>
    <w:rsid w:val="000A457E"/>
    <w:rsid w:val="000A4672"/>
    <w:rsid w:val="000A4FEF"/>
    <w:rsid w:val="000A53FD"/>
    <w:rsid w:val="000A549A"/>
    <w:rsid w:val="000A578A"/>
    <w:rsid w:val="000A72F2"/>
    <w:rsid w:val="000A76A2"/>
    <w:rsid w:val="000B0C56"/>
    <w:rsid w:val="000B0E6B"/>
    <w:rsid w:val="000B1D26"/>
    <w:rsid w:val="000B2B57"/>
    <w:rsid w:val="000B2C76"/>
    <w:rsid w:val="000B2C8D"/>
    <w:rsid w:val="000B3435"/>
    <w:rsid w:val="000B36CC"/>
    <w:rsid w:val="000B3E43"/>
    <w:rsid w:val="000B417C"/>
    <w:rsid w:val="000B4365"/>
    <w:rsid w:val="000B5CC0"/>
    <w:rsid w:val="000C01F9"/>
    <w:rsid w:val="000C05AB"/>
    <w:rsid w:val="000C0871"/>
    <w:rsid w:val="000C0CA5"/>
    <w:rsid w:val="000C0F55"/>
    <w:rsid w:val="000C127D"/>
    <w:rsid w:val="000C15BE"/>
    <w:rsid w:val="000C1723"/>
    <w:rsid w:val="000C1774"/>
    <w:rsid w:val="000C1B20"/>
    <w:rsid w:val="000C224F"/>
    <w:rsid w:val="000C397A"/>
    <w:rsid w:val="000C3FD9"/>
    <w:rsid w:val="000C4107"/>
    <w:rsid w:val="000C45E7"/>
    <w:rsid w:val="000C45F5"/>
    <w:rsid w:val="000C5C31"/>
    <w:rsid w:val="000C5E98"/>
    <w:rsid w:val="000C6213"/>
    <w:rsid w:val="000C698D"/>
    <w:rsid w:val="000C705C"/>
    <w:rsid w:val="000C7AE4"/>
    <w:rsid w:val="000D01F4"/>
    <w:rsid w:val="000D0B89"/>
    <w:rsid w:val="000D1519"/>
    <w:rsid w:val="000D1562"/>
    <w:rsid w:val="000D3145"/>
    <w:rsid w:val="000D36D1"/>
    <w:rsid w:val="000D3B18"/>
    <w:rsid w:val="000D4AAD"/>
    <w:rsid w:val="000D52B3"/>
    <w:rsid w:val="000D52DC"/>
    <w:rsid w:val="000D6054"/>
    <w:rsid w:val="000D619B"/>
    <w:rsid w:val="000D6C3B"/>
    <w:rsid w:val="000D788B"/>
    <w:rsid w:val="000D7898"/>
    <w:rsid w:val="000D7D7C"/>
    <w:rsid w:val="000E0379"/>
    <w:rsid w:val="000E34ED"/>
    <w:rsid w:val="000E4456"/>
    <w:rsid w:val="000E6184"/>
    <w:rsid w:val="000E67FE"/>
    <w:rsid w:val="000E7B5C"/>
    <w:rsid w:val="000F0C0A"/>
    <w:rsid w:val="000F175F"/>
    <w:rsid w:val="000F17D1"/>
    <w:rsid w:val="000F255E"/>
    <w:rsid w:val="000F2C75"/>
    <w:rsid w:val="000F3506"/>
    <w:rsid w:val="000F452E"/>
    <w:rsid w:val="000F5314"/>
    <w:rsid w:val="000F5396"/>
    <w:rsid w:val="000F5704"/>
    <w:rsid w:val="000F593E"/>
    <w:rsid w:val="000F60F3"/>
    <w:rsid w:val="000F60FF"/>
    <w:rsid w:val="000F635F"/>
    <w:rsid w:val="000F6C61"/>
    <w:rsid w:val="000F754C"/>
    <w:rsid w:val="00100C12"/>
    <w:rsid w:val="001013A8"/>
    <w:rsid w:val="00101C35"/>
    <w:rsid w:val="00102CC8"/>
    <w:rsid w:val="001030B5"/>
    <w:rsid w:val="0010352B"/>
    <w:rsid w:val="00103589"/>
    <w:rsid w:val="0010401E"/>
    <w:rsid w:val="001049B6"/>
    <w:rsid w:val="00104DE3"/>
    <w:rsid w:val="00104F1F"/>
    <w:rsid w:val="001051C6"/>
    <w:rsid w:val="0010577B"/>
    <w:rsid w:val="00105C9C"/>
    <w:rsid w:val="001069ED"/>
    <w:rsid w:val="00106C1F"/>
    <w:rsid w:val="001075D3"/>
    <w:rsid w:val="001103A7"/>
    <w:rsid w:val="001116BA"/>
    <w:rsid w:val="0011177A"/>
    <w:rsid w:val="0011179E"/>
    <w:rsid w:val="00111C71"/>
    <w:rsid w:val="001134F0"/>
    <w:rsid w:val="00113763"/>
    <w:rsid w:val="001141C0"/>
    <w:rsid w:val="00116B7D"/>
    <w:rsid w:val="00116E31"/>
    <w:rsid w:val="0012049C"/>
    <w:rsid w:val="0012065E"/>
    <w:rsid w:val="00120825"/>
    <w:rsid w:val="00120EED"/>
    <w:rsid w:val="001212B4"/>
    <w:rsid w:val="0012304E"/>
    <w:rsid w:val="00123252"/>
    <w:rsid w:val="001239C8"/>
    <w:rsid w:val="00123A56"/>
    <w:rsid w:val="001248EF"/>
    <w:rsid w:val="001257C7"/>
    <w:rsid w:val="001263E7"/>
    <w:rsid w:val="00126502"/>
    <w:rsid w:val="001268F9"/>
    <w:rsid w:val="00126AF2"/>
    <w:rsid w:val="00126DDF"/>
    <w:rsid w:val="001270BF"/>
    <w:rsid w:val="001275C7"/>
    <w:rsid w:val="00127BAC"/>
    <w:rsid w:val="00127FF5"/>
    <w:rsid w:val="00130E9F"/>
    <w:rsid w:val="001318D2"/>
    <w:rsid w:val="00131EC2"/>
    <w:rsid w:val="00132E82"/>
    <w:rsid w:val="0013374F"/>
    <w:rsid w:val="00135467"/>
    <w:rsid w:val="001364D3"/>
    <w:rsid w:val="001366C4"/>
    <w:rsid w:val="0013686A"/>
    <w:rsid w:val="0013718B"/>
    <w:rsid w:val="00137BB5"/>
    <w:rsid w:val="00137BB9"/>
    <w:rsid w:val="00137D50"/>
    <w:rsid w:val="00140038"/>
    <w:rsid w:val="00141BF1"/>
    <w:rsid w:val="00142280"/>
    <w:rsid w:val="001422A5"/>
    <w:rsid w:val="0014241E"/>
    <w:rsid w:val="001424C6"/>
    <w:rsid w:val="00142A56"/>
    <w:rsid w:val="00142C11"/>
    <w:rsid w:val="001432A7"/>
    <w:rsid w:val="00143BE5"/>
    <w:rsid w:val="00143C09"/>
    <w:rsid w:val="00144AAD"/>
    <w:rsid w:val="00144DF5"/>
    <w:rsid w:val="001455C7"/>
    <w:rsid w:val="00145A97"/>
    <w:rsid w:val="00146153"/>
    <w:rsid w:val="00146485"/>
    <w:rsid w:val="00146A28"/>
    <w:rsid w:val="00147394"/>
    <w:rsid w:val="00147492"/>
    <w:rsid w:val="00147D41"/>
    <w:rsid w:val="0015080E"/>
    <w:rsid w:val="00150AD6"/>
    <w:rsid w:val="0015173F"/>
    <w:rsid w:val="00151B23"/>
    <w:rsid w:val="0015258A"/>
    <w:rsid w:val="00152B88"/>
    <w:rsid w:val="001535AE"/>
    <w:rsid w:val="00153B40"/>
    <w:rsid w:val="00153BCF"/>
    <w:rsid w:val="00154ADA"/>
    <w:rsid w:val="00154B08"/>
    <w:rsid w:val="00154C47"/>
    <w:rsid w:val="0015531A"/>
    <w:rsid w:val="001561DA"/>
    <w:rsid w:val="001569B7"/>
    <w:rsid w:val="00157418"/>
    <w:rsid w:val="00157B5A"/>
    <w:rsid w:val="00157FC2"/>
    <w:rsid w:val="0016004B"/>
    <w:rsid w:val="0016050B"/>
    <w:rsid w:val="00162C6F"/>
    <w:rsid w:val="00163220"/>
    <w:rsid w:val="001633D1"/>
    <w:rsid w:val="0016380C"/>
    <w:rsid w:val="00163816"/>
    <w:rsid w:val="00163B27"/>
    <w:rsid w:val="0016425E"/>
    <w:rsid w:val="00164BF7"/>
    <w:rsid w:val="00165317"/>
    <w:rsid w:val="001657AB"/>
    <w:rsid w:val="001663FB"/>
    <w:rsid w:val="0016724C"/>
    <w:rsid w:val="0017073D"/>
    <w:rsid w:val="00170984"/>
    <w:rsid w:val="00170D38"/>
    <w:rsid w:val="00171484"/>
    <w:rsid w:val="00171A8D"/>
    <w:rsid w:val="00171BAD"/>
    <w:rsid w:val="00171F2C"/>
    <w:rsid w:val="0017369E"/>
    <w:rsid w:val="00173AF1"/>
    <w:rsid w:val="001744B4"/>
    <w:rsid w:val="00174FE6"/>
    <w:rsid w:val="001751EF"/>
    <w:rsid w:val="001756A1"/>
    <w:rsid w:val="001761EE"/>
    <w:rsid w:val="00176EAA"/>
    <w:rsid w:val="00177030"/>
    <w:rsid w:val="0017725A"/>
    <w:rsid w:val="00177C4B"/>
    <w:rsid w:val="00177D32"/>
    <w:rsid w:val="00177F6A"/>
    <w:rsid w:val="00181001"/>
    <w:rsid w:val="001819A8"/>
    <w:rsid w:val="00182A38"/>
    <w:rsid w:val="0018325A"/>
    <w:rsid w:val="00183D7A"/>
    <w:rsid w:val="00184CAE"/>
    <w:rsid w:val="00186199"/>
    <w:rsid w:val="00186F7A"/>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6D76"/>
    <w:rsid w:val="00197C86"/>
    <w:rsid w:val="00197E15"/>
    <w:rsid w:val="001A088E"/>
    <w:rsid w:val="001A093D"/>
    <w:rsid w:val="001A0F4A"/>
    <w:rsid w:val="001A1B13"/>
    <w:rsid w:val="001A1D38"/>
    <w:rsid w:val="001A21A9"/>
    <w:rsid w:val="001A2A97"/>
    <w:rsid w:val="001A360D"/>
    <w:rsid w:val="001A364F"/>
    <w:rsid w:val="001A39B7"/>
    <w:rsid w:val="001A3D7C"/>
    <w:rsid w:val="001A42FA"/>
    <w:rsid w:val="001A4AEC"/>
    <w:rsid w:val="001A59D8"/>
    <w:rsid w:val="001A59F9"/>
    <w:rsid w:val="001A5FA6"/>
    <w:rsid w:val="001A6157"/>
    <w:rsid w:val="001A6685"/>
    <w:rsid w:val="001A668F"/>
    <w:rsid w:val="001A71CC"/>
    <w:rsid w:val="001A7F30"/>
    <w:rsid w:val="001B0A5D"/>
    <w:rsid w:val="001B25CD"/>
    <w:rsid w:val="001B261A"/>
    <w:rsid w:val="001B2F0C"/>
    <w:rsid w:val="001B30CA"/>
    <w:rsid w:val="001B3513"/>
    <w:rsid w:val="001B353A"/>
    <w:rsid w:val="001B3C1C"/>
    <w:rsid w:val="001B3D3E"/>
    <w:rsid w:val="001B4060"/>
    <w:rsid w:val="001B50CD"/>
    <w:rsid w:val="001B52FE"/>
    <w:rsid w:val="001B7890"/>
    <w:rsid w:val="001C005A"/>
    <w:rsid w:val="001C00CF"/>
    <w:rsid w:val="001C0806"/>
    <w:rsid w:val="001C1C7F"/>
    <w:rsid w:val="001C2F9C"/>
    <w:rsid w:val="001C3399"/>
    <w:rsid w:val="001C37F6"/>
    <w:rsid w:val="001C4D9F"/>
    <w:rsid w:val="001C5289"/>
    <w:rsid w:val="001C6288"/>
    <w:rsid w:val="001C67A1"/>
    <w:rsid w:val="001C72BF"/>
    <w:rsid w:val="001C7C6D"/>
    <w:rsid w:val="001C7CC2"/>
    <w:rsid w:val="001D0538"/>
    <w:rsid w:val="001D0634"/>
    <w:rsid w:val="001D0F6A"/>
    <w:rsid w:val="001D1BBC"/>
    <w:rsid w:val="001D21BC"/>
    <w:rsid w:val="001D27D8"/>
    <w:rsid w:val="001D2E47"/>
    <w:rsid w:val="001D2E79"/>
    <w:rsid w:val="001D2FA5"/>
    <w:rsid w:val="001D35E0"/>
    <w:rsid w:val="001D5045"/>
    <w:rsid w:val="001D5494"/>
    <w:rsid w:val="001D5A44"/>
    <w:rsid w:val="001D5A62"/>
    <w:rsid w:val="001D6213"/>
    <w:rsid w:val="001D68BB"/>
    <w:rsid w:val="001D724B"/>
    <w:rsid w:val="001E03BE"/>
    <w:rsid w:val="001E0AAA"/>
    <w:rsid w:val="001E0F28"/>
    <w:rsid w:val="001E11D3"/>
    <w:rsid w:val="001E15F1"/>
    <w:rsid w:val="001E1C4F"/>
    <w:rsid w:val="001E287E"/>
    <w:rsid w:val="001E2A6A"/>
    <w:rsid w:val="001E34ED"/>
    <w:rsid w:val="001E3DC2"/>
    <w:rsid w:val="001E5488"/>
    <w:rsid w:val="001E56FF"/>
    <w:rsid w:val="001E59BF"/>
    <w:rsid w:val="001E5C6B"/>
    <w:rsid w:val="001E63C3"/>
    <w:rsid w:val="001E6EBF"/>
    <w:rsid w:val="001F0307"/>
    <w:rsid w:val="001F03E1"/>
    <w:rsid w:val="001F221F"/>
    <w:rsid w:val="001F3CC6"/>
    <w:rsid w:val="001F3EE3"/>
    <w:rsid w:val="001F3F50"/>
    <w:rsid w:val="001F4530"/>
    <w:rsid w:val="001F5CE2"/>
    <w:rsid w:val="001F5DBA"/>
    <w:rsid w:val="001F5DE3"/>
    <w:rsid w:val="001F5F74"/>
    <w:rsid w:val="001F790F"/>
    <w:rsid w:val="002010DE"/>
    <w:rsid w:val="00201962"/>
    <w:rsid w:val="00201B58"/>
    <w:rsid w:val="00201E80"/>
    <w:rsid w:val="00201F92"/>
    <w:rsid w:val="00202968"/>
    <w:rsid w:val="00202C32"/>
    <w:rsid w:val="00203973"/>
    <w:rsid w:val="00203AEF"/>
    <w:rsid w:val="00204CB6"/>
    <w:rsid w:val="00205401"/>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179E9"/>
    <w:rsid w:val="00220542"/>
    <w:rsid w:val="00220D7F"/>
    <w:rsid w:val="002210EB"/>
    <w:rsid w:val="00221174"/>
    <w:rsid w:val="0022193C"/>
    <w:rsid w:val="00222B4E"/>
    <w:rsid w:val="00222DE3"/>
    <w:rsid w:val="002233F0"/>
    <w:rsid w:val="0022347C"/>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2C7"/>
    <w:rsid w:val="002334A5"/>
    <w:rsid w:val="00234202"/>
    <w:rsid w:val="002349AF"/>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158D"/>
    <w:rsid w:val="00251C7E"/>
    <w:rsid w:val="00252697"/>
    <w:rsid w:val="0025281A"/>
    <w:rsid w:val="00253D3C"/>
    <w:rsid w:val="002544D7"/>
    <w:rsid w:val="00255292"/>
    <w:rsid w:val="00255A23"/>
    <w:rsid w:val="00257578"/>
    <w:rsid w:val="00260200"/>
    <w:rsid w:val="00260B06"/>
    <w:rsid w:val="00261D93"/>
    <w:rsid w:val="00262029"/>
    <w:rsid w:val="002624ED"/>
    <w:rsid w:val="002627A1"/>
    <w:rsid w:val="00262C73"/>
    <w:rsid w:val="002637E8"/>
    <w:rsid w:val="00263BBD"/>
    <w:rsid w:val="00264345"/>
    <w:rsid w:val="002643C2"/>
    <w:rsid w:val="002648D8"/>
    <w:rsid w:val="002652C1"/>
    <w:rsid w:val="00265AFB"/>
    <w:rsid w:val="00265B8A"/>
    <w:rsid w:val="00267133"/>
    <w:rsid w:val="00267EE3"/>
    <w:rsid w:val="00267F59"/>
    <w:rsid w:val="002700E9"/>
    <w:rsid w:val="00270CE9"/>
    <w:rsid w:val="00271651"/>
    <w:rsid w:val="00271DCB"/>
    <w:rsid w:val="0027235A"/>
    <w:rsid w:val="00273F86"/>
    <w:rsid w:val="002741BE"/>
    <w:rsid w:val="002752EA"/>
    <w:rsid w:val="00275EAD"/>
    <w:rsid w:val="00276B03"/>
    <w:rsid w:val="002773FB"/>
    <w:rsid w:val="002774F0"/>
    <w:rsid w:val="00277722"/>
    <w:rsid w:val="00280DB6"/>
    <w:rsid w:val="002813C5"/>
    <w:rsid w:val="00282C23"/>
    <w:rsid w:val="0028315D"/>
    <w:rsid w:val="00283885"/>
    <w:rsid w:val="002839A4"/>
    <w:rsid w:val="0028459B"/>
    <w:rsid w:val="00284C5F"/>
    <w:rsid w:val="0028507E"/>
    <w:rsid w:val="00285905"/>
    <w:rsid w:val="00286183"/>
    <w:rsid w:val="002873F0"/>
    <w:rsid w:val="00287762"/>
    <w:rsid w:val="00290793"/>
    <w:rsid w:val="00291097"/>
    <w:rsid w:val="002916E3"/>
    <w:rsid w:val="00291A70"/>
    <w:rsid w:val="00291F6F"/>
    <w:rsid w:val="00292DE2"/>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0EA9"/>
    <w:rsid w:val="002A1381"/>
    <w:rsid w:val="002A1F14"/>
    <w:rsid w:val="002A2678"/>
    <w:rsid w:val="002A2901"/>
    <w:rsid w:val="002A2E01"/>
    <w:rsid w:val="002A32E5"/>
    <w:rsid w:val="002A35B1"/>
    <w:rsid w:val="002A398F"/>
    <w:rsid w:val="002A3DFD"/>
    <w:rsid w:val="002A46A7"/>
    <w:rsid w:val="002A5C6B"/>
    <w:rsid w:val="002A5D31"/>
    <w:rsid w:val="002A5EF1"/>
    <w:rsid w:val="002A711D"/>
    <w:rsid w:val="002A714F"/>
    <w:rsid w:val="002A75D7"/>
    <w:rsid w:val="002B02AE"/>
    <w:rsid w:val="002B09C0"/>
    <w:rsid w:val="002B14C9"/>
    <w:rsid w:val="002B1851"/>
    <w:rsid w:val="002B27FF"/>
    <w:rsid w:val="002B2F4E"/>
    <w:rsid w:val="002B4BC3"/>
    <w:rsid w:val="002B5C8E"/>
    <w:rsid w:val="002B6793"/>
    <w:rsid w:val="002B6CD9"/>
    <w:rsid w:val="002B6F27"/>
    <w:rsid w:val="002B780B"/>
    <w:rsid w:val="002B7F59"/>
    <w:rsid w:val="002C1260"/>
    <w:rsid w:val="002C1726"/>
    <w:rsid w:val="002C21A6"/>
    <w:rsid w:val="002C26D5"/>
    <w:rsid w:val="002C3EAB"/>
    <w:rsid w:val="002C4E82"/>
    <w:rsid w:val="002C5777"/>
    <w:rsid w:val="002C5889"/>
    <w:rsid w:val="002C65FA"/>
    <w:rsid w:val="002C661D"/>
    <w:rsid w:val="002C7C89"/>
    <w:rsid w:val="002D0054"/>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E3E"/>
    <w:rsid w:val="002E319D"/>
    <w:rsid w:val="002E4AD5"/>
    <w:rsid w:val="002E4C2D"/>
    <w:rsid w:val="002E63B8"/>
    <w:rsid w:val="002E6526"/>
    <w:rsid w:val="002F0F79"/>
    <w:rsid w:val="002F1C9E"/>
    <w:rsid w:val="002F1EB2"/>
    <w:rsid w:val="002F25C3"/>
    <w:rsid w:val="002F280E"/>
    <w:rsid w:val="002F2CBB"/>
    <w:rsid w:val="002F3470"/>
    <w:rsid w:val="002F3709"/>
    <w:rsid w:val="002F3A1D"/>
    <w:rsid w:val="002F3A6C"/>
    <w:rsid w:val="002F4296"/>
    <w:rsid w:val="002F5777"/>
    <w:rsid w:val="002F5A37"/>
    <w:rsid w:val="002F60EA"/>
    <w:rsid w:val="002F680E"/>
    <w:rsid w:val="002F6FFD"/>
    <w:rsid w:val="003002AB"/>
    <w:rsid w:val="00300951"/>
    <w:rsid w:val="00300E8A"/>
    <w:rsid w:val="00301EE5"/>
    <w:rsid w:val="003023C9"/>
    <w:rsid w:val="0030275A"/>
    <w:rsid w:val="00302C17"/>
    <w:rsid w:val="00302CA8"/>
    <w:rsid w:val="00302DE9"/>
    <w:rsid w:val="00304860"/>
    <w:rsid w:val="003049BB"/>
    <w:rsid w:val="00304E23"/>
    <w:rsid w:val="00305084"/>
    <w:rsid w:val="00306408"/>
    <w:rsid w:val="00306B90"/>
    <w:rsid w:val="00307249"/>
    <w:rsid w:val="0031007A"/>
    <w:rsid w:val="00310315"/>
    <w:rsid w:val="003104B9"/>
    <w:rsid w:val="003106DD"/>
    <w:rsid w:val="003125AB"/>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0D99"/>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7090"/>
    <w:rsid w:val="003303E3"/>
    <w:rsid w:val="00330651"/>
    <w:rsid w:val="00330905"/>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5666"/>
    <w:rsid w:val="00345861"/>
    <w:rsid w:val="00346330"/>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838"/>
    <w:rsid w:val="00357B15"/>
    <w:rsid w:val="00357BA8"/>
    <w:rsid w:val="00357BB3"/>
    <w:rsid w:val="003602EA"/>
    <w:rsid w:val="00360905"/>
    <w:rsid w:val="00360F81"/>
    <w:rsid w:val="00361E7E"/>
    <w:rsid w:val="003648CB"/>
    <w:rsid w:val="003648F2"/>
    <w:rsid w:val="00364FA1"/>
    <w:rsid w:val="00366B02"/>
    <w:rsid w:val="003671F1"/>
    <w:rsid w:val="003671F5"/>
    <w:rsid w:val="0036741D"/>
    <w:rsid w:val="00370AA4"/>
    <w:rsid w:val="00370FB7"/>
    <w:rsid w:val="003711F2"/>
    <w:rsid w:val="003717FC"/>
    <w:rsid w:val="00371FF4"/>
    <w:rsid w:val="003723C2"/>
    <w:rsid w:val="0037269C"/>
    <w:rsid w:val="0037275D"/>
    <w:rsid w:val="00372797"/>
    <w:rsid w:val="0037470E"/>
    <w:rsid w:val="00375CC4"/>
    <w:rsid w:val="00376103"/>
    <w:rsid w:val="0037647D"/>
    <w:rsid w:val="003767B3"/>
    <w:rsid w:val="00376B49"/>
    <w:rsid w:val="00376FC5"/>
    <w:rsid w:val="00377520"/>
    <w:rsid w:val="00380D36"/>
    <w:rsid w:val="00380F49"/>
    <w:rsid w:val="003813FC"/>
    <w:rsid w:val="00381A73"/>
    <w:rsid w:val="003822D3"/>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36FD"/>
    <w:rsid w:val="003953ED"/>
    <w:rsid w:val="00395684"/>
    <w:rsid w:val="00395B3E"/>
    <w:rsid w:val="00395CAA"/>
    <w:rsid w:val="00396588"/>
    <w:rsid w:val="00396863"/>
    <w:rsid w:val="00397156"/>
    <w:rsid w:val="00397960"/>
    <w:rsid w:val="003A0255"/>
    <w:rsid w:val="003A0663"/>
    <w:rsid w:val="003A0FD0"/>
    <w:rsid w:val="003A14FD"/>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1F"/>
    <w:rsid w:val="003B47EB"/>
    <w:rsid w:val="003B48BA"/>
    <w:rsid w:val="003B5508"/>
    <w:rsid w:val="003B57D3"/>
    <w:rsid w:val="003B59CA"/>
    <w:rsid w:val="003B5D20"/>
    <w:rsid w:val="003B6067"/>
    <w:rsid w:val="003B618B"/>
    <w:rsid w:val="003B6EF0"/>
    <w:rsid w:val="003C0892"/>
    <w:rsid w:val="003C08E3"/>
    <w:rsid w:val="003C08FB"/>
    <w:rsid w:val="003C09B5"/>
    <w:rsid w:val="003C0F62"/>
    <w:rsid w:val="003C1176"/>
    <w:rsid w:val="003C1D9A"/>
    <w:rsid w:val="003C1F58"/>
    <w:rsid w:val="003C2C58"/>
    <w:rsid w:val="003C488C"/>
    <w:rsid w:val="003C48B1"/>
    <w:rsid w:val="003C57A7"/>
    <w:rsid w:val="003C5AF2"/>
    <w:rsid w:val="003C5C2B"/>
    <w:rsid w:val="003C6183"/>
    <w:rsid w:val="003C6865"/>
    <w:rsid w:val="003C6943"/>
    <w:rsid w:val="003C6BD2"/>
    <w:rsid w:val="003C7294"/>
    <w:rsid w:val="003C792F"/>
    <w:rsid w:val="003C7ABD"/>
    <w:rsid w:val="003C7C3D"/>
    <w:rsid w:val="003D08F8"/>
    <w:rsid w:val="003D124B"/>
    <w:rsid w:val="003D18F3"/>
    <w:rsid w:val="003D2CC1"/>
    <w:rsid w:val="003D41C0"/>
    <w:rsid w:val="003D4FFC"/>
    <w:rsid w:val="003D51ED"/>
    <w:rsid w:val="003D569B"/>
    <w:rsid w:val="003D56A8"/>
    <w:rsid w:val="003D637D"/>
    <w:rsid w:val="003D66E3"/>
    <w:rsid w:val="003D78B5"/>
    <w:rsid w:val="003E04AE"/>
    <w:rsid w:val="003E099F"/>
    <w:rsid w:val="003E0CE7"/>
    <w:rsid w:val="003E19FF"/>
    <w:rsid w:val="003E244F"/>
    <w:rsid w:val="003E37AE"/>
    <w:rsid w:val="003E4D64"/>
    <w:rsid w:val="003E5165"/>
    <w:rsid w:val="003E62A6"/>
    <w:rsid w:val="003E6441"/>
    <w:rsid w:val="003E695F"/>
    <w:rsid w:val="003E6C9B"/>
    <w:rsid w:val="003E6D39"/>
    <w:rsid w:val="003E709C"/>
    <w:rsid w:val="003E712E"/>
    <w:rsid w:val="003E726D"/>
    <w:rsid w:val="003E73C3"/>
    <w:rsid w:val="003E7B89"/>
    <w:rsid w:val="003F0B30"/>
    <w:rsid w:val="003F0C3A"/>
    <w:rsid w:val="003F0FA3"/>
    <w:rsid w:val="003F276B"/>
    <w:rsid w:val="003F3B08"/>
    <w:rsid w:val="003F4241"/>
    <w:rsid w:val="003F4B8A"/>
    <w:rsid w:val="003F62BB"/>
    <w:rsid w:val="003F6FEC"/>
    <w:rsid w:val="003F730C"/>
    <w:rsid w:val="003F7541"/>
    <w:rsid w:val="003F7C45"/>
    <w:rsid w:val="00400241"/>
    <w:rsid w:val="00401314"/>
    <w:rsid w:val="0040132C"/>
    <w:rsid w:val="0040141B"/>
    <w:rsid w:val="0040231A"/>
    <w:rsid w:val="00402355"/>
    <w:rsid w:val="00402F36"/>
    <w:rsid w:val="004036C3"/>
    <w:rsid w:val="00403F0C"/>
    <w:rsid w:val="004049BD"/>
    <w:rsid w:val="00404EB5"/>
    <w:rsid w:val="00405085"/>
    <w:rsid w:val="00405D28"/>
    <w:rsid w:val="004066FC"/>
    <w:rsid w:val="004067B4"/>
    <w:rsid w:val="00407481"/>
    <w:rsid w:val="00407C10"/>
    <w:rsid w:val="00407E90"/>
    <w:rsid w:val="004113B4"/>
    <w:rsid w:val="00411D5B"/>
    <w:rsid w:val="00412EC3"/>
    <w:rsid w:val="00413323"/>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2F79"/>
    <w:rsid w:val="00423BA3"/>
    <w:rsid w:val="00424213"/>
    <w:rsid w:val="00424EF3"/>
    <w:rsid w:val="00425745"/>
    <w:rsid w:val="00425F76"/>
    <w:rsid w:val="004267DB"/>
    <w:rsid w:val="004268BB"/>
    <w:rsid w:val="00426A4B"/>
    <w:rsid w:val="00427D2F"/>
    <w:rsid w:val="00430724"/>
    <w:rsid w:val="00431047"/>
    <w:rsid w:val="00431741"/>
    <w:rsid w:val="00431763"/>
    <w:rsid w:val="00431B86"/>
    <w:rsid w:val="00431E4A"/>
    <w:rsid w:val="0043264B"/>
    <w:rsid w:val="00432B85"/>
    <w:rsid w:val="00433EED"/>
    <w:rsid w:val="004345BA"/>
    <w:rsid w:val="00435BF3"/>
    <w:rsid w:val="00435F1E"/>
    <w:rsid w:val="004362A7"/>
    <w:rsid w:val="00436EC2"/>
    <w:rsid w:val="00437C96"/>
    <w:rsid w:val="00437F46"/>
    <w:rsid w:val="004408EC"/>
    <w:rsid w:val="00440927"/>
    <w:rsid w:val="004416A4"/>
    <w:rsid w:val="00441E6A"/>
    <w:rsid w:val="00442AEE"/>
    <w:rsid w:val="00443C8F"/>
    <w:rsid w:val="00444936"/>
    <w:rsid w:val="00444C60"/>
    <w:rsid w:val="00444E35"/>
    <w:rsid w:val="0044502D"/>
    <w:rsid w:val="00445E49"/>
    <w:rsid w:val="00445F6B"/>
    <w:rsid w:val="00446B60"/>
    <w:rsid w:val="00447CEF"/>
    <w:rsid w:val="00447E28"/>
    <w:rsid w:val="00447E8E"/>
    <w:rsid w:val="00450146"/>
    <w:rsid w:val="00450BA9"/>
    <w:rsid w:val="00450C8A"/>
    <w:rsid w:val="00452481"/>
    <w:rsid w:val="004528FA"/>
    <w:rsid w:val="00453DC8"/>
    <w:rsid w:val="00455165"/>
    <w:rsid w:val="00455821"/>
    <w:rsid w:val="00457804"/>
    <w:rsid w:val="00457B10"/>
    <w:rsid w:val="00460304"/>
    <w:rsid w:val="00460AEF"/>
    <w:rsid w:val="00460C52"/>
    <w:rsid w:val="00461001"/>
    <w:rsid w:val="00462279"/>
    <w:rsid w:val="00462B36"/>
    <w:rsid w:val="00462F62"/>
    <w:rsid w:val="00463035"/>
    <w:rsid w:val="0046389C"/>
    <w:rsid w:val="004642FB"/>
    <w:rsid w:val="004646BF"/>
    <w:rsid w:val="00464744"/>
    <w:rsid w:val="00465368"/>
    <w:rsid w:val="004665E3"/>
    <w:rsid w:val="0046760F"/>
    <w:rsid w:val="00471400"/>
    <w:rsid w:val="0047237D"/>
    <w:rsid w:val="00472561"/>
    <w:rsid w:val="004731F1"/>
    <w:rsid w:val="00473EB5"/>
    <w:rsid w:val="0047456B"/>
    <w:rsid w:val="00474D0B"/>
    <w:rsid w:val="00475251"/>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125B"/>
    <w:rsid w:val="00491C58"/>
    <w:rsid w:val="00491FAB"/>
    <w:rsid w:val="00492081"/>
    <w:rsid w:val="0049227D"/>
    <w:rsid w:val="0049297D"/>
    <w:rsid w:val="004929F2"/>
    <w:rsid w:val="00492F5E"/>
    <w:rsid w:val="00493127"/>
    <w:rsid w:val="00495A03"/>
    <w:rsid w:val="00495E28"/>
    <w:rsid w:val="00497079"/>
    <w:rsid w:val="00497450"/>
    <w:rsid w:val="00497F49"/>
    <w:rsid w:val="004A1411"/>
    <w:rsid w:val="004A16E8"/>
    <w:rsid w:val="004A1BBA"/>
    <w:rsid w:val="004A23C2"/>
    <w:rsid w:val="004A2CB1"/>
    <w:rsid w:val="004A3336"/>
    <w:rsid w:val="004A3E3C"/>
    <w:rsid w:val="004A4069"/>
    <w:rsid w:val="004A484E"/>
    <w:rsid w:val="004A4FB6"/>
    <w:rsid w:val="004A5CF3"/>
    <w:rsid w:val="004A6513"/>
    <w:rsid w:val="004B0E6D"/>
    <w:rsid w:val="004B16E8"/>
    <w:rsid w:val="004B2CA5"/>
    <w:rsid w:val="004B412E"/>
    <w:rsid w:val="004B51C9"/>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AFC"/>
    <w:rsid w:val="004C2C35"/>
    <w:rsid w:val="004C2C46"/>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5BD"/>
    <w:rsid w:val="004D4E2D"/>
    <w:rsid w:val="004D5316"/>
    <w:rsid w:val="004D575C"/>
    <w:rsid w:val="004D5EE8"/>
    <w:rsid w:val="004D650F"/>
    <w:rsid w:val="004D7269"/>
    <w:rsid w:val="004D74EE"/>
    <w:rsid w:val="004D7F01"/>
    <w:rsid w:val="004E08FC"/>
    <w:rsid w:val="004E0ADE"/>
    <w:rsid w:val="004E0B6E"/>
    <w:rsid w:val="004E12B9"/>
    <w:rsid w:val="004E2133"/>
    <w:rsid w:val="004E28D6"/>
    <w:rsid w:val="004E2BD2"/>
    <w:rsid w:val="004E395B"/>
    <w:rsid w:val="004E3CB2"/>
    <w:rsid w:val="004E3D3E"/>
    <w:rsid w:val="004E5034"/>
    <w:rsid w:val="004E5EDB"/>
    <w:rsid w:val="004E60FB"/>
    <w:rsid w:val="004E73A5"/>
    <w:rsid w:val="004E758A"/>
    <w:rsid w:val="004E7BA7"/>
    <w:rsid w:val="004F1C42"/>
    <w:rsid w:val="004F2340"/>
    <w:rsid w:val="004F23C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2E1B"/>
    <w:rsid w:val="0050349B"/>
    <w:rsid w:val="005036C2"/>
    <w:rsid w:val="005038FC"/>
    <w:rsid w:val="00503914"/>
    <w:rsid w:val="0050438A"/>
    <w:rsid w:val="0050492E"/>
    <w:rsid w:val="005051C9"/>
    <w:rsid w:val="00506389"/>
    <w:rsid w:val="00506E39"/>
    <w:rsid w:val="00507000"/>
    <w:rsid w:val="00507FC5"/>
    <w:rsid w:val="00510A69"/>
    <w:rsid w:val="00510CAF"/>
    <w:rsid w:val="0051114C"/>
    <w:rsid w:val="00511597"/>
    <w:rsid w:val="00511915"/>
    <w:rsid w:val="005128C5"/>
    <w:rsid w:val="00512905"/>
    <w:rsid w:val="00512D8B"/>
    <w:rsid w:val="00512E85"/>
    <w:rsid w:val="0051346B"/>
    <w:rsid w:val="005136C7"/>
    <w:rsid w:val="0051478B"/>
    <w:rsid w:val="00514C1C"/>
    <w:rsid w:val="0051524F"/>
    <w:rsid w:val="0051566A"/>
    <w:rsid w:val="00515D7B"/>
    <w:rsid w:val="00515DD8"/>
    <w:rsid w:val="005166E9"/>
    <w:rsid w:val="00516E67"/>
    <w:rsid w:val="005173B3"/>
    <w:rsid w:val="00517917"/>
    <w:rsid w:val="0052004A"/>
    <w:rsid w:val="0052009E"/>
    <w:rsid w:val="005200F7"/>
    <w:rsid w:val="0052028D"/>
    <w:rsid w:val="00520AB5"/>
    <w:rsid w:val="00521568"/>
    <w:rsid w:val="00521596"/>
    <w:rsid w:val="00522066"/>
    <w:rsid w:val="005222FA"/>
    <w:rsid w:val="005228BE"/>
    <w:rsid w:val="00524A64"/>
    <w:rsid w:val="00525740"/>
    <w:rsid w:val="00525E59"/>
    <w:rsid w:val="005278EE"/>
    <w:rsid w:val="00530A21"/>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859"/>
    <w:rsid w:val="00551BAB"/>
    <w:rsid w:val="00551C53"/>
    <w:rsid w:val="0055221B"/>
    <w:rsid w:val="005526DC"/>
    <w:rsid w:val="005535B7"/>
    <w:rsid w:val="00554CAC"/>
    <w:rsid w:val="0055511D"/>
    <w:rsid w:val="0055513C"/>
    <w:rsid w:val="0055637C"/>
    <w:rsid w:val="00556B00"/>
    <w:rsid w:val="00556F23"/>
    <w:rsid w:val="005573FE"/>
    <w:rsid w:val="0055753F"/>
    <w:rsid w:val="00557618"/>
    <w:rsid w:val="00557782"/>
    <w:rsid w:val="00560C94"/>
    <w:rsid w:val="00560FD5"/>
    <w:rsid w:val="00561C0A"/>
    <w:rsid w:val="00561E64"/>
    <w:rsid w:val="005624E5"/>
    <w:rsid w:val="00562765"/>
    <w:rsid w:val="0056283B"/>
    <w:rsid w:val="0056291C"/>
    <w:rsid w:val="005630ED"/>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0FBA"/>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8DB"/>
    <w:rsid w:val="00582FAD"/>
    <w:rsid w:val="00583489"/>
    <w:rsid w:val="0058391F"/>
    <w:rsid w:val="00583A80"/>
    <w:rsid w:val="00583E3F"/>
    <w:rsid w:val="00584188"/>
    <w:rsid w:val="00584E33"/>
    <w:rsid w:val="00585100"/>
    <w:rsid w:val="00585AD4"/>
    <w:rsid w:val="00586819"/>
    <w:rsid w:val="00586E9A"/>
    <w:rsid w:val="005872C2"/>
    <w:rsid w:val="00587419"/>
    <w:rsid w:val="00590FE4"/>
    <w:rsid w:val="00591D9C"/>
    <w:rsid w:val="0059282D"/>
    <w:rsid w:val="00592B3C"/>
    <w:rsid w:val="005932C1"/>
    <w:rsid w:val="00593440"/>
    <w:rsid w:val="005936BF"/>
    <w:rsid w:val="00593DE5"/>
    <w:rsid w:val="0059592B"/>
    <w:rsid w:val="00595AB2"/>
    <w:rsid w:val="00596617"/>
    <w:rsid w:val="00596CC4"/>
    <w:rsid w:val="00597057"/>
    <w:rsid w:val="005973A6"/>
    <w:rsid w:val="00597AAB"/>
    <w:rsid w:val="00597D8B"/>
    <w:rsid w:val="005A0742"/>
    <w:rsid w:val="005A1C30"/>
    <w:rsid w:val="005A20FB"/>
    <w:rsid w:val="005A2E55"/>
    <w:rsid w:val="005A31C9"/>
    <w:rsid w:val="005A3295"/>
    <w:rsid w:val="005A46FF"/>
    <w:rsid w:val="005A49A4"/>
    <w:rsid w:val="005A4AFF"/>
    <w:rsid w:val="005A513D"/>
    <w:rsid w:val="005A5B88"/>
    <w:rsid w:val="005A6228"/>
    <w:rsid w:val="005A65F0"/>
    <w:rsid w:val="005A6E6C"/>
    <w:rsid w:val="005A7758"/>
    <w:rsid w:val="005A7FD8"/>
    <w:rsid w:val="005B011E"/>
    <w:rsid w:val="005B028B"/>
    <w:rsid w:val="005B1208"/>
    <w:rsid w:val="005B17ED"/>
    <w:rsid w:val="005B1BAD"/>
    <w:rsid w:val="005B2D08"/>
    <w:rsid w:val="005B2E84"/>
    <w:rsid w:val="005B352F"/>
    <w:rsid w:val="005B3E66"/>
    <w:rsid w:val="005B3FE8"/>
    <w:rsid w:val="005B4215"/>
    <w:rsid w:val="005B436C"/>
    <w:rsid w:val="005B4F97"/>
    <w:rsid w:val="005B52A4"/>
    <w:rsid w:val="005B5731"/>
    <w:rsid w:val="005B58E2"/>
    <w:rsid w:val="005B5CA4"/>
    <w:rsid w:val="005B5D3B"/>
    <w:rsid w:val="005B6E01"/>
    <w:rsid w:val="005B7476"/>
    <w:rsid w:val="005B75B3"/>
    <w:rsid w:val="005B7688"/>
    <w:rsid w:val="005B7849"/>
    <w:rsid w:val="005B7B0E"/>
    <w:rsid w:val="005B7BB7"/>
    <w:rsid w:val="005B7DC9"/>
    <w:rsid w:val="005C0DFA"/>
    <w:rsid w:val="005C0FF0"/>
    <w:rsid w:val="005C1282"/>
    <w:rsid w:val="005C219B"/>
    <w:rsid w:val="005C492F"/>
    <w:rsid w:val="005C4A35"/>
    <w:rsid w:val="005C4B4C"/>
    <w:rsid w:val="005C5409"/>
    <w:rsid w:val="005C55D8"/>
    <w:rsid w:val="005C55EF"/>
    <w:rsid w:val="005C565E"/>
    <w:rsid w:val="005C628C"/>
    <w:rsid w:val="005C63D3"/>
    <w:rsid w:val="005C648B"/>
    <w:rsid w:val="005C6765"/>
    <w:rsid w:val="005C69AC"/>
    <w:rsid w:val="005C722E"/>
    <w:rsid w:val="005C7576"/>
    <w:rsid w:val="005C75F3"/>
    <w:rsid w:val="005C7759"/>
    <w:rsid w:val="005C7DD7"/>
    <w:rsid w:val="005D01A4"/>
    <w:rsid w:val="005D072B"/>
    <w:rsid w:val="005D15AE"/>
    <w:rsid w:val="005D1A7B"/>
    <w:rsid w:val="005D1EDD"/>
    <w:rsid w:val="005D456F"/>
    <w:rsid w:val="005D45B3"/>
    <w:rsid w:val="005D4AB3"/>
    <w:rsid w:val="005D4CEB"/>
    <w:rsid w:val="005D5344"/>
    <w:rsid w:val="005D5DA8"/>
    <w:rsid w:val="005D5E86"/>
    <w:rsid w:val="005D61EB"/>
    <w:rsid w:val="005D648C"/>
    <w:rsid w:val="005D78D1"/>
    <w:rsid w:val="005E0AE0"/>
    <w:rsid w:val="005E2404"/>
    <w:rsid w:val="005E7BC5"/>
    <w:rsid w:val="005F04E6"/>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6AF"/>
    <w:rsid w:val="006077ED"/>
    <w:rsid w:val="00607823"/>
    <w:rsid w:val="00610412"/>
    <w:rsid w:val="00610954"/>
    <w:rsid w:val="00610CBE"/>
    <w:rsid w:val="00610E1F"/>
    <w:rsid w:val="0061321C"/>
    <w:rsid w:val="00613EB6"/>
    <w:rsid w:val="0061448C"/>
    <w:rsid w:val="00614CA1"/>
    <w:rsid w:val="00615C2C"/>
    <w:rsid w:val="0062038A"/>
    <w:rsid w:val="006203A8"/>
    <w:rsid w:val="00620E59"/>
    <w:rsid w:val="00621132"/>
    <w:rsid w:val="00622656"/>
    <w:rsid w:val="0062343F"/>
    <w:rsid w:val="006234C2"/>
    <w:rsid w:val="0062386E"/>
    <w:rsid w:val="00623D9A"/>
    <w:rsid w:val="00623F01"/>
    <w:rsid w:val="006242FB"/>
    <w:rsid w:val="00624738"/>
    <w:rsid w:val="006249A3"/>
    <w:rsid w:val="00625AE8"/>
    <w:rsid w:val="00626E2D"/>
    <w:rsid w:val="006272DE"/>
    <w:rsid w:val="00627D94"/>
    <w:rsid w:val="006304D3"/>
    <w:rsid w:val="00630AB9"/>
    <w:rsid w:val="00630B42"/>
    <w:rsid w:val="0063104D"/>
    <w:rsid w:val="006310FC"/>
    <w:rsid w:val="00631688"/>
    <w:rsid w:val="00631E6C"/>
    <w:rsid w:val="006320D8"/>
    <w:rsid w:val="006324BE"/>
    <w:rsid w:val="00632540"/>
    <w:rsid w:val="00632E88"/>
    <w:rsid w:val="0063454C"/>
    <w:rsid w:val="00634DBB"/>
    <w:rsid w:val="00635AC4"/>
    <w:rsid w:val="00637C26"/>
    <w:rsid w:val="006402AD"/>
    <w:rsid w:val="00640732"/>
    <w:rsid w:val="00640DA7"/>
    <w:rsid w:val="006414AE"/>
    <w:rsid w:val="00642072"/>
    <w:rsid w:val="00643077"/>
    <w:rsid w:val="00643BA5"/>
    <w:rsid w:val="006440ED"/>
    <w:rsid w:val="0064467C"/>
    <w:rsid w:val="00644AB5"/>
    <w:rsid w:val="00644AF0"/>
    <w:rsid w:val="00645213"/>
    <w:rsid w:val="0064521D"/>
    <w:rsid w:val="00645293"/>
    <w:rsid w:val="006468CB"/>
    <w:rsid w:val="00646DC5"/>
    <w:rsid w:val="00651A3C"/>
    <w:rsid w:val="00651B78"/>
    <w:rsid w:val="00652263"/>
    <w:rsid w:val="0065238F"/>
    <w:rsid w:val="00652881"/>
    <w:rsid w:val="00652985"/>
    <w:rsid w:val="006533AE"/>
    <w:rsid w:val="006551AE"/>
    <w:rsid w:val="00655F30"/>
    <w:rsid w:val="0065716F"/>
    <w:rsid w:val="006611BE"/>
    <w:rsid w:val="00661974"/>
    <w:rsid w:val="006623E2"/>
    <w:rsid w:val="006624E3"/>
    <w:rsid w:val="006640F9"/>
    <w:rsid w:val="00664551"/>
    <w:rsid w:val="00664685"/>
    <w:rsid w:val="00664B95"/>
    <w:rsid w:val="00665D5F"/>
    <w:rsid w:val="006661E2"/>
    <w:rsid w:val="006676A0"/>
    <w:rsid w:val="006704F3"/>
    <w:rsid w:val="00670857"/>
    <w:rsid w:val="00671124"/>
    <w:rsid w:val="006717AE"/>
    <w:rsid w:val="0067271C"/>
    <w:rsid w:val="006727B0"/>
    <w:rsid w:val="00672CD5"/>
    <w:rsid w:val="0067307E"/>
    <w:rsid w:val="00673979"/>
    <w:rsid w:val="006739C0"/>
    <w:rsid w:val="00673D18"/>
    <w:rsid w:val="00673F6D"/>
    <w:rsid w:val="00674850"/>
    <w:rsid w:val="00675116"/>
    <w:rsid w:val="00675D03"/>
    <w:rsid w:val="00676016"/>
    <w:rsid w:val="00676EA7"/>
    <w:rsid w:val="00676FAF"/>
    <w:rsid w:val="0068008F"/>
    <w:rsid w:val="00681A31"/>
    <w:rsid w:val="00682EFD"/>
    <w:rsid w:val="00683F61"/>
    <w:rsid w:val="00686A36"/>
    <w:rsid w:val="006873EC"/>
    <w:rsid w:val="00687AD5"/>
    <w:rsid w:val="0069211A"/>
    <w:rsid w:val="00692B81"/>
    <w:rsid w:val="00692C4F"/>
    <w:rsid w:val="006936C6"/>
    <w:rsid w:val="00694485"/>
    <w:rsid w:val="006949D2"/>
    <w:rsid w:val="00694C5F"/>
    <w:rsid w:val="00695027"/>
    <w:rsid w:val="00695251"/>
    <w:rsid w:val="006953EF"/>
    <w:rsid w:val="00695689"/>
    <w:rsid w:val="00695ADE"/>
    <w:rsid w:val="00695C0D"/>
    <w:rsid w:val="00695CAE"/>
    <w:rsid w:val="00696356"/>
    <w:rsid w:val="006968EA"/>
    <w:rsid w:val="006A015D"/>
    <w:rsid w:val="006A1878"/>
    <w:rsid w:val="006A2979"/>
    <w:rsid w:val="006A2EA3"/>
    <w:rsid w:val="006A3CC1"/>
    <w:rsid w:val="006A3DCE"/>
    <w:rsid w:val="006A4899"/>
    <w:rsid w:val="006A62E1"/>
    <w:rsid w:val="006A6566"/>
    <w:rsid w:val="006A72C6"/>
    <w:rsid w:val="006A7310"/>
    <w:rsid w:val="006A74F4"/>
    <w:rsid w:val="006A7E68"/>
    <w:rsid w:val="006B01BE"/>
    <w:rsid w:val="006B02DA"/>
    <w:rsid w:val="006B05F1"/>
    <w:rsid w:val="006B08FB"/>
    <w:rsid w:val="006B2065"/>
    <w:rsid w:val="006B275B"/>
    <w:rsid w:val="006B2F39"/>
    <w:rsid w:val="006B30BF"/>
    <w:rsid w:val="006B38C6"/>
    <w:rsid w:val="006B3940"/>
    <w:rsid w:val="006B45A6"/>
    <w:rsid w:val="006B4C49"/>
    <w:rsid w:val="006B62F0"/>
    <w:rsid w:val="006B6C6B"/>
    <w:rsid w:val="006C013C"/>
    <w:rsid w:val="006C09B6"/>
    <w:rsid w:val="006C168D"/>
    <w:rsid w:val="006C2116"/>
    <w:rsid w:val="006C2BF5"/>
    <w:rsid w:val="006C3415"/>
    <w:rsid w:val="006C4A40"/>
    <w:rsid w:val="006C4E56"/>
    <w:rsid w:val="006C5F49"/>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993"/>
    <w:rsid w:val="006E0D09"/>
    <w:rsid w:val="006E15D2"/>
    <w:rsid w:val="006E241F"/>
    <w:rsid w:val="006E24EE"/>
    <w:rsid w:val="006E25BD"/>
    <w:rsid w:val="006E3379"/>
    <w:rsid w:val="006E33C9"/>
    <w:rsid w:val="006E344B"/>
    <w:rsid w:val="006E34B7"/>
    <w:rsid w:val="006E36B8"/>
    <w:rsid w:val="006E3853"/>
    <w:rsid w:val="006E3874"/>
    <w:rsid w:val="006E5585"/>
    <w:rsid w:val="006E5764"/>
    <w:rsid w:val="006E5E32"/>
    <w:rsid w:val="006E633A"/>
    <w:rsid w:val="006E6A14"/>
    <w:rsid w:val="006E6B16"/>
    <w:rsid w:val="006E6DE8"/>
    <w:rsid w:val="006E780C"/>
    <w:rsid w:val="006F0BA7"/>
    <w:rsid w:val="006F0F01"/>
    <w:rsid w:val="006F174D"/>
    <w:rsid w:val="006F1F41"/>
    <w:rsid w:val="006F32EF"/>
    <w:rsid w:val="006F3615"/>
    <w:rsid w:val="006F3C54"/>
    <w:rsid w:val="006F4CD8"/>
    <w:rsid w:val="006F53D9"/>
    <w:rsid w:val="006F5812"/>
    <w:rsid w:val="006F609A"/>
    <w:rsid w:val="006F72BD"/>
    <w:rsid w:val="007004DC"/>
    <w:rsid w:val="00701093"/>
    <w:rsid w:val="007013D9"/>
    <w:rsid w:val="007015A5"/>
    <w:rsid w:val="007022C4"/>
    <w:rsid w:val="007026E9"/>
    <w:rsid w:val="00703C8B"/>
    <w:rsid w:val="00703E8A"/>
    <w:rsid w:val="00704F60"/>
    <w:rsid w:val="00705A55"/>
    <w:rsid w:val="00706EA3"/>
    <w:rsid w:val="007078BE"/>
    <w:rsid w:val="00707A3C"/>
    <w:rsid w:val="00710008"/>
    <w:rsid w:val="007100ED"/>
    <w:rsid w:val="0071054A"/>
    <w:rsid w:val="00710BF6"/>
    <w:rsid w:val="00711522"/>
    <w:rsid w:val="007118A6"/>
    <w:rsid w:val="007124B0"/>
    <w:rsid w:val="007124FE"/>
    <w:rsid w:val="00712533"/>
    <w:rsid w:val="00712926"/>
    <w:rsid w:val="00713186"/>
    <w:rsid w:val="00713757"/>
    <w:rsid w:val="00713758"/>
    <w:rsid w:val="007137D8"/>
    <w:rsid w:val="00714064"/>
    <w:rsid w:val="0071409E"/>
    <w:rsid w:val="00714F80"/>
    <w:rsid w:val="007166B3"/>
    <w:rsid w:val="0071671C"/>
    <w:rsid w:val="00717772"/>
    <w:rsid w:val="007200E5"/>
    <w:rsid w:val="00720C17"/>
    <w:rsid w:val="0072139B"/>
    <w:rsid w:val="00721752"/>
    <w:rsid w:val="00721AF1"/>
    <w:rsid w:val="007222DF"/>
    <w:rsid w:val="0072280F"/>
    <w:rsid w:val="00722B5E"/>
    <w:rsid w:val="007235F5"/>
    <w:rsid w:val="007236F8"/>
    <w:rsid w:val="00723B2C"/>
    <w:rsid w:val="007253CC"/>
    <w:rsid w:val="00726F5A"/>
    <w:rsid w:val="0072708F"/>
    <w:rsid w:val="007270C1"/>
    <w:rsid w:val="00730E81"/>
    <w:rsid w:val="00731000"/>
    <w:rsid w:val="00731204"/>
    <w:rsid w:val="007319BC"/>
    <w:rsid w:val="007320FB"/>
    <w:rsid w:val="0073222B"/>
    <w:rsid w:val="00732582"/>
    <w:rsid w:val="00732D1D"/>
    <w:rsid w:val="007332C4"/>
    <w:rsid w:val="0073364B"/>
    <w:rsid w:val="00734381"/>
    <w:rsid w:val="0073475F"/>
    <w:rsid w:val="00736034"/>
    <w:rsid w:val="0073681C"/>
    <w:rsid w:val="0073725B"/>
    <w:rsid w:val="0074033C"/>
    <w:rsid w:val="0074050E"/>
    <w:rsid w:val="00740B66"/>
    <w:rsid w:val="00741AF8"/>
    <w:rsid w:val="00741EBE"/>
    <w:rsid w:val="00742181"/>
    <w:rsid w:val="007424EC"/>
    <w:rsid w:val="00742EDA"/>
    <w:rsid w:val="00743E8B"/>
    <w:rsid w:val="007440CD"/>
    <w:rsid w:val="007440FA"/>
    <w:rsid w:val="00744201"/>
    <w:rsid w:val="0074460E"/>
    <w:rsid w:val="00744E53"/>
    <w:rsid w:val="00745249"/>
    <w:rsid w:val="00745B3E"/>
    <w:rsid w:val="00745FCE"/>
    <w:rsid w:val="00746130"/>
    <w:rsid w:val="007462CE"/>
    <w:rsid w:val="00746A40"/>
    <w:rsid w:val="00746C24"/>
    <w:rsid w:val="00746E6A"/>
    <w:rsid w:val="00747598"/>
    <w:rsid w:val="00750358"/>
    <w:rsid w:val="00750EFA"/>
    <w:rsid w:val="00751A4E"/>
    <w:rsid w:val="007520A3"/>
    <w:rsid w:val="00752152"/>
    <w:rsid w:val="007526F5"/>
    <w:rsid w:val="00754717"/>
    <w:rsid w:val="00754836"/>
    <w:rsid w:val="00754BA4"/>
    <w:rsid w:val="00754FB9"/>
    <w:rsid w:val="00755CDF"/>
    <w:rsid w:val="00756AD3"/>
    <w:rsid w:val="00757042"/>
    <w:rsid w:val="007578C3"/>
    <w:rsid w:val="00757A4C"/>
    <w:rsid w:val="00760895"/>
    <w:rsid w:val="00761D02"/>
    <w:rsid w:val="00762ABF"/>
    <w:rsid w:val="00763C7D"/>
    <w:rsid w:val="00764A94"/>
    <w:rsid w:val="00764B26"/>
    <w:rsid w:val="00764EA6"/>
    <w:rsid w:val="007651A9"/>
    <w:rsid w:val="007651E5"/>
    <w:rsid w:val="0076524F"/>
    <w:rsid w:val="00765584"/>
    <w:rsid w:val="007665B2"/>
    <w:rsid w:val="007670DC"/>
    <w:rsid w:val="00767356"/>
    <w:rsid w:val="00767EA9"/>
    <w:rsid w:val="00770A19"/>
    <w:rsid w:val="00770DA6"/>
    <w:rsid w:val="00770F2A"/>
    <w:rsid w:val="0077111A"/>
    <w:rsid w:val="0077213A"/>
    <w:rsid w:val="00772272"/>
    <w:rsid w:val="0077369F"/>
    <w:rsid w:val="0077463A"/>
    <w:rsid w:val="00774AB3"/>
    <w:rsid w:val="00774D0F"/>
    <w:rsid w:val="00774D7B"/>
    <w:rsid w:val="007756ED"/>
    <w:rsid w:val="0077589D"/>
    <w:rsid w:val="0077617F"/>
    <w:rsid w:val="00776A3D"/>
    <w:rsid w:val="0077707A"/>
    <w:rsid w:val="007776BF"/>
    <w:rsid w:val="00777A1E"/>
    <w:rsid w:val="0078060F"/>
    <w:rsid w:val="00780820"/>
    <w:rsid w:val="007819A1"/>
    <w:rsid w:val="007821AB"/>
    <w:rsid w:val="00783BA5"/>
    <w:rsid w:val="00784F9E"/>
    <w:rsid w:val="0078533C"/>
    <w:rsid w:val="007857FB"/>
    <w:rsid w:val="007870FC"/>
    <w:rsid w:val="00787CD0"/>
    <w:rsid w:val="007905A2"/>
    <w:rsid w:val="00791053"/>
    <w:rsid w:val="00791261"/>
    <w:rsid w:val="007918FE"/>
    <w:rsid w:val="00791A3A"/>
    <w:rsid w:val="0079262D"/>
    <w:rsid w:val="00792A53"/>
    <w:rsid w:val="0079307E"/>
    <w:rsid w:val="00794196"/>
    <w:rsid w:val="00794C47"/>
    <w:rsid w:val="00794FFF"/>
    <w:rsid w:val="00796D4D"/>
    <w:rsid w:val="007971B8"/>
    <w:rsid w:val="00797637"/>
    <w:rsid w:val="007A0018"/>
    <w:rsid w:val="007A05A7"/>
    <w:rsid w:val="007A0ADE"/>
    <w:rsid w:val="007A1B35"/>
    <w:rsid w:val="007A2A99"/>
    <w:rsid w:val="007A3680"/>
    <w:rsid w:val="007A3BCD"/>
    <w:rsid w:val="007A5214"/>
    <w:rsid w:val="007A59B8"/>
    <w:rsid w:val="007A65AF"/>
    <w:rsid w:val="007A7682"/>
    <w:rsid w:val="007A76F3"/>
    <w:rsid w:val="007A7F42"/>
    <w:rsid w:val="007B0C38"/>
    <w:rsid w:val="007B2862"/>
    <w:rsid w:val="007B2FD8"/>
    <w:rsid w:val="007B3968"/>
    <w:rsid w:val="007B45AF"/>
    <w:rsid w:val="007B49A7"/>
    <w:rsid w:val="007B4DD0"/>
    <w:rsid w:val="007B611E"/>
    <w:rsid w:val="007B662A"/>
    <w:rsid w:val="007B71DC"/>
    <w:rsid w:val="007B7743"/>
    <w:rsid w:val="007C04F4"/>
    <w:rsid w:val="007C2139"/>
    <w:rsid w:val="007C2365"/>
    <w:rsid w:val="007C27DE"/>
    <w:rsid w:val="007C299E"/>
    <w:rsid w:val="007C2AE2"/>
    <w:rsid w:val="007C525F"/>
    <w:rsid w:val="007C5321"/>
    <w:rsid w:val="007C5E8A"/>
    <w:rsid w:val="007C5F4B"/>
    <w:rsid w:val="007C6AAB"/>
    <w:rsid w:val="007C6E90"/>
    <w:rsid w:val="007C7B84"/>
    <w:rsid w:val="007D0C4D"/>
    <w:rsid w:val="007D1336"/>
    <w:rsid w:val="007D1FE9"/>
    <w:rsid w:val="007D28C9"/>
    <w:rsid w:val="007D326B"/>
    <w:rsid w:val="007D38F0"/>
    <w:rsid w:val="007D3CC8"/>
    <w:rsid w:val="007D430A"/>
    <w:rsid w:val="007D47FB"/>
    <w:rsid w:val="007D4DD3"/>
    <w:rsid w:val="007D576A"/>
    <w:rsid w:val="007D5839"/>
    <w:rsid w:val="007D62F9"/>
    <w:rsid w:val="007D63A4"/>
    <w:rsid w:val="007D6542"/>
    <w:rsid w:val="007D7845"/>
    <w:rsid w:val="007E0FD3"/>
    <w:rsid w:val="007E1AA2"/>
    <w:rsid w:val="007E1EB2"/>
    <w:rsid w:val="007E1F2C"/>
    <w:rsid w:val="007E26F4"/>
    <w:rsid w:val="007E279D"/>
    <w:rsid w:val="007E2D69"/>
    <w:rsid w:val="007E3B9A"/>
    <w:rsid w:val="007E3EEF"/>
    <w:rsid w:val="007E46E8"/>
    <w:rsid w:val="007E470F"/>
    <w:rsid w:val="007E4C1F"/>
    <w:rsid w:val="007F01DE"/>
    <w:rsid w:val="007F0759"/>
    <w:rsid w:val="007F0BCC"/>
    <w:rsid w:val="007F1154"/>
    <w:rsid w:val="007F156E"/>
    <w:rsid w:val="007F1CF3"/>
    <w:rsid w:val="007F25C0"/>
    <w:rsid w:val="007F297E"/>
    <w:rsid w:val="007F30BB"/>
    <w:rsid w:val="007F33B4"/>
    <w:rsid w:val="007F35DC"/>
    <w:rsid w:val="007F3A22"/>
    <w:rsid w:val="007F3BC1"/>
    <w:rsid w:val="007F3F8E"/>
    <w:rsid w:val="007F5F52"/>
    <w:rsid w:val="007F672A"/>
    <w:rsid w:val="007F6A1D"/>
    <w:rsid w:val="007F77C6"/>
    <w:rsid w:val="007F79D4"/>
    <w:rsid w:val="008003A1"/>
    <w:rsid w:val="0080046C"/>
    <w:rsid w:val="008006B7"/>
    <w:rsid w:val="00800FDB"/>
    <w:rsid w:val="00802081"/>
    <w:rsid w:val="008020F6"/>
    <w:rsid w:val="0080298E"/>
    <w:rsid w:val="00803833"/>
    <w:rsid w:val="00804316"/>
    <w:rsid w:val="008044EA"/>
    <w:rsid w:val="008044F8"/>
    <w:rsid w:val="00805261"/>
    <w:rsid w:val="00806461"/>
    <w:rsid w:val="008064C1"/>
    <w:rsid w:val="0081096D"/>
    <w:rsid w:val="00810EAD"/>
    <w:rsid w:val="0081147C"/>
    <w:rsid w:val="00811833"/>
    <w:rsid w:val="00811A68"/>
    <w:rsid w:val="00814BDE"/>
    <w:rsid w:val="00814DBC"/>
    <w:rsid w:val="008169CA"/>
    <w:rsid w:val="00816CD8"/>
    <w:rsid w:val="008174CF"/>
    <w:rsid w:val="008174D4"/>
    <w:rsid w:val="0081797B"/>
    <w:rsid w:val="0082002E"/>
    <w:rsid w:val="0082083C"/>
    <w:rsid w:val="008209AC"/>
    <w:rsid w:val="00820C54"/>
    <w:rsid w:val="00820F37"/>
    <w:rsid w:val="00820FE6"/>
    <w:rsid w:val="00821A66"/>
    <w:rsid w:val="00822476"/>
    <w:rsid w:val="00822882"/>
    <w:rsid w:val="00822A1E"/>
    <w:rsid w:val="00822EC4"/>
    <w:rsid w:val="008238C7"/>
    <w:rsid w:val="00825268"/>
    <w:rsid w:val="0082571C"/>
    <w:rsid w:val="00825B94"/>
    <w:rsid w:val="00825BB4"/>
    <w:rsid w:val="00825F68"/>
    <w:rsid w:val="0082600E"/>
    <w:rsid w:val="00826B9B"/>
    <w:rsid w:val="008273D2"/>
    <w:rsid w:val="00830E92"/>
    <w:rsid w:val="00831DD0"/>
    <w:rsid w:val="008320ED"/>
    <w:rsid w:val="00832858"/>
    <w:rsid w:val="00832A0F"/>
    <w:rsid w:val="00834CEA"/>
    <w:rsid w:val="008353D5"/>
    <w:rsid w:val="00835408"/>
    <w:rsid w:val="008358A2"/>
    <w:rsid w:val="008359DA"/>
    <w:rsid w:val="00837CEF"/>
    <w:rsid w:val="00837E2F"/>
    <w:rsid w:val="00840035"/>
    <w:rsid w:val="00842661"/>
    <w:rsid w:val="008428A9"/>
    <w:rsid w:val="00842925"/>
    <w:rsid w:val="00844112"/>
    <w:rsid w:val="00844986"/>
    <w:rsid w:val="008456C9"/>
    <w:rsid w:val="0084611D"/>
    <w:rsid w:val="00846177"/>
    <w:rsid w:val="0084654D"/>
    <w:rsid w:val="00846C9F"/>
    <w:rsid w:val="00847BD6"/>
    <w:rsid w:val="00850137"/>
    <w:rsid w:val="00850C62"/>
    <w:rsid w:val="00852116"/>
    <w:rsid w:val="00852B48"/>
    <w:rsid w:val="0085474D"/>
    <w:rsid w:val="008555C8"/>
    <w:rsid w:val="0085606B"/>
    <w:rsid w:val="00856481"/>
    <w:rsid w:val="008567A2"/>
    <w:rsid w:val="00856E6C"/>
    <w:rsid w:val="00856F25"/>
    <w:rsid w:val="00857DE1"/>
    <w:rsid w:val="00857EA7"/>
    <w:rsid w:val="00860793"/>
    <w:rsid w:val="00860AC3"/>
    <w:rsid w:val="00863011"/>
    <w:rsid w:val="00863C5B"/>
    <w:rsid w:val="00863D2E"/>
    <w:rsid w:val="00864E32"/>
    <w:rsid w:val="00865075"/>
    <w:rsid w:val="0086517E"/>
    <w:rsid w:val="0086527A"/>
    <w:rsid w:val="0086615F"/>
    <w:rsid w:val="0086748F"/>
    <w:rsid w:val="008714B9"/>
    <w:rsid w:val="00872757"/>
    <w:rsid w:val="00872BA6"/>
    <w:rsid w:val="00872CE4"/>
    <w:rsid w:val="00873AA4"/>
    <w:rsid w:val="00873CA8"/>
    <w:rsid w:val="00873F5D"/>
    <w:rsid w:val="008741AC"/>
    <w:rsid w:val="0087570C"/>
    <w:rsid w:val="008765C7"/>
    <w:rsid w:val="008773BA"/>
    <w:rsid w:val="00877B62"/>
    <w:rsid w:val="00880570"/>
    <w:rsid w:val="00881015"/>
    <w:rsid w:val="008810B0"/>
    <w:rsid w:val="00881665"/>
    <w:rsid w:val="008819B6"/>
    <w:rsid w:val="00881AAC"/>
    <w:rsid w:val="008836B7"/>
    <w:rsid w:val="00883946"/>
    <w:rsid w:val="00883F7C"/>
    <w:rsid w:val="008841D3"/>
    <w:rsid w:val="00884987"/>
    <w:rsid w:val="00884A07"/>
    <w:rsid w:val="00884BE0"/>
    <w:rsid w:val="0088629E"/>
    <w:rsid w:val="008867EA"/>
    <w:rsid w:val="008877A0"/>
    <w:rsid w:val="00887BF9"/>
    <w:rsid w:val="00887DE6"/>
    <w:rsid w:val="00891F06"/>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CBD"/>
    <w:rsid w:val="008A1ED9"/>
    <w:rsid w:val="008A29B6"/>
    <w:rsid w:val="008A2C65"/>
    <w:rsid w:val="008A2F16"/>
    <w:rsid w:val="008A36AE"/>
    <w:rsid w:val="008A48C3"/>
    <w:rsid w:val="008A49D2"/>
    <w:rsid w:val="008A4E18"/>
    <w:rsid w:val="008A520C"/>
    <w:rsid w:val="008A5493"/>
    <w:rsid w:val="008A550C"/>
    <w:rsid w:val="008A596C"/>
    <w:rsid w:val="008A64C4"/>
    <w:rsid w:val="008A6BF7"/>
    <w:rsid w:val="008A6CC1"/>
    <w:rsid w:val="008A72FB"/>
    <w:rsid w:val="008A7F03"/>
    <w:rsid w:val="008B1823"/>
    <w:rsid w:val="008B1B4E"/>
    <w:rsid w:val="008B2AA9"/>
    <w:rsid w:val="008B2BDF"/>
    <w:rsid w:val="008B2D72"/>
    <w:rsid w:val="008B4198"/>
    <w:rsid w:val="008B4C9F"/>
    <w:rsid w:val="008B586A"/>
    <w:rsid w:val="008B5879"/>
    <w:rsid w:val="008B6651"/>
    <w:rsid w:val="008B6E16"/>
    <w:rsid w:val="008B7110"/>
    <w:rsid w:val="008B7A20"/>
    <w:rsid w:val="008C0DF9"/>
    <w:rsid w:val="008C1ED0"/>
    <w:rsid w:val="008C1F99"/>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0E04"/>
    <w:rsid w:val="008D1BB0"/>
    <w:rsid w:val="008D20FF"/>
    <w:rsid w:val="008D22A4"/>
    <w:rsid w:val="008D2B9A"/>
    <w:rsid w:val="008D341C"/>
    <w:rsid w:val="008D3DE6"/>
    <w:rsid w:val="008D4223"/>
    <w:rsid w:val="008D44CC"/>
    <w:rsid w:val="008D46E3"/>
    <w:rsid w:val="008D4CED"/>
    <w:rsid w:val="008D4D29"/>
    <w:rsid w:val="008D50F9"/>
    <w:rsid w:val="008D5CAF"/>
    <w:rsid w:val="008D6709"/>
    <w:rsid w:val="008E03E5"/>
    <w:rsid w:val="008E083A"/>
    <w:rsid w:val="008E12AD"/>
    <w:rsid w:val="008E2152"/>
    <w:rsid w:val="008E22FF"/>
    <w:rsid w:val="008E2450"/>
    <w:rsid w:val="008E2DCA"/>
    <w:rsid w:val="008E3F27"/>
    <w:rsid w:val="008E47EF"/>
    <w:rsid w:val="008E4E6E"/>
    <w:rsid w:val="008E5783"/>
    <w:rsid w:val="008E5DB7"/>
    <w:rsid w:val="008E61EB"/>
    <w:rsid w:val="008E7896"/>
    <w:rsid w:val="008E79C7"/>
    <w:rsid w:val="008E7B6F"/>
    <w:rsid w:val="008E7C9D"/>
    <w:rsid w:val="008E7CDF"/>
    <w:rsid w:val="008E7D8A"/>
    <w:rsid w:val="008F08F5"/>
    <w:rsid w:val="008F14C7"/>
    <w:rsid w:val="008F1E9E"/>
    <w:rsid w:val="008F2165"/>
    <w:rsid w:val="008F2356"/>
    <w:rsid w:val="008F2477"/>
    <w:rsid w:val="008F3879"/>
    <w:rsid w:val="008F3F29"/>
    <w:rsid w:val="008F42CE"/>
    <w:rsid w:val="008F5442"/>
    <w:rsid w:val="008F605C"/>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3296"/>
    <w:rsid w:val="009039FE"/>
    <w:rsid w:val="00903E9A"/>
    <w:rsid w:val="009048A5"/>
    <w:rsid w:val="00905283"/>
    <w:rsid w:val="00905404"/>
    <w:rsid w:val="00906478"/>
    <w:rsid w:val="00906753"/>
    <w:rsid w:val="00907264"/>
    <w:rsid w:val="00907557"/>
    <w:rsid w:val="0090765F"/>
    <w:rsid w:val="00907748"/>
    <w:rsid w:val="00911305"/>
    <w:rsid w:val="00912590"/>
    <w:rsid w:val="00913200"/>
    <w:rsid w:val="009136A4"/>
    <w:rsid w:val="00914EAB"/>
    <w:rsid w:val="0091526B"/>
    <w:rsid w:val="009152D8"/>
    <w:rsid w:val="009153A3"/>
    <w:rsid w:val="0091586C"/>
    <w:rsid w:val="00915A1D"/>
    <w:rsid w:val="00915DA2"/>
    <w:rsid w:val="00916EC9"/>
    <w:rsid w:val="00917994"/>
    <w:rsid w:val="009209DB"/>
    <w:rsid w:val="00920C88"/>
    <w:rsid w:val="00922567"/>
    <w:rsid w:val="009228DB"/>
    <w:rsid w:val="00922D49"/>
    <w:rsid w:val="009236B9"/>
    <w:rsid w:val="00925E37"/>
    <w:rsid w:val="00925EDD"/>
    <w:rsid w:val="00925F20"/>
    <w:rsid w:val="00926B3B"/>
    <w:rsid w:val="00927453"/>
    <w:rsid w:val="00927899"/>
    <w:rsid w:val="00927D0E"/>
    <w:rsid w:val="009309DA"/>
    <w:rsid w:val="00931040"/>
    <w:rsid w:val="00931663"/>
    <w:rsid w:val="00931D22"/>
    <w:rsid w:val="00932CC7"/>
    <w:rsid w:val="0093355C"/>
    <w:rsid w:val="00935306"/>
    <w:rsid w:val="0093629F"/>
    <w:rsid w:val="0093640D"/>
    <w:rsid w:val="00936460"/>
    <w:rsid w:val="0093653D"/>
    <w:rsid w:val="00936688"/>
    <w:rsid w:val="00936DF0"/>
    <w:rsid w:val="00937683"/>
    <w:rsid w:val="00937AC9"/>
    <w:rsid w:val="00937CFA"/>
    <w:rsid w:val="00940291"/>
    <w:rsid w:val="009406B3"/>
    <w:rsid w:val="00942286"/>
    <w:rsid w:val="00943748"/>
    <w:rsid w:val="00943CEE"/>
    <w:rsid w:val="009444F4"/>
    <w:rsid w:val="00944674"/>
    <w:rsid w:val="00944F2F"/>
    <w:rsid w:val="00945CC4"/>
    <w:rsid w:val="00945CF5"/>
    <w:rsid w:val="00946437"/>
    <w:rsid w:val="0094691C"/>
    <w:rsid w:val="00947C95"/>
    <w:rsid w:val="00947EED"/>
    <w:rsid w:val="009500A1"/>
    <w:rsid w:val="0095037E"/>
    <w:rsid w:val="009506BF"/>
    <w:rsid w:val="00951D97"/>
    <w:rsid w:val="00952230"/>
    <w:rsid w:val="00952266"/>
    <w:rsid w:val="00952AAD"/>
    <w:rsid w:val="00953B2B"/>
    <w:rsid w:val="00954567"/>
    <w:rsid w:val="009547B3"/>
    <w:rsid w:val="00954A89"/>
    <w:rsid w:val="009556B0"/>
    <w:rsid w:val="00955CB7"/>
    <w:rsid w:val="00956671"/>
    <w:rsid w:val="00957466"/>
    <w:rsid w:val="009576F7"/>
    <w:rsid w:val="00960722"/>
    <w:rsid w:val="00961356"/>
    <w:rsid w:val="00961AC0"/>
    <w:rsid w:val="00962401"/>
    <w:rsid w:val="00962484"/>
    <w:rsid w:val="00962510"/>
    <w:rsid w:val="0096260B"/>
    <w:rsid w:val="0096275C"/>
    <w:rsid w:val="009627FF"/>
    <w:rsid w:val="00962A27"/>
    <w:rsid w:val="00962B9D"/>
    <w:rsid w:val="00962EDC"/>
    <w:rsid w:val="00964E3D"/>
    <w:rsid w:val="009654FB"/>
    <w:rsid w:val="009664D5"/>
    <w:rsid w:val="009665F3"/>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E65"/>
    <w:rsid w:val="0098122D"/>
    <w:rsid w:val="00981963"/>
    <w:rsid w:val="009819C9"/>
    <w:rsid w:val="00982FD1"/>
    <w:rsid w:val="009831B9"/>
    <w:rsid w:val="00983C82"/>
    <w:rsid w:val="009844D6"/>
    <w:rsid w:val="00984520"/>
    <w:rsid w:val="0098507C"/>
    <w:rsid w:val="0098545C"/>
    <w:rsid w:val="00985506"/>
    <w:rsid w:val="009862F1"/>
    <w:rsid w:val="009871EA"/>
    <w:rsid w:val="00991675"/>
    <w:rsid w:val="00992188"/>
    <w:rsid w:val="009925EC"/>
    <w:rsid w:val="00992BA2"/>
    <w:rsid w:val="00992F83"/>
    <w:rsid w:val="0099344F"/>
    <w:rsid w:val="00993A3C"/>
    <w:rsid w:val="0099449B"/>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481"/>
    <w:rsid w:val="009B1584"/>
    <w:rsid w:val="009B1B32"/>
    <w:rsid w:val="009B21CA"/>
    <w:rsid w:val="009B2648"/>
    <w:rsid w:val="009B424E"/>
    <w:rsid w:val="009B4317"/>
    <w:rsid w:val="009B4EBB"/>
    <w:rsid w:val="009B529C"/>
    <w:rsid w:val="009B5860"/>
    <w:rsid w:val="009B6DB6"/>
    <w:rsid w:val="009B7332"/>
    <w:rsid w:val="009B7420"/>
    <w:rsid w:val="009B7659"/>
    <w:rsid w:val="009B7B46"/>
    <w:rsid w:val="009C01A0"/>
    <w:rsid w:val="009C0294"/>
    <w:rsid w:val="009C03E5"/>
    <w:rsid w:val="009C08B6"/>
    <w:rsid w:val="009C0920"/>
    <w:rsid w:val="009C1266"/>
    <w:rsid w:val="009C12C3"/>
    <w:rsid w:val="009C196C"/>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ED6"/>
    <w:rsid w:val="009C70CB"/>
    <w:rsid w:val="009C7623"/>
    <w:rsid w:val="009D14EB"/>
    <w:rsid w:val="009D1720"/>
    <w:rsid w:val="009D1B18"/>
    <w:rsid w:val="009D1E70"/>
    <w:rsid w:val="009D1EA4"/>
    <w:rsid w:val="009D27AA"/>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43DD"/>
    <w:rsid w:val="009E4465"/>
    <w:rsid w:val="009E5318"/>
    <w:rsid w:val="009E6401"/>
    <w:rsid w:val="009E648F"/>
    <w:rsid w:val="009E6C54"/>
    <w:rsid w:val="009F04C8"/>
    <w:rsid w:val="009F0812"/>
    <w:rsid w:val="009F0E02"/>
    <w:rsid w:val="009F11B0"/>
    <w:rsid w:val="009F248B"/>
    <w:rsid w:val="009F2A25"/>
    <w:rsid w:val="009F31C5"/>
    <w:rsid w:val="009F3A1A"/>
    <w:rsid w:val="009F3A1D"/>
    <w:rsid w:val="009F4C7D"/>
    <w:rsid w:val="009F5235"/>
    <w:rsid w:val="009F531A"/>
    <w:rsid w:val="009F6344"/>
    <w:rsid w:val="009F6550"/>
    <w:rsid w:val="009F6B65"/>
    <w:rsid w:val="009F764E"/>
    <w:rsid w:val="009F786E"/>
    <w:rsid w:val="00A00680"/>
    <w:rsid w:val="00A00902"/>
    <w:rsid w:val="00A0098B"/>
    <w:rsid w:val="00A017A1"/>
    <w:rsid w:val="00A0191A"/>
    <w:rsid w:val="00A020EF"/>
    <w:rsid w:val="00A0294E"/>
    <w:rsid w:val="00A02F1C"/>
    <w:rsid w:val="00A03992"/>
    <w:rsid w:val="00A039FF"/>
    <w:rsid w:val="00A03E55"/>
    <w:rsid w:val="00A04524"/>
    <w:rsid w:val="00A051DC"/>
    <w:rsid w:val="00A05ACE"/>
    <w:rsid w:val="00A114B9"/>
    <w:rsid w:val="00A12107"/>
    <w:rsid w:val="00A13A65"/>
    <w:rsid w:val="00A14486"/>
    <w:rsid w:val="00A14589"/>
    <w:rsid w:val="00A148F0"/>
    <w:rsid w:val="00A14AE3"/>
    <w:rsid w:val="00A16675"/>
    <w:rsid w:val="00A17957"/>
    <w:rsid w:val="00A20404"/>
    <w:rsid w:val="00A21955"/>
    <w:rsid w:val="00A21AD5"/>
    <w:rsid w:val="00A21D0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9E"/>
    <w:rsid w:val="00A40BBF"/>
    <w:rsid w:val="00A40D64"/>
    <w:rsid w:val="00A41012"/>
    <w:rsid w:val="00A411D1"/>
    <w:rsid w:val="00A41A09"/>
    <w:rsid w:val="00A4203E"/>
    <w:rsid w:val="00A42E88"/>
    <w:rsid w:val="00A43389"/>
    <w:rsid w:val="00A434A7"/>
    <w:rsid w:val="00A438B9"/>
    <w:rsid w:val="00A43E71"/>
    <w:rsid w:val="00A44C11"/>
    <w:rsid w:val="00A4526F"/>
    <w:rsid w:val="00A45753"/>
    <w:rsid w:val="00A457B8"/>
    <w:rsid w:val="00A46815"/>
    <w:rsid w:val="00A471E9"/>
    <w:rsid w:val="00A47256"/>
    <w:rsid w:val="00A47B15"/>
    <w:rsid w:val="00A500C1"/>
    <w:rsid w:val="00A5094A"/>
    <w:rsid w:val="00A5122F"/>
    <w:rsid w:val="00A51708"/>
    <w:rsid w:val="00A51E78"/>
    <w:rsid w:val="00A52F84"/>
    <w:rsid w:val="00A533CC"/>
    <w:rsid w:val="00A53698"/>
    <w:rsid w:val="00A54284"/>
    <w:rsid w:val="00A5465A"/>
    <w:rsid w:val="00A54FB5"/>
    <w:rsid w:val="00A563D1"/>
    <w:rsid w:val="00A56B05"/>
    <w:rsid w:val="00A56C06"/>
    <w:rsid w:val="00A56E50"/>
    <w:rsid w:val="00A5726C"/>
    <w:rsid w:val="00A57678"/>
    <w:rsid w:val="00A57972"/>
    <w:rsid w:val="00A579F5"/>
    <w:rsid w:val="00A57F83"/>
    <w:rsid w:val="00A60E2F"/>
    <w:rsid w:val="00A6273C"/>
    <w:rsid w:val="00A627AD"/>
    <w:rsid w:val="00A63246"/>
    <w:rsid w:val="00A63284"/>
    <w:rsid w:val="00A63458"/>
    <w:rsid w:val="00A6372D"/>
    <w:rsid w:val="00A64CB8"/>
    <w:rsid w:val="00A65C61"/>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C9C"/>
    <w:rsid w:val="00A853D8"/>
    <w:rsid w:val="00A8661E"/>
    <w:rsid w:val="00A8695A"/>
    <w:rsid w:val="00A86ACF"/>
    <w:rsid w:val="00A8708E"/>
    <w:rsid w:val="00A903B6"/>
    <w:rsid w:val="00A90B96"/>
    <w:rsid w:val="00A90F4F"/>
    <w:rsid w:val="00A92579"/>
    <w:rsid w:val="00A925DC"/>
    <w:rsid w:val="00A936F9"/>
    <w:rsid w:val="00A94390"/>
    <w:rsid w:val="00A943D0"/>
    <w:rsid w:val="00A947AA"/>
    <w:rsid w:val="00A94888"/>
    <w:rsid w:val="00A9681C"/>
    <w:rsid w:val="00A96867"/>
    <w:rsid w:val="00A96B3D"/>
    <w:rsid w:val="00A978B4"/>
    <w:rsid w:val="00A97A48"/>
    <w:rsid w:val="00AA0C7E"/>
    <w:rsid w:val="00AA18AB"/>
    <w:rsid w:val="00AA1B53"/>
    <w:rsid w:val="00AA1DEA"/>
    <w:rsid w:val="00AA256D"/>
    <w:rsid w:val="00AA2B76"/>
    <w:rsid w:val="00AA311D"/>
    <w:rsid w:val="00AA3556"/>
    <w:rsid w:val="00AA35FD"/>
    <w:rsid w:val="00AA3B4B"/>
    <w:rsid w:val="00AA3DB7"/>
    <w:rsid w:val="00AA41D3"/>
    <w:rsid w:val="00AA67F4"/>
    <w:rsid w:val="00AA73FB"/>
    <w:rsid w:val="00AA7A69"/>
    <w:rsid w:val="00AB0039"/>
    <w:rsid w:val="00AB0D96"/>
    <w:rsid w:val="00AB15A3"/>
    <w:rsid w:val="00AB177A"/>
    <w:rsid w:val="00AB216D"/>
    <w:rsid w:val="00AB3012"/>
    <w:rsid w:val="00AB321C"/>
    <w:rsid w:val="00AB37D2"/>
    <w:rsid w:val="00AB3B5F"/>
    <w:rsid w:val="00AB473F"/>
    <w:rsid w:val="00AB4C91"/>
    <w:rsid w:val="00AB4E3B"/>
    <w:rsid w:val="00AB5381"/>
    <w:rsid w:val="00AB54C1"/>
    <w:rsid w:val="00AB5FEF"/>
    <w:rsid w:val="00AB688F"/>
    <w:rsid w:val="00AB75EA"/>
    <w:rsid w:val="00AB7AA2"/>
    <w:rsid w:val="00AC0705"/>
    <w:rsid w:val="00AC0A22"/>
    <w:rsid w:val="00AC1515"/>
    <w:rsid w:val="00AC2234"/>
    <w:rsid w:val="00AC34AE"/>
    <w:rsid w:val="00AC3FF3"/>
    <w:rsid w:val="00AC4BC1"/>
    <w:rsid w:val="00AC5715"/>
    <w:rsid w:val="00AD04BD"/>
    <w:rsid w:val="00AD0765"/>
    <w:rsid w:val="00AD0F00"/>
    <w:rsid w:val="00AD16A3"/>
    <w:rsid w:val="00AD1AFC"/>
    <w:rsid w:val="00AD1D73"/>
    <w:rsid w:val="00AD3C7F"/>
    <w:rsid w:val="00AD55A8"/>
    <w:rsid w:val="00AD58D5"/>
    <w:rsid w:val="00AD5CA4"/>
    <w:rsid w:val="00AD6A91"/>
    <w:rsid w:val="00AD7214"/>
    <w:rsid w:val="00AE04DB"/>
    <w:rsid w:val="00AE1066"/>
    <w:rsid w:val="00AE14DD"/>
    <w:rsid w:val="00AE16F7"/>
    <w:rsid w:val="00AE2FA5"/>
    <w:rsid w:val="00AE3486"/>
    <w:rsid w:val="00AE3A4F"/>
    <w:rsid w:val="00AE4518"/>
    <w:rsid w:val="00AE4C67"/>
    <w:rsid w:val="00AE5D7F"/>
    <w:rsid w:val="00AE79F0"/>
    <w:rsid w:val="00AF07B0"/>
    <w:rsid w:val="00AF109C"/>
    <w:rsid w:val="00AF1701"/>
    <w:rsid w:val="00AF1752"/>
    <w:rsid w:val="00AF2CCD"/>
    <w:rsid w:val="00AF42FC"/>
    <w:rsid w:val="00AF4AC5"/>
    <w:rsid w:val="00AF4C2C"/>
    <w:rsid w:val="00AF597D"/>
    <w:rsid w:val="00AF6EC1"/>
    <w:rsid w:val="00AF784D"/>
    <w:rsid w:val="00AF7BCD"/>
    <w:rsid w:val="00AF7CE9"/>
    <w:rsid w:val="00B00331"/>
    <w:rsid w:val="00B0117E"/>
    <w:rsid w:val="00B014A1"/>
    <w:rsid w:val="00B01A80"/>
    <w:rsid w:val="00B0465C"/>
    <w:rsid w:val="00B046AF"/>
    <w:rsid w:val="00B06036"/>
    <w:rsid w:val="00B061F1"/>
    <w:rsid w:val="00B06615"/>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7B14"/>
    <w:rsid w:val="00B17EC8"/>
    <w:rsid w:val="00B203C4"/>
    <w:rsid w:val="00B20863"/>
    <w:rsid w:val="00B20BEC"/>
    <w:rsid w:val="00B20CDD"/>
    <w:rsid w:val="00B2101B"/>
    <w:rsid w:val="00B21AF6"/>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6109"/>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EEF"/>
    <w:rsid w:val="00B40C53"/>
    <w:rsid w:val="00B40F34"/>
    <w:rsid w:val="00B418AD"/>
    <w:rsid w:val="00B41C2D"/>
    <w:rsid w:val="00B41E7C"/>
    <w:rsid w:val="00B42F1A"/>
    <w:rsid w:val="00B43790"/>
    <w:rsid w:val="00B443D9"/>
    <w:rsid w:val="00B44531"/>
    <w:rsid w:val="00B44989"/>
    <w:rsid w:val="00B46521"/>
    <w:rsid w:val="00B46587"/>
    <w:rsid w:val="00B47AD2"/>
    <w:rsid w:val="00B47CF7"/>
    <w:rsid w:val="00B50686"/>
    <w:rsid w:val="00B50C50"/>
    <w:rsid w:val="00B513C0"/>
    <w:rsid w:val="00B53708"/>
    <w:rsid w:val="00B53DCB"/>
    <w:rsid w:val="00B5428F"/>
    <w:rsid w:val="00B54370"/>
    <w:rsid w:val="00B54460"/>
    <w:rsid w:val="00B5450D"/>
    <w:rsid w:val="00B54DEA"/>
    <w:rsid w:val="00B55185"/>
    <w:rsid w:val="00B55C03"/>
    <w:rsid w:val="00B55F0B"/>
    <w:rsid w:val="00B56450"/>
    <w:rsid w:val="00B56670"/>
    <w:rsid w:val="00B56A70"/>
    <w:rsid w:val="00B56CD4"/>
    <w:rsid w:val="00B60638"/>
    <w:rsid w:val="00B606F8"/>
    <w:rsid w:val="00B612ED"/>
    <w:rsid w:val="00B61433"/>
    <w:rsid w:val="00B61923"/>
    <w:rsid w:val="00B621D6"/>
    <w:rsid w:val="00B63AF2"/>
    <w:rsid w:val="00B65747"/>
    <w:rsid w:val="00B65D6F"/>
    <w:rsid w:val="00B65FAD"/>
    <w:rsid w:val="00B66174"/>
    <w:rsid w:val="00B67021"/>
    <w:rsid w:val="00B673C9"/>
    <w:rsid w:val="00B67B37"/>
    <w:rsid w:val="00B67C23"/>
    <w:rsid w:val="00B7079B"/>
    <w:rsid w:val="00B70DC7"/>
    <w:rsid w:val="00B71B20"/>
    <w:rsid w:val="00B721A4"/>
    <w:rsid w:val="00B72B5B"/>
    <w:rsid w:val="00B72EFF"/>
    <w:rsid w:val="00B7344D"/>
    <w:rsid w:val="00B73832"/>
    <w:rsid w:val="00B750C2"/>
    <w:rsid w:val="00B756CB"/>
    <w:rsid w:val="00B75735"/>
    <w:rsid w:val="00B76EAF"/>
    <w:rsid w:val="00B77142"/>
    <w:rsid w:val="00B80879"/>
    <w:rsid w:val="00B80A2C"/>
    <w:rsid w:val="00B80D3B"/>
    <w:rsid w:val="00B8135C"/>
    <w:rsid w:val="00B814BB"/>
    <w:rsid w:val="00B81536"/>
    <w:rsid w:val="00B81730"/>
    <w:rsid w:val="00B81C0E"/>
    <w:rsid w:val="00B81F60"/>
    <w:rsid w:val="00B82123"/>
    <w:rsid w:val="00B823D4"/>
    <w:rsid w:val="00B8314A"/>
    <w:rsid w:val="00B83A1D"/>
    <w:rsid w:val="00B841AC"/>
    <w:rsid w:val="00B84E84"/>
    <w:rsid w:val="00B85873"/>
    <w:rsid w:val="00B85E95"/>
    <w:rsid w:val="00B865B0"/>
    <w:rsid w:val="00B865DC"/>
    <w:rsid w:val="00B86BA7"/>
    <w:rsid w:val="00B870E8"/>
    <w:rsid w:val="00B875E3"/>
    <w:rsid w:val="00B87C29"/>
    <w:rsid w:val="00B90780"/>
    <w:rsid w:val="00B90968"/>
    <w:rsid w:val="00B91BC2"/>
    <w:rsid w:val="00B9240D"/>
    <w:rsid w:val="00B92CB7"/>
    <w:rsid w:val="00B94960"/>
    <w:rsid w:val="00B94AF7"/>
    <w:rsid w:val="00B96F6E"/>
    <w:rsid w:val="00BA0E60"/>
    <w:rsid w:val="00BA22A8"/>
    <w:rsid w:val="00BA309F"/>
    <w:rsid w:val="00BA3E48"/>
    <w:rsid w:val="00BA4905"/>
    <w:rsid w:val="00BA4BD3"/>
    <w:rsid w:val="00BA535D"/>
    <w:rsid w:val="00BA54C7"/>
    <w:rsid w:val="00BA6E49"/>
    <w:rsid w:val="00BB0187"/>
    <w:rsid w:val="00BB06E7"/>
    <w:rsid w:val="00BB0E56"/>
    <w:rsid w:val="00BB1EB3"/>
    <w:rsid w:val="00BB2678"/>
    <w:rsid w:val="00BB3077"/>
    <w:rsid w:val="00BB33A8"/>
    <w:rsid w:val="00BB3927"/>
    <w:rsid w:val="00BB3D8C"/>
    <w:rsid w:val="00BB4B39"/>
    <w:rsid w:val="00BB53AF"/>
    <w:rsid w:val="00BB5883"/>
    <w:rsid w:val="00BB5C26"/>
    <w:rsid w:val="00BB6A40"/>
    <w:rsid w:val="00BB6ABA"/>
    <w:rsid w:val="00BB6BB9"/>
    <w:rsid w:val="00BC013A"/>
    <w:rsid w:val="00BC162A"/>
    <w:rsid w:val="00BC1DA6"/>
    <w:rsid w:val="00BC2343"/>
    <w:rsid w:val="00BC348D"/>
    <w:rsid w:val="00BC4D6A"/>
    <w:rsid w:val="00BC5824"/>
    <w:rsid w:val="00BC584D"/>
    <w:rsid w:val="00BC702F"/>
    <w:rsid w:val="00BD0AA2"/>
    <w:rsid w:val="00BD0ECF"/>
    <w:rsid w:val="00BD1BD7"/>
    <w:rsid w:val="00BD30C8"/>
    <w:rsid w:val="00BD38F4"/>
    <w:rsid w:val="00BD3ABE"/>
    <w:rsid w:val="00BD3EB4"/>
    <w:rsid w:val="00BD4300"/>
    <w:rsid w:val="00BD4C5B"/>
    <w:rsid w:val="00BD4C70"/>
    <w:rsid w:val="00BD50EA"/>
    <w:rsid w:val="00BD5359"/>
    <w:rsid w:val="00BD5C65"/>
    <w:rsid w:val="00BD68AE"/>
    <w:rsid w:val="00BD7BCC"/>
    <w:rsid w:val="00BE0717"/>
    <w:rsid w:val="00BE16E9"/>
    <w:rsid w:val="00BE2469"/>
    <w:rsid w:val="00BE2730"/>
    <w:rsid w:val="00BE280A"/>
    <w:rsid w:val="00BE2A17"/>
    <w:rsid w:val="00BE31BE"/>
    <w:rsid w:val="00BE3A1D"/>
    <w:rsid w:val="00BE3B92"/>
    <w:rsid w:val="00BE41BF"/>
    <w:rsid w:val="00BE487E"/>
    <w:rsid w:val="00BE6018"/>
    <w:rsid w:val="00BE7086"/>
    <w:rsid w:val="00BE7278"/>
    <w:rsid w:val="00BF0B3A"/>
    <w:rsid w:val="00BF1F57"/>
    <w:rsid w:val="00BF20FD"/>
    <w:rsid w:val="00BF2239"/>
    <w:rsid w:val="00BF22C6"/>
    <w:rsid w:val="00BF34C2"/>
    <w:rsid w:val="00BF3804"/>
    <w:rsid w:val="00BF3B4E"/>
    <w:rsid w:val="00BF4086"/>
    <w:rsid w:val="00BF426C"/>
    <w:rsid w:val="00BF4594"/>
    <w:rsid w:val="00BF4D7F"/>
    <w:rsid w:val="00BF5370"/>
    <w:rsid w:val="00BF58D0"/>
    <w:rsid w:val="00BF6027"/>
    <w:rsid w:val="00BF6702"/>
    <w:rsid w:val="00BF6D7A"/>
    <w:rsid w:val="00BF7952"/>
    <w:rsid w:val="00BF7D6A"/>
    <w:rsid w:val="00C0021D"/>
    <w:rsid w:val="00C00300"/>
    <w:rsid w:val="00C00A6C"/>
    <w:rsid w:val="00C00B8B"/>
    <w:rsid w:val="00C013E1"/>
    <w:rsid w:val="00C01611"/>
    <w:rsid w:val="00C01B02"/>
    <w:rsid w:val="00C020BF"/>
    <w:rsid w:val="00C02468"/>
    <w:rsid w:val="00C02BDB"/>
    <w:rsid w:val="00C02D59"/>
    <w:rsid w:val="00C02FE3"/>
    <w:rsid w:val="00C030B6"/>
    <w:rsid w:val="00C03284"/>
    <w:rsid w:val="00C03B3A"/>
    <w:rsid w:val="00C03CD4"/>
    <w:rsid w:val="00C04694"/>
    <w:rsid w:val="00C050C4"/>
    <w:rsid w:val="00C050D7"/>
    <w:rsid w:val="00C05AAA"/>
    <w:rsid w:val="00C05B5F"/>
    <w:rsid w:val="00C05C41"/>
    <w:rsid w:val="00C06125"/>
    <w:rsid w:val="00C10086"/>
    <w:rsid w:val="00C101E0"/>
    <w:rsid w:val="00C104CC"/>
    <w:rsid w:val="00C10B96"/>
    <w:rsid w:val="00C10D7E"/>
    <w:rsid w:val="00C11521"/>
    <w:rsid w:val="00C11FB8"/>
    <w:rsid w:val="00C133DD"/>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A5D"/>
    <w:rsid w:val="00C23BA2"/>
    <w:rsid w:val="00C23BEA"/>
    <w:rsid w:val="00C2485F"/>
    <w:rsid w:val="00C248B1"/>
    <w:rsid w:val="00C24B63"/>
    <w:rsid w:val="00C2542B"/>
    <w:rsid w:val="00C262A0"/>
    <w:rsid w:val="00C26A4E"/>
    <w:rsid w:val="00C2755C"/>
    <w:rsid w:val="00C3004E"/>
    <w:rsid w:val="00C303F3"/>
    <w:rsid w:val="00C31195"/>
    <w:rsid w:val="00C31774"/>
    <w:rsid w:val="00C3180E"/>
    <w:rsid w:val="00C3194F"/>
    <w:rsid w:val="00C32AF2"/>
    <w:rsid w:val="00C33051"/>
    <w:rsid w:val="00C33204"/>
    <w:rsid w:val="00C338EB"/>
    <w:rsid w:val="00C34389"/>
    <w:rsid w:val="00C3465D"/>
    <w:rsid w:val="00C347D5"/>
    <w:rsid w:val="00C35F43"/>
    <w:rsid w:val="00C371C9"/>
    <w:rsid w:val="00C379E9"/>
    <w:rsid w:val="00C379FD"/>
    <w:rsid w:val="00C403CD"/>
    <w:rsid w:val="00C42030"/>
    <w:rsid w:val="00C42041"/>
    <w:rsid w:val="00C43934"/>
    <w:rsid w:val="00C439FB"/>
    <w:rsid w:val="00C43AA8"/>
    <w:rsid w:val="00C43F23"/>
    <w:rsid w:val="00C441A4"/>
    <w:rsid w:val="00C463C9"/>
    <w:rsid w:val="00C47648"/>
    <w:rsid w:val="00C47852"/>
    <w:rsid w:val="00C50011"/>
    <w:rsid w:val="00C51C8B"/>
    <w:rsid w:val="00C51F61"/>
    <w:rsid w:val="00C5254B"/>
    <w:rsid w:val="00C52F4A"/>
    <w:rsid w:val="00C54F7F"/>
    <w:rsid w:val="00C55D39"/>
    <w:rsid w:val="00C55FBF"/>
    <w:rsid w:val="00C56D9D"/>
    <w:rsid w:val="00C5718C"/>
    <w:rsid w:val="00C57E68"/>
    <w:rsid w:val="00C601C9"/>
    <w:rsid w:val="00C61FB3"/>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9D8"/>
    <w:rsid w:val="00C70A09"/>
    <w:rsid w:val="00C7191D"/>
    <w:rsid w:val="00C723B5"/>
    <w:rsid w:val="00C72B26"/>
    <w:rsid w:val="00C72C6F"/>
    <w:rsid w:val="00C7350B"/>
    <w:rsid w:val="00C74453"/>
    <w:rsid w:val="00C7473A"/>
    <w:rsid w:val="00C75AB0"/>
    <w:rsid w:val="00C76166"/>
    <w:rsid w:val="00C76B7B"/>
    <w:rsid w:val="00C76BBD"/>
    <w:rsid w:val="00C76DE2"/>
    <w:rsid w:val="00C772BA"/>
    <w:rsid w:val="00C801BE"/>
    <w:rsid w:val="00C802D1"/>
    <w:rsid w:val="00C8036C"/>
    <w:rsid w:val="00C80CD8"/>
    <w:rsid w:val="00C80F23"/>
    <w:rsid w:val="00C81151"/>
    <w:rsid w:val="00C82255"/>
    <w:rsid w:val="00C82CC6"/>
    <w:rsid w:val="00C83374"/>
    <w:rsid w:val="00C839CB"/>
    <w:rsid w:val="00C84593"/>
    <w:rsid w:val="00C850A3"/>
    <w:rsid w:val="00C8550F"/>
    <w:rsid w:val="00C85C32"/>
    <w:rsid w:val="00C85F45"/>
    <w:rsid w:val="00C86C8C"/>
    <w:rsid w:val="00C87568"/>
    <w:rsid w:val="00C87FD0"/>
    <w:rsid w:val="00C90628"/>
    <w:rsid w:val="00C90DB6"/>
    <w:rsid w:val="00C915A6"/>
    <w:rsid w:val="00C92603"/>
    <w:rsid w:val="00C92652"/>
    <w:rsid w:val="00C9394F"/>
    <w:rsid w:val="00C93B1A"/>
    <w:rsid w:val="00C9444E"/>
    <w:rsid w:val="00C952F9"/>
    <w:rsid w:val="00C96997"/>
    <w:rsid w:val="00C96F5F"/>
    <w:rsid w:val="00C97055"/>
    <w:rsid w:val="00CA194C"/>
    <w:rsid w:val="00CA2B4F"/>
    <w:rsid w:val="00CA30C3"/>
    <w:rsid w:val="00CA5927"/>
    <w:rsid w:val="00CA635E"/>
    <w:rsid w:val="00CA6BB0"/>
    <w:rsid w:val="00CA70CE"/>
    <w:rsid w:val="00CA79EC"/>
    <w:rsid w:val="00CB002C"/>
    <w:rsid w:val="00CB1E4B"/>
    <w:rsid w:val="00CB259F"/>
    <w:rsid w:val="00CB378B"/>
    <w:rsid w:val="00CB39C2"/>
    <w:rsid w:val="00CB3E38"/>
    <w:rsid w:val="00CB4C8C"/>
    <w:rsid w:val="00CB4E90"/>
    <w:rsid w:val="00CB5850"/>
    <w:rsid w:val="00CB5C99"/>
    <w:rsid w:val="00CB633B"/>
    <w:rsid w:val="00CB6782"/>
    <w:rsid w:val="00CB6E3E"/>
    <w:rsid w:val="00CB764D"/>
    <w:rsid w:val="00CC080A"/>
    <w:rsid w:val="00CC0D0F"/>
    <w:rsid w:val="00CC0DB1"/>
    <w:rsid w:val="00CC1275"/>
    <w:rsid w:val="00CC12EE"/>
    <w:rsid w:val="00CC19FD"/>
    <w:rsid w:val="00CC3767"/>
    <w:rsid w:val="00CC5767"/>
    <w:rsid w:val="00CC5D2F"/>
    <w:rsid w:val="00CC68CC"/>
    <w:rsid w:val="00CC6F17"/>
    <w:rsid w:val="00CC701E"/>
    <w:rsid w:val="00CC7735"/>
    <w:rsid w:val="00CD0310"/>
    <w:rsid w:val="00CD29E8"/>
    <w:rsid w:val="00CD2E48"/>
    <w:rsid w:val="00CD4826"/>
    <w:rsid w:val="00CD4E19"/>
    <w:rsid w:val="00CD5B1C"/>
    <w:rsid w:val="00CD6219"/>
    <w:rsid w:val="00CD700F"/>
    <w:rsid w:val="00CD7319"/>
    <w:rsid w:val="00CE027B"/>
    <w:rsid w:val="00CE148E"/>
    <w:rsid w:val="00CE155A"/>
    <w:rsid w:val="00CE208D"/>
    <w:rsid w:val="00CE2453"/>
    <w:rsid w:val="00CE28F0"/>
    <w:rsid w:val="00CE2ADB"/>
    <w:rsid w:val="00CE356D"/>
    <w:rsid w:val="00CE3FA4"/>
    <w:rsid w:val="00CE44F8"/>
    <w:rsid w:val="00CE5277"/>
    <w:rsid w:val="00CE5B4D"/>
    <w:rsid w:val="00CE5C5C"/>
    <w:rsid w:val="00CE6358"/>
    <w:rsid w:val="00CE649E"/>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5F2"/>
    <w:rsid w:val="00D13D00"/>
    <w:rsid w:val="00D147C0"/>
    <w:rsid w:val="00D14B7A"/>
    <w:rsid w:val="00D15696"/>
    <w:rsid w:val="00D15C51"/>
    <w:rsid w:val="00D16A9E"/>
    <w:rsid w:val="00D16C68"/>
    <w:rsid w:val="00D200BD"/>
    <w:rsid w:val="00D201AA"/>
    <w:rsid w:val="00D204A7"/>
    <w:rsid w:val="00D20AA5"/>
    <w:rsid w:val="00D22399"/>
    <w:rsid w:val="00D2370B"/>
    <w:rsid w:val="00D24298"/>
    <w:rsid w:val="00D24FFD"/>
    <w:rsid w:val="00D2662C"/>
    <w:rsid w:val="00D26A93"/>
    <w:rsid w:val="00D27FA3"/>
    <w:rsid w:val="00D308D7"/>
    <w:rsid w:val="00D3176C"/>
    <w:rsid w:val="00D31B3F"/>
    <w:rsid w:val="00D33751"/>
    <w:rsid w:val="00D34738"/>
    <w:rsid w:val="00D3486B"/>
    <w:rsid w:val="00D35D26"/>
    <w:rsid w:val="00D35D4A"/>
    <w:rsid w:val="00D36F6E"/>
    <w:rsid w:val="00D372B0"/>
    <w:rsid w:val="00D37343"/>
    <w:rsid w:val="00D376D6"/>
    <w:rsid w:val="00D41EA8"/>
    <w:rsid w:val="00D4205E"/>
    <w:rsid w:val="00D43325"/>
    <w:rsid w:val="00D446FE"/>
    <w:rsid w:val="00D450B6"/>
    <w:rsid w:val="00D47399"/>
    <w:rsid w:val="00D47475"/>
    <w:rsid w:val="00D4772B"/>
    <w:rsid w:val="00D47BB2"/>
    <w:rsid w:val="00D47D04"/>
    <w:rsid w:val="00D5056A"/>
    <w:rsid w:val="00D51099"/>
    <w:rsid w:val="00D510A0"/>
    <w:rsid w:val="00D52509"/>
    <w:rsid w:val="00D527EE"/>
    <w:rsid w:val="00D529C4"/>
    <w:rsid w:val="00D53747"/>
    <w:rsid w:val="00D53929"/>
    <w:rsid w:val="00D539D0"/>
    <w:rsid w:val="00D540DC"/>
    <w:rsid w:val="00D543C0"/>
    <w:rsid w:val="00D55456"/>
    <w:rsid w:val="00D55616"/>
    <w:rsid w:val="00D5574C"/>
    <w:rsid w:val="00D55DAC"/>
    <w:rsid w:val="00D564C7"/>
    <w:rsid w:val="00D57F8A"/>
    <w:rsid w:val="00D6153F"/>
    <w:rsid w:val="00D61740"/>
    <w:rsid w:val="00D61982"/>
    <w:rsid w:val="00D61EA9"/>
    <w:rsid w:val="00D61EFF"/>
    <w:rsid w:val="00D621EE"/>
    <w:rsid w:val="00D62655"/>
    <w:rsid w:val="00D6267A"/>
    <w:rsid w:val="00D62998"/>
    <w:rsid w:val="00D62999"/>
    <w:rsid w:val="00D629D5"/>
    <w:rsid w:val="00D644F0"/>
    <w:rsid w:val="00D647DE"/>
    <w:rsid w:val="00D6501F"/>
    <w:rsid w:val="00D65347"/>
    <w:rsid w:val="00D65954"/>
    <w:rsid w:val="00D67D12"/>
    <w:rsid w:val="00D705FF"/>
    <w:rsid w:val="00D70B0C"/>
    <w:rsid w:val="00D7145C"/>
    <w:rsid w:val="00D717CE"/>
    <w:rsid w:val="00D722A5"/>
    <w:rsid w:val="00D7352D"/>
    <w:rsid w:val="00D744BC"/>
    <w:rsid w:val="00D7505C"/>
    <w:rsid w:val="00D7585A"/>
    <w:rsid w:val="00D77C53"/>
    <w:rsid w:val="00D77E96"/>
    <w:rsid w:val="00D80618"/>
    <w:rsid w:val="00D807DF"/>
    <w:rsid w:val="00D82339"/>
    <w:rsid w:val="00D82494"/>
    <w:rsid w:val="00D82FF2"/>
    <w:rsid w:val="00D83774"/>
    <w:rsid w:val="00D83C27"/>
    <w:rsid w:val="00D84A4B"/>
    <w:rsid w:val="00D85686"/>
    <w:rsid w:val="00D877B1"/>
    <w:rsid w:val="00D90A81"/>
    <w:rsid w:val="00D90B7D"/>
    <w:rsid w:val="00D90DCE"/>
    <w:rsid w:val="00D91984"/>
    <w:rsid w:val="00D91E41"/>
    <w:rsid w:val="00D92168"/>
    <w:rsid w:val="00D9231C"/>
    <w:rsid w:val="00D92A5E"/>
    <w:rsid w:val="00D935BD"/>
    <w:rsid w:val="00D93F1F"/>
    <w:rsid w:val="00D940B5"/>
    <w:rsid w:val="00D9582D"/>
    <w:rsid w:val="00D95AF2"/>
    <w:rsid w:val="00D95CB0"/>
    <w:rsid w:val="00D9654F"/>
    <w:rsid w:val="00D966FE"/>
    <w:rsid w:val="00D977C0"/>
    <w:rsid w:val="00D97E14"/>
    <w:rsid w:val="00DA00A3"/>
    <w:rsid w:val="00DA13F3"/>
    <w:rsid w:val="00DA18F4"/>
    <w:rsid w:val="00DA292F"/>
    <w:rsid w:val="00DA2DE3"/>
    <w:rsid w:val="00DA3633"/>
    <w:rsid w:val="00DA400B"/>
    <w:rsid w:val="00DA44D6"/>
    <w:rsid w:val="00DA4BB6"/>
    <w:rsid w:val="00DA5C74"/>
    <w:rsid w:val="00DA6443"/>
    <w:rsid w:val="00DA6669"/>
    <w:rsid w:val="00DA6B5E"/>
    <w:rsid w:val="00DA6D55"/>
    <w:rsid w:val="00DA7146"/>
    <w:rsid w:val="00DA716A"/>
    <w:rsid w:val="00DA7B82"/>
    <w:rsid w:val="00DB0434"/>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C0A2F"/>
    <w:rsid w:val="00DC0DBE"/>
    <w:rsid w:val="00DC234A"/>
    <w:rsid w:val="00DC2AA0"/>
    <w:rsid w:val="00DC41E4"/>
    <w:rsid w:val="00DC42D9"/>
    <w:rsid w:val="00DC43D0"/>
    <w:rsid w:val="00DC496E"/>
    <w:rsid w:val="00DC5116"/>
    <w:rsid w:val="00DC795E"/>
    <w:rsid w:val="00DC7C77"/>
    <w:rsid w:val="00DC7FD5"/>
    <w:rsid w:val="00DD02FF"/>
    <w:rsid w:val="00DD24F9"/>
    <w:rsid w:val="00DD26EC"/>
    <w:rsid w:val="00DD2DFB"/>
    <w:rsid w:val="00DD3604"/>
    <w:rsid w:val="00DD3F4D"/>
    <w:rsid w:val="00DD4311"/>
    <w:rsid w:val="00DD481D"/>
    <w:rsid w:val="00DD57EC"/>
    <w:rsid w:val="00DD6DB0"/>
    <w:rsid w:val="00DD6F2E"/>
    <w:rsid w:val="00DD72E1"/>
    <w:rsid w:val="00DD7431"/>
    <w:rsid w:val="00DD7EA2"/>
    <w:rsid w:val="00DD7FA4"/>
    <w:rsid w:val="00DE00F2"/>
    <w:rsid w:val="00DE117F"/>
    <w:rsid w:val="00DE122A"/>
    <w:rsid w:val="00DE14CD"/>
    <w:rsid w:val="00DE2D17"/>
    <w:rsid w:val="00DE353C"/>
    <w:rsid w:val="00DE3755"/>
    <w:rsid w:val="00DE401C"/>
    <w:rsid w:val="00DE5BF9"/>
    <w:rsid w:val="00DE6E2F"/>
    <w:rsid w:val="00DE6F47"/>
    <w:rsid w:val="00DE7D13"/>
    <w:rsid w:val="00DE7FF4"/>
    <w:rsid w:val="00DF05F9"/>
    <w:rsid w:val="00DF0727"/>
    <w:rsid w:val="00DF0D2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999"/>
    <w:rsid w:val="00E0399E"/>
    <w:rsid w:val="00E042A1"/>
    <w:rsid w:val="00E0473A"/>
    <w:rsid w:val="00E056A4"/>
    <w:rsid w:val="00E05CF4"/>
    <w:rsid w:val="00E05E82"/>
    <w:rsid w:val="00E0667C"/>
    <w:rsid w:val="00E06CF2"/>
    <w:rsid w:val="00E07425"/>
    <w:rsid w:val="00E1043E"/>
    <w:rsid w:val="00E104FA"/>
    <w:rsid w:val="00E1082A"/>
    <w:rsid w:val="00E10956"/>
    <w:rsid w:val="00E10D4D"/>
    <w:rsid w:val="00E110B5"/>
    <w:rsid w:val="00E11166"/>
    <w:rsid w:val="00E1223C"/>
    <w:rsid w:val="00E12818"/>
    <w:rsid w:val="00E128A4"/>
    <w:rsid w:val="00E12D39"/>
    <w:rsid w:val="00E12F8A"/>
    <w:rsid w:val="00E13182"/>
    <w:rsid w:val="00E14523"/>
    <w:rsid w:val="00E14972"/>
    <w:rsid w:val="00E14CB9"/>
    <w:rsid w:val="00E151F2"/>
    <w:rsid w:val="00E15383"/>
    <w:rsid w:val="00E15C82"/>
    <w:rsid w:val="00E163FB"/>
    <w:rsid w:val="00E1738C"/>
    <w:rsid w:val="00E201C0"/>
    <w:rsid w:val="00E21484"/>
    <w:rsid w:val="00E21ABD"/>
    <w:rsid w:val="00E22775"/>
    <w:rsid w:val="00E22D28"/>
    <w:rsid w:val="00E22F81"/>
    <w:rsid w:val="00E22F87"/>
    <w:rsid w:val="00E230E3"/>
    <w:rsid w:val="00E23C97"/>
    <w:rsid w:val="00E24727"/>
    <w:rsid w:val="00E25739"/>
    <w:rsid w:val="00E265A7"/>
    <w:rsid w:val="00E2699E"/>
    <w:rsid w:val="00E2720F"/>
    <w:rsid w:val="00E27520"/>
    <w:rsid w:val="00E27B80"/>
    <w:rsid w:val="00E27FCE"/>
    <w:rsid w:val="00E30EDF"/>
    <w:rsid w:val="00E31B43"/>
    <w:rsid w:val="00E31FBA"/>
    <w:rsid w:val="00E325E1"/>
    <w:rsid w:val="00E331C6"/>
    <w:rsid w:val="00E33299"/>
    <w:rsid w:val="00E33513"/>
    <w:rsid w:val="00E33A4F"/>
    <w:rsid w:val="00E33F3E"/>
    <w:rsid w:val="00E341E5"/>
    <w:rsid w:val="00E34315"/>
    <w:rsid w:val="00E34485"/>
    <w:rsid w:val="00E34772"/>
    <w:rsid w:val="00E35479"/>
    <w:rsid w:val="00E35A27"/>
    <w:rsid w:val="00E35ACE"/>
    <w:rsid w:val="00E35D4B"/>
    <w:rsid w:val="00E35FBC"/>
    <w:rsid w:val="00E36AAE"/>
    <w:rsid w:val="00E37198"/>
    <w:rsid w:val="00E3774C"/>
    <w:rsid w:val="00E41313"/>
    <w:rsid w:val="00E41773"/>
    <w:rsid w:val="00E41ACD"/>
    <w:rsid w:val="00E42FE6"/>
    <w:rsid w:val="00E43350"/>
    <w:rsid w:val="00E44E78"/>
    <w:rsid w:val="00E460B6"/>
    <w:rsid w:val="00E46495"/>
    <w:rsid w:val="00E46BD2"/>
    <w:rsid w:val="00E46E68"/>
    <w:rsid w:val="00E471D2"/>
    <w:rsid w:val="00E47277"/>
    <w:rsid w:val="00E473D4"/>
    <w:rsid w:val="00E474CF"/>
    <w:rsid w:val="00E513F6"/>
    <w:rsid w:val="00E51A02"/>
    <w:rsid w:val="00E51EC6"/>
    <w:rsid w:val="00E52F3B"/>
    <w:rsid w:val="00E52F80"/>
    <w:rsid w:val="00E53313"/>
    <w:rsid w:val="00E536E1"/>
    <w:rsid w:val="00E53D94"/>
    <w:rsid w:val="00E53DEA"/>
    <w:rsid w:val="00E5424B"/>
    <w:rsid w:val="00E54270"/>
    <w:rsid w:val="00E544BA"/>
    <w:rsid w:val="00E55964"/>
    <w:rsid w:val="00E55B64"/>
    <w:rsid w:val="00E56759"/>
    <w:rsid w:val="00E612F0"/>
    <w:rsid w:val="00E616DB"/>
    <w:rsid w:val="00E62442"/>
    <w:rsid w:val="00E627A4"/>
    <w:rsid w:val="00E630ED"/>
    <w:rsid w:val="00E638C9"/>
    <w:rsid w:val="00E63CFB"/>
    <w:rsid w:val="00E6437C"/>
    <w:rsid w:val="00E64B30"/>
    <w:rsid w:val="00E65237"/>
    <w:rsid w:val="00E668E4"/>
    <w:rsid w:val="00E67862"/>
    <w:rsid w:val="00E6797C"/>
    <w:rsid w:val="00E70ACF"/>
    <w:rsid w:val="00E70D46"/>
    <w:rsid w:val="00E712A9"/>
    <w:rsid w:val="00E713BC"/>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3707"/>
    <w:rsid w:val="00E84210"/>
    <w:rsid w:val="00E844CD"/>
    <w:rsid w:val="00E847A7"/>
    <w:rsid w:val="00E84FE5"/>
    <w:rsid w:val="00E85281"/>
    <w:rsid w:val="00E86682"/>
    <w:rsid w:val="00E86E79"/>
    <w:rsid w:val="00E906B4"/>
    <w:rsid w:val="00E9095B"/>
    <w:rsid w:val="00E9145E"/>
    <w:rsid w:val="00E9152D"/>
    <w:rsid w:val="00E91B24"/>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592E"/>
    <w:rsid w:val="00EA6FA7"/>
    <w:rsid w:val="00EB067F"/>
    <w:rsid w:val="00EB17BE"/>
    <w:rsid w:val="00EB18B8"/>
    <w:rsid w:val="00EB1A1B"/>
    <w:rsid w:val="00EB1F02"/>
    <w:rsid w:val="00EB2E64"/>
    <w:rsid w:val="00EB3290"/>
    <w:rsid w:val="00EB3539"/>
    <w:rsid w:val="00EB3D4B"/>
    <w:rsid w:val="00EB45DD"/>
    <w:rsid w:val="00EB5BC5"/>
    <w:rsid w:val="00EB6097"/>
    <w:rsid w:val="00EB6212"/>
    <w:rsid w:val="00EB6BB5"/>
    <w:rsid w:val="00EB6E30"/>
    <w:rsid w:val="00EB6FD4"/>
    <w:rsid w:val="00EB7618"/>
    <w:rsid w:val="00EB7A19"/>
    <w:rsid w:val="00EB7B51"/>
    <w:rsid w:val="00EB7F93"/>
    <w:rsid w:val="00EC086C"/>
    <w:rsid w:val="00EC0A6E"/>
    <w:rsid w:val="00EC1720"/>
    <w:rsid w:val="00EC2AFD"/>
    <w:rsid w:val="00EC2DB7"/>
    <w:rsid w:val="00EC337D"/>
    <w:rsid w:val="00EC378B"/>
    <w:rsid w:val="00EC42D0"/>
    <w:rsid w:val="00EC47EE"/>
    <w:rsid w:val="00EC638F"/>
    <w:rsid w:val="00EC6F34"/>
    <w:rsid w:val="00EC7375"/>
    <w:rsid w:val="00EC7927"/>
    <w:rsid w:val="00ED095E"/>
    <w:rsid w:val="00ED1319"/>
    <w:rsid w:val="00ED1A0B"/>
    <w:rsid w:val="00ED21A7"/>
    <w:rsid w:val="00ED27DD"/>
    <w:rsid w:val="00ED37D5"/>
    <w:rsid w:val="00ED4046"/>
    <w:rsid w:val="00ED5162"/>
    <w:rsid w:val="00ED5669"/>
    <w:rsid w:val="00ED59E5"/>
    <w:rsid w:val="00ED5DF2"/>
    <w:rsid w:val="00ED697C"/>
    <w:rsid w:val="00EE06CA"/>
    <w:rsid w:val="00EE16DC"/>
    <w:rsid w:val="00EE1CF9"/>
    <w:rsid w:val="00EE2F83"/>
    <w:rsid w:val="00EE3319"/>
    <w:rsid w:val="00EE3DFB"/>
    <w:rsid w:val="00EE43AD"/>
    <w:rsid w:val="00EE4874"/>
    <w:rsid w:val="00EE48D6"/>
    <w:rsid w:val="00EE4A6E"/>
    <w:rsid w:val="00EE4BAB"/>
    <w:rsid w:val="00EE5C37"/>
    <w:rsid w:val="00EE6D39"/>
    <w:rsid w:val="00EE7922"/>
    <w:rsid w:val="00EE79A6"/>
    <w:rsid w:val="00EE7C86"/>
    <w:rsid w:val="00EF0888"/>
    <w:rsid w:val="00EF11DF"/>
    <w:rsid w:val="00EF130D"/>
    <w:rsid w:val="00EF30E0"/>
    <w:rsid w:val="00EF3380"/>
    <w:rsid w:val="00EF3D05"/>
    <w:rsid w:val="00EF42CF"/>
    <w:rsid w:val="00EF4526"/>
    <w:rsid w:val="00EF5403"/>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5D0C"/>
    <w:rsid w:val="00F06616"/>
    <w:rsid w:val="00F07263"/>
    <w:rsid w:val="00F07485"/>
    <w:rsid w:val="00F07EB6"/>
    <w:rsid w:val="00F10B9D"/>
    <w:rsid w:val="00F10BC6"/>
    <w:rsid w:val="00F11352"/>
    <w:rsid w:val="00F11AD0"/>
    <w:rsid w:val="00F12313"/>
    <w:rsid w:val="00F13D34"/>
    <w:rsid w:val="00F14602"/>
    <w:rsid w:val="00F1498D"/>
    <w:rsid w:val="00F14DDF"/>
    <w:rsid w:val="00F152AD"/>
    <w:rsid w:val="00F15BA3"/>
    <w:rsid w:val="00F15BB3"/>
    <w:rsid w:val="00F165B7"/>
    <w:rsid w:val="00F170D0"/>
    <w:rsid w:val="00F178B0"/>
    <w:rsid w:val="00F20C9C"/>
    <w:rsid w:val="00F21827"/>
    <w:rsid w:val="00F21A00"/>
    <w:rsid w:val="00F2285F"/>
    <w:rsid w:val="00F22AB4"/>
    <w:rsid w:val="00F23155"/>
    <w:rsid w:val="00F23EE4"/>
    <w:rsid w:val="00F24236"/>
    <w:rsid w:val="00F24E0E"/>
    <w:rsid w:val="00F25101"/>
    <w:rsid w:val="00F25707"/>
    <w:rsid w:val="00F26693"/>
    <w:rsid w:val="00F267FF"/>
    <w:rsid w:val="00F26A13"/>
    <w:rsid w:val="00F27B5F"/>
    <w:rsid w:val="00F27D3B"/>
    <w:rsid w:val="00F31261"/>
    <w:rsid w:val="00F31BB3"/>
    <w:rsid w:val="00F31C67"/>
    <w:rsid w:val="00F31E27"/>
    <w:rsid w:val="00F323C3"/>
    <w:rsid w:val="00F32A15"/>
    <w:rsid w:val="00F32CB1"/>
    <w:rsid w:val="00F32EE6"/>
    <w:rsid w:val="00F32F3C"/>
    <w:rsid w:val="00F339EC"/>
    <w:rsid w:val="00F3443B"/>
    <w:rsid w:val="00F34FDD"/>
    <w:rsid w:val="00F35279"/>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56D2"/>
    <w:rsid w:val="00F45B08"/>
    <w:rsid w:val="00F46431"/>
    <w:rsid w:val="00F469AD"/>
    <w:rsid w:val="00F4715C"/>
    <w:rsid w:val="00F47C9F"/>
    <w:rsid w:val="00F50CE8"/>
    <w:rsid w:val="00F51361"/>
    <w:rsid w:val="00F514B3"/>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62584"/>
    <w:rsid w:val="00F633F1"/>
    <w:rsid w:val="00F63BF7"/>
    <w:rsid w:val="00F6453E"/>
    <w:rsid w:val="00F649A0"/>
    <w:rsid w:val="00F64FAD"/>
    <w:rsid w:val="00F65215"/>
    <w:rsid w:val="00F65617"/>
    <w:rsid w:val="00F65A88"/>
    <w:rsid w:val="00F66494"/>
    <w:rsid w:val="00F710BE"/>
    <w:rsid w:val="00F712C1"/>
    <w:rsid w:val="00F716C4"/>
    <w:rsid w:val="00F71D7B"/>
    <w:rsid w:val="00F71E9B"/>
    <w:rsid w:val="00F72016"/>
    <w:rsid w:val="00F72D3F"/>
    <w:rsid w:val="00F72DAD"/>
    <w:rsid w:val="00F736D2"/>
    <w:rsid w:val="00F7564C"/>
    <w:rsid w:val="00F76220"/>
    <w:rsid w:val="00F769BE"/>
    <w:rsid w:val="00F7735C"/>
    <w:rsid w:val="00F7777E"/>
    <w:rsid w:val="00F77BD5"/>
    <w:rsid w:val="00F77E24"/>
    <w:rsid w:val="00F8216D"/>
    <w:rsid w:val="00F82E6B"/>
    <w:rsid w:val="00F83662"/>
    <w:rsid w:val="00F838C0"/>
    <w:rsid w:val="00F85ED6"/>
    <w:rsid w:val="00F85F83"/>
    <w:rsid w:val="00F86F3C"/>
    <w:rsid w:val="00F91045"/>
    <w:rsid w:val="00F912FD"/>
    <w:rsid w:val="00F91D43"/>
    <w:rsid w:val="00F9254F"/>
    <w:rsid w:val="00F9367F"/>
    <w:rsid w:val="00F94244"/>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178"/>
    <w:rsid w:val="00FA4A55"/>
    <w:rsid w:val="00FA4D4F"/>
    <w:rsid w:val="00FA54E8"/>
    <w:rsid w:val="00FA5528"/>
    <w:rsid w:val="00FA5A36"/>
    <w:rsid w:val="00FA5FE8"/>
    <w:rsid w:val="00FA668B"/>
    <w:rsid w:val="00FA67CF"/>
    <w:rsid w:val="00FB0D68"/>
    <w:rsid w:val="00FB1410"/>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C09E7"/>
    <w:rsid w:val="00FC1858"/>
    <w:rsid w:val="00FC1CA5"/>
    <w:rsid w:val="00FC1D8E"/>
    <w:rsid w:val="00FC2733"/>
    <w:rsid w:val="00FC2979"/>
    <w:rsid w:val="00FC6D6C"/>
    <w:rsid w:val="00FD1C3C"/>
    <w:rsid w:val="00FD24F6"/>
    <w:rsid w:val="00FD2D6C"/>
    <w:rsid w:val="00FD2DB1"/>
    <w:rsid w:val="00FD3669"/>
    <w:rsid w:val="00FD38A8"/>
    <w:rsid w:val="00FD3983"/>
    <w:rsid w:val="00FD634B"/>
    <w:rsid w:val="00FD6AC8"/>
    <w:rsid w:val="00FE02F8"/>
    <w:rsid w:val="00FE0A6C"/>
    <w:rsid w:val="00FE1727"/>
    <w:rsid w:val="00FE2F58"/>
    <w:rsid w:val="00FE362F"/>
    <w:rsid w:val="00FE3638"/>
    <w:rsid w:val="00FE3A67"/>
    <w:rsid w:val="00FE3EA1"/>
    <w:rsid w:val="00FE4818"/>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A7F5DE45-055E-4FAB-902D-FBAB10EB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paragraph" w:styleId="40">
    <w:name w:val="heading 4"/>
    <w:basedOn w:val="a"/>
    <w:next w:val="a"/>
    <w:link w:val="4Char"/>
    <w:unhideWhenUsed/>
    <w:qFormat/>
    <w:locked/>
    <w:rsid w:val="00EB6F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nhideWhenUsed/>
    <w:qFormat/>
    <w:locked/>
    <w:rsid w:val="00EB6FD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2A35B1"/>
    <w:rPr>
      <w:b/>
      <w:bCs/>
    </w:rPr>
  </w:style>
  <w:style w:type="paragraph" w:styleId="af9">
    <w:name w:val="List Paragraph"/>
    <w:basedOn w:val="a"/>
    <w:uiPriority w:val="34"/>
    <w:qFormat/>
    <w:rsid w:val="00B56450"/>
    <w:pPr>
      <w:ind w:firstLineChars="200" w:firstLine="420"/>
    </w:pPr>
  </w:style>
  <w:style w:type="character" w:customStyle="1" w:styleId="4Char">
    <w:name w:val="标题 4 Char"/>
    <w:basedOn w:val="a1"/>
    <w:link w:val="40"/>
    <w:rsid w:val="00EB6FD4"/>
    <w:rPr>
      <w:rFonts w:asciiTheme="majorHAnsi" w:eastAsiaTheme="majorEastAsia" w:hAnsiTheme="majorHAnsi" w:cstheme="majorBidi"/>
      <w:b/>
      <w:bCs/>
      <w:kern w:val="2"/>
      <w:sz w:val="28"/>
      <w:szCs w:val="28"/>
    </w:rPr>
  </w:style>
  <w:style w:type="character" w:customStyle="1" w:styleId="5Char">
    <w:name w:val="标题 5 Char"/>
    <w:basedOn w:val="a1"/>
    <w:link w:val="50"/>
    <w:rsid w:val="00EB6FD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8C43E-1571-47ED-B4FA-72D83BE9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TotalTime>
  <Pages>36</Pages>
  <Words>3526</Words>
  <Characters>20102</Characters>
  <Application>Microsoft Office Word</Application>
  <DocSecurity>0</DocSecurity>
  <Lines>167</Lines>
  <Paragraphs>47</Paragraphs>
  <ScaleCrop>false</ScaleCrop>
  <Company/>
  <LinksUpToDate>false</LinksUpToDate>
  <CharactersWithSpaces>23581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WenYu Qiu</cp:lastModifiedBy>
  <cp:revision>612</cp:revision>
  <cp:lastPrinted>2007-07-19T00:46:00Z</cp:lastPrinted>
  <dcterms:created xsi:type="dcterms:W3CDTF">2013-08-19T02:39:00Z</dcterms:created>
  <dcterms:modified xsi:type="dcterms:W3CDTF">2019-03-26T05:49:00Z</dcterms:modified>
</cp:coreProperties>
</file>