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4F" w:rsidRDefault="006C3B4F">
      <w:pPr>
        <w:autoSpaceDE w:val="0"/>
        <w:autoSpaceDN w:val="0"/>
        <w:adjustRightInd w:val="0"/>
        <w:spacing w:line="360" w:lineRule="auto"/>
        <w:jc w:val="left"/>
        <w:rPr>
          <w:rFonts w:eastAsiaTheme="minorEastAsia"/>
          <w:color w:val="000000" w:themeColor="text1"/>
          <w:kern w:val="0"/>
          <w:szCs w:val="21"/>
        </w:rPr>
      </w:pPr>
    </w:p>
    <w:p w:rsidR="006C3B4F" w:rsidRDefault="006C3B4F">
      <w:pPr>
        <w:autoSpaceDE w:val="0"/>
        <w:autoSpaceDN w:val="0"/>
        <w:adjustRightInd w:val="0"/>
        <w:spacing w:line="360" w:lineRule="auto"/>
        <w:jc w:val="left"/>
        <w:rPr>
          <w:rFonts w:eastAsiaTheme="minorEastAsia"/>
          <w:color w:val="000000" w:themeColor="text1"/>
          <w:kern w:val="0"/>
          <w:szCs w:val="21"/>
        </w:rPr>
      </w:pPr>
    </w:p>
    <w:p w:rsidR="006C3B4F" w:rsidRDefault="006C3B4F">
      <w:pPr>
        <w:autoSpaceDE w:val="0"/>
        <w:autoSpaceDN w:val="0"/>
        <w:adjustRightInd w:val="0"/>
        <w:spacing w:line="360" w:lineRule="auto"/>
        <w:jc w:val="left"/>
        <w:rPr>
          <w:rFonts w:eastAsiaTheme="minorEastAsia"/>
          <w:color w:val="000000" w:themeColor="text1"/>
          <w:kern w:val="0"/>
          <w:szCs w:val="21"/>
        </w:rPr>
      </w:pPr>
    </w:p>
    <w:p w:rsidR="006C3B4F" w:rsidRDefault="006C3B4F">
      <w:pPr>
        <w:autoSpaceDE w:val="0"/>
        <w:autoSpaceDN w:val="0"/>
        <w:adjustRightInd w:val="0"/>
        <w:spacing w:line="360" w:lineRule="auto"/>
        <w:jc w:val="left"/>
        <w:rPr>
          <w:rFonts w:eastAsiaTheme="minorEastAsia"/>
          <w:color w:val="000000" w:themeColor="text1"/>
          <w:kern w:val="0"/>
          <w:szCs w:val="21"/>
        </w:rPr>
      </w:pPr>
    </w:p>
    <w:p w:rsidR="006C3B4F" w:rsidRDefault="006C3B4F">
      <w:pPr>
        <w:autoSpaceDE w:val="0"/>
        <w:autoSpaceDN w:val="0"/>
        <w:adjustRightInd w:val="0"/>
        <w:spacing w:line="360" w:lineRule="auto"/>
        <w:jc w:val="left"/>
        <w:rPr>
          <w:rFonts w:eastAsiaTheme="minorEastAsia"/>
          <w:color w:val="000000" w:themeColor="text1"/>
          <w:kern w:val="0"/>
          <w:szCs w:val="21"/>
        </w:rPr>
      </w:pPr>
    </w:p>
    <w:p w:rsidR="006C3B4F" w:rsidRDefault="00E54414">
      <w:pPr>
        <w:spacing w:line="360" w:lineRule="auto"/>
        <w:jc w:val="center"/>
        <w:rPr>
          <w:rFonts w:eastAsiaTheme="minorEastAsia"/>
          <w:b/>
          <w:color w:val="000000" w:themeColor="text1"/>
          <w:sz w:val="36"/>
          <w:szCs w:val="36"/>
        </w:rPr>
      </w:pPr>
      <w:r>
        <w:rPr>
          <w:rFonts w:eastAsiaTheme="minorEastAsia"/>
          <w:b/>
          <w:color w:val="000000" w:themeColor="text1"/>
          <w:sz w:val="36"/>
          <w:szCs w:val="36"/>
        </w:rPr>
        <w:t>上投摩根岁岁金定期开放债券型证券投资基金</w:t>
      </w:r>
    </w:p>
    <w:p w:rsidR="006C3B4F" w:rsidRDefault="00E54414">
      <w:pPr>
        <w:spacing w:line="360" w:lineRule="auto"/>
        <w:jc w:val="center"/>
        <w:rPr>
          <w:rFonts w:eastAsiaTheme="minorEastAsia"/>
          <w:b/>
          <w:color w:val="000000" w:themeColor="text1"/>
          <w:sz w:val="36"/>
          <w:szCs w:val="36"/>
        </w:rPr>
      </w:pPr>
      <w:r>
        <w:rPr>
          <w:rFonts w:eastAsiaTheme="minorEastAsia"/>
          <w:b/>
          <w:color w:val="000000" w:themeColor="text1"/>
          <w:sz w:val="36"/>
          <w:szCs w:val="36"/>
        </w:rPr>
        <w:t>2018</w:t>
      </w:r>
      <w:r>
        <w:rPr>
          <w:rFonts w:eastAsiaTheme="minorEastAsia"/>
          <w:b/>
          <w:color w:val="000000" w:themeColor="text1"/>
          <w:sz w:val="36"/>
          <w:szCs w:val="36"/>
        </w:rPr>
        <w:t>年第</w:t>
      </w:r>
      <w:r>
        <w:rPr>
          <w:rFonts w:eastAsiaTheme="minorEastAsia"/>
          <w:b/>
          <w:color w:val="000000" w:themeColor="text1"/>
          <w:sz w:val="36"/>
          <w:szCs w:val="36"/>
        </w:rPr>
        <w:t>4</w:t>
      </w:r>
      <w:r>
        <w:rPr>
          <w:rFonts w:eastAsiaTheme="minorEastAsia"/>
          <w:b/>
          <w:color w:val="000000" w:themeColor="text1"/>
          <w:sz w:val="36"/>
          <w:szCs w:val="36"/>
        </w:rPr>
        <w:t>季度报告</w:t>
      </w:r>
    </w:p>
    <w:p w:rsidR="006C3B4F" w:rsidRDefault="00E54414">
      <w:pPr>
        <w:spacing w:line="360" w:lineRule="auto"/>
        <w:jc w:val="center"/>
        <w:rPr>
          <w:rFonts w:eastAsiaTheme="minorEastAsia"/>
          <w:b/>
          <w:color w:val="000000" w:themeColor="text1"/>
          <w:szCs w:val="21"/>
        </w:rPr>
      </w:pPr>
      <w:r>
        <w:rPr>
          <w:rFonts w:eastAsiaTheme="minorEastAsia"/>
          <w:b/>
          <w:color w:val="000000" w:themeColor="text1"/>
          <w:sz w:val="36"/>
          <w:szCs w:val="36"/>
        </w:rPr>
        <w:t>2018</w:t>
      </w:r>
      <w:r>
        <w:rPr>
          <w:rFonts w:eastAsiaTheme="minorEastAsia"/>
          <w:b/>
          <w:color w:val="000000" w:themeColor="text1"/>
          <w:sz w:val="36"/>
          <w:szCs w:val="36"/>
        </w:rPr>
        <w:t>年</w:t>
      </w:r>
      <w:r>
        <w:rPr>
          <w:rFonts w:eastAsiaTheme="minorEastAsia"/>
          <w:b/>
          <w:color w:val="000000" w:themeColor="text1"/>
          <w:sz w:val="36"/>
          <w:szCs w:val="36"/>
        </w:rPr>
        <w:t>12</w:t>
      </w:r>
      <w:r>
        <w:rPr>
          <w:rFonts w:eastAsiaTheme="minorEastAsia"/>
          <w:b/>
          <w:color w:val="000000" w:themeColor="text1"/>
          <w:sz w:val="36"/>
          <w:szCs w:val="36"/>
        </w:rPr>
        <w:t>月</w:t>
      </w:r>
      <w:r>
        <w:rPr>
          <w:rFonts w:eastAsiaTheme="minorEastAsia"/>
          <w:b/>
          <w:color w:val="000000" w:themeColor="text1"/>
          <w:sz w:val="36"/>
          <w:szCs w:val="36"/>
        </w:rPr>
        <w:t>31</w:t>
      </w:r>
      <w:r>
        <w:rPr>
          <w:rFonts w:eastAsiaTheme="minorEastAsia"/>
          <w:b/>
          <w:color w:val="000000" w:themeColor="text1"/>
          <w:sz w:val="36"/>
          <w:szCs w:val="36"/>
        </w:rPr>
        <w:t>日</w:t>
      </w:r>
    </w:p>
    <w:p w:rsidR="006C3B4F" w:rsidRDefault="006C3B4F">
      <w:pPr>
        <w:spacing w:line="360" w:lineRule="auto"/>
        <w:jc w:val="center"/>
        <w:rPr>
          <w:rFonts w:eastAsiaTheme="minorEastAsia"/>
          <w:b/>
          <w:color w:val="000000" w:themeColor="text1"/>
          <w:szCs w:val="21"/>
        </w:rPr>
      </w:pPr>
    </w:p>
    <w:p w:rsidR="006C3B4F" w:rsidRDefault="006C3B4F">
      <w:pPr>
        <w:spacing w:line="360" w:lineRule="auto"/>
        <w:jc w:val="center"/>
        <w:rPr>
          <w:rFonts w:eastAsiaTheme="minorEastAsia"/>
          <w:b/>
          <w:color w:val="000000" w:themeColor="text1"/>
          <w:szCs w:val="21"/>
        </w:rPr>
      </w:pPr>
    </w:p>
    <w:p w:rsidR="006C3B4F" w:rsidRPr="00A36383" w:rsidRDefault="006C3B4F">
      <w:pPr>
        <w:spacing w:line="360" w:lineRule="auto"/>
        <w:jc w:val="center"/>
        <w:rPr>
          <w:rFonts w:eastAsiaTheme="minorEastAsia"/>
          <w:b/>
          <w:color w:val="000000" w:themeColor="text1"/>
          <w:szCs w:val="21"/>
        </w:rPr>
      </w:pPr>
    </w:p>
    <w:p w:rsidR="006C3B4F" w:rsidRDefault="006C3B4F">
      <w:pPr>
        <w:spacing w:line="360" w:lineRule="auto"/>
        <w:jc w:val="center"/>
        <w:rPr>
          <w:rFonts w:eastAsiaTheme="minorEastAsia"/>
          <w:b/>
          <w:color w:val="000000" w:themeColor="text1"/>
          <w:szCs w:val="21"/>
        </w:rPr>
      </w:pPr>
    </w:p>
    <w:p w:rsidR="006C3B4F" w:rsidRDefault="006C3B4F">
      <w:pPr>
        <w:spacing w:line="360" w:lineRule="auto"/>
        <w:jc w:val="center"/>
        <w:rPr>
          <w:rFonts w:eastAsiaTheme="minorEastAsia"/>
          <w:b/>
          <w:color w:val="000000" w:themeColor="text1"/>
          <w:szCs w:val="21"/>
        </w:rPr>
      </w:pPr>
    </w:p>
    <w:p w:rsidR="006C3B4F" w:rsidRDefault="006C3B4F">
      <w:pPr>
        <w:spacing w:line="360" w:lineRule="auto"/>
        <w:jc w:val="center"/>
        <w:rPr>
          <w:rFonts w:eastAsiaTheme="minorEastAsia"/>
          <w:b/>
          <w:color w:val="000000" w:themeColor="text1"/>
          <w:szCs w:val="21"/>
        </w:rPr>
      </w:pPr>
    </w:p>
    <w:p w:rsidR="006C3B4F" w:rsidRDefault="006C3B4F">
      <w:pPr>
        <w:spacing w:line="360" w:lineRule="auto"/>
        <w:jc w:val="center"/>
        <w:rPr>
          <w:rFonts w:eastAsiaTheme="minorEastAsia"/>
          <w:b/>
          <w:color w:val="000000" w:themeColor="text1"/>
          <w:szCs w:val="21"/>
        </w:rPr>
      </w:pPr>
    </w:p>
    <w:p w:rsidR="006C3B4F" w:rsidRDefault="006C3B4F">
      <w:pPr>
        <w:spacing w:line="360" w:lineRule="auto"/>
        <w:jc w:val="center"/>
        <w:rPr>
          <w:rFonts w:eastAsiaTheme="minorEastAsia"/>
          <w:b/>
          <w:color w:val="000000" w:themeColor="text1"/>
          <w:szCs w:val="21"/>
        </w:rPr>
      </w:pPr>
    </w:p>
    <w:p w:rsidR="006C3B4F" w:rsidRDefault="006C3B4F">
      <w:pPr>
        <w:spacing w:line="360" w:lineRule="auto"/>
        <w:jc w:val="center"/>
        <w:rPr>
          <w:rFonts w:eastAsiaTheme="minorEastAsia"/>
          <w:b/>
          <w:color w:val="000000" w:themeColor="text1"/>
          <w:szCs w:val="21"/>
        </w:rPr>
      </w:pPr>
    </w:p>
    <w:p w:rsidR="006C3B4F" w:rsidRDefault="006C3B4F">
      <w:pPr>
        <w:spacing w:line="360" w:lineRule="auto"/>
        <w:jc w:val="center"/>
        <w:rPr>
          <w:rFonts w:eastAsiaTheme="minorEastAsia"/>
          <w:b/>
          <w:color w:val="000000" w:themeColor="text1"/>
          <w:szCs w:val="21"/>
        </w:rPr>
      </w:pPr>
    </w:p>
    <w:p w:rsidR="006C3B4F" w:rsidRDefault="006C3B4F">
      <w:pPr>
        <w:spacing w:line="360" w:lineRule="auto"/>
        <w:jc w:val="center"/>
        <w:rPr>
          <w:rFonts w:eastAsiaTheme="minorEastAsia"/>
          <w:b/>
          <w:color w:val="000000" w:themeColor="text1"/>
          <w:szCs w:val="21"/>
        </w:rPr>
      </w:pPr>
    </w:p>
    <w:p w:rsidR="006C3B4F" w:rsidRDefault="006C3B4F">
      <w:pPr>
        <w:spacing w:line="360" w:lineRule="auto"/>
        <w:jc w:val="center"/>
        <w:rPr>
          <w:rFonts w:eastAsiaTheme="minorEastAsia"/>
          <w:b/>
          <w:color w:val="000000" w:themeColor="text1"/>
          <w:szCs w:val="21"/>
        </w:rPr>
      </w:pPr>
    </w:p>
    <w:p w:rsidR="006C3B4F" w:rsidRDefault="006C3B4F">
      <w:pPr>
        <w:spacing w:line="360" w:lineRule="auto"/>
        <w:jc w:val="center"/>
        <w:rPr>
          <w:rFonts w:eastAsiaTheme="minorEastAsia"/>
          <w:b/>
          <w:color w:val="000000" w:themeColor="text1"/>
          <w:szCs w:val="21"/>
        </w:rPr>
      </w:pPr>
    </w:p>
    <w:p w:rsidR="006C3B4F" w:rsidRDefault="006C3B4F">
      <w:pPr>
        <w:spacing w:line="360" w:lineRule="auto"/>
        <w:rPr>
          <w:rFonts w:eastAsiaTheme="minorEastAsia"/>
          <w:b/>
          <w:color w:val="000000" w:themeColor="text1"/>
          <w:szCs w:val="21"/>
        </w:rPr>
      </w:pPr>
    </w:p>
    <w:p w:rsidR="006C3B4F" w:rsidRDefault="00E54414">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基金管理人：上投摩根基金管理有限公司</w:t>
      </w:r>
    </w:p>
    <w:p w:rsidR="006C3B4F" w:rsidRDefault="00E54414">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基金托管人：平安银行股份有限公司</w:t>
      </w:r>
    </w:p>
    <w:p w:rsidR="006C3B4F" w:rsidRDefault="00E54414">
      <w:pPr>
        <w:spacing w:line="360" w:lineRule="auto"/>
        <w:ind w:firstLineChars="900" w:firstLine="2168"/>
        <w:rPr>
          <w:rFonts w:eastAsiaTheme="minorEastAsia"/>
          <w:color w:val="000000" w:themeColor="text1"/>
          <w:szCs w:val="21"/>
        </w:rPr>
        <w:sectPr w:rsidR="006C3B4F">
          <w:headerReference w:type="default" r:id="rId8"/>
          <w:footerReference w:type="default" r:id="rId9"/>
          <w:pgSz w:w="11926" w:h="15840"/>
          <w:pgMar w:top="1418" w:right="1418" w:bottom="851" w:left="1418" w:header="851" w:footer="992" w:gutter="0"/>
          <w:cols w:space="720"/>
        </w:sectPr>
      </w:pPr>
      <w:r>
        <w:rPr>
          <w:rFonts w:eastAsiaTheme="minorEastAsia"/>
          <w:b/>
          <w:color w:val="000000" w:themeColor="text1"/>
          <w:sz w:val="24"/>
        </w:rPr>
        <w:t>报告送出日期：二〇一九年一月二十二日</w:t>
      </w:r>
    </w:p>
    <w:p w:rsidR="006C3B4F" w:rsidRDefault="00E54414" w:rsidP="00A36383">
      <w:pPr>
        <w:pStyle w:val="1"/>
        <w:spacing w:beforeLines="100" w:afterLines="100" w:line="360" w:lineRule="auto"/>
        <w:jc w:val="center"/>
        <w:rPr>
          <w:rFonts w:eastAsiaTheme="minorEastAsia"/>
          <w:b w:val="0"/>
          <w:color w:val="000000" w:themeColor="text1"/>
          <w:kern w:val="0"/>
          <w:sz w:val="21"/>
          <w:szCs w:val="21"/>
        </w:rPr>
      </w:pPr>
      <w:r>
        <w:rPr>
          <w:rFonts w:eastAsiaTheme="minorEastAsia"/>
          <w:color w:val="000000" w:themeColor="text1"/>
          <w:kern w:val="0"/>
          <w:sz w:val="21"/>
          <w:szCs w:val="21"/>
        </w:rPr>
        <w:lastRenderedPageBreak/>
        <w:t xml:space="preserve">§1  </w:t>
      </w:r>
      <w:r>
        <w:rPr>
          <w:rFonts w:eastAsiaTheme="minorEastAsia"/>
          <w:color w:val="000000" w:themeColor="text1"/>
          <w:kern w:val="0"/>
          <w:sz w:val="21"/>
          <w:szCs w:val="21"/>
        </w:rPr>
        <w:t>重要提示</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基金托管人平安银行股份有限公司根据本基金合同规定，于</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21</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本报告期自</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日起至</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日止。</w:t>
      </w:r>
    </w:p>
    <w:p w:rsidR="006C3B4F" w:rsidRDefault="00E54414" w:rsidP="00A3638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§2  </w:t>
      </w:r>
      <w:r>
        <w:rPr>
          <w:rFonts w:eastAsiaTheme="minorEastAsia"/>
          <w:color w:val="000000" w:themeColor="text1"/>
          <w:kern w:val="0"/>
          <w:sz w:val="21"/>
          <w:szCs w:val="21"/>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739"/>
        <w:gridCol w:w="2740"/>
      </w:tblGrid>
      <w:tr w:rsidR="006C3B4F">
        <w:tc>
          <w:tcPr>
            <w:tcW w:w="2835" w:type="dxa"/>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基金简称</w:t>
            </w:r>
          </w:p>
        </w:tc>
        <w:tc>
          <w:tcPr>
            <w:tcW w:w="5479" w:type="dxa"/>
            <w:gridSpan w:val="2"/>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上投摩根岁岁金定期开放债券</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基金主代码</w:t>
            </w:r>
          </w:p>
        </w:tc>
        <w:tc>
          <w:tcPr>
            <w:tcW w:w="5479" w:type="dxa"/>
            <w:gridSpan w:val="2"/>
            <w:tcBorders>
              <w:bottom w:val="single" w:sz="4" w:space="0" w:color="auto"/>
            </w:tcBorders>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004203</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基金运作方式</w:t>
            </w:r>
          </w:p>
        </w:tc>
        <w:tc>
          <w:tcPr>
            <w:tcW w:w="5479" w:type="dxa"/>
            <w:gridSpan w:val="2"/>
            <w:tcBorders>
              <w:top w:val="single" w:sz="4" w:space="0" w:color="auto"/>
            </w:tcBorders>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契约型定期开放式</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基金合同生效日</w:t>
            </w:r>
          </w:p>
        </w:tc>
        <w:tc>
          <w:tcPr>
            <w:tcW w:w="5479" w:type="dxa"/>
            <w:gridSpan w:val="2"/>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报告期末基金份额总额</w:t>
            </w:r>
          </w:p>
        </w:tc>
        <w:tc>
          <w:tcPr>
            <w:tcW w:w="5479" w:type="dxa"/>
            <w:gridSpan w:val="2"/>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37,452,613.39</w:t>
            </w:r>
            <w:r>
              <w:rPr>
                <w:rFonts w:eastAsiaTheme="minorEastAsia"/>
                <w:color w:val="000000" w:themeColor="text1"/>
                <w:kern w:val="0"/>
                <w:szCs w:val="21"/>
              </w:rPr>
              <w:t>份</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投资目标</w:t>
            </w:r>
          </w:p>
        </w:tc>
        <w:tc>
          <w:tcPr>
            <w:tcW w:w="5479" w:type="dxa"/>
            <w:gridSpan w:val="2"/>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在合理充分的定量分析及定性研究基础上，在风险可控的原则下，通过参与固定收益类资产的投资封闭运作，力争获取超越基准的稳健回报。</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投资策略</w:t>
            </w:r>
          </w:p>
        </w:tc>
        <w:tc>
          <w:tcPr>
            <w:tcW w:w="5479" w:type="dxa"/>
            <w:gridSpan w:val="2"/>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1</w:t>
            </w:r>
            <w:r>
              <w:rPr>
                <w:rFonts w:eastAsiaTheme="minorEastAsia"/>
                <w:color w:val="000000" w:themeColor="text1"/>
                <w:kern w:val="0"/>
                <w:szCs w:val="21"/>
              </w:rPr>
              <w:t>、债券类属配置策略</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w:t>
            </w:r>
            <w:r>
              <w:rPr>
                <w:rFonts w:eastAsiaTheme="minorEastAsia"/>
                <w:color w:val="000000" w:themeColor="text1"/>
                <w:kern w:val="0"/>
                <w:szCs w:val="21"/>
              </w:rPr>
              <w:lastRenderedPageBreak/>
              <w:t>整。</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2</w:t>
            </w:r>
            <w:r>
              <w:rPr>
                <w:rFonts w:eastAsiaTheme="minorEastAsia"/>
                <w:color w:val="000000" w:themeColor="text1"/>
                <w:kern w:val="0"/>
                <w:szCs w:val="21"/>
              </w:rPr>
              <w:t>、久期管理策略</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3</w:t>
            </w:r>
            <w:r>
              <w:rPr>
                <w:rFonts w:eastAsiaTheme="minorEastAsia"/>
                <w:color w:val="000000" w:themeColor="text1"/>
                <w:kern w:val="0"/>
                <w:szCs w:val="21"/>
              </w:rPr>
              <w:t>、收益率曲线策略</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4</w:t>
            </w:r>
            <w:r>
              <w:rPr>
                <w:rFonts w:eastAsiaTheme="minorEastAsia"/>
                <w:color w:val="000000" w:themeColor="text1"/>
                <w:kern w:val="0"/>
                <w:szCs w:val="21"/>
              </w:rPr>
              <w:t>、信用策略</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深入挖掘信用债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5</w:t>
            </w:r>
            <w:r>
              <w:rPr>
                <w:rFonts w:eastAsiaTheme="minorEastAsia"/>
                <w:color w:val="000000" w:themeColor="text1"/>
                <w:kern w:val="0"/>
                <w:szCs w:val="21"/>
              </w:rPr>
              <w:t>、回购策略</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通过对回购利率和现券收益率以及其他投资品种收益率的比较，通过回购融入短期资金滚动操作，投资于收益率高于回购成本的债券以及其他获利机会，从而获得杠杆放大收益，并根据市场利率水平以及对利率期限结构的预期等，对回购放大的杠杆比例适时进行调整。</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6</w:t>
            </w:r>
            <w:r>
              <w:rPr>
                <w:rFonts w:eastAsiaTheme="minorEastAsia"/>
                <w:color w:val="000000" w:themeColor="text1"/>
                <w:kern w:val="0"/>
                <w:szCs w:val="21"/>
              </w:rPr>
              <w:t>、中小企业私募债券投资策略</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本基金投资中小企业私募债券，基金管理人将根据审慎原</w:t>
            </w:r>
            <w:r>
              <w:rPr>
                <w:rFonts w:eastAsiaTheme="minorEastAsia"/>
                <w:color w:val="000000" w:themeColor="text1"/>
                <w:kern w:val="0"/>
                <w:szCs w:val="21"/>
              </w:rPr>
              <w:lastRenderedPageBreak/>
              <w:t>则，制定严格的投资决策流程、风险控制制度和信用风险、流动性风险处置预案，以防范信用风险、流动性风险等各种风险。</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7</w:t>
            </w:r>
            <w:r>
              <w:rPr>
                <w:rFonts w:eastAsiaTheme="minorEastAsia"/>
                <w:color w:val="000000" w:themeColor="text1"/>
                <w:kern w:val="0"/>
                <w:szCs w:val="21"/>
              </w:rPr>
              <w:t>、资产支持证券投资策略</w:t>
            </w:r>
            <w:r>
              <w:rPr>
                <w:rFonts w:eastAsiaTheme="minorEastAsia"/>
                <w:color w:val="000000" w:themeColor="text1"/>
                <w:kern w:val="0"/>
                <w:szCs w:val="21"/>
              </w:rPr>
              <w:t xml:space="preserve"> </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在严格控制组合投资风险的前提下投资于资产支持证券。本基金综合考虑市场利率、发行条款、支持资产的构成及质量等因素，在严格控制风险的情况下，确定资产合理配置比例，在保证资产安全性的前提条件下，以期获得长期稳定收益。</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8</w:t>
            </w:r>
            <w:r>
              <w:rPr>
                <w:rFonts w:eastAsiaTheme="minorEastAsia"/>
                <w:color w:val="000000" w:themeColor="text1"/>
                <w:kern w:val="0"/>
                <w:szCs w:val="21"/>
              </w:rPr>
              <w:t>、证券公司短期公司债券投资策略</w:t>
            </w:r>
          </w:p>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本基金投资证券公司短期公司债券，将主要从自上而下判断景气周期和自下而上精选标的两个角度出发，结合信用分析和信用评估进行，同时通过有纪律的风险监控实现对投资组合风险的有效管理。</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lastRenderedPageBreak/>
              <w:t>业绩比较基准</w:t>
            </w:r>
          </w:p>
        </w:tc>
        <w:tc>
          <w:tcPr>
            <w:tcW w:w="5479" w:type="dxa"/>
            <w:gridSpan w:val="2"/>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中债总指数</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风险收益特征</w:t>
            </w:r>
          </w:p>
        </w:tc>
        <w:tc>
          <w:tcPr>
            <w:tcW w:w="5479" w:type="dxa"/>
            <w:gridSpan w:val="2"/>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本基金为债券型基金，属于证券投资基金中的较低风险品种，预期风险和预期收益高于货币市场基金，低于混合型基金和股票型基金。本基金风险收益特征会定期评估并在公司网站发布，请投资者关注。</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基金管理人</w:t>
            </w:r>
          </w:p>
        </w:tc>
        <w:tc>
          <w:tcPr>
            <w:tcW w:w="5479" w:type="dxa"/>
            <w:gridSpan w:val="2"/>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上投摩根基金管理有限公司</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基金托管人</w:t>
            </w:r>
          </w:p>
        </w:tc>
        <w:tc>
          <w:tcPr>
            <w:tcW w:w="5479" w:type="dxa"/>
            <w:gridSpan w:val="2"/>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平安银行股份有限公司</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hint="eastAsia"/>
                <w:color w:val="000000" w:themeColor="text1"/>
                <w:szCs w:val="21"/>
              </w:rPr>
              <w:t>下属分级</w:t>
            </w:r>
            <w:r>
              <w:rPr>
                <w:rFonts w:eastAsiaTheme="minorEastAsia"/>
                <w:color w:val="000000" w:themeColor="text1"/>
                <w:szCs w:val="21"/>
              </w:rPr>
              <w:t>基金的基金简称</w:t>
            </w:r>
          </w:p>
        </w:tc>
        <w:tc>
          <w:tcPr>
            <w:tcW w:w="2739" w:type="dxa"/>
            <w:vAlign w:val="center"/>
          </w:tcPr>
          <w:p w:rsidR="006C3B4F" w:rsidRDefault="00E54414">
            <w:pP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A</w:t>
            </w:r>
          </w:p>
        </w:tc>
        <w:tc>
          <w:tcPr>
            <w:tcW w:w="2740" w:type="dxa"/>
            <w:vAlign w:val="center"/>
          </w:tcPr>
          <w:p w:rsidR="006C3B4F" w:rsidRDefault="00E54414">
            <w:pP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C</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下属</w:t>
            </w:r>
            <w:r>
              <w:rPr>
                <w:rFonts w:eastAsiaTheme="minorEastAsia" w:hint="eastAsia"/>
                <w:color w:val="000000" w:themeColor="text1"/>
                <w:szCs w:val="21"/>
              </w:rPr>
              <w:t>分</w:t>
            </w:r>
            <w:r>
              <w:rPr>
                <w:rFonts w:eastAsiaTheme="minorEastAsia"/>
                <w:color w:val="000000" w:themeColor="text1"/>
                <w:szCs w:val="21"/>
              </w:rPr>
              <w:t>级基金的交易代码</w:t>
            </w:r>
          </w:p>
        </w:tc>
        <w:tc>
          <w:tcPr>
            <w:tcW w:w="2739" w:type="dxa"/>
            <w:vAlign w:val="center"/>
          </w:tcPr>
          <w:p w:rsidR="006C3B4F" w:rsidRDefault="00E54414">
            <w:pPr>
              <w:rPr>
                <w:rFonts w:eastAsiaTheme="minorEastAsia"/>
                <w:color w:val="000000" w:themeColor="text1"/>
                <w:szCs w:val="21"/>
              </w:rPr>
            </w:pPr>
            <w:r>
              <w:rPr>
                <w:rFonts w:eastAsiaTheme="minorEastAsia"/>
                <w:color w:val="000000" w:themeColor="text1"/>
                <w:szCs w:val="21"/>
              </w:rPr>
              <w:t>004203</w:t>
            </w:r>
          </w:p>
        </w:tc>
        <w:tc>
          <w:tcPr>
            <w:tcW w:w="2740" w:type="dxa"/>
            <w:vAlign w:val="center"/>
          </w:tcPr>
          <w:p w:rsidR="006C3B4F" w:rsidRDefault="00E54414">
            <w:pPr>
              <w:rPr>
                <w:rFonts w:eastAsiaTheme="minorEastAsia"/>
                <w:color w:val="000000" w:themeColor="text1"/>
                <w:szCs w:val="21"/>
              </w:rPr>
            </w:pPr>
            <w:r>
              <w:rPr>
                <w:rFonts w:eastAsiaTheme="minorEastAsia"/>
                <w:color w:val="000000" w:themeColor="text1"/>
                <w:szCs w:val="21"/>
              </w:rPr>
              <w:t>004204</w:t>
            </w:r>
          </w:p>
        </w:tc>
      </w:tr>
      <w:tr w:rsidR="006C3B4F">
        <w:tc>
          <w:tcPr>
            <w:tcW w:w="2835" w:type="dxa"/>
            <w:vAlign w:val="center"/>
          </w:tcPr>
          <w:p w:rsidR="006C3B4F" w:rsidRDefault="00E54414">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报告期末下属</w:t>
            </w:r>
            <w:r>
              <w:rPr>
                <w:rFonts w:eastAsiaTheme="minorEastAsia" w:hint="eastAsia"/>
                <w:color w:val="000000" w:themeColor="text1"/>
                <w:szCs w:val="21"/>
              </w:rPr>
              <w:t>分</w:t>
            </w:r>
            <w:r>
              <w:rPr>
                <w:rFonts w:eastAsiaTheme="minorEastAsia"/>
                <w:color w:val="000000" w:themeColor="text1"/>
                <w:szCs w:val="21"/>
              </w:rPr>
              <w:t>级基金的份额总额</w:t>
            </w:r>
          </w:p>
        </w:tc>
        <w:tc>
          <w:tcPr>
            <w:tcW w:w="2739" w:type="dxa"/>
            <w:vAlign w:val="center"/>
          </w:tcPr>
          <w:p w:rsidR="006C3B4F" w:rsidRDefault="00E54414">
            <w:pPr>
              <w:rPr>
                <w:rFonts w:eastAsiaTheme="minorEastAsia"/>
                <w:color w:val="000000" w:themeColor="text1"/>
                <w:szCs w:val="21"/>
              </w:rPr>
            </w:pPr>
            <w:r>
              <w:rPr>
                <w:rFonts w:eastAsiaTheme="minorEastAsia"/>
                <w:color w:val="000000" w:themeColor="text1"/>
                <w:szCs w:val="21"/>
              </w:rPr>
              <w:t>35,800,354.70</w:t>
            </w:r>
            <w:r>
              <w:rPr>
                <w:rFonts w:eastAsiaTheme="minorEastAsia"/>
                <w:color w:val="000000" w:themeColor="text1"/>
                <w:kern w:val="0"/>
                <w:szCs w:val="21"/>
              </w:rPr>
              <w:t>份</w:t>
            </w:r>
          </w:p>
        </w:tc>
        <w:tc>
          <w:tcPr>
            <w:tcW w:w="2740" w:type="dxa"/>
            <w:vAlign w:val="center"/>
          </w:tcPr>
          <w:p w:rsidR="006C3B4F" w:rsidRDefault="00E54414">
            <w:pPr>
              <w:rPr>
                <w:rFonts w:eastAsiaTheme="minorEastAsia"/>
                <w:color w:val="000000" w:themeColor="text1"/>
                <w:szCs w:val="21"/>
              </w:rPr>
            </w:pPr>
            <w:r>
              <w:rPr>
                <w:rFonts w:eastAsiaTheme="minorEastAsia"/>
                <w:color w:val="000000" w:themeColor="text1"/>
                <w:szCs w:val="21"/>
              </w:rPr>
              <w:t>1,652,258.69</w:t>
            </w:r>
            <w:r>
              <w:rPr>
                <w:rFonts w:eastAsiaTheme="minorEastAsia"/>
                <w:color w:val="000000" w:themeColor="text1"/>
                <w:kern w:val="0"/>
                <w:szCs w:val="21"/>
              </w:rPr>
              <w:t>份</w:t>
            </w:r>
          </w:p>
        </w:tc>
      </w:tr>
    </w:tbl>
    <w:p w:rsidR="006C3B4F" w:rsidRDefault="00E54414" w:rsidP="00A3638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§3  </w:t>
      </w:r>
      <w:r>
        <w:rPr>
          <w:rFonts w:eastAsiaTheme="minorEastAsia"/>
          <w:color w:val="000000" w:themeColor="text1"/>
          <w:kern w:val="0"/>
          <w:sz w:val="21"/>
          <w:szCs w:val="21"/>
        </w:rPr>
        <w:t>主要财务指标和基金净值表现</w:t>
      </w:r>
    </w:p>
    <w:p w:rsidR="006C3B4F" w:rsidRDefault="00E54414">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3.1 </w:t>
      </w:r>
      <w:r>
        <w:rPr>
          <w:rFonts w:eastAsiaTheme="minorEastAsia"/>
          <w:b/>
          <w:color w:val="000000" w:themeColor="text1"/>
          <w:kern w:val="0"/>
          <w:szCs w:val="21"/>
        </w:rPr>
        <w:t>主要财务指标</w:t>
      </w:r>
    </w:p>
    <w:p w:rsidR="006C3B4F" w:rsidRDefault="00E54414">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lastRenderedPageBreak/>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2481"/>
        <w:gridCol w:w="2481"/>
      </w:tblGrid>
      <w:tr w:rsidR="006C3B4F">
        <w:tc>
          <w:tcPr>
            <w:tcW w:w="3402" w:type="dxa"/>
            <w:vMerge w:val="restart"/>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主要财务指标</w:t>
            </w:r>
          </w:p>
        </w:tc>
        <w:tc>
          <w:tcPr>
            <w:tcW w:w="4962" w:type="dxa"/>
            <w:gridSpan w:val="2"/>
            <w:vAlign w:val="center"/>
          </w:tcPr>
          <w:p w:rsidR="006C3B4F" w:rsidRDefault="00E54414">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报告期</w:t>
            </w:r>
          </w:p>
          <w:p w:rsidR="006C3B4F" w:rsidRDefault="00E54414">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r>
              <w:rPr>
                <w:rFonts w:eastAsiaTheme="minorEastAsia"/>
                <w:color w:val="000000" w:themeColor="text1"/>
                <w:szCs w:val="21"/>
              </w:rPr>
              <w:t>)</w:t>
            </w:r>
          </w:p>
        </w:tc>
      </w:tr>
      <w:tr w:rsidR="006C3B4F">
        <w:tc>
          <w:tcPr>
            <w:tcW w:w="3402" w:type="dxa"/>
            <w:vMerge/>
            <w:vAlign w:val="center"/>
          </w:tcPr>
          <w:p w:rsidR="006C3B4F" w:rsidRDefault="006C3B4F">
            <w:pPr>
              <w:adjustRightInd w:val="0"/>
              <w:spacing w:before="29" w:line="360" w:lineRule="auto"/>
              <w:ind w:left="17"/>
              <w:rPr>
                <w:rFonts w:eastAsiaTheme="minorEastAsia"/>
                <w:color w:val="000000" w:themeColor="text1"/>
                <w:kern w:val="0"/>
                <w:szCs w:val="21"/>
              </w:rPr>
            </w:pPr>
          </w:p>
        </w:tc>
        <w:tc>
          <w:tcPr>
            <w:tcW w:w="2481" w:type="dxa"/>
            <w:vAlign w:val="center"/>
          </w:tcPr>
          <w:p w:rsidR="006C3B4F" w:rsidRDefault="00E54414">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A</w:t>
            </w:r>
          </w:p>
        </w:tc>
        <w:tc>
          <w:tcPr>
            <w:tcW w:w="2481" w:type="dxa"/>
            <w:vAlign w:val="center"/>
          </w:tcPr>
          <w:p w:rsidR="006C3B4F" w:rsidRDefault="00E54414">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C</w:t>
            </w:r>
          </w:p>
        </w:tc>
      </w:tr>
      <w:tr w:rsidR="006C3B4F">
        <w:tc>
          <w:tcPr>
            <w:tcW w:w="3402" w:type="dxa"/>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本期已实现收益</w:t>
            </w:r>
          </w:p>
        </w:tc>
        <w:tc>
          <w:tcPr>
            <w:tcW w:w="2481" w:type="dxa"/>
            <w:vAlign w:val="center"/>
          </w:tcPr>
          <w:p w:rsidR="006C3B4F" w:rsidRDefault="00E54414">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454,257.23</w:t>
            </w:r>
          </w:p>
        </w:tc>
        <w:tc>
          <w:tcPr>
            <w:tcW w:w="2481" w:type="dxa"/>
            <w:vAlign w:val="center"/>
          </w:tcPr>
          <w:p w:rsidR="006C3B4F" w:rsidRDefault="00E54414">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19,330.99</w:t>
            </w:r>
          </w:p>
        </w:tc>
      </w:tr>
      <w:tr w:rsidR="006C3B4F">
        <w:tc>
          <w:tcPr>
            <w:tcW w:w="3402" w:type="dxa"/>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w:t>
            </w:r>
            <w:r>
              <w:rPr>
                <w:rFonts w:eastAsiaTheme="minorEastAsia"/>
                <w:color w:val="000000" w:themeColor="text1"/>
                <w:kern w:val="0"/>
                <w:szCs w:val="21"/>
              </w:rPr>
              <w:t>本期利润</w:t>
            </w:r>
          </w:p>
        </w:tc>
        <w:tc>
          <w:tcPr>
            <w:tcW w:w="2481" w:type="dxa"/>
            <w:vAlign w:val="center"/>
          </w:tcPr>
          <w:p w:rsidR="006C3B4F" w:rsidRDefault="00E54414">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612,336.16</w:t>
            </w:r>
          </w:p>
        </w:tc>
        <w:tc>
          <w:tcPr>
            <w:tcW w:w="2481" w:type="dxa"/>
            <w:vAlign w:val="center"/>
          </w:tcPr>
          <w:p w:rsidR="006C3B4F" w:rsidRDefault="00E54414">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26,589.87</w:t>
            </w:r>
          </w:p>
        </w:tc>
      </w:tr>
      <w:tr w:rsidR="006C3B4F">
        <w:tc>
          <w:tcPr>
            <w:tcW w:w="3402" w:type="dxa"/>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3.</w:t>
            </w:r>
            <w:r>
              <w:rPr>
                <w:rFonts w:eastAsiaTheme="minorEastAsia"/>
                <w:color w:val="000000" w:themeColor="text1"/>
                <w:kern w:val="0"/>
                <w:szCs w:val="21"/>
              </w:rPr>
              <w:t>加权平均基金份额本期利润</w:t>
            </w:r>
          </w:p>
        </w:tc>
        <w:tc>
          <w:tcPr>
            <w:tcW w:w="2481" w:type="dxa"/>
            <w:vAlign w:val="center"/>
          </w:tcPr>
          <w:p w:rsidR="006C3B4F" w:rsidRDefault="00E54414">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0.0171</w:t>
            </w:r>
          </w:p>
        </w:tc>
        <w:tc>
          <w:tcPr>
            <w:tcW w:w="2481" w:type="dxa"/>
            <w:vAlign w:val="center"/>
          </w:tcPr>
          <w:p w:rsidR="006C3B4F" w:rsidRDefault="00E54414">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0.0161</w:t>
            </w:r>
          </w:p>
        </w:tc>
      </w:tr>
      <w:tr w:rsidR="006C3B4F">
        <w:tc>
          <w:tcPr>
            <w:tcW w:w="3402" w:type="dxa"/>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4.</w:t>
            </w:r>
            <w:r>
              <w:rPr>
                <w:rFonts w:eastAsiaTheme="minorEastAsia"/>
                <w:color w:val="000000" w:themeColor="text1"/>
                <w:kern w:val="0"/>
                <w:szCs w:val="21"/>
              </w:rPr>
              <w:t>期末基金资产净值</w:t>
            </w:r>
          </w:p>
        </w:tc>
        <w:tc>
          <w:tcPr>
            <w:tcW w:w="2481" w:type="dxa"/>
            <w:vAlign w:val="center"/>
          </w:tcPr>
          <w:p w:rsidR="006C3B4F" w:rsidRDefault="00E54414">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37,972,727.07</w:t>
            </w:r>
          </w:p>
        </w:tc>
        <w:tc>
          <w:tcPr>
            <w:tcW w:w="2481" w:type="dxa"/>
            <w:vAlign w:val="center"/>
          </w:tcPr>
          <w:p w:rsidR="006C3B4F" w:rsidRDefault="00E54414">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1,742,741.27</w:t>
            </w:r>
          </w:p>
        </w:tc>
      </w:tr>
      <w:tr w:rsidR="006C3B4F">
        <w:trPr>
          <w:trHeight w:val="158"/>
        </w:trPr>
        <w:tc>
          <w:tcPr>
            <w:tcW w:w="3402" w:type="dxa"/>
            <w:vAlign w:val="center"/>
          </w:tcPr>
          <w:p w:rsidR="006C3B4F" w:rsidRDefault="00E54414">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5.</w:t>
            </w:r>
            <w:r>
              <w:rPr>
                <w:rFonts w:eastAsiaTheme="minorEastAsia"/>
                <w:color w:val="000000" w:themeColor="text1"/>
                <w:kern w:val="0"/>
                <w:szCs w:val="21"/>
              </w:rPr>
              <w:t>期末基金份额净值</w:t>
            </w:r>
          </w:p>
        </w:tc>
        <w:tc>
          <w:tcPr>
            <w:tcW w:w="2481" w:type="dxa"/>
            <w:vAlign w:val="center"/>
          </w:tcPr>
          <w:p w:rsidR="006C3B4F" w:rsidRDefault="00E54414">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1.0607</w:t>
            </w:r>
          </w:p>
        </w:tc>
        <w:tc>
          <w:tcPr>
            <w:tcW w:w="2481" w:type="dxa"/>
            <w:vAlign w:val="center"/>
          </w:tcPr>
          <w:p w:rsidR="006C3B4F" w:rsidRDefault="00E54414">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1.0548</w:t>
            </w:r>
          </w:p>
        </w:tc>
      </w:tr>
    </w:tbl>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注：本期已实现收益指基金本期利息收入、投资收益、其他收入</w:t>
      </w:r>
      <w:r>
        <w:rPr>
          <w:rFonts w:eastAsiaTheme="minorEastAsia"/>
          <w:color w:val="000000" w:themeColor="text1"/>
          <w:szCs w:val="21"/>
        </w:rPr>
        <w:t>(</w:t>
      </w:r>
      <w:r>
        <w:rPr>
          <w:rFonts w:eastAsiaTheme="minorEastAsia"/>
          <w:color w:val="000000" w:themeColor="text1"/>
          <w:szCs w:val="21"/>
        </w:rPr>
        <w:t>不含公允价值变动收益</w:t>
      </w:r>
      <w:r>
        <w:rPr>
          <w:rFonts w:eastAsiaTheme="minorEastAsia"/>
          <w:color w:val="000000" w:themeColor="text1"/>
          <w:szCs w:val="21"/>
        </w:rPr>
        <w:t>)</w:t>
      </w:r>
      <w:r>
        <w:rPr>
          <w:rFonts w:eastAsiaTheme="minorEastAsia"/>
          <w:color w:val="000000" w:themeColor="text1"/>
          <w:szCs w:val="21"/>
        </w:rPr>
        <w:t>扣除相关费用后的余额，本期利润为本期已实现收益加上本期公允价值变动收益。</w:t>
      </w:r>
      <w:r>
        <w:rPr>
          <w:rFonts w:eastAsiaTheme="minorEastAsia"/>
          <w:color w:val="000000" w:themeColor="text1"/>
          <w:szCs w:val="21"/>
        </w:rPr>
        <w:t xml:space="preserve"> </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上述基金业绩指标不包括持有人认购或交易基金的各项费用（例如，开放式基金的申购赎回费、红利再投资费、基金转换费等），计入费用后实际收益水平要低于所列数字。</w:t>
      </w:r>
    </w:p>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3.2 </w:t>
      </w:r>
      <w:r>
        <w:rPr>
          <w:rFonts w:eastAsiaTheme="minorEastAsia"/>
          <w:b/>
          <w:color w:val="000000" w:themeColor="text1"/>
          <w:kern w:val="0"/>
          <w:szCs w:val="21"/>
        </w:rPr>
        <w:t>基金净值表现</w:t>
      </w:r>
    </w:p>
    <w:p w:rsidR="006C3B4F" w:rsidRDefault="00E54414">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3.2.1</w:t>
      </w:r>
      <w:r>
        <w:rPr>
          <w:rFonts w:eastAsiaTheme="minorEastAsia"/>
          <w:b/>
          <w:color w:val="000000" w:themeColor="text1"/>
          <w:kern w:val="0"/>
          <w:szCs w:val="21"/>
        </w:rPr>
        <w:t>本报告期基金份额净值增长率及其与同期业绩比较基准收益率的比较</w:t>
      </w:r>
    </w:p>
    <w:p w:rsidR="006C3B4F" w:rsidRDefault="00E54414">
      <w:pPr>
        <w:spacing w:line="360" w:lineRule="auto"/>
        <w:rPr>
          <w:rFonts w:eastAsiaTheme="minorEastAsia"/>
          <w:b/>
          <w:color w:val="000000" w:themeColor="text1"/>
          <w:szCs w:val="21"/>
        </w:rPr>
      </w:pPr>
      <w:r>
        <w:rPr>
          <w:rFonts w:eastAsiaTheme="minorEastAsia"/>
          <w:b/>
          <w:color w:val="000000" w:themeColor="text1"/>
          <w:szCs w:val="21"/>
        </w:rPr>
        <w:t>1</w:t>
      </w:r>
      <w:r>
        <w:rPr>
          <w:rFonts w:eastAsiaTheme="minorEastAsia"/>
          <w:b/>
          <w:color w:val="000000" w:themeColor="text1"/>
          <w:szCs w:val="21"/>
        </w:rPr>
        <w:t>、</w:t>
      </w:r>
      <w:r>
        <w:rPr>
          <w:rFonts w:eastAsiaTheme="minorEastAsia"/>
          <w:b/>
          <w:color w:val="000000" w:themeColor="text1"/>
          <w:kern w:val="0"/>
          <w:szCs w:val="21"/>
        </w:rPr>
        <w:t>上投摩根岁岁金定期开放债券</w:t>
      </w:r>
      <w:r>
        <w:rPr>
          <w:rFonts w:eastAsiaTheme="minorEastAsia"/>
          <w:b/>
          <w:color w:val="000000" w:themeColor="text1"/>
          <w:kern w:val="0"/>
          <w:szCs w:val="21"/>
        </w:rPr>
        <w:t>A</w:t>
      </w:r>
      <w:r>
        <w:rPr>
          <w:rFonts w:eastAsiaTheme="minorEastAsia"/>
          <w:b/>
          <w:color w:val="000000" w:themeColor="text1"/>
          <w:szCs w:val="21"/>
        </w:rPr>
        <w:t>：</w:t>
      </w:r>
    </w:p>
    <w:tbl>
      <w:tblPr>
        <w:tblStyle w:val="af6"/>
        <w:tblW w:w="9036" w:type="dxa"/>
        <w:tblInd w:w="108" w:type="dxa"/>
        <w:tblLayout w:type="fixed"/>
        <w:tblLook w:val="04A0"/>
      </w:tblPr>
      <w:tblGrid>
        <w:gridCol w:w="1290"/>
        <w:gridCol w:w="1291"/>
        <w:gridCol w:w="1291"/>
        <w:gridCol w:w="1291"/>
        <w:gridCol w:w="1291"/>
        <w:gridCol w:w="1291"/>
        <w:gridCol w:w="1291"/>
      </w:tblGrid>
      <w:tr w:rsidR="006C3B4F">
        <w:tc>
          <w:tcPr>
            <w:tcW w:w="1290" w:type="dxa"/>
            <w:vAlign w:val="center"/>
          </w:tcPr>
          <w:p w:rsidR="006C3B4F" w:rsidRDefault="00E54414">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6C3B4F" w:rsidRDefault="00E54414">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6C3B4F" w:rsidRDefault="00E54414">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6C3B4F" w:rsidRDefault="00E54414">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6C3B4F" w:rsidRDefault="00E54414">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6C3B4F" w:rsidRDefault="00E54414">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6C3B4F" w:rsidRDefault="00E54414">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6C3B4F">
        <w:tc>
          <w:tcPr>
            <w:tcW w:w="1290" w:type="dxa"/>
            <w:vAlign w:val="center"/>
          </w:tcPr>
          <w:p w:rsidR="006C3B4F" w:rsidRDefault="00E54414">
            <w:pPr>
              <w:jc w:val="left"/>
            </w:pPr>
            <w:r>
              <w:rPr>
                <w:rFonts w:eastAsiaTheme="minorEastAsia"/>
                <w:color w:val="000000" w:themeColor="text1"/>
                <w:szCs w:val="21"/>
              </w:rPr>
              <w:t>过去三个月</w:t>
            </w:r>
          </w:p>
        </w:tc>
        <w:tc>
          <w:tcPr>
            <w:tcW w:w="1291" w:type="dxa"/>
            <w:vAlign w:val="center"/>
          </w:tcPr>
          <w:p w:rsidR="006C3B4F" w:rsidRDefault="00E54414">
            <w:pPr>
              <w:jc w:val="right"/>
            </w:pPr>
            <w:r>
              <w:rPr>
                <w:rFonts w:eastAsiaTheme="minorEastAsia"/>
                <w:color w:val="000000" w:themeColor="text1"/>
                <w:szCs w:val="21"/>
              </w:rPr>
              <w:t>1.64%</w:t>
            </w:r>
          </w:p>
        </w:tc>
        <w:tc>
          <w:tcPr>
            <w:tcW w:w="1291" w:type="dxa"/>
            <w:vAlign w:val="center"/>
          </w:tcPr>
          <w:p w:rsidR="006C3B4F" w:rsidRDefault="00E54414">
            <w:pPr>
              <w:jc w:val="right"/>
            </w:pPr>
            <w:r>
              <w:rPr>
                <w:rFonts w:eastAsiaTheme="minorEastAsia"/>
                <w:color w:val="000000" w:themeColor="text1"/>
                <w:szCs w:val="21"/>
              </w:rPr>
              <w:t>0.05%</w:t>
            </w:r>
          </w:p>
        </w:tc>
        <w:tc>
          <w:tcPr>
            <w:tcW w:w="1291" w:type="dxa"/>
            <w:vAlign w:val="center"/>
          </w:tcPr>
          <w:p w:rsidR="006C3B4F" w:rsidRDefault="00E54414">
            <w:pPr>
              <w:jc w:val="right"/>
            </w:pPr>
            <w:r>
              <w:rPr>
                <w:rFonts w:eastAsiaTheme="minorEastAsia"/>
                <w:color w:val="000000" w:themeColor="text1"/>
                <w:szCs w:val="21"/>
              </w:rPr>
              <w:t>2.91%</w:t>
            </w:r>
          </w:p>
        </w:tc>
        <w:tc>
          <w:tcPr>
            <w:tcW w:w="1291" w:type="dxa"/>
            <w:vAlign w:val="center"/>
          </w:tcPr>
          <w:p w:rsidR="006C3B4F" w:rsidRDefault="00E54414">
            <w:pPr>
              <w:jc w:val="right"/>
            </w:pPr>
            <w:r>
              <w:rPr>
                <w:rFonts w:eastAsiaTheme="minorEastAsia"/>
                <w:color w:val="000000" w:themeColor="text1"/>
                <w:szCs w:val="21"/>
              </w:rPr>
              <w:t>0.09%</w:t>
            </w:r>
          </w:p>
        </w:tc>
        <w:tc>
          <w:tcPr>
            <w:tcW w:w="1291" w:type="dxa"/>
            <w:vAlign w:val="center"/>
          </w:tcPr>
          <w:p w:rsidR="006C3B4F" w:rsidRDefault="00E54414">
            <w:pPr>
              <w:jc w:val="right"/>
            </w:pPr>
            <w:r>
              <w:rPr>
                <w:rFonts w:eastAsiaTheme="minorEastAsia"/>
                <w:color w:val="000000" w:themeColor="text1"/>
                <w:szCs w:val="21"/>
              </w:rPr>
              <w:t>-1.27%</w:t>
            </w:r>
          </w:p>
        </w:tc>
        <w:tc>
          <w:tcPr>
            <w:tcW w:w="1291" w:type="dxa"/>
            <w:vAlign w:val="center"/>
          </w:tcPr>
          <w:p w:rsidR="006C3B4F" w:rsidRDefault="00E54414">
            <w:pPr>
              <w:jc w:val="right"/>
            </w:pPr>
            <w:r>
              <w:rPr>
                <w:rFonts w:eastAsiaTheme="minorEastAsia"/>
                <w:color w:val="000000" w:themeColor="text1"/>
                <w:szCs w:val="21"/>
              </w:rPr>
              <w:t>-0.04%</w:t>
            </w:r>
          </w:p>
        </w:tc>
      </w:tr>
    </w:tbl>
    <w:p w:rsidR="006C3B4F" w:rsidRDefault="00E54414" w:rsidP="00A36383">
      <w:pPr>
        <w:adjustRightInd w:val="0"/>
        <w:spacing w:beforeLines="100" w:line="360" w:lineRule="auto"/>
        <w:rPr>
          <w:rFonts w:eastAsiaTheme="minorEastAsia"/>
          <w:b/>
          <w:color w:val="000000" w:themeColor="text1"/>
          <w:kern w:val="0"/>
          <w:szCs w:val="21"/>
        </w:rPr>
      </w:pPr>
      <w:r>
        <w:rPr>
          <w:rFonts w:eastAsiaTheme="minorEastAsia"/>
          <w:b/>
          <w:color w:val="000000" w:themeColor="text1"/>
          <w:szCs w:val="21"/>
        </w:rPr>
        <w:t>2</w:t>
      </w:r>
      <w:r>
        <w:rPr>
          <w:rFonts w:eastAsiaTheme="minorEastAsia"/>
          <w:b/>
          <w:color w:val="000000" w:themeColor="text1"/>
          <w:szCs w:val="21"/>
        </w:rPr>
        <w:t>、</w:t>
      </w:r>
      <w:r>
        <w:rPr>
          <w:rFonts w:eastAsiaTheme="minorEastAsia"/>
          <w:b/>
          <w:color w:val="000000" w:themeColor="text1"/>
          <w:kern w:val="0"/>
          <w:szCs w:val="21"/>
        </w:rPr>
        <w:t>上投摩根岁岁金定期开放债券</w:t>
      </w:r>
      <w:r>
        <w:rPr>
          <w:rFonts w:eastAsiaTheme="minorEastAsia"/>
          <w:b/>
          <w:color w:val="000000" w:themeColor="text1"/>
          <w:kern w:val="0"/>
          <w:szCs w:val="21"/>
        </w:rPr>
        <w:t>C</w:t>
      </w:r>
      <w:r>
        <w:rPr>
          <w:rFonts w:eastAsiaTheme="minorEastAsia"/>
          <w:b/>
          <w:color w:val="000000" w:themeColor="text1"/>
          <w:kern w:val="0"/>
          <w:szCs w:val="21"/>
        </w:rPr>
        <w:t>：</w:t>
      </w:r>
    </w:p>
    <w:tbl>
      <w:tblPr>
        <w:tblStyle w:val="af6"/>
        <w:tblW w:w="9036" w:type="dxa"/>
        <w:tblInd w:w="108" w:type="dxa"/>
        <w:tblLayout w:type="fixed"/>
        <w:tblLook w:val="04A0"/>
      </w:tblPr>
      <w:tblGrid>
        <w:gridCol w:w="1290"/>
        <w:gridCol w:w="1291"/>
        <w:gridCol w:w="1291"/>
        <w:gridCol w:w="1291"/>
        <w:gridCol w:w="1291"/>
        <w:gridCol w:w="1291"/>
        <w:gridCol w:w="1291"/>
      </w:tblGrid>
      <w:tr w:rsidR="006C3B4F">
        <w:tc>
          <w:tcPr>
            <w:tcW w:w="1290" w:type="dxa"/>
            <w:vAlign w:val="center"/>
          </w:tcPr>
          <w:p w:rsidR="006C3B4F" w:rsidRDefault="00E54414">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6C3B4F" w:rsidRDefault="00E54414">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6C3B4F" w:rsidRDefault="00E54414">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6C3B4F" w:rsidRDefault="00E54414">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6C3B4F" w:rsidRDefault="00E54414">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6C3B4F" w:rsidRDefault="00E54414">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6C3B4F" w:rsidRDefault="00E54414">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6C3B4F">
        <w:tc>
          <w:tcPr>
            <w:tcW w:w="1290" w:type="dxa"/>
            <w:vAlign w:val="center"/>
          </w:tcPr>
          <w:p w:rsidR="006C3B4F" w:rsidRDefault="00E54414">
            <w:pPr>
              <w:jc w:val="left"/>
            </w:pPr>
            <w:r>
              <w:rPr>
                <w:rFonts w:eastAsiaTheme="minorEastAsia"/>
                <w:color w:val="000000" w:themeColor="text1"/>
                <w:szCs w:val="21"/>
              </w:rPr>
              <w:t>过去三个月</w:t>
            </w:r>
          </w:p>
        </w:tc>
        <w:tc>
          <w:tcPr>
            <w:tcW w:w="1291" w:type="dxa"/>
            <w:vAlign w:val="center"/>
          </w:tcPr>
          <w:p w:rsidR="006C3B4F" w:rsidRDefault="00E54414">
            <w:pPr>
              <w:jc w:val="right"/>
            </w:pPr>
            <w:r>
              <w:rPr>
                <w:rFonts w:eastAsiaTheme="minorEastAsia"/>
                <w:color w:val="000000" w:themeColor="text1"/>
                <w:szCs w:val="21"/>
              </w:rPr>
              <w:t>1.55%</w:t>
            </w:r>
          </w:p>
        </w:tc>
        <w:tc>
          <w:tcPr>
            <w:tcW w:w="1291" w:type="dxa"/>
            <w:vAlign w:val="center"/>
          </w:tcPr>
          <w:p w:rsidR="006C3B4F" w:rsidRDefault="00E54414">
            <w:pPr>
              <w:jc w:val="right"/>
            </w:pPr>
            <w:r>
              <w:rPr>
                <w:rFonts w:eastAsiaTheme="minorEastAsia"/>
                <w:color w:val="000000" w:themeColor="text1"/>
                <w:szCs w:val="21"/>
              </w:rPr>
              <w:t>0.05%</w:t>
            </w:r>
          </w:p>
        </w:tc>
        <w:tc>
          <w:tcPr>
            <w:tcW w:w="1291" w:type="dxa"/>
            <w:vAlign w:val="center"/>
          </w:tcPr>
          <w:p w:rsidR="006C3B4F" w:rsidRDefault="00E54414">
            <w:pPr>
              <w:jc w:val="right"/>
            </w:pPr>
            <w:r>
              <w:rPr>
                <w:rFonts w:eastAsiaTheme="minorEastAsia"/>
                <w:color w:val="000000" w:themeColor="text1"/>
                <w:szCs w:val="21"/>
              </w:rPr>
              <w:t>2.91%</w:t>
            </w:r>
          </w:p>
        </w:tc>
        <w:tc>
          <w:tcPr>
            <w:tcW w:w="1291" w:type="dxa"/>
            <w:vAlign w:val="center"/>
          </w:tcPr>
          <w:p w:rsidR="006C3B4F" w:rsidRDefault="00E54414">
            <w:pPr>
              <w:jc w:val="right"/>
            </w:pPr>
            <w:r>
              <w:rPr>
                <w:rFonts w:eastAsiaTheme="minorEastAsia"/>
                <w:color w:val="000000" w:themeColor="text1"/>
                <w:szCs w:val="21"/>
              </w:rPr>
              <w:t>0.09%</w:t>
            </w:r>
          </w:p>
        </w:tc>
        <w:tc>
          <w:tcPr>
            <w:tcW w:w="1291" w:type="dxa"/>
            <w:vAlign w:val="center"/>
          </w:tcPr>
          <w:p w:rsidR="006C3B4F" w:rsidRDefault="00E54414">
            <w:pPr>
              <w:jc w:val="right"/>
            </w:pPr>
            <w:r>
              <w:rPr>
                <w:rFonts w:eastAsiaTheme="minorEastAsia"/>
                <w:color w:val="000000" w:themeColor="text1"/>
                <w:szCs w:val="21"/>
              </w:rPr>
              <w:t>-1.36%</w:t>
            </w:r>
          </w:p>
        </w:tc>
        <w:tc>
          <w:tcPr>
            <w:tcW w:w="1291" w:type="dxa"/>
            <w:vAlign w:val="center"/>
          </w:tcPr>
          <w:p w:rsidR="006C3B4F" w:rsidRDefault="00E54414">
            <w:pPr>
              <w:jc w:val="right"/>
            </w:pPr>
            <w:r>
              <w:rPr>
                <w:rFonts w:eastAsiaTheme="minorEastAsia"/>
                <w:color w:val="000000" w:themeColor="text1"/>
                <w:szCs w:val="21"/>
              </w:rPr>
              <w:t>-0.04%</w:t>
            </w:r>
          </w:p>
        </w:tc>
      </w:tr>
    </w:tbl>
    <w:p w:rsidR="006C3B4F" w:rsidRDefault="00E54414" w:rsidP="00A36383">
      <w:pPr>
        <w:spacing w:beforeLines="100" w:line="360" w:lineRule="auto"/>
        <w:rPr>
          <w:rFonts w:eastAsiaTheme="minorEastAsia"/>
          <w:b/>
          <w:color w:val="000000" w:themeColor="text1"/>
          <w:kern w:val="0"/>
          <w:szCs w:val="21"/>
        </w:rPr>
      </w:pPr>
      <w:r>
        <w:rPr>
          <w:rFonts w:eastAsiaTheme="minorEastAsia"/>
          <w:b/>
          <w:color w:val="000000" w:themeColor="text1"/>
          <w:kern w:val="0"/>
          <w:szCs w:val="21"/>
        </w:rPr>
        <w:t>3.2.2</w:t>
      </w:r>
      <w:r>
        <w:rPr>
          <w:rFonts w:eastAsiaTheme="minorEastAsia"/>
          <w:b/>
          <w:color w:val="000000" w:themeColor="text1"/>
          <w:kern w:val="0"/>
          <w:szCs w:val="21"/>
        </w:rPr>
        <w:t xml:space="preserve">　</w:t>
      </w:r>
      <w:r>
        <w:rPr>
          <w:rStyle w:val="af1"/>
          <w:color w:val="000000" w:themeColor="text1"/>
          <w:szCs w:val="21"/>
          <w:shd w:val="clear" w:color="auto" w:fill="FFFFFF"/>
        </w:rPr>
        <w:t>自基金合同生效以来</w:t>
      </w:r>
      <w:r>
        <w:rPr>
          <w:rFonts w:eastAsiaTheme="minorEastAsia"/>
          <w:b/>
          <w:color w:val="000000" w:themeColor="text1"/>
          <w:szCs w:val="21"/>
        </w:rPr>
        <w:t>基金累计净值增长率变动及其与同期业绩比较基准收益率变动的比较</w:t>
      </w:r>
    </w:p>
    <w:p w:rsidR="006C3B4F" w:rsidRDefault="00E54414">
      <w:pPr>
        <w:spacing w:line="360" w:lineRule="auto"/>
        <w:jc w:val="center"/>
        <w:rPr>
          <w:rFonts w:eastAsiaTheme="minorEastAsia"/>
          <w:color w:val="000000" w:themeColor="text1"/>
          <w:szCs w:val="21"/>
        </w:rPr>
      </w:pPr>
      <w:r>
        <w:rPr>
          <w:rFonts w:eastAsiaTheme="minorEastAsia"/>
          <w:color w:val="000000" w:themeColor="text1"/>
          <w:szCs w:val="21"/>
        </w:rPr>
        <w:t>上投摩根岁岁金定期开放债券型证券投资基金</w:t>
      </w:r>
    </w:p>
    <w:p w:rsidR="006C3B4F" w:rsidRDefault="00E54414">
      <w:pPr>
        <w:pStyle w:val="a9"/>
        <w:snapToGrid w:val="0"/>
        <w:spacing w:line="360" w:lineRule="auto"/>
        <w:jc w:val="center"/>
        <w:rPr>
          <w:rFonts w:ascii="Times New Roman" w:eastAsiaTheme="minorEastAsia" w:hAnsi="Times New Roman"/>
          <w:color w:val="000000" w:themeColor="text1"/>
        </w:rPr>
      </w:pPr>
      <w:r>
        <w:rPr>
          <w:rFonts w:ascii="Times New Roman" w:eastAsiaTheme="minorEastAsia" w:hAnsi="Times New Roman"/>
          <w:color w:val="000000" w:themeColor="text1"/>
        </w:rPr>
        <w:t>累计净值增长率与业绩比较基准收益率的历史走势对比图</w:t>
      </w:r>
    </w:p>
    <w:p w:rsidR="006C3B4F" w:rsidRDefault="00E54414">
      <w:pPr>
        <w:pStyle w:val="a9"/>
        <w:snapToGrid w:val="0"/>
        <w:spacing w:line="360" w:lineRule="auto"/>
        <w:ind w:firstLine="480"/>
        <w:jc w:val="center"/>
        <w:rPr>
          <w:rFonts w:ascii="Times New Roman" w:eastAsiaTheme="minorEastAsia" w:hAnsi="Times New Roman"/>
          <w:color w:val="000000" w:themeColor="text1"/>
        </w:rPr>
      </w:pPr>
      <w:r>
        <w:rPr>
          <w:rFonts w:ascii="Times New Roman" w:eastAsiaTheme="minorEastAsia" w:hAnsi="Times New Roman"/>
          <w:color w:val="000000" w:themeColor="text1"/>
        </w:rPr>
        <w:lastRenderedPageBreak/>
        <w:t>(2017</w:t>
      </w:r>
      <w:r>
        <w:rPr>
          <w:rFonts w:ascii="Times New Roman" w:eastAsiaTheme="minorEastAsia" w:hAnsi="Times New Roman"/>
          <w:color w:val="000000" w:themeColor="text1"/>
        </w:rPr>
        <w:t>年</w:t>
      </w:r>
      <w:r>
        <w:rPr>
          <w:rFonts w:ascii="Times New Roman" w:eastAsiaTheme="minorEastAsia" w:hAnsi="Times New Roman"/>
          <w:color w:val="000000" w:themeColor="text1"/>
        </w:rPr>
        <w:t>4</w:t>
      </w:r>
      <w:r>
        <w:rPr>
          <w:rFonts w:ascii="Times New Roman" w:eastAsiaTheme="minorEastAsia" w:hAnsi="Times New Roman"/>
          <w:color w:val="000000" w:themeColor="text1"/>
        </w:rPr>
        <w:t>月</w:t>
      </w:r>
      <w:r>
        <w:rPr>
          <w:rFonts w:ascii="Times New Roman" w:eastAsiaTheme="minorEastAsia" w:hAnsi="Times New Roman"/>
          <w:color w:val="000000" w:themeColor="text1"/>
        </w:rPr>
        <w:t>10</w:t>
      </w:r>
      <w:r>
        <w:rPr>
          <w:rFonts w:ascii="Times New Roman" w:eastAsiaTheme="minorEastAsia" w:hAnsi="Times New Roman"/>
          <w:color w:val="000000" w:themeColor="text1"/>
        </w:rPr>
        <w:t>日至</w:t>
      </w:r>
      <w:r>
        <w:rPr>
          <w:rFonts w:ascii="Times New Roman" w:eastAsiaTheme="minorEastAsia" w:hAnsi="Times New Roman"/>
          <w:color w:val="000000" w:themeColor="text1"/>
        </w:rPr>
        <w:t>2018</w:t>
      </w:r>
      <w:r>
        <w:rPr>
          <w:rFonts w:ascii="Times New Roman" w:eastAsiaTheme="minorEastAsia" w:hAnsi="Times New Roman"/>
          <w:color w:val="000000" w:themeColor="text1"/>
        </w:rPr>
        <w:t>年</w:t>
      </w:r>
      <w:r>
        <w:rPr>
          <w:rFonts w:ascii="Times New Roman" w:eastAsiaTheme="minorEastAsia" w:hAnsi="Times New Roman"/>
          <w:color w:val="000000" w:themeColor="text1"/>
        </w:rPr>
        <w:t>12</w:t>
      </w:r>
      <w:r>
        <w:rPr>
          <w:rFonts w:ascii="Times New Roman" w:eastAsiaTheme="minorEastAsia" w:hAnsi="Times New Roman"/>
          <w:color w:val="000000" w:themeColor="text1"/>
        </w:rPr>
        <w:t>月</w:t>
      </w:r>
      <w:r>
        <w:rPr>
          <w:rFonts w:ascii="Times New Roman" w:eastAsiaTheme="minorEastAsia" w:hAnsi="Times New Roman"/>
          <w:color w:val="000000" w:themeColor="text1"/>
        </w:rPr>
        <w:t>31</w:t>
      </w:r>
      <w:r>
        <w:rPr>
          <w:rFonts w:ascii="Times New Roman" w:eastAsiaTheme="minorEastAsia" w:hAnsi="Times New Roman"/>
          <w:color w:val="000000" w:themeColor="text1"/>
        </w:rPr>
        <w:t>日</w:t>
      </w:r>
      <w:r>
        <w:rPr>
          <w:rFonts w:ascii="Times New Roman" w:eastAsiaTheme="minorEastAsia" w:hAnsi="Times New Roman"/>
          <w:color w:val="000000" w:themeColor="text1"/>
        </w:rPr>
        <w:t>)</w:t>
      </w:r>
    </w:p>
    <w:p w:rsidR="006C3B4F" w:rsidRDefault="00E54414">
      <w:pPr>
        <w:snapToGrid w:val="0"/>
        <w:spacing w:line="360" w:lineRule="auto"/>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．上投摩根岁岁金定期开放债券</w:t>
      </w:r>
      <w:r>
        <w:rPr>
          <w:rFonts w:eastAsiaTheme="minorEastAsia"/>
          <w:color w:val="000000" w:themeColor="text1"/>
          <w:szCs w:val="21"/>
        </w:rPr>
        <w:t>A</w:t>
      </w:r>
      <w:r>
        <w:rPr>
          <w:rFonts w:eastAsiaTheme="minorEastAsia"/>
          <w:color w:val="000000" w:themeColor="text1"/>
          <w:szCs w:val="21"/>
        </w:rPr>
        <w:t>：</w:t>
      </w:r>
    </w:p>
    <w:p w:rsidR="006C3B4F" w:rsidRDefault="00E54414">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浏览器下载\走势图柱状图\走势图1.jpg"/>
                    <pic:cNvPicPr>
                      <a:picLocks noChangeAspect="1" noChangeArrowheads="1"/>
                    </pic:cNvPicPr>
                  </pic:nvPicPr>
                  <pic:blipFill>
                    <a:blip r:embed="rId10" cstate="print">
                      <a:extLst>
                        <a:ext uri="{28A0092B-C50C-407E-A947-70E740481C1C}">
                          <a14:useLocalDpi xmlns=""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15="http://schemas.microsoft.com/office/word/2012/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注：本基金合同生效日为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日，图示时间段为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r>
        <w:rPr>
          <w:rFonts w:eastAsiaTheme="minorEastAsia"/>
          <w:color w:val="000000" w:themeColor="text1"/>
          <w:szCs w:val="21"/>
        </w:rPr>
        <w:t xml:space="preserve"> </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本基金建仓期自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日，建仓期结束时资产配置比例符合本基金基金合同规定。</w:t>
      </w:r>
    </w:p>
    <w:p w:rsidR="006C3B4F" w:rsidRDefault="00E54414" w:rsidP="00A36383">
      <w:pPr>
        <w:snapToGrid w:val="0"/>
        <w:spacing w:beforeLines="100" w:line="360" w:lineRule="auto"/>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．上投摩根岁岁金定期开放债券</w:t>
      </w:r>
      <w:r>
        <w:rPr>
          <w:rFonts w:eastAsiaTheme="minorEastAsia"/>
          <w:color w:val="000000" w:themeColor="text1"/>
          <w:szCs w:val="21"/>
        </w:rPr>
        <w:t>C</w:t>
      </w:r>
      <w:r>
        <w:rPr>
          <w:rFonts w:eastAsiaTheme="minorEastAsia"/>
          <w:color w:val="000000" w:themeColor="text1"/>
          <w:szCs w:val="21"/>
        </w:rPr>
        <w:t>：</w:t>
      </w:r>
    </w:p>
    <w:p w:rsidR="006C3B4F" w:rsidRDefault="00E54414">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浏览器下载\走势图柱状图\走势图2.jpg"/>
                    <pic:cNvPicPr>
                      <a:picLocks noChangeAspect="1" noChangeArrowheads="1"/>
                    </pic:cNvPicPr>
                  </pic:nvPicPr>
                  <pic:blipFill>
                    <a:blip r:embed="rId11" cstate="print">
                      <a:extLst>
                        <a:ext uri="{28A0092B-C50C-407E-A947-70E740481C1C}">
                          <a14:useLocalDpi xmlns=""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15="http://schemas.microsoft.com/office/word/2012/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注：本基金合同生效日为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日，图示时间段为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r>
        <w:rPr>
          <w:rFonts w:eastAsiaTheme="minorEastAsia"/>
          <w:color w:val="000000" w:themeColor="text1"/>
          <w:szCs w:val="21"/>
        </w:rPr>
        <w:t xml:space="preserve"> </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本基金建仓期自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日，建仓期结束时资产配置比例符合本基金基金合同规定。</w:t>
      </w:r>
    </w:p>
    <w:p w:rsidR="006C3B4F" w:rsidRDefault="006C3B4F">
      <w:pPr>
        <w:spacing w:line="360" w:lineRule="auto"/>
        <w:ind w:firstLineChars="200" w:firstLine="420"/>
        <w:rPr>
          <w:rFonts w:eastAsiaTheme="minorEastAsia"/>
          <w:color w:val="000000" w:themeColor="text1"/>
          <w:szCs w:val="21"/>
        </w:rPr>
      </w:pPr>
    </w:p>
    <w:p w:rsidR="006C3B4F" w:rsidRDefault="00E54414" w:rsidP="00A3638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§4  </w:t>
      </w:r>
      <w:r>
        <w:rPr>
          <w:rFonts w:eastAsiaTheme="minorEastAsia"/>
          <w:color w:val="000000" w:themeColor="text1"/>
          <w:kern w:val="0"/>
          <w:sz w:val="21"/>
          <w:szCs w:val="21"/>
        </w:rPr>
        <w:t>管理人报告</w:t>
      </w:r>
    </w:p>
    <w:p w:rsidR="006C3B4F" w:rsidRDefault="00E54414">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4.1 </w:t>
      </w:r>
      <w:r>
        <w:rPr>
          <w:rFonts w:eastAsiaTheme="minorEastAsia"/>
          <w:b/>
          <w:color w:val="000000" w:themeColor="text1"/>
          <w:kern w:val="0"/>
          <w:szCs w:val="21"/>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930"/>
        <w:gridCol w:w="1210"/>
        <w:gridCol w:w="1309"/>
        <w:gridCol w:w="1254"/>
        <w:gridCol w:w="3276"/>
      </w:tblGrid>
      <w:tr w:rsidR="006C3B4F">
        <w:tc>
          <w:tcPr>
            <w:tcW w:w="952" w:type="dxa"/>
            <w:vMerge w:val="restart"/>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姓名</w:t>
            </w:r>
          </w:p>
        </w:tc>
        <w:tc>
          <w:tcPr>
            <w:tcW w:w="930" w:type="dxa"/>
            <w:vMerge w:val="restart"/>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职务</w:t>
            </w:r>
          </w:p>
        </w:tc>
        <w:tc>
          <w:tcPr>
            <w:tcW w:w="2519" w:type="dxa"/>
            <w:gridSpan w:val="2"/>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任本基金的基金经理期限</w:t>
            </w:r>
          </w:p>
        </w:tc>
        <w:tc>
          <w:tcPr>
            <w:tcW w:w="1254" w:type="dxa"/>
            <w:vMerge w:val="restart"/>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证券从业年限</w:t>
            </w:r>
          </w:p>
        </w:tc>
        <w:tc>
          <w:tcPr>
            <w:tcW w:w="3276" w:type="dxa"/>
            <w:vMerge w:val="restart"/>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说明</w:t>
            </w:r>
          </w:p>
        </w:tc>
      </w:tr>
      <w:tr w:rsidR="006C3B4F">
        <w:tc>
          <w:tcPr>
            <w:tcW w:w="952" w:type="dxa"/>
            <w:vMerge/>
            <w:vAlign w:val="center"/>
          </w:tcPr>
          <w:p w:rsidR="006C3B4F" w:rsidRDefault="006C3B4F">
            <w:pPr>
              <w:autoSpaceDE w:val="0"/>
              <w:autoSpaceDN w:val="0"/>
              <w:adjustRightInd w:val="0"/>
              <w:spacing w:before="29" w:line="288" w:lineRule="auto"/>
              <w:ind w:left="15"/>
              <w:jc w:val="center"/>
              <w:rPr>
                <w:rFonts w:eastAsiaTheme="minorEastAsia"/>
                <w:color w:val="000000" w:themeColor="text1"/>
                <w:kern w:val="0"/>
                <w:szCs w:val="21"/>
              </w:rPr>
            </w:pPr>
          </w:p>
        </w:tc>
        <w:tc>
          <w:tcPr>
            <w:tcW w:w="930" w:type="dxa"/>
            <w:vMerge/>
          </w:tcPr>
          <w:p w:rsidR="006C3B4F" w:rsidRDefault="006C3B4F">
            <w:pPr>
              <w:autoSpaceDE w:val="0"/>
              <w:autoSpaceDN w:val="0"/>
              <w:adjustRightInd w:val="0"/>
              <w:spacing w:before="29" w:line="288" w:lineRule="auto"/>
              <w:ind w:left="15"/>
              <w:jc w:val="center"/>
              <w:rPr>
                <w:rFonts w:eastAsiaTheme="minorEastAsia"/>
                <w:color w:val="000000" w:themeColor="text1"/>
                <w:kern w:val="0"/>
                <w:szCs w:val="21"/>
              </w:rPr>
            </w:pPr>
          </w:p>
        </w:tc>
        <w:tc>
          <w:tcPr>
            <w:tcW w:w="1210" w:type="dxa"/>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任职日期</w:t>
            </w:r>
          </w:p>
        </w:tc>
        <w:tc>
          <w:tcPr>
            <w:tcW w:w="1309" w:type="dxa"/>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离任日期</w:t>
            </w:r>
          </w:p>
        </w:tc>
        <w:tc>
          <w:tcPr>
            <w:tcW w:w="1254" w:type="dxa"/>
            <w:vMerge/>
            <w:vAlign w:val="center"/>
          </w:tcPr>
          <w:p w:rsidR="006C3B4F" w:rsidRDefault="006C3B4F">
            <w:pPr>
              <w:autoSpaceDE w:val="0"/>
              <w:autoSpaceDN w:val="0"/>
              <w:adjustRightInd w:val="0"/>
              <w:spacing w:before="29" w:line="288" w:lineRule="auto"/>
              <w:ind w:left="15"/>
              <w:jc w:val="center"/>
              <w:rPr>
                <w:rFonts w:eastAsiaTheme="minorEastAsia"/>
                <w:color w:val="000000" w:themeColor="text1"/>
                <w:kern w:val="0"/>
                <w:szCs w:val="21"/>
              </w:rPr>
            </w:pPr>
          </w:p>
        </w:tc>
        <w:tc>
          <w:tcPr>
            <w:tcW w:w="3276" w:type="dxa"/>
            <w:vMerge/>
            <w:vAlign w:val="center"/>
          </w:tcPr>
          <w:p w:rsidR="006C3B4F" w:rsidRDefault="006C3B4F">
            <w:pPr>
              <w:autoSpaceDE w:val="0"/>
              <w:autoSpaceDN w:val="0"/>
              <w:adjustRightInd w:val="0"/>
              <w:spacing w:before="29" w:line="288" w:lineRule="auto"/>
              <w:ind w:left="15"/>
              <w:jc w:val="center"/>
              <w:rPr>
                <w:rFonts w:eastAsiaTheme="minorEastAsia"/>
                <w:color w:val="000000" w:themeColor="text1"/>
                <w:kern w:val="0"/>
                <w:szCs w:val="21"/>
              </w:rPr>
            </w:pPr>
          </w:p>
        </w:tc>
      </w:tr>
      <w:tr w:rsidR="006C3B4F">
        <w:tc>
          <w:tcPr>
            <w:tcW w:w="952" w:type="dxa"/>
            <w:vAlign w:val="center"/>
          </w:tcPr>
          <w:p w:rsidR="006C3B4F" w:rsidRDefault="00E54414">
            <w:pPr>
              <w:jc w:val="center"/>
            </w:pPr>
            <w:r>
              <w:rPr>
                <w:rFonts w:eastAsiaTheme="minorEastAsia"/>
                <w:color w:val="000000" w:themeColor="text1"/>
                <w:szCs w:val="21"/>
              </w:rPr>
              <w:t>刘阳</w:t>
            </w:r>
          </w:p>
        </w:tc>
        <w:tc>
          <w:tcPr>
            <w:tcW w:w="930" w:type="dxa"/>
            <w:vAlign w:val="center"/>
          </w:tcPr>
          <w:p w:rsidR="006C3B4F" w:rsidRDefault="00E54414">
            <w:pPr>
              <w:jc w:val="center"/>
            </w:pPr>
            <w:r>
              <w:rPr>
                <w:rFonts w:eastAsiaTheme="minorEastAsia"/>
                <w:color w:val="000000" w:themeColor="text1"/>
                <w:szCs w:val="21"/>
              </w:rPr>
              <w:t>本基金基金经理</w:t>
            </w:r>
          </w:p>
        </w:tc>
        <w:tc>
          <w:tcPr>
            <w:tcW w:w="1210" w:type="dxa"/>
            <w:vAlign w:val="center"/>
          </w:tcPr>
          <w:p w:rsidR="006C3B4F" w:rsidRDefault="00E54414">
            <w:pPr>
              <w:jc w:val="center"/>
            </w:pPr>
            <w:r>
              <w:rPr>
                <w:rFonts w:eastAsiaTheme="minorEastAsia"/>
                <w:color w:val="000000" w:themeColor="text1"/>
                <w:szCs w:val="21"/>
              </w:rPr>
              <w:t>2017-04-10</w:t>
            </w:r>
          </w:p>
        </w:tc>
        <w:tc>
          <w:tcPr>
            <w:tcW w:w="1309" w:type="dxa"/>
            <w:vAlign w:val="center"/>
          </w:tcPr>
          <w:p w:rsidR="006C3B4F" w:rsidRDefault="00E54414">
            <w:pPr>
              <w:jc w:val="center"/>
            </w:pPr>
            <w:r>
              <w:rPr>
                <w:rFonts w:eastAsiaTheme="minorEastAsia"/>
                <w:color w:val="000000" w:themeColor="text1"/>
                <w:szCs w:val="21"/>
              </w:rPr>
              <w:t>-</w:t>
            </w:r>
          </w:p>
        </w:tc>
        <w:tc>
          <w:tcPr>
            <w:tcW w:w="1254" w:type="dxa"/>
            <w:vAlign w:val="center"/>
          </w:tcPr>
          <w:p w:rsidR="006C3B4F" w:rsidRDefault="00E54414">
            <w:pPr>
              <w:jc w:val="center"/>
            </w:pPr>
            <w:r>
              <w:rPr>
                <w:rFonts w:eastAsiaTheme="minorEastAsia"/>
                <w:color w:val="000000" w:themeColor="text1"/>
                <w:szCs w:val="21"/>
              </w:rPr>
              <w:t>8</w:t>
            </w:r>
            <w:r>
              <w:rPr>
                <w:rFonts w:eastAsiaTheme="minorEastAsia"/>
                <w:color w:val="000000" w:themeColor="text1"/>
                <w:szCs w:val="21"/>
              </w:rPr>
              <w:t>年</w:t>
            </w:r>
          </w:p>
        </w:tc>
        <w:tc>
          <w:tcPr>
            <w:tcW w:w="3276" w:type="dxa"/>
            <w:vAlign w:val="center"/>
          </w:tcPr>
          <w:p w:rsidR="006C3B4F" w:rsidRDefault="00E54414">
            <w:r>
              <w:rPr>
                <w:rFonts w:eastAsiaTheme="minorEastAsia"/>
                <w:color w:val="000000" w:themeColor="text1"/>
                <w:szCs w:val="21"/>
              </w:rPr>
              <w:t>刘阳女士自</w:t>
            </w:r>
            <w:r>
              <w:rPr>
                <w:rFonts w:eastAsiaTheme="minorEastAsia"/>
                <w:color w:val="000000" w:themeColor="text1"/>
                <w:szCs w:val="21"/>
              </w:rPr>
              <w:t>2011</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月至</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月在申银万国证券研究所担任分析师，</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月至</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月在广发证券研发中心担任高级分析师，</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月起加入上投摩根基金管理有限公司，历任投资经理助理兼研究员、投资经理；自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月担任上投摩根纯债丰利债券型证券投资基金，自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月起担任上投摩根双债增利债券型证券投资基金基金经理，自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月起同时担任上投摩根纯债添利债券型证券投资基金基金经理，自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月起同时担任上投摩根强化回报债券型证券投资基金基金经理及上投摩根岁岁盈定期开放债券型证券投资基金基金经理，自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月起同时担任上投摩根岁岁金定期开放债券型证券投资基金基金经理，自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月起同时担任上投摩根丰瑞债券型证券投资基金基金经理，自</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月起同时担任上投摩根岁岁益定期开放债券型证券投资基金基金经理。</w:t>
            </w:r>
          </w:p>
        </w:tc>
      </w:tr>
    </w:tbl>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 xml:space="preserve">1. </w:t>
      </w:r>
      <w:r>
        <w:rPr>
          <w:rFonts w:eastAsiaTheme="minorEastAsia"/>
          <w:color w:val="000000" w:themeColor="text1"/>
          <w:szCs w:val="21"/>
        </w:rPr>
        <w:t>任职日期和离任日期均指根据公司决定确定的聘任日期和解聘日期。</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lastRenderedPageBreak/>
        <w:t xml:space="preserve">2. </w:t>
      </w:r>
      <w:r>
        <w:rPr>
          <w:rFonts w:eastAsiaTheme="minorEastAsia"/>
          <w:color w:val="000000" w:themeColor="text1"/>
          <w:szCs w:val="21"/>
        </w:rPr>
        <w:t>刘阳女士为本基金首任基金经理，其任职日期为本基金基金合同生效之日；</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证券从业的含义遵从行业协会《证券业从业人员资格管理办法》的相关规定。</w:t>
      </w:r>
    </w:p>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4.2</w:t>
      </w:r>
      <w:r>
        <w:rPr>
          <w:rFonts w:eastAsiaTheme="minorEastAsia" w:hint="eastAsia"/>
          <w:b/>
          <w:color w:val="000000" w:themeColor="text1"/>
          <w:kern w:val="0"/>
          <w:szCs w:val="21"/>
        </w:rPr>
        <w:t>管理人对报告期内本基金运作遵规守信情况的说明</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在本报告期内，基金管理人不存在损害基金份额持有人利益的行为，勤勉尽责地为基金份额持有人谋求利益。基金管理人遵守了《证券投资基金法》及其他有关法律法规、《上投摩根岁岁金定期开放债券型证券投资基金基金合同》的规定。基金经理对个股和投资组合的比例遵循了投资决策委员会的授权限制，基金投资比例符合基金合同和法律法规的要求。</w:t>
      </w:r>
    </w:p>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4.3 </w:t>
      </w:r>
      <w:r>
        <w:rPr>
          <w:rFonts w:eastAsiaTheme="minorEastAsia"/>
          <w:b/>
          <w:color w:val="000000" w:themeColor="text1"/>
          <w:kern w:val="0"/>
          <w:szCs w:val="21"/>
        </w:rPr>
        <w:t>公平交易专项说明</w:t>
      </w:r>
    </w:p>
    <w:p w:rsidR="006C3B4F" w:rsidRDefault="00E54414">
      <w:pPr>
        <w:spacing w:line="360" w:lineRule="auto"/>
        <w:rPr>
          <w:rFonts w:eastAsiaTheme="minorEastAsia"/>
          <w:color w:val="000000" w:themeColor="text1"/>
          <w:szCs w:val="21"/>
        </w:rPr>
      </w:pPr>
      <w:r>
        <w:rPr>
          <w:rFonts w:eastAsiaTheme="minorEastAsia"/>
          <w:color w:val="000000" w:themeColor="text1"/>
          <w:szCs w:val="21"/>
        </w:rPr>
        <w:t xml:space="preserve">4.3.1 </w:t>
      </w:r>
      <w:r>
        <w:rPr>
          <w:rFonts w:eastAsiaTheme="minorEastAsia"/>
          <w:color w:val="000000" w:themeColor="text1"/>
          <w:szCs w:val="21"/>
        </w:rPr>
        <w:t>公平交易制度的执行情况</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报告期内，通过对不同投资组合之间的收益率差异比较、对同向交易和反向交易的交易时机和交易价差监控分析，未发现整体公平交易执行出现异常的情况。</w:t>
      </w:r>
    </w:p>
    <w:p w:rsidR="006C3B4F" w:rsidRDefault="00E54414">
      <w:pPr>
        <w:spacing w:line="360" w:lineRule="auto"/>
        <w:rPr>
          <w:rFonts w:eastAsiaTheme="minorEastAsia"/>
          <w:color w:val="000000" w:themeColor="text1"/>
          <w:szCs w:val="21"/>
        </w:rPr>
      </w:pPr>
      <w:r>
        <w:rPr>
          <w:rFonts w:eastAsiaTheme="minorEastAsia"/>
          <w:color w:val="000000" w:themeColor="text1"/>
          <w:szCs w:val="21"/>
        </w:rPr>
        <w:t xml:space="preserve">4.3.2 </w:t>
      </w:r>
      <w:r>
        <w:rPr>
          <w:rFonts w:eastAsiaTheme="minorEastAsia"/>
          <w:color w:val="000000" w:themeColor="text1"/>
          <w:szCs w:val="21"/>
        </w:rPr>
        <w:t>异常交易行为的专项说明</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报告期内，通过对交易价格、交易时间、交易方向等的分析，未发现有可能导致不公平交易和利益输送的异常交易行为。</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所有投资组合参与的交易所公开竞价同日反向交易成交较少的单边交易量超过该证券当日成交量的</w:t>
      </w:r>
      <w:r>
        <w:rPr>
          <w:rFonts w:eastAsiaTheme="minorEastAsia"/>
          <w:color w:val="000000" w:themeColor="text1"/>
          <w:szCs w:val="21"/>
        </w:rPr>
        <w:t>5%</w:t>
      </w:r>
      <w:r>
        <w:rPr>
          <w:rFonts w:eastAsiaTheme="minorEastAsia"/>
          <w:color w:val="000000" w:themeColor="text1"/>
          <w:szCs w:val="21"/>
        </w:rPr>
        <w:t>的情形：无。</w:t>
      </w:r>
    </w:p>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4.4 </w:t>
      </w:r>
      <w:r>
        <w:rPr>
          <w:rFonts w:eastAsiaTheme="minorEastAsia"/>
          <w:b/>
          <w:color w:val="000000" w:themeColor="text1"/>
          <w:kern w:val="0"/>
          <w:szCs w:val="21"/>
        </w:rPr>
        <w:t>报告期内基金的投资策略和业绩表现说明</w:t>
      </w:r>
    </w:p>
    <w:p w:rsidR="006C3B4F" w:rsidRDefault="00E54414">
      <w:pPr>
        <w:spacing w:line="360" w:lineRule="auto"/>
        <w:rPr>
          <w:rFonts w:eastAsiaTheme="minorEastAsia"/>
          <w:color w:val="000000" w:themeColor="text1"/>
          <w:szCs w:val="21"/>
        </w:rPr>
      </w:pPr>
      <w:r>
        <w:rPr>
          <w:rFonts w:eastAsiaTheme="minorEastAsia"/>
          <w:color w:val="000000" w:themeColor="text1"/>
          <w:szCs w:val="21"/>
        </w:rPr>
        <w:t>4.4.1</w:t>
      </w:r>
      <w:r>
        <w:rPr>
          <w:rFonts w:eastAsiaTheme="minorEastAsia"/>
          <w:color w:val="000000" w:themeColor="text1"/>
          <w:szCs w:val="21"/>
        </w:rPr>
        <w:t>报告期内基金投资策略和运作分析</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四季度，债券收益率重回下行通道，</w:t>
      </w:r>
      <w:r>
        <w:rPr>
          <w:rFonts w:eastAsiaTheme="minorEastAsia"/>
          <w:color w:val="000000" w:themeColor="text1"/>
          <w:szCs w:val="21"/>
        </w:rPr>
        <w:t>10</w:t>
      </w:r>
      <w:r>
        <w:rPr>
          <w:rFonts w:eastAsiaTheme="minorEastAsia"/>
          <w:color w:val="000000" w:themeColor="text1"/>
          <w:szCs w:val="21"/>
        </w:rPr>
        <w:t>年期国开债到期收益率从</w:t>
      </w:r>
      <w:r>
        <w:rPr>
          <w:rFonts w:eastAsiaTheme="minorEastAsia"/>
          <w:color w:val="000000" w:themeColor="text1"/>
          <w:szCs w:val="21"/>
        </w:rPr>
        <w:t>4.2%</w:t>
      </w:r>
      <w:r>
        <w:rPr>
          <w:rFonts w:eastAsiaTheme="minorEastAsia"/>
          <w:color w:val="000000" w:themeColor="text1"/>
          <w:szCs w:val="21"/>
        </w:rPr>
        <w:t>下行到</w:t>
      </w:r>
      <w:r>
        <w:rPr>
          <w:rFonts w:eastAsiaTheme="minorEastAsia"/>
          <w:color w:val="000000" w:themeColor="text1"/>
          <w:szCs w:val="21"/>
        </w:rPr>
        <w:t>3.64%</w:t>
      </w:r>
      <w:r>
        <w:rPr>
          <w:rFonts w:eastAsiaTheme="minorEastAsia"/>
          <w:color w:val="000000" w:themeColor="text1"/>
          <w:szCs w:val="21"/>
        </w:rPr>
        <w:t>附近，累计下行幅度近</w:t>
      </w:r>
      <w:r>
        <w:rPr>
          <w:rFonts w:eastAsiaTheme="minorEastAsia"/>
          <w:color w:val="000000" w:themeColor="text1"/>
          <w:szCs w:val="21"/>
        </w:rPr>
        <w:t>60BP</w:t>
      </w:r>
      <w:r>
        <w:rPr>
          <w:rFonts w:eastAsiaTheme="minorEastAsia"/>
          <w:color w:val="000000" w:themeColor="text1"/>
          <w:szCs w:val="21"/>
        </w:rPr>
        <w:t>，债券牛市进入下半场。</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7</w:t>
      </w:r>
      <w:r>
        <w:rPr>
          <w:rFonts w:eastAsiaTheme="minorEastAsia"/>
          <w:color w:val="000000" w:themeColor="text1"/>
          <w:szCs w:val="21"/>
        </w:rPr>
        <w:t>日央行意外宣布定向降准</w:t>
      </w:r>
      <w:r>
        <w:rPr>
          <w:rFonts w:eastAsiaTheme="minorEastAsia"/>
          <w:color w:val="000000" w:themeColor="text1"/>
          <w:szCs w:val="21"/>
        </w:rPr>
        <w:t>1</w:t>
      </w:r>
      <w:r>
        <w:rPr>
          <w:rFonts w:eastAsiaTheme="minorEastAsia"/>
          <w:color w:val="000000" w:themeColor="text1"/>
          <w:szCs w:val="21"/>
        </w:rPr>
        <w:t>个百分点，流动性维持宽松。基本面和通胀数据逐步回落，经济增速下行压力持续显现，</w:t>
      </w:r>
      <w:r>
        <w:rPr>
          <w:rFonts w:eastAsiaTheme="minorEastAsia"/>
          <w:color w:val="000000" w:themeColor="text1"/>
          <w:szCs w:val="21"/>
        </w:rPr>
        <w:t>10</w:t>
      </w:r>
      <w:r>
        <w:rPr>
          <w:rFonts w:eastAsiaTheme="minorEastAsia"/>
          <w:color w:val="000000" w:themeColor="text1"/>
          <w:szCs w:val="21"/>
        </w:rPr>
        <w:t>月公布的社融数据，剔除新口径下地方专项债后同比继续下滑，融资收缩预期提振债市做多热情，并在后续</w:t>
      </w:r>
      <w:r>
        <w:rPr>
          <w:rFonts w:eastAsiaTheme="minorEastAsia"/>
          <w:color w:val="000000" w:themeColor="text1"/>
          <w:szCs w:val="21"/>
        </w:rPr>
        <w:t>11</w:t>
      </w:r>
      <w:r>
        <w:rPr>
          <w:rFonts w:eastAsiaTheme="minorEastAsia"/>
          <w:color w:val="000000" w:themeColor="text1"/>
          <w:szCs w:val="21"/>
        </w:rPr>
        <w:t>月货币信贷数据公布后进一步确认，长期债券收益率稳步下行。期间关于支持民企融资、鼓励金融机构增加信用投放等政策频出，包括扩大再贷款再贴现额度，以及设立民营企业债券融资支持工具等，均未明显提振机构风险偏好，避险情绪仍主导债市，仅在</w:t>
      </w:r>
      <w:r>
        <w:rPr>
          <w:rFonts w:eastAsiaTheme="minorEastAsia"/>
          <w:color w:val="000000" w:themeColor="text1"/>
          <w:szCs w:val="21"/>
        </w:rPr>
        <w:t>G20</w:t>
      </w:r>
      <w:r>
        <w:rPr>
          <w:rFonts w:eastAsiaTheme="minorEastAsia"/>
          <w:color w:val="000000" w:themeColor="text1"/>
          <w:szCs w:val="21"/>
        </w:rPr>
        <w:t>会议中美会谈前夕，和</w:t>
      </w:r>
      <w:r>
        <w:rPr>
          <w:rFonts w:eastAsiaTheme="minorEastAsia"/>
          <w:color w:val="000000" w:themeColor="text1"/>
          <w:szCs w:val="21"/>
        </w:rPr>
        <w:t>12</w:t>
      </w:r>
      <w:r>
        <w:rPr>
          <w:rFonts w:eastAsiaTheme="minorEastAsia"/>
          <w:color w:val="000000" w:themeColor="text1"/>
          <w:szCs w:val="21"/>
        </w:rPr>
        <w:t>月中旬地方债发行提前传闻等阶段性冲击下出现短期波动，收益率快速上行后随即继续步入下行通道。年底配置机构</w:t>
      </w:r>
      <w:r>
        <w:rPr>
          <w:rFonts w:eastAsiaTheme="minorEastAsia"/>
          <w:color w:val="000000" w:themeColor="text1"/>
          <w:szCs w:val="21"/>
        </w:rPr>
        <w:t>“</w:t>
      </w:r>
      <w:r>
        <w:rPr>
          <w:rFonts w:eastAsiaTheme="minorEastAsia"/>
          <w:color w:val="000000" w:themeColor="text1"/>
          <w:szCs w:val="21"/>
        </w:rPr>
        <w:t>抢跑</w:t>
      </w:r>
      <w:r>
        <w:rPr>
          <w:rFonts w:eastAsiaTheme="minorEastAsia"/>
          <w:color w:val="000000" w:themeColor="text1"/>
          <w:szCs w:val="21"/>
        </w:rPr>
        <w:t>”</w:t>
      </w:r>
      <w:r>
        <w:rPr>
          <w:rFonts w:eastAsiaTheme="minorEastAsia"/>
          <w:color w:val="000000" w:themeColor="text1"/>
          <w:szCs w:val="21"/>
        </w:rPr>
        <w:t>、央行创设</w:t>
      </w:r>
      <w:r>
        <w:rPr>
          <w:rFonts w:eastAsiaTheme="minorEastAsia"/>
          <w:color w:val="000000" w:themeColor="text1"/>
          <w:szCs w:val="21"/>
        </w:rPr>
        <w:t>TMLF</w:t>
      </w:r>
      <w:r>
        <w:rPr>
          <w:rFonts w:eastAsiaTheme="minorEastAsia"/>
          <w:color w:val="000000" w:themeColor="text1"/>
          <w:szCs w:val="21"/>
        </w:rPr>
        <w:t>并下调利率叠加风险资产下跌等多重动因推动债市延续单边上涨趋势，</w:t>
      </w:r>
      <w:r>
        <w:rPr>
          <w:rFonts w:eastAsiaTheme="minorEastAsia"/>
          <w:color w:val="000000" w:themeColor="text1"/>
          <w:szCs w:val="21"/>
        </w:rPr>
        <w:t>2018</w:t>
      </w:r>
      <w:r>
        <w:rPr>
          <w:rFonts w:eastAsiaTheme="minorEastAsia"/>
          <w:color w:val="000000" w:themeColor="text1"/>
          <w:szCs w:val="21"/>
        </w:rPr>
        <w:t>年以收益率再创新低收官。在此背景下，本基金四季度积极操作，阶段性参与了长债交易，增厚组合整体收益，同时严格控制组合信用债久期和总仓位，提高组合整体流动性水平。</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展望一季度，债市仍处牛市环境当中，基本面对市场的支撑仍强，地方债发行提前等前期利空因素已逐步为市场所消化，经济走弱、信用风险仍处释放过程的背景下，宽货币向宽信用的传导仍需时日，这一过程中债券收益率有望继续走低再下一城，但绝对收益率降至低位的情况下，总体波动率也将上升。在此过程中，本基金将密切关注基本面和政策面出现的边际变化，积极寻找获取资本利得增厚收益的机会，同时严格信用个券精选，力争获取稳健收益。</w:t>
      </w:r>
    </w:p>
    <w:p w:rsidR="006C3B4F" w:rsidRDefault="00E54414">
      <w:pPr>
        <w:spacing w:line="360" w:lineRule="auto"/>
        <w:rPr>
          <w:rFonts w:eastAsiaTheme="minorEastAsia"/>
          <w:color w:val="000000" w:themeColor="text1"/>
          <w:szCs w:val="21"/>
        </w:rPr>
      </w:pPr>
      <w:r>
        <w:rPr>
          <w:rFonts w:eastAsiaTheme="minorEastAsia"/>
          <w:color w:val="000000" w:themeColor="text1"/>
          <w:szCs w:val="21"/>
        </w:rPr>
        <w:t>4.4.2</w:t>
      </w:r>
      <w:r>
        <w:rPr>
          <w:rFonts w:eastAsiaTheme="minorEastAsia"/>
          <w:color w:val="000000" w:themeColor="text1"/>
          <w:szCs w:val="21"/>
        </w:rPr>
        <w:t>报告期内基金的业绩表现</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本报告期岁岁金</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:1.64%</w:t>
      </w:r>
      <w:r>
        <w:rPr>
          <w:rFonts w:eastAsiaTheme="minorEastAsia"/>
          <w:color w:val="000000" w:themeColor="text1"/>
          <w:szCs w:val="21"/>
        </w:rPr>
        <w:t>，同期业绩比较基准收益率为</w:t>
      </w:r>
      <w:r>
        <w:rPr>
          <w:rFonts w:eastAsiaTheme="minorEastAsia"/>
          <w:color w:val="000000" w:themeColor="text1"/>
          <w:szCs w:val="21"/>
        </w:rPr>
        <w:t>:2.91%,</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岁岁金</w:t>
      </w:r>
      <w:r>
        <w:rPr>
          <w:rFonts w:eastAsiaTheme="minorEastAsia"/>
          <w:color w:val="000000" w:themeColor="text1"/>
          <w:szCs w:val="21"/>
        </w:rPr>
        <w:t>C</w:t>
      </w:r>
      <w:r>
        <w:rPr>
          <w:rFonts w:eastAsiaTheme="minorEastAsia"/>
          <w:color w:val="000000" w:themeColor="text1"/>
          <w:szCs w:val="21"/>
        </w:rPr>
        <w:t>份额净值增长率为</w:t>
      </w:r>
      <w:r>
        <w:rPr>
          <w:rFonts w:eastAsiaTheme="minorEastAsia"/>
          <w:color w:val="000000" w:themeColor="text1"/>
          <w:szCs w:val="21"/>
        </w:rPr>
        <w:t>:1.55%</w:t>
      </w:r>
      <w:r>
        <w:rPr>
          <w:rFonts w:eastAsiaTheme="minorEastAsia"/>
          <w:color w:val="000000" w:themeColor="text1"/>
          <w:szCs w:val="21"/>
        </w:rPr>
        <w:t>，同期业绩比较基准收益率为</w:t>
      </w:r>
      <w:r>
        <w:rPr>
          <w:rFonts w:eastAsiaTheme="minorEastAsia"/>
          <w:color w:val="000000" w:themeColor="text1"/>
          <w:szCs w:val="21"/>
        </w:rPr>
        <w:t>:2.91%</w:t>
      </w:r>
      <w:r>
        <w:rPr>
          <w:rFonts w:eastAsiaTheme="minorEastAsia"/>
          <w:color w:val="000000" w:themeColor="text1"/>
          <w:szCs w:val="21"/>
        </w:rPr>
        <w:t>。</w:t>
      </w:r>
    </w:p>
    <w:p w:rsidR="006C3B4F" w:rsidRDefault="006C3B4F">
      <w:pPr>
        <w:spacing w:line="360" w:lineRule="auto"/>
        <w:ind w:firstLineChars="200" w:firstLine="420"/>
        <w:rPr>
          <w:rFonts w:eastAsiaTheme="minorEastAsia"/>
          <w:color w:val="000000" w:themeColor="text1"/>
          <w:szCs w:val="21"/>
        </w:rPr>
      </w:pPr>
    </w:p>
    <w:p w:rsidR="006C3B4F" w:rsidRDefault="00E54414">
      <w:pPr>
        <w:spacing w:line="360" w:lineRule="auto"/>
        <w:rPr>
          <w:rFonts w:eastAsiaTheme="minorEastAsia"/>
          <w:color w:val="000000" w:themeColor="text1"/>
          <w:szCs w:val="21"/>
        </w:rPr>
      </w:pPr>
      <w:r>
        <w:rPr>
          <w:rFonts w:eastAsiaTheme="minorEastAsia"/>
          <w:b/>
          <w:color w:val="000000" w:themeColor="text1"/>
          <w:kern w:val="0"/>
          <w:szCs w:val="21"/>
        </w:rPr>
        <w:t>4</w:t>
      </w:r>
      <w:r>
        <w:rPr>
          <w:rFonts w:eastAsiaTheme="minorEastAsia" w:hint="eastAsia"/>
          <w:b/>
          <w:color w:val="000000" w:themeColor="text1"/>
          <w:kern w:val="0"/>
          <w:szCs w:val="21"/>
        </w:rPr>
        <w:t>.5</w:t>
      </w:r>
      <w:r>
        <w:rPr>
          <w:rFonts w:asciiTheme="minorEastAsia" w:eastAsiaTheme="minorEastAsia" w:hAnsiTheme="minorEastAsia" w:hint="eastAsia"/>
          <w:b/>
          <w:color w:val="000000" w:themeColor="text1"/>
          <w:kern w:val="0"/>
          <w:szCs w:val="21"/>
        </w:rPr>
        <w:t>报告期内基金持有人数或基金资产净值预警说明</w:t>
      </w:r>
    </w:p>
    <w:p w:rsidR="006C3B4F" w:rsidRDefault="00E54414">
      <w:pPr>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报告期内，本基金存在连续六十个工作日基金资产净值低于五千万元的情况，出现该情况的时间范围为</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16</w:t>
      </w:r>
      <w:r>
        <w:rPr>
          <w:rFonts w:eastAsiaTheme="minorEastAsia"/>
          <w:color w:val="000000" w:themeColor="text1"/>
          <w:kern w:val="0"/>
          <w:szCs w:val="21"/>
        </w:rPr>
        <w:t>日至</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p>
    <w:p w:rsidR="006C3B4F" w:rsidRDefault="00E54414">
      <w:pPr>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基金管理人拟调整本基金运作方式，加大营销力度，提升基金规模，方案已报监管机关。</w:t>
      </w:r>
    </w:p>
    <w:p w:rsidR="006C3B4F" w:rsidRDefault="006C3B4F">
      <w:pPr>
        <w:spacing w:line="360" w:lineRule="auto"/>
        <w:ind w:firstLineChars="200" w:firstLine="420"/>
        <w:rPr>
          <w:rFonts w:asciiTheme="minorEastAsia" w:eastAsiaTheme="minorEastAsia" w:hAnsiTheme="minorEastAsia"/>
          <w:color w:val="000000" w:themeColor="text1"/>
          <w:szCs w:val="21"/>
        </w:rPr>
      </w:pPr>
    </w:p>
    <w:p w:rsidR="006C3B4F" w:rsidRDefault="00E54414" w:rsidP="00A3638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§5  </w:t>
      </w:r>
      <w:r>
        <w:rPr>
          <w:rFonts w:eastAsiaTheme="minorEastAsia"/>
          <w:color w:val="000000" w:themeColor="text1"/>
          <w:kern w:val="0"/>
          <w:sz w:val="21"/>
          <w:szCs w:val="21"/>
        </w:rPr>
        <w:t>投资组合报告</w:t>
      </w:r>
    </w:p>
    <w:p w:rsidR="006C3B4F" w:rsidRDefault="00E54414">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5.1 </w:t>
      </w:r>
      <w:r>
        <w:rPr>
          <w:rFonts w:eastAsiaTheme="minorEastAsia"/>
          <w:b/>
          <w:color w:val="000000" w:themeColor="text1"/>
          <w:kern w:val="0"/>
          <w:szCs w:val="21"/>
        </w:rPr>
        <w:t>报告期末基金资产组合情况</w:t>
      </w:r>
    </w:p>
    <w:tbl>
      <w:tblPr>
        <w:tblStyle w:val="af6"/>
        <w:tblW w:w="8897" w:type="dxa"/>
        <w:tblInd w:w="108" w:type="dxa"/>
        <w:tblLayout w:type="fixed"/>
        <w:tblLook w:val="04A0"/>
      </w:tblPr>
      <w:tblGrid>
        <w:gridCol w:w="720"/>
        <w:gridCol w:w="3357"/>
        <w:gridCol w:w="2977"/>
        <w:gridCol w:w="1843"/>
      </w:tblGrid>
      <w:tr w:rsidR="006C3B4F">
        <w:tc>
          <w:tcPr>
            <w:tcW w:w="720"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lastRenderedPageBreak/>
              <w:t>序号</w:t>
            </w:r>
          </w:p>
        </w:tc>
        <w:tc>
          <w:tcPr>
            <w:tcW w:w="335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项目</w:t>
            </w:r>
          </w:p>
        </w:tc>
        <w:tc>
          <w:tcPr>
            <w:tcW w:w="297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金额</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843"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占基金总资产的比例</w:t>
            </w:r>
            <w:r>
              <w:rPr>
                <w:rFonts w:eastAsiaTheme="minorEastAsia"/>
                <w:color w:val="000000" w:themeColor="text1"/>
                <w:szCs w:val="21"/>
              </w:rPr>
              <w:t>(%)</w:t>
            </w:r>
          </w:p>
        </w:tc>
      </w:tr>
      <w:tr w:rsidR="006C3B4F">
        <w:tc>
          <w:tcPr>
            <w:tcW w:w="720"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1</w:t>
            </w:r>
          </w:p>
        </w:tc>
        <w:tc>
          <w:tcPr>
            <w:tcW w:w="3357"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权益投资</w:t>
            </w:r>
          </w:p>
        </w:tc>
        <w:tc>
          <w:tcPr>
            <w:tcW w:w="2977"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720" w:type="dxa"/>
            <w:vAlign w:val="center"/>
          </w:tcPr>
          <w:p w:rsidR="006C3B4F" w:rsidRDefault="006C3B4F">
            <w:pPr>
              <w:spacing w:before="29" w:line="360" w:lineRule="auto"/>
              <w:ind w:left="17"/>
              <w:jc w:val="center"/>
              <w:rPr>
                <w:rFonts w:eastAsiaTheme="minorEastAsia"/>
                <w:color w:val="000000" w:themeColor="text1"/>
                <w:szCs w:val="21"/>
              </w:rPr>
            </w:pPr>
          </w:p>
        </w:tc>
        <w:tc>
          <w:tcPr>
            <w:tcW w:w="3357"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其中：股票</w:t>
            </w:r>
          </w:p>
        </w:tc>
        <w:tc>
          <w:tcPr>
            <w:tcW w:w="2977"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720"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2</w:t>
            </w:r>
          </w:p>
        </w:tc>
        <w:tc>
          <w:tcPr>
            <w:tcW w:w="3357"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固定收益投资</w:t>
            </w:r>
          </w:p>
        </w:tc>
        <w:tc>
          <w:tcPr>
            <w:tcW w:w="2977"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51,025,133.40</w:t>
            </w:r>
          </w:p>
        </w:tc>
        <w:tc>
          <w:tcPr>
            <w:tcW w:w="1843"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93.29</w:t>
            </w:r>
          </w:p>
        </w:tc>
      </w:tr>
      <w:tr w:rsidR="006C3B4F">
        <w:tc>
          <w:tcPr>
            <w:tcW w:w="720" w:type="dxa"/>
            <w:vAlign w:val="center"/>
          </w:tcPr>
          <w:p w:rsidR="006C3B4F" w:rsidRDefault="006C3B4F">
            <w:pPr>
              <w:spacing w:before="29" w:line="360" w:lineRule="auto"/>
              <w:ind w:left="17"/>
              <w:jc w:val="center"/>
              <w:rPr>
                <w:rFonts w:eastAsiaTheme="minorEastAsia"/>
                <w:color w:val="000000" w:themeColor="text1"/>
                <w:szCs w:val="21"/>
              </w:rPr>
            </w:pPr>
          </w:p>
        </w:tc>
        <w:tc>
          <w:tcPr>
            <w:tcW w:w="3357"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其中：债券</w:t>
            </w:r>
          </w:p>
        </w:tc>
        <w:tc>
          <w:tcPr>
            <w:tcW w:w="2977"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51,025,133.40</w:t>
            </w:r>
          </w:p>
        </w:tc>
        <w:tc>
          <w:tcPr>
            <w:tcW w:w="1843"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93.29</w:t>
            </w:r>
          </w:p>
        </w:tc>
      </w:tr>
      <w:tr w:rsidR="006C3B4F">
        <w:tc>
          <w:tcPr>
            <w:tcW w:w="720" w:type="dxa"/>
            <w:vAlign w:val="center"/>
          </w:tcPr>
          <w:p w:rsidR="006C3B4F" w:rsidRDefault="006C3B4F">
            <w:pPr>
              <w:spacing w:before="29" w:line="360" w:lineRule="auto"/>
              <w:ind w:left="17"/>
              <w:jc w:val="center"/>
              <w:rPr>
                <w:rFonts w:eastAsiaTheme="minorEastAsia"/>
                <w:color w:val="000000" w:themeColor="text1"/>
                <w:szCs w:val="21"/>
              </w:rPr>
            </w:pPr>
          </w:p>
        </w:tc>
        <w:tc>
          <w:tcPr>
            <w:tcW w:w="3357" w:type="dxa"/>
            <w:vAlign w:val="center"/>
          </w:tcPr>
          <w:p w:rsidR="006C3B4F" w:rsidRDefault="00E54414">
            <w:pPr>
              <w:autoSpaceDE w:val="0"/>
              <w:autoSpaceDN w:val="0"/>
              <w:adjustRightInd w:val="0"/>
              <w:spacing w:before="29" w:line="360" w:lineRule="auto"/>
              <w:ind w:left="17" w:firstLineChars="300" w:firstLine="630"/>
              <w:jc w:val="left"/>
              <w:rPr>
                <w:rFonts w:eastAsiaTheme="minorEastAsia"/>
                <w:color w:val="000000" w:themeColor="text1"/>
                <w:szCs w:val="21"/>
              </w:rPr>
            </w:pPr>
            <w:r>
              <w:rPr>
                <w:rFonts w:eastAsiaTheme="minorEastAsia"/>
                <w:color w:val="000000" w:themeColor="text1"/>
                <w:szCs w:val="21"/>
              </w:rPr>
              <w:t>资产支持证券</w:t>
            </w:r>
          </w:p>
        </w:tc>
        <w:tc>
          <w:tcPr>
            <w:tcW w:w="2977"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720" w:type="dxa"/>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3</w:t>
            </w:r>
          </w:p>
        </w:tc>
        <w:tc>
          <w:tcPr>
            <w:tcW w:w="3357" w:type="dxa"/>
          </w:tcPr>
          <w:p w:rsidR="006C3B4F" w:rsidRDefault="00E54414">
            <w:pPr>
              <w:spacing w:before="29" w:line="360" w:lineRule="auto"/>
              <w:ind w:leftChars="50" w:left="105"/>
              <w:rPr>
                <w:rFonts w:eastAsiaTheme="minorEastAsia"/>
                <w:color w:val="000000" w:themeColor="text1"/>
                <w:szCs w:val="21"/>
              </w:rPr>
            </w:pPr>
            <w:r>
              <w:rPr>
                <w:rFonts w:eastAsiaTheme="minorEastAsia"/>
                <w:color w:val="000000" w:themeColor="text1"/>
                <w:szCs w:val="21"/>
              </w:rPr>
              <w:t>贵金属投资</w:t>
            </w:r>
          </w:p>
        </w:tc>
        <w:tc>
          <w:tcPr>
            <w:tcW w:w="2977"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720"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4</w:t>
            </w:r>
          </w:p>
        </w:tc>
        <w:tc>
          <w:tcPr>
            <w:tcW w:w="3357"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金融衍生品投资</w:t>
            </w:r>
          </w:p>
        </w:tc>
        <w:tc>
          <w:tcPr>
            <w:tcW w:w="2977"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720"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5</w:t>
            </w:r>
          </w:p>
        </w:tc>
        <w:tc>
          <w:tcPr>
            <w:tcW w:w="3357"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买入返售金融资产</w:t>
            </w:r>
          </w:p>
        </w:tc>
        <w:tc>
          <w:tcPr>
            <w:tcW w:w="2977"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720" w:type="dxa"/>
            <w:vAlign w:val="center"/>
          </w:tcPr>
          <w:p w:rsidR="006C3B4F" w:rsidRDefault="006C3B4F">
            <w:pPr>
              <w:spacing w:before="29" w:line="360" w:lineRule="auto"/>
              <w:ind w:left="17"/>
              <w:jc w:val="center"/>
              <w:rPr>
                <w:rFonts w:eastAsiaTheme="minorEastAsia"/>
                <w:color w:val="000000" w:themeColor="text1"/>
                <w:szCs w:val="21"/>
              </w:rPr>
            </w:pPr>
          </w:p>
        </w:tc>
        <w:tc>
          <w:tcPr>
            <w:tcW w:w="3357"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其中：买断式回购的买入返售金融资产</w:t>
            </w:r>
          </w:p>
        </w:tc>
        <w:tc>
          <w:tcPr>
            <w:tcW w:w="2977"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720"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6</w:t>
            </w:r>
          </w:p>
        </w:tc>
        <w:tc>
          <w:tcPr>
            <w:tcW w:w="3357"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银行存款和结算备付金合计</w:t>
            </w:r>
          </w:p>
        </w:tc>
        <w:tc>
          <w:tcPr>
            <w:tcW w:w="2977"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2,580,623.71</w:t>
            </w:r>
          </w:p>
        </w:tc>
        <w:tc>
          <w:tcPr>
            <w:tcW w:w="1843"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4.72</w:t>
            </w:r>
          </w:p>
        </w:tc>
      </w:tr>
      <w:tr w:rsidR="006C3B4F">
        <w:tc>
          <w:tcPr>
            <w:tcW w:w="720"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7</w:t>
            </w:r>
          </w:p>
        </w:tc>
        <w:tc>
          <w:tcPr>
            <w:tcW w:w="3357" w:type="dxa"/>
            <w:vAlign w:val="center"/>
          </w:tcPr>
          <w:p w:rsidR="006C3B4F" w:rsidRDefault="00E54414">
            <w:pPr>
              <w:rPr>
                <w:rFonts w:eastAsiaTheme="minorEastAsia"/>
                <w:color w:val="000000" w:themeColor="text1"/>
                <w:szCs w:val="21"/>
              </w:rPr>
            </w:pPr>
            <w:r>
              <w:rPr>
                <w:rFonts w:eastAsiaTheme="minorEastAsia"/>
                <w:color w:val="000000" w:themeColor="text1"/>
                <w:szCs w:val="21"/>
              </w:rPr>
              <w:t>其他各项资产</w:t>
            </w:r>
          </w:p>
        </w:tc>
        <w:tc>
          <w:tcPr>
            <w:tcW w:w="2977" w:type="dxa"/>
            <w:vAlign w:val="center"/>
          </w:tcPr>
          <w:p w:rsidR="006C3B4F" w:rsidRDefault="00E54414">
            <w:pPr>
              <w:jc w:val="right"/>
              <w:rPr>
                <w:rFonts w:eastAsiaTheme="minorEastAsia"/>
                <w:color w:val="000000" w:themeColor="text1"/>
                <w:szCs w:val="21"/>
              </w:rPr>
            </w:pPr>
            <w:r>
              <w:rPr>
                <w:rFonts w:eastAsiaTheme="minorEastAsia"/>
                <w:color w:val="000000" w:themeColor="text1"/>
                <w:szCs w:val="21"/>
              </w:rPr>
              <w:t>1,088,629.02</w:t>
            </w:r>
          </w:p>
        </w:tc>
        <w:tc>
          <w:tcPr>
            <w:tcW w:w="1843" w:type="dxa"/>
            <w:vAlign w:val="center"/>
          </w:tcPr>
          <w:p w:rsidR="006C3B4F" w:rsidRDefault="00E54414">
            <w:pPr>
              <w:jc w:val="right"/>
              <w:rPr>
                <w:rFonts w:eastAsiaTheme="minorEastAsia"/>
                <w:color w:val="000000" w:themeColor="text1"/>
                <w:szCs w:val="21"/>
              </w:rPr>
            </w:pPr>
            <w:r>
              <w:rPr>
                <w:rFonts w:eastAsiaTheme="minorEastAsia"/>
                <w:color w:val="000000" w:themeColor="text1"/>
                <w:szCs w:val="21"/>
              </w:rPr>
              <w:t>1.99</w:t>
            </w:r>
          </w:p>
        </w:tc>
      </w:tr>
      <w:tr w:rsidR="006C3B4F">
        <w:tc>
          <w:tcPr>
            <w:tcW w:w="720"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8</w:t>
            </w:r>
          </w:p>
        </w:tc>
        <w:tc>
          <w:tcPr>
            <w:tcW w:w="3357" w:type="dxa"/>
            <w:vAlign w:val="center"/>
          </w:tcPr>
          <w:p w:rsidR="006C3B4F" w:rsidRDefault="00E54414">
            <w:pPr>
              <w:rPr>
                <w:rFonts w:eastAsiaTheme="minorEastAsia"/>
                <w:color w:val="000000" w:themeColor="text1"/>
                <w:szCs w:val="21"/>
              </w:rPr>
            </w:pPr>
            <w:r>
              <w:rPr>
                <w:rFonts w:eastAsiaTheme="minorEastAsia"/>
                <w:color w:val="000000" w:themeColor="text1"/>
                <w:szCs w:val="21"/>
              </w:rPr>
              <w:t>合计</w:t>
            </w:r>
          </w:p>
        </w:tc>
        <w:tc>
          <w:tcPr>
            <w:tcW w:w="2977" w:type="dxa"/>
            <w:vAlign w:val="center"/>
          </w:tcPr>
          <w:p w:rsidR="006C3B4F" w:rsidRDefault="00E54414">
            <w:pPr>
              <w:jc w:val="right"/>
              <w:rPr>
                <w:rFonts w:eastAsiaTheme="minorEastAsia"/>
                <w:color w:val="000000" w:themeColor="text1"/>
                <w:szCs w:val="21"/>
              </w:rPr>
            </w:pPr>
            <w:r>
              <w:rPr>
                <w:rFonts w:eastAsiaTheme="minorEastAsia"/>
                <w:color w:val="000000" w:themeColor="text1"/>
                <w:szCs w:val="21"/>
              </w:rPr>
              <w:t>54,694,386.13</w:t>
            </w:r>
          </w:p>
        </w:tc>
        <w:tc>
          <w:tcPr>
            <w:tcW w:w="1843" w:type="dxa"/>
            <w:vAlign w:val="center"/>
          </w:tcPr>
          <w:p w:rsidR="006C3B4F" w:rsidRDefault="00E54414">
            <w:pPr>
              <w:jc w:val="right"/>
              <w:rPr>
                <w:rFonts w:eastAsiaTheme="minorEastAsia"/>
                <w:color w:val="000000" w:themeColor="text1"/>
                <w:szCs w:val="21"/>
              </w:rPr>
            </w:pPr>
            <w:r>
              <w:rPr>
                <w:rFonts w:eastAsiaTheme="minorEastAsia"/>
                <w:color w:val="000000" w:themeColor="text1"/>
                <w:szCs w:val="21"/>
              </w:rPr>
              <w:t>100.00</w:t>
            </w:r>
          </w:p>
        </w:tc>
      </w:tr>
    </w:tbl>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5.2 </w:t>
      </w:r>
      <w:r>
        <w:rPr>
          <w:rFonts w:eastAsiaTheme="minorEastAsia"/>
          <w:b/>
          <w:color w:val="000000" w:themeColor="text1"/>
          <w:kern w:val="0"/>
          <w:szCs w:val="21"/>
        </w:rPr>
        <w:t>报告期末按行业分类的股票投资组合</w:t>
      </w:r>
    </w:p>
    <w:p w:rsidR="006C3B4F" w:rsidRDefault="00E54414">
      <w:pPr>
        <w:rPr>
          <w:b/>
        </w:rPr>
      </w:pPr>
      <w:r>
        <w:rPr>
          <w:rFonts w:hint="eastAsia"/>
          <w:b/>
        </w:rPr>
        <w:t xml:space="preserve"> </w:t>
      </w:r>
      <w:r>
        <w:rPr>
          <w:rFonts w:eastAsiaTheme="minorEastAsia" w:hint="eastAsia"/>
          <w:b/>
          <w:color w:val="000000" w:themeColor="text1"/>
          <w:kern w:val="0"/>
          <w:szCs w:val="21"/>
        </w:rPr>
        <w:t>5.2.1</w:t>
      </w:r>
      <w:r>
        <w:rPr>
          <w:rFonts w:eastAsiaTheme="minorEastAsia" w:hint="eastAsia"/>
          <w:b/>
          <w:color w:val="000000" w:themeColor="text1"/>
          <w:kern w:val="0"/>
          <w:szCs w:val="21"/>
        </w:rPr>
        <w:t>报告期末按行业分类的境内股票投资组合</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本基金本报告期末未持有股票。</w:t>
      </w:r>
    </w:p>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5.3 </w:t>
      </w:r>
      <w:r>
        <w:rPr>
          <w:rFonts w:eastAsiaTheme="minorEastAsia"/>
          <w:b/>
          <w:color w:val="000000" w:themeColor="text1"/>
          <w:kern w:val="0"/>
          <w:szCs w:val="21"/>
        </w:rPr>
        <w:t>报告期末按公允价值占基金资产净值比例大小排序的前十名股票投资明细</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本基金本报告期末未持有股票。</w:t>
      </w:r>
    </w:p>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5.4 </w:t>
      </w:r>
      <w:r>
        <w:rPr>
          <w:rFonts w:eastAsiaTheme="minorEastAsia"/>
          <w:b/>
          <w:color w:val="000000" w:themeColor="text1"/>
          <w:kern w:val="0"/>
          <w:szCs w:val="21"/>
        </w:rPr>
        <w:t>报告期末按债券品种分类的债券投资组合</w:t>
      </w: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260"/>
        <w:gridCol w:w="2835"/>
        <w:gridCol w:w="1616"/>
      </w:tblGrid>
      <w:tr w:rsidR="006C3B4F">
        <w:tc>
          <w:tcPr>
            <w:tcW w:w="81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序号</w:t>
            </w:r>
          </w:p>
        </w:tc>
        <w:tc>
          <w:tcPr>
            <w:tcW w:w="3260"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债券品种</w:t>
            </w:r>
          </w:p>
        </w:tc>
        <w:tc>
          <w:tcPr>
            <w:tcW w:w="2835"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公允价值</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616"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占基金资产净值比例</w:t>
            </w:r>
            <w:r>
              <w:rPr>
                <w:rFonts w:eastAsiaTheme="minorEastAsia"/>
                <w:color w:val="000000" w:themeColor="text1"/>
                <w:szCs w:val="21"/>
              </w:rPr>
              <w:t>(</w:t>
            </w:r>
            <w:r>
              <w:rPr>
                <w:rFonts w:eastAsiaTheme="minorEastAsia"/>
                <w:color w:val="000000" w:themeColor="text1"/>
                <w:szCs w:val="21"/>
              </w:rPr>
              <w:t>％</w:t>
            </w:r>
            <w:r>
              <w:rPr>
                <w:rFonts w:eastAsiaTheme="minorEastAsia"/>
                <w:color w:val="000000" w:themeColor="text1"/>
                <w:szCs w:val="21"/>
              </w:rPr>
              <w:t>)</w:t>
            </w:r>
          </w:p>
        </w:tc>
      </w:tr>
      <w:tr w:rsidR="006C3B4F">
        <w:tc>
          <w:tcPr>
            <w:tcW w:w="81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1</w:t>
            </w:r>
          </w:p>
        </w:tc>
        <w:tc>
          <w:tcPr>
            <w:tcW w:w="3260"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国家债券</w:t>
            </w:r>
          </w:p>
        </w:tc>
        <w:tc>
          <w:tcPr>
            <w:tcW w:w="2835"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13,942,986.30</w:t>
            </w:r>
          </w:p>
        </w:tc>
        <w:tc>
          <w:tcPr>
            <w:tcW w:w="1616"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35.11</w:t>
            </w:r>
          </w:p>
        </w:tc>
      </w:tr>
      <w:tr w:rsidR="006C3B4F">
        <w:tc>
          <w:tcPr>
            <w:tcW w:w="81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2</w:t>
            </w:r>
          </w:p>
        </w:tc>
        <w:tc>
          <w:tcPr>
            <w:tcW w:w="3260"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央行票据</w:t>
            </w:r>
          </w:p>
        </w:tc>
        <w:tc>
          <w:tcPr>
            <w:tcW w:w="2835"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81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3</w:t>
            </w:r>
          </w:p>
        </w:tc>
        <w:tc>
          <w:tcPr>
            <w:tcW w:w="3260"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金融债券</w:t>
            </w:r>
          </w:p>
        </w:tc>
        <w:tc>
          <w:tcPr>
            <w:tcW w:w="2835"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18,708,698.10</w:t>
            </w:r>
          </w:p>
        </w:tc>
        <w:tc>
          <w:tcPr>
            <w:tcW w:w="1616"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47.11</w:t>
            </w:r>
          </w:p>
        </w:tc>
      </w:tr>
      <w:tr w:rsidR="006C3B4F">
        <w:tc>
          <w:tcPr>
            <w:tcW w:w="817" w:type="dxa"/>
            <w:vAlign w:val="center"/>
          </w:tcPr>
          <w:p w:rsidR="006C3B4F" w:rsidRDefault="006C3B4F">
            <w:pPr>
              <w:spacing w:before="29" w:line="360" w:lineRule="auto"/>
              <w:ind w:left="17"/>
              <w:jc w:val="center"/>
              <w:rPr>
                <w:rFonts w:eastAsiaTheme="minorEastAsia"/>
                <w:color w:val="000000" w:themeColor="text1"/>
                <w:szCs w:val="21"/>
              </w:rPr>
            </w:pPr>
          </w:p>
        </w:tc>
        <w:tc>
          <w:tcPr>
            <w:tcW w:w="3260"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其中：政策性金融债</w:t>
            </w:r>
          </w:p>
        </w:tc>
        <w:tc>
          <w:tcPr>
            <w:tcW w:w="2835"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18,708,698.10</w:t>
            </w:r>
          </w:p>
        </w:tc>
        <w:tc>
          <w:tcPr>
            <w:tcW w:w="1616"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47.11</w:t>
            </w:r>
          </w:p>
        </w:tc>
      </w:tr>
      <w:tr w:rsidR="006C3B4F">
        <w:tc>
          <w:tcPr>
            <w:tcW w:w="81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4</w:t>
            </w:r>
          </w:p>
        </w:tc>
        <w:tc>
          <w:tcPr>
            <w:tcW w:w="3260"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企业债券</w:t>
            </w:r>
          </w:p>
        </w:tc>
        <w:tc>
          <w:tcPr>
            <w:tcW w:w="2835"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18,357,468.20</w:t>
            </w:r>
          </w:p>
        </w:tc>
        <w:tc>
          <w:tcPr>
            <w:tcW w:w="1616"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46.22</w:t>
            </w:r>
          </w:p>
        </w:tc>
      </w:tr>
      <w:tr w:rsidR="006C3B4F">
        <w:tc>
          <w:tcPr>
            <w:tcW w:w="81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5</w:t>
            </w:r>
          </w:p>
        </w:tc>
        <w:tc>
          <w:tcPr>
            <w:tcW w:w="3260"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企业短期融资券</w:t>
            </w:r>
          </w:p>
        </w:tc>
        <w:tc>
          <w:tcPr>
            <w:tcW w:w="2835"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81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6</w:t>
            </w:r>
          </w:p>
        </w:tc>
        <w:tc>
          <w:tcPr>
            <w:tcW w:w="3260"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中期票据</w:t>
            </w:r>
          </w:p>
        </w:tc>
        <w:tc>
          <w:tcPr>
            <w:tcW w:w="2835"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81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7</w:t>
            </w:r>
          </w:p>
        </w:tc>
        <w:tc>
          <w:tcPr>
            <w:tcW w:w="3260"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可转债</w:t>
            </w:r>
            <w:r>
              <w:rPr>
                <w:rFonts w:eastAsiaTheme="minorEastAsia" w:hint="eastAsia"/>
                <w:color w:val="000000" w:themeColor="text1"/>
                <w:szCs w:val="21"/>
              </w:rPr>
              <w:t>（可交换债）</w:t>
            </w:r>
          </w:p>
        </w:tc>
        <w:tc>
          <w:tcPr>
            <w:tcW w:w="2835"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81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hint="eastAsia"/>
                <w:color w:val="000000" w:themeColor="text1"/>
                <w:szCs w:val="21"/>
              </w:rPr>
              <w:t>8</w:t>
            </w:r>
          </w:p>
        </w:tc>
        <w:tc>
          <w:tcPr>
            <w:tcW w:w="3260"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hint="eastAsia"/>
                <w:color w:val="000000" w:themeColor="text1"/>
                <w:szCs w:val="21"/>
              </w:rPr>
              <w:t>同业存单</w:t>
            </w:r>
          </w:p>
        </w:tc>
        <w:tc>
          <w:tcPr>
            <w:tcW w:w="2835"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hint="eastAsia"/>
                <w:color w:val="000000" w:themeColor="text1"/>
                <w:szCs w:val="21"/>
              </w:rPr>
              <w:t>-</w:t>
            </w:r>
          </w:p>
        </w:tc>
        <w:tc>
          <w:tcPr>
            <w:tcW w:w="1616"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hint="eastAsia"/>
                <w:color w:val="000000" w:themeColor="text1"/>
                <w:szCs w:val="21"/>
              </w:rPr>
              <w:t>-</w:t>
            </w:r>
          </w:p>
        </w:tc>
      </w:tr>
      <w:tr w:rsidR="006C3B4F">
        <w:tc>
          <w:tcPr>
            <w:tcW w:w="81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9</w:t>
            </w:r>
          </w:p>
        </w:tc>
        <w:tc>
          <w:tcPr>
            <w:tcW w:w="3260"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其他</w:t>
            </w:r>
          </w:p>
        </w:tc>
        <w:tc>
          <w:tcPr>
            <w:tcW w:w="2835"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15,980.80</w:t>
            </w:r>
          </w:p>
        </w:tc>
        <w:tc>
          <w:tcPr>
            <w:tcW w:w="1616"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0.04</w:t>
            </w:r>
          </w:p>
        </w:tc>
      </w:tr>
      <w:tr w:rsidR="006C3B4F">
        <w:tc>
          <w:tcPr>
            <w:tcW w:w="817" w:type="dxa"/>
            <w:vAlign w:val="center"/>
          </w:tcPr>
          <w:p w:rsidR="006C3B4F" w:rsidRDefault="00E54414">
            <w:pPr>
              <w:spacing w:before="29" w:line="360" w:lineRule="auto"/>
              <w:ind w:left="17"/>
              <w:jc w:val="center"/>
              <w:rPr>
                <w:rFonts w:eastAsiaTheme="minorEastAsia"/>
                <w:color w:val="000000" w:themeColor="text1"/>
                <w:szCs w:val="21"/>
              </w:rPr>
            </w:pPr>
            <w:r>
              <w:rPr>
                <w:rFonts w:eastAsiaTheme="minorEastAsia"/>
                <w:color w:val="000000" w:themeColor="text1"/>
                <w:szCs w:val="21"/>
              </w:rPr>
              <w:t>10</w:t>
            </w:r>
          </w:p>
        </w:tc>
        <w:tc>
          <w:tcPr>
            <w:tcW w:w="3260" w:type="dxa"/>
            <w:vAlign w:val="center"/>
          </w:tcPr>
          <w:p w:rsidR="006C3B4F" w:rsidRDefault="00E54414">
            <w:pPr>
              <w:spacing w:before="29" w:line="360" w:lineRule="auto"/>
              <w:ind w:left="17"/>
              <w:jc w:val="left"/>
              <w:rPr>
                <w:rFonts w:eastAsiaTheme="minorEastAsia"/>
                <w:color w:val="000000" w:themeColor="text1"/>
                <w:szCs w:val="21"/>
              </w:rPr>
            </w:pPr>
            <w:r>
              <w:rPr>
                <w:rFonts w:eastAsiaTheme="minorEastAsia"/>
                <w:color w:val="000000" w:themeColor="text1"/>
                <w:szCs w:val="21"/>
              </w:rPr>
              <w:t>合计</w:t>
            </w:r>
          </w:p>
        </w:tc>
        <w:tc>
          <w:tcPr>
            <w:tcW w:w="2835"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51,025,133.40</w:t>
            </w:r>
          </w:p>
        </w:tc>
        <w:tc>
          <w:tcPr>
            <w:tcW w:w="1616" w:type="dxa"/>
            <w:vAlign w:val="center"/>
          </w:tcPr>
          <w:p w:rsidR="006C3B4F" w:rsidRDefault="00E54414">
            <w:pPr>
              <w:spacing w:before="29" w:line="360" w:lineRule="auto"/>
              <w:ind w:left="17"/>
              <w:jc w:val="right"/>
              <w:rPr>
                <w:rFonts w:eastAsiaTheme="minorEastAsia"/>
                <w:color w:val="000000" w:themeColor="text1"/>
                <w:szCs w:val="21"/>
              </w:rPr>
            </w:pPr>
            <w:r>
              <w:rPr>
                <w:rFonts w:eastAsiaTheme="minorEastAsia"/>
                <w:color w:val="000000" w:themeColor="text1"/>
                <w:szCs w:val="21"/>
              </w:rPr>
              <w:t>128.48</w:t>
            </w:r>
          </w:p>
        </w:tc>
      </w:tr>
    </w:tbl>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5.5 </w:t>
      </w:r>
      <w:r>
        <w:rPr>
          <w:rFonts w:eastAsiaTheme="minorEastAsia"/>
          <w:b/>
          <w:color w:val="000000" w:themeColor="text1"/>
          <w:kern w:val="0"/>
          <w:szCs w:val="21"/>
        </w:rPr>
        <w:t>报告期末按公允价值占基金资产净值比例大小排序的前五名债券投资明细</w:t>
      </w:r>
    </w:p>
    <w:tbl>
      <w:tblPr>
        <w:tblStyle w:val="af6"/>
        <w:tblW w:w="9021" w:type="dxa"/>
        <w:tblInd w:w="108" w:type="dxa"/>
        <w:tblLayout w:type="fixed"/>
        <w:tblLook w:val="04A0"/>
      </w:tblPr>
      <w:tblGrid>
        <w:gridCol w:w="1504"/>
        <w:gridCol w:w="1504"/>
        <w:gridCol w:w="1504"/>
        <w:gridCol w:w="1503"/>
        <w:gridCol w:w="1503"/>
        <w:gridCol w:w="1503"/>
      </w:tblGrid>
      <w:tr w:rsidR="006C3B4F">
        <w:tc>
          <w:tcPr>
            <w:tcW w:w="1504" w:type="dxa"/>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序号</w:t>
            </w:r>
          </w:p>
        </w:tc>
        <w:tc>
          <w:tcPr>
            <w:tcW w:w="1504" w:type="dxa"/>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债券代码</w:t>
            </w:r>
          </w:p>
        </w:tc>
        <w:tc>
          <w:tcPr>
            <w:tcW w:w="1504" w:type="dxa"/>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债券名称</w:t>
            </w:r>
          </w:p>
        </w:tc>
        <w:tc>
          <w:tcPr>
            <w:tcW w:w="1503" w:type="dxa"/>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数量（张）</w:t>
            </w:r>
          </w:p>
        </w:tc>
        <w:tc>
          <w:tcPr>
            <w:tcW w:w="1503" w:type="dxa"/>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公允价值</w:t>
            </w:r>
            <w:r>
              <w:rPr>
                <w:rFonts w:eastAsiaTheme="minorEastAsia"/>
                <w:color w:val="000000" w:themeColor="text1"/>
                <w:kern w:val="0"/>
                <w:szCs w:val="21"/>
              </w:rPr>
              <w:t>(</w:t>
            </w:r>
            <w:r>
              <w:rPr>
                <w:rFonts w:eastAsiaTheme="minorEastAsia"/>
                <w:color w:val="000000" w:themeColor="text1"/>
                <w:kern w:val="0"/>
                <w:szCs w:val="21"/>
              </w:rPr>
              <w:t>元</w:t>
            </w:r>
            <w:r>
              <w:rPr>
                <w:rFonts w:eastAsiaTheme="minorEastAsia"/>
                <w:color w:val="000000" w:themeColor="text1"/>
                <w:kern w:val="0"/>
                <w:szCs w:val="21"/>
              </w:rPr>
              <w:t>)</w:t>
            </w:r>
          </w:p>
        </w:tc>
        <w:tc>
          <w:tcPr>
            <w:tcW w:w="1503" w:type="dxa"/>
            <w:vAlign w:val="center"/>
          </w:tcPr>
          <w:p w:rsidR="006C3B4F" w:rsidRDefault="00E54414">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占基金资产净值比例（％）</w:t>
            </w:r>
          </w:p>
        </w:tc>
      </w:tr>
      <w:tr w:rsidR="006C3B4F">
        <w:tc>
          <w:tcPr>
            <w:tcW w:w="1504" w:type="dxa"/>
            <w:vAlign w:val="center"/>
          </w:tcPr>
          <w:p w:rsidR="006C3B4F" w:rsidRDefault="00E54414">
            <w:pPr>
              <w:jc w:val="center"/>
            </w:pPr>
            <w:r>
              <w:rPr>
                <w:rFonts w:eastAsiaTheme="minorEastAsia"/>
                <w:color w:val="000000" w:themeColor="text1"/>
                <w:szCs w:val="21"/>
              </w:rPr>
              <w:t>1</w:t>
            </w:r>
          </w:p>
        </w:tc>
        <w:tc>
          <w:tcPr>
            <w:tcW w:w="1504" w:type="dxa"/>
            <w:vAlign w:val="center"/>
          </w:tcPr>
          <w:p w:rsidR="006C3B4F" w:rsidRDefault="00E54414">
            <w:pPr>
              <w:jc w:val="center"/>
            </w:pPr>
            <w:r>
              <w:rPr>
                <w:rFonts w:eastAsiaTheme="minorEastAsia"/>
                <w:color w:val="000000" w:themeColor="text1"/>
                <w:szCs w:val="21"/>
              </w:rPr>
              <w:t>110244</w:t>
            </w:r>
          </w:p>
        </w:tc>
        <w:tc>
          <w:tcPr>
            <w:tcW w:w="1504" w:type="dxa"/>
            <w:vAlign w:val="center"/>
          </w:tcPr>
          <w:p w:rsidR="006C3B4F" w:rsidRDefault="00E54414">
            <w:pPr>
              <w:jc w:val="center"/>
            </w:pPr>
            <w:r>
              <w:rPr>
                <w:rFonts w:eastAsiaTheme="minorEastAsia"/>
                <w:color w:val="000000" w:themeColor="text1"/>
                <w:szCs w:val="21"/>
              </w:rPr>
              <w:t>11</w:t>
            </w:r>
            <w:r>
              <w:rPr>
                <w:rFonts w:eastAsiaTheme="minorEastAsia"/>
                <w:color w:val="000000" w:themeColor="text1"/>
                <w:szCs w:val="21"/>
              </w:rPr>
              <w:t>国开</w:t>
            </w:r>
            <w:r>
              <w:rPr>
                <w:rFonts w:eastAsiaTheme="minorEastAsia"/>
                <w:color w:val="000000" w:themeColor="text1"/>
                <w:szCs w:val="21"/>
              </w:rPr>
              <w:t>44</w:t>
            </w:r>
          </w:p>
        </w:tc>
        <w:tc>
          <w:tcPr>
            <w:tcW w:w="1503" w:type="dxa"/>
            <w:vAlign w:val="center"/>
          </w:tcPr>
          <w:p w:rsidR="006C3B4F" w:rsidRDefault="00E54414">
            <w:pPr>
              <w:jc w:val="right"/>
            </w:pPr>
            <w:r>
              <w:rPr>
                <w:rFonts w:eastAsiaTheme="minorEastAsia"/>
                <w:color w:val="000000" w:themeColor="text1"/>
                <w:szCs w:val="21"/>
              </w:rPr>
              <w:t>100,000</w:t>
            </w:r>
          </w:p>
        </w:tc>
        <w:tc>
          <w:tcPr>
            <w:tcW w:w="1503" w:type="dxa"/>
            <w:vAlign w:val="center"/>
          </w:tcPr>
          <w:p w:rsidR="006C3B4F" w:rsidRDefault="00E54414">
            <w:pPr>
              <w:jc w:val="right"/>
            </w:pPr>
            <w:r>
              <w:rPr>
                <w:rFonts w:eastAsiaTheme="minorEastAsia"/>
                <w:color w:val="000000" w:themeColor="text1"/>
                <w:szCs w:val="21"/>
              </w:rPr>
              <w:t>10,407,000.00</w:t>
            </w:r>
          </w:p>
        </w:tc>
        <w:tc>
          <w:tcPr>
            <w:tcW w:w="1503" w:type="dxa"/>
            <w:vAlign w:val="center"/>
          </w:tcPr>
          <w:p w:rsidR="006C3B4F" w:rsidRDefault="00E54414">
            <w:pPr>
              <w:jc w:val="right"/>
            </w:pPr>
            <w:r>
              <w:rPr>
                <w:rFonts w:eastAsiaTheme="minorEastAsia"/>
                <w:color w:val="000000" w:themeColor="text1"/>
                <w:szCs w:val="21"/>
              </w:rPr>
              <w:t>26.20</w:t>
            </w:r>
          </w:p>
        </w:tc>
      </w:tr>
      <w:tr w:rsidR="006C3B4F">
        <w:tc>
          <w:tcPr>
            <w:tcW w:w="1504" w:type="dxa"/>
            <w:vAlign w:val="center"/>
          </w:tcPr>
          <w:p w:rsidR="006C3B4F" w:rsidRDefault="00E54414">
            <w:pPr>
              <w:jc w:val="center"/>
            </w:pPr>
            <w:r>
              <w:rPr>
                <w:rFonts w:eastAsiaTheme="minorEastAsia"/>
                <w:color w:val="000000" w:themeColor="text1"/>
                <w:szCs w:val="21"/>
              </w:rPr>
              <w:t>2</w:t>
            </w:r>
          </w:p>
        </w:tc>
        <w:tc>
          <w:tcPr>
            <w:tcW w:w="1504" w:type="dxa"/>
            <w:vAlign w:val="center"/>
          </w:tcPr>
          <w:p w:rsidR="006C3B4F" w:rsidRDefault="00E54414">
            <w:pPr>
              <w:jc w:val="center"/>
            </w:pPr>
            <w:r>
              <w:rPr>
                <w:rFonts w:eastAsiaTheme="minorEastAsia"/>
                <w:color w:val="000000" w:themeColor="text1"/>
                <w:szCs w:val="21"/>
              </w:rPr>
              <w:t>010107</w:t>
            </w:r>
          </w:p>
        </w:tc>
        <w:tc>
          <w:tcPr>
            <w:tcW w:w="1504" w:type="dxa"/>
            <w:vAlign w:val="center"/>
          </w:tcPr>
          <w:p w:rsidR="006C3B4F" w:rsidRDefault="00E54414">
            <w:pPr>
              <w:jc w:val="center"/>
            </w:pPr>
            <w:r>
              <w:rPr>
                <w:rFonts w:eastAsiaTheme="minorEastAsia"/>
                <w:color w:val="000000" w:themeColor="text1"/>
                <w:szCs w:val="21"/>
              </w:rPr>
              <w:t>21</w:t>
            </w:r>
            <w:r>
              <w:rPr>
                <w:rFonts w:eastAsiaTheme="minorEastAsia"/>
                <w:color w:val="000000" w:themeColor="text1"/>
                <w:szCs w:val="21"/>
              </w:rPr>
              <w:t>国债</w:t>
            </w:r>
            <w:r>
              <w:rPr>
                <w:rFonts w:eastAsiaTheme="minorEastAsia"/>
                <w:color w:val="000000" w:themeColor="text1"/>
                <w:szCs w:val="21"/>
              </w:rPr>
              <w:t>⑺</w:t>
            </w:r>
          </w:p>
        </w:tc>
        <w:tc>
          <w:tcPr>
            <w:tcW w:w="1503" w:type="dxa"/>
            <w:vAlign w:val="center"/>
          </w:tcPr>
          <w:p w:rsidR="006C3B4F" w:rsidRDefault="00E54414">
            <w:pPr>
              <w:jc w:val="right"/>
            </w:pPr>
            <w:r>
              <w:rPr>
                <w:rFonts w:eastAsiaTheme="minorEastAsia"/>
                <w:color w:val="000000" w:themeColor="text1"/>
                <w:szCs w:val="21"/>
              </w:rPr>
              <w:t>81,980</w:t>
            </w:r>
          </w:p>
        </w:tc>
        <w:tc>
          <w:tcPr>
            <w:tcW w:w="1503" w:type="dxa"/>
            <w:vAlign w:val="center"/>
          </w:tcPr>
          <w:p w:rsidR="006C3B4F" w:rsidRDefault="00E54414">
            <w:pPr>
              <w:jc w:val="right"/>
            </w:pPr>
            <w:r>
              <w:rPr>
                <w:rFonts w:eastAsiaTheme="minorEastAsia"/>
                <w:color w:val="000000" w:themeColor="text1"/>
                <w:szCs w:val="21"/>
              </w:rPr>
              <w:t>8,439,841.00</w:t>
            </w:r>
          </w:p>
        </w:tc>
        <w:tc>
          <w:tcPr>
            <w:tcW w:w="1503" w:type="dxa"/>
            <w:vAlign w:val="center"/>
          </w:tcPr>
          <w:p w:rsidR="006C3B4F" w:rsidRDefault="00E54414">
            <w:pPr>
              <w:jc w:val="right"/>
            </w:pPr>
            <w:r>
              <w:rPr>
                <w:rFonts w:eastAsiaTheme="minorEastAsia"/>
                <w:color w:val="000000" w:themeColor="text1"/>
                <w:szCs w:val="21"/>
              </w:rPr>
              <w:t>21.25</w:t>
            </w:r>
          </w:p>
        </w:tc>
      </w:tr>
      <w:tr w:rsidR="006C3B4F">
        <w:tc>
          <w:tcPr>
            <w:tcW w:w="1504" w:type="dxa"/>
            <w:vAlign w:val="center"/>
          </w:tcPr>
          <w:p w:rsidR="006C3B4F" w:rsidRDefault="00E54414">
            <w:pPr>
              <w:jc w:val="center"/>
            </w:pPr>
            <w:r>
              <w:rPr>
                <w:rFonts w:eastAsiaTheme="minorEastAsia"/>
                <w:color w:val="000000" w:themeColor="text1"/>
                <w:szCs w:val="21"/>
              </w:rPr>
              <w:t>3</w:t>
            </w:r>
          </w:p>
        </w:tc>
        <w:tc>
          <w:tcPr>
            <w:tcW w:w="1504" w:type="dxa"/>
            <w:vAlign w:val="center"/>
          </w:tcPr>
          <w:p w:rsidR="006C3B4F" w:rsidRDefault="00E54414">
            <w:pPr>
              <w:jc w:val="center"/>
            </w:pPr>
            <w:r>
              <w:rPr>
                <w:rFonts w:eastAsiaTheme="minorEastAsia"/>
                <w:color w:val="000000" w:themeColor="text1"/>
                <w:szCs w:val="21"/>
              </w:rPr>
              <w:t>018006</w:t>
            </w:r>
          </w:p>
        </w:tc>
        <w:tc>
          <w:tcPr>
            <w:tcW w:w="1504" w:type="dxa"/>
            <w:vAlign w:val="center"/>
          </w:tcPr>
          <w:p w:rsidR="006C3B4F" w:rsidRDefault="00E54414">
            <w:pPr>
              <w:jc w:val="center"/>
            </w:pPr>
            <w:r>
              <w:rPr>
                <w:rFonts w:eastAsiaTheme="minorEastAsia"/>
                <w:color w:val="000000" w:themeColor="text1"/>
                <w:szCs w:val="21"/>
              </w:rPr>
              <w:t>国开</w:t>
            </w:r>
            <w:r>
              <w:rPr>
                <w:rFonts w:eastAsiaTheme="minorEastAsia"/>
                <w:color w:val="000000" w:themeColor="text1"/>
                <w:szCs w:val="21"/>
              </w:rPr>
              <w:t>1702</w:t>
            </w:r>
          </w:p>
        </w:tc>
        <w:tc>
          <w:tcPr>
            <w:tcW w:w="1503" w:type="dxa"/>
            <w:vAlign w:val="center"/>
          </w:tcPr>
          <w:p w:rsidR="006C3B4F" w:rsidRDefault="00E54414">
            <w:pPr>
              <w:jc w:val="right"/>
            </w:pPr>
            <w:r>
              <w:rPr>
                <w:rFonts w:eastAsiaTheme="minorEastAsia"/>
                <w:color w:val="000000" w:themeColor="text1"/>
                <w:szCs w:val="21"/>
              </w:rPr>
              <w:t>65,830</w:t>
            </w:r>
          </w:p>
        </w:tc>
        <w:tc>
          <w:tcPr>
            <w:tcW w:w="1503" w:type="dxa"/>
            <w:vAlign w:val="center"/>
          </w:tcPr>
          <w:p w:rsidR="006C3B4F" w:rsidRDefault="00E54414">
            <w:pPr>
              <w:jc w:val="right"/>
            </w:pPr>
            <w:r>
              <w:rPr>
                <w:rFonts w:eastAsiaTheme="minorEastAsia"/>
                <w:color w:val="000000" w:themeColor="text1"/>
                <w:szCs w:val="21"/>
              </w:rPr>
              <w:t>6,721,243.00</w:t>
            </w:r>
          </w:p>
        </w:tc>
        <w:tc>
          <w:tcPr>
            <w:tcW w:w="1503" w:type="dxa"/>
            <w:vAlign w:val="center"/>
          </w:tcPr>
          <w:p w:rsidR="006C3B4F" w:rsidRDefault="00E54414">
            <w:pPr>
              <w:jc w:val="right"/>
            </w:pPr>
            <w:r>
              <w:rPr>
                <w:rFonts w:eastAsiaTheme="minorEastAsia"/>
                <w:color w:val="000000" w:themeColor="text1"/>
                <w:szCs w:val="21"/>
              </w:rPr>
              <w:t>16.92</w:t>
            </w:r>
          </w:p>
        </w:tc>
      </w:tr>
      <w:tr w:rsidR="006C3B4F">
        <w:tc>
          <w:tcPr>
            <w:tcW w:w="1504" w:type="dxa"/>
            <w:vAlign w:val="center"/>
          </w:tcPr>
          <w:p w:rsidR="006C3B4F" w:rsidRDefault="00E54414">
            <w:pPr>
              <w:jc w:val="center"/>
            </w:pPr>
            <w:r>
              <w:rPr>
                <w:rFonts w:eastAsiaTheme="minorEastAsia"/>
                <w:color w:val="000000" w:themeColor="text1"/>
                <w:szCs w:val="21"/>
              </w:rPr>
              <w:t>4</w:t>
            </w:r>
          </w:p>
        </w:tc>
        <w:tc>
          <w:tcPr>
            <w:tcW w:w="1504" w:type="dxa"/>
            <w:vAlign w:val="center"/>
          </w:tcPr>
          <w:p w:rsidR="006C3B4F" w:rsidRDefault="00E54414">
            <w:pPr>
              <w:jc w:val="center"/>
            </w:pPr>
            <w:r>
              <w:rPr>
                <w:rFonts w:eastAsiaTheme="minorEastAsia"/>
                <w:color w:val="000000" w:themeColor="text1"/>
                <w:szCs w:val="21"/>
              </w:rPr>
              <w:t>010303</w:t>
            </w:r>
          </w:p>
        </w:tc>
        <w:tc>
          <w:tcPr>
            <w:tcW w:w="1504" w:type="dxa"/>
            <w:vAlign w:val="center"/>
          </w:tcPr>
          <w:p w:rsidR="006C3B4F" w:rsidRDefault="00E54414">
            <w:pPr>
              <w:jc w:val="center"/>
            </w:pPr>
            <w:r>
              <w:rPr>
                <w:rFonts w:eastAsiaTheme="minorEastAsia"/>
                <w:color w:val="000000" w:themeColor="text1"/>
                <w:szCs w:val="21"/>
              </w:rPr>
              <w:t>03</w:t>
            </w:r>
            <w:r>
              <w:rPr>
                <w:rFonts w:eastAsiaTheme="minorEastAsia"/>
                <w:color w:val="000000" w:themeColor="text1"/>
                <w:szCs w:val="21"/>
              </w:rPr>
              <w:t>国债</w:t>
            </w:r>
            <w:r>
              <w:rPr>
                <w:rFonts w:eastAsiaTheme="minorEastAsia"/>
                <w:color w:val="000000" w:themeColor="text1"/>
                <w:szCs w:val="21"/>
              </w:rPr>
              <w:t>⑶</w:t>
            </w:r>
          </w:p>
        </w:tc>
        <w:tc>
          <w:tcPr>
            <w:tcW w:w="1503" w:type="dxa"/>
            <w:vAlign w:val="center"/>
          </w:tcPr>
          <w:p w:rsidR="006C3B4F" w:rsidRDefault="00E54414">
            <w:pPr>
              <w:jc w:val="right"/>
            </w:pPr>
            <w:r>
              <w:rPr>
                <w:rFonts w:eastAsiaTheme="minorEastAsia"/>
                <w:color w:val="000000" w:themeColor="text1"/>
                <w:szCs w:val="21"/>
              </w:rPr>
              <w:t>33,290</w:t>
            </w:r>
          </w:p>
        </w:tc>
        <w:tc>
          <w:tcPr>
            <w:tcW w:w="1503" w:type="dxa"/>
            <w:vAlign w:val="center"/>
          </w:tcPr>
          <w:p w:rsidR="006C3B4F" w:rsidRDefault="00E54414">
            <w:pPr>
              <w:jc w:val="right"/>
            </w:pPr>
            <w:r>
              <w:rPr>
                <w:rFonts w:eastAsiaTheme="minorEastAsia"/>
                <w:color w:val="000000" w:themeColor="text1"/>
                <w:szCs w:val="21"/>
              </w:rPr>
              <w:t>3,356,297.80</w:t>
            </w:r>
          </w:p>
        </w:tc>
        <w:tc>
          <w:tcPr>
            <w:tcW w:w="1503" w:type="dxa"/>
            <w:vAlign w:val="center"/>
          </w:tcPr>
          <w:p w:rsidR="006C3B4F" w:rsidRDefault="00E54414">
            <w:pPr>
              <w:jc w:val="right"/>
            </w:pPr>
            <w:r>
              <w:rPr>
                <w:rFonts w:eastAsiaTheme="minorEastAsia"/>
                <w:color w:val="000000" w:themeColor="text1"/>
                <w:szCs w:val="21"/>
              </w:rPr>
              <w:t>8.45</w:t>
            </w:r>
          </w:p>
        </w:tc>
      </w:tr>
      <w:tr w:rsidR="006C3B4F">
        <w:tc>
          <w:tcPr>
            <w:tcW w:w="1504" w:type="dxa"/>
            <w:vAlign w:val="center"/>
          </w:tcPr>
          <w:p w:rsidR="006C3B4F" w:rsidRDefault="00E54414">
            <w:pPr>
              <w:jc w:val="center"/>
            </w:pPr>
            <w:r>
              <w:rPr>
                <w:rFonts w:eastAsiaTheme="minorEastAsia"/>
                <w:color w:val="000000" w:themeColor="text1"/>
                <w:szCs w:val="21"/>
              </w:rPr>
              <w:t>5</w:t>
            </w:r>
          </w:p>
        </w:tc>
        <w:tc>
          <w:tcPr>
            <w:tcW w:w="1504" w:type="dxa"/>
            <w:vAlign w:val="center"/>
          </w:tcPr>
          <w:p w:rsidR="006C3B4F" w:rsidRDefault="00E54414">
            <w:pPr>
              <w:jc w:val="center"/>
            </w:pPr>
            <w:r>
              <w:rPr>
                <w:rFonts w:eastAsiaTheme="minorEastAsia"/>
                <w:color w:val="000000" w:themeColor="text1"/>
                <w:szCs w:val="21"/>
              </w:rPr>
              <w:t>136184</w:t>
            </w:r>
          </w:p>
        </w:tc>
        <w:tc>
          <w:tcPr>
            <w:tcW w:w="1504" w:type="dxa"/>
            <w:vAlign w:val="center"/>
          </w:tcPr>
          <w:p w:rsidR="006C3B4F" w:rsidRDefault="00E54414">
            <w:pPr>
              <w:jc w:val="center"/>
            </w:pPr>
            <w:r>
              <w:rPr>
                <w:rFonts w:eastAsiaTheme="minorEastAsia"/>
                <w:color w:val="000000" w:themeColor="text1"/>
                <w:szCs w:val="21"/>
              </w:rPr>
              <w:t>16</w:t>
            </w:r>
            <w:r>
              <w:rPr>
                <w:rFonts w:eastAsiaTheme="minorEastAsia"/>
                <w:color w:val="000000" w:themeColor="text1"/>
                <w:szCs w:val="21"/>
              </w:rPr>
              <w:t>上港</w:t>
            </w:r>
            <w:r>
              <w:rPr>
                <w:rFonts w:eastAsiaTheme="minorEastAsia"/>
                <w:color w:val="000000" w:themeColor="text1"/>
                <w:szCs w:val="21"/>
              </w:rPr>
              <w:t>01</w:t>
            </w:r>
          </w:p>
        </w:tc>
        <w:tc>
          <w:tcPr>
            <w:tcW w:w="1503" w:type="dxa"/>
            <w:vAlign w:val="center"/>
          </w:tcPr>
          <w:p w:rsidR="006C3B4F" w:rsidRDefault="00E54414">
            <w:pPr>
              <w:jc w:val="right"/>
            </w:pPr>
            <w:r>
              <w:rPr>
                <w:rFonts w:eastAsiaTheme="minorEastAsia"/>
                <w:color w:val="000000" w:themeColor="text1"/>
                <w:szCs w:val="21"/>
              </w:rPr>
              <w:t>23,300</w:t>
            </w:r>
          </w:p>
        </w:tc>
        <w:tc>
          <w:tcPr>
            <w:tcW w:w="1503" w:type="dxa"/>
            <w:vAlign w:val="center"/>
          </w:tcPr>
          <w:p w:rsidR="006C3B4F" w:rsidRDefault="00E54414">
            <w:pPr>
              <w:jc w:val="right"/>
            </w:pPr>
            <w:r>
              <w:rPr>
                <w:rFonts w:eastAsiaTheme="minorEastAsia"/>
                <w:color w:val="000000" w:themeColor="text1"/>
                <w:szCs w:val="21"/>
              </w:rPr>
              <w:t>2,330,000.00</w:t>
            </w:r>
          </w:p>
        </w:tc>
        <w:tc>
          <w:tcPr>
            <w:tcW w:w="1503" w:type="dxa"/>
            <w:vAlign w:val="center"/>
          </w:tcPr>
          <w:p w:rsidR="006C3B4F" w:rsidRDefault="00E54414">
            <w:pPr>
              <w:jc w:val="right"/>
            </w:pPr>
            <w:r>
              <w:rPr>
                <w:rFonts w:eastAsiaTheme="minorEastAsia"/>
                <w:color w:val="000000" w:themeColor="text1"/>
                <w:szCs w:val="21"/>
              </w:rPr>
              <w:t>5.87</w:t>
            </w:r>
          </w:p>
        </w:tc>
      </w:tr>
    </w:tbl>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5.6</w:t>
      </w:r>
      <w:r>
        <w:rPr>
          <w:rFonts w:eastAsiaTheme="minorEastAsia"/>
          <w:b/>
          <w:color w:val="000000" w:themeColor="text1"/>
          <w:kern w:val="0"/>
          <w:szCs w:val="21"/>
        </w:rPr>
        <w:t xml:space="preserve">　报告期末按公允价值占基金资产净值比例大小排序的前十名资产支持证券投资明细</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本基金本报告期末未持有资产支持证券。</w:t>
      </w:r>
    </w:p>
    <w:p w:rsidR="006C3B4F" w:rsidRDefault="00E54414" w:rsidP="00A36383">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 xml:space="preserve">5.7 </w:t>
      </w:r>
      <w:r>
        <w:rPr>
          <w:rFonts w:eastAsiaTheme="minorEastAsia"/>
          <w:b/>
          <w:bCs/>
          <w:color w:val="000000" w:themeColor="text1"/>
          <w:kern w:val="0"/>
          <w:szCs w:val="21"/>
        </w:rPr>
        <w:t>报告期末按公允价值占基金资产净值比例大小排序的前五名贵金属投资明细</w:t>
      </w:r>
    </w:p>
    <w:p w:rsidR="006C3B4F" w:rsidRDefault="00E54414">
      <w:pPr>
        <w:widowControl/>
        <w:spacing w:line="360" w:lineRule="auto"/>
        <w:ind w:firstLineChars="200" w:firstLine="420"/>
        <w:jc w:val="left"/>
        <w:rPr>
          <w:color w:val="000000" w:themeColor="text1"/>
          <w:szCs w:val="21"/>
        </w:rPr>
      </w:pPr>
      <w:r>
        <w:rPr>
          <w:color w:val="000000" w:themeColor="text1"/>
          <w:szCs w:val="21"/>
        </w:rPr>
        <w:t>本基金本报告期末未持有贵金属。</w:t>
      </w:r>
    </w:p>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5.8</w:t>
      </w:r>
      <w:r>
        <w:rPr>
          <w:rFonts w:eastAsiaTheme="minorEastAsia"/>
          <w:b/>
          <w:color w:val="000000" w:themeColor="text1"/>
          <w:kern w:val="0"/>
          <w:szCs w:val="21"/>
        </w:rPr>
        <w:t>报告期末按公允价值占基金资产净值比例大小排序的前五名权证投资明细</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本基金本报告期末未持有权证。</w:t>
      </w:r>
    </w:p>
    <w:p w:rsidR="006C3B4F" w:rsidRDefault="00E54414" w:rsidP="00A36383">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 xml:space="preserve">5.9 </w:t>
      </w:r>
      <w:r>
        <w:rPr>
          <w:rFonts w:eastAsiaTheme="minorEastAsia"/>
          <w:b/>
          <w:color w:val="000000" w:themeColor="text1"/>
          <w:szCs w:val="21"/>
        </w:rPr>
        <w:t>报告期末本基金投资的股指期货交易情况说明</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本基金本报告期末未持有股指期货。</w:t>
      </w:r>
    </w:p>
    <w:p w:rsidR="006C3B4F" w:rsidRDefault="00E54414" w:rsidP="00A36383">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5.10</w:t>
      </w:r>
      <w:r>
        <w:rPr>
          <w:rFonts w:eastAsiaTheme="minorEastAsia"/>
          <w:b/>
          <w:color w:val="000000" w:themeColor="text1"/>
          <w:szCs w:val="21"/>
        </w:rPr>
        <w:t>报告期末本基金投资的国债期货交易情况说明</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本基金本报告期末未持有国债期货。</w:t>
      </w:r>
    </w:p>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lastRenderedPageBreak/>
        <w:t>5.11</w:t>
      </w:r>
      <w:r>
        <w:rPr>
          <w:rFonts w:eastAsiaTheme="minorEastAsia"/>
          <w:b/>
          <w:color w:val="000000" w:themeColor="text1"/>
          <w:kern w:val="0"/>
          <w:szCs w:val="21"/>
        </w:rPr>
        <w:t>投资组合报告附注</w:t>
      </w:r>
    </w:p>
    <w:p w:rsidR="006C3B4F" w:rsidRDefault="00E54414">
      <w:pPr>
        <w:widowControl/>
        <w:spacing w:line="360" w:lineRule="auto"/>
        <w:rPr>
          <w:rFonts w:eastAsiaTheme="minorEastAsia"/>
          <w:color w:val="000000" w:themeColor="text1"/>
          <w:szCs w:val="21"/>
        </w:rPr>
      </w:pPr>
      <w:r>
        <w:rPr>
          <w:rFonts w:eastAsiaTheme="minorEastAsia"/>
          <w:color w:val="000000" w:themeColor="text1"/>
          <w:szCs w:val="21"/>
        </w:rPr>
        <w:t>5.11.1</w:t>
      </w:r>
      <w:r>
        <w:rPr>
          <w:rFonts w:eastAsiaTheme="minorEastAsia"/>
          <w:color w:val="000000" w:themeColor="text1"/>
          <w:szCs w:val="21"/>
        </w:rPr>
        <w:t>报告期内本基金投资的前十名证券的发行主体本期没有出现被监管部门立案调查，或在报告编制日前一年内受到公开谴责、处罚的情形。</w:t>
      </w:r>
    </w:p>
    <w:p w:rsidR="006C3B4F" w:rsidRDefault="00E54414">
      <w:pPr>
        <w:widowControl/>
        <w:spacing w:line="360" w:lineRule="auto"/>
        <w:rPr>
          <w:rFonts w:eastAsiaTheme="minorEastAsia"/>
          <w:color w:val="000000" w:themeColor="text1"/>
          <w:szCs w:val="21"/>
        </w:rPr>
      </w:pPr>
      <w:r>
        <w:rPr>
          <w:rFonts w:eastAsiaTheme="minorEastAsia"/>
          <w:color w:val="000000" w:themeColor="text1"/>
          <w:szCs w:val="21"/>
        </w:rPr>
        <w:t>5.11.2</w:t>
      </w:r>
      <w:r>
        <w:rPr>
          <w:rFonts w:eastAsiaTheme="minorEastAsia"/>
          <w:color w:val="000000" w:themeColor="text1"/>
          <w:szCs w:val="21"/>
        </w:rPr>
        <w:t>报告期内本基金投资的前十名股票中没有在基金合同规定备选股票库之外的股票。</w:t>
      </w:r>
    </w:p>
    <w:p w:rsidR="006C3B4F" w:rsidRDefault="00E54414">
      <w:pPr>
        <w:autoSpaceDE w:val="0"/>
        <w:autoSpaceDN w:val="0"/>
        <w:adjustRightInd w:val="0"/>
        <w:spacing w:line="360" w:lineRule="auto"/>
        <w:rPr>
          <w:rFonts w:eastAsiaTheme="minorEastAsia"/>
          <w:b/>
          <w:color w:val="000000" w:themeColor="text1"/>
          <w:kern w:val="0"/>
          <w:szCs w:val="21"/>
        </w:rPr>
      </w:pPr>
      <w:r>
        <w:rPr>
          <w:rFonts w:eastAsiaTheme="minorEastAsia"/>
          <w:b/>
          <w:color w:val="000000" w:themeColor="text1"/>
          <w:kern w:val="0"/>
          <w:szCs w:val="21"/>
        </w:rPr>
        <w:t>5.11.3</w:t>
      </w:r>
      <w:r>
        <w:rPr>
          <w:rFonts w:eastAsiaTheme="minorEastAsia" w:hint="eastAsia"/>
          <w:b/>
          <w:color w:val="000000" w:themeColor="text1"/>
          <w:kern w:val="0"/>
          <w:szCs w:val="21"/>
        </w:rPr>
        <w:t>其他资产构成</w:t>
      </w:r>
    </w:p>
    <w:tbl>
      <w:tblPr>
        <w:tblStyle w:val="af6"/>
        <w:tblW w:w="8679" w:type="dxa"/>
        <w:tblInd w:w="108" w:type="dxa"/>
        <w:tblLayout w:type="fixed"/>
        <w:tblLook w:val="04A0"/>
      </w:tblPr>
      <w:tblGrid>
        <w:gridCol w:w="1110"/>
        <w:gridCol w:w="2761"/>
        <w:gridCol w:w="4808"/>
      </w:tblGrid>
      <w:tr w:rsidR="006C3B4F">
        <w:tc>
          <w:tcPr>
            <w:tcW w:w="1110" w:type="dxa"/>
            <w:vAlign w:val="center"/>
          </w:tcPr>
          <w:p w:rsidR="006C3B4F" w:rsidRDefault="00E54414">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序号</w:t>
            </w:r>
          </w:p>
        </w:tc>
        <w:tc>
          <w:tcPr>
            <w:tcW w:w="2761" w:type="dxa"/>
            <w:vAlign w:val="center"/>
          </w:tcPr>
          <w:p w:rsidR="006C3B4F" w:rsidRDefault="00E54414">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名称</w:t>
            </w:r>
          </w:p>
        </w:tc>
        <w:tc>
          <w:tcPr>
            <w:tcW w:w="4808" w:type="dxa"/>
            <w:vAlign w:val="center"/>
          </w:tcPr>
          <w:p w:rsidR="006C3B4F" w:rsidRDefault="00E54414">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金额</w:t>
            </w:r>
            <w:r>
              <w:rPr>
                <w:rFonts w:eastAsiaTheme="minorEastAsia"/>
                <w:color w:val="000000" w:themeColor="text1"/>
                <w:kern w:val="0"/>
                <w:szCs w:val="21"/>
              </w:rPr>
              <w:t>(</w:t>
            </w:r>
            <w:r>
              <w:rPr>
                <w:rFonts w:eastAsiaTheme="minorEastAsia"/>
                <w:color w:val="000000" w:themeColor="text1"/>
                <w:kern w:val="0"/>
                <w:szCs w:val="21"/>
              </w:rPr>
              <w:t>元</w:t>
            </w:r>
            <w:r>
              <w:rPr>
                <w:rFonts w:eastAsiaTheme="minorEastAsia"/>
                <w:color w:val="000000" w:themeColor="text1"/>
                <w:kern w:val="0"/>
                <w:szCs w:val="21"/>
              </w:rPr>
              <w:t>)</w:t>
            </w:r>
          </w:p>
        </w:tc>
      </w:tr>
      <w:tr w:rsidR="006C3B4F">
        <w:tc>
          <w:tcPr>
            <w:tcW w:w="1110" w:type="dxa"/>
            <w:vAlign w:val="center"/>
          </w:tcPr>
          <w:p w:rsidR="006C3B4F" w:rsidRDefault="00E54414">
            <w:pPr>
              <w:autoSpaceDE w:val="0"/>
              <w:autoSpaceDN w:val="0"/>
              <w:adjustRightInd w:val="0"/>
              <w:spacing w:before="29" w:line="360" w:lineRule="auto"/>
              <w:ind w:left="15"/>
              <w:jc w:val="center"/>
              <w:rPr>
                <w:rFonts w:eastAsiaTheme="minorEastAsia"/>
                <w:color w:val="000000" w:themeColor="text1"/>
                <w:kern w:val="0"/>
                <w:szCs w:val="21"/>
              </w:rPr>
            </w:pPr>
            <w:r>
              <w:rPr>
                <w:rFonts w:eastAsiaTheme="minorEastAsia"/>
                <w:color w:val="000000" w:themeColor="text1"/>
                <w:szCs w:val="21"/>
              </w:rPr>
              <w:t>1</w:t>
            </w:r>
          </w:p>
        </w:tc>
        <w:tc>
          <w:tcPr>
            <w:tcW w:w="2761" w:type="dxa"/>
            <w:vAlign w:val="center"/>
          </w:tcPr>
          <w:p w:rsidR="006C3B4F" w:rsidRDefault="00E54414">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存出保证金</w:t>
            </w:r>
          </w:p>
        </w:tc>
        <w:tc>
          <w:tcPr>
            <w:tcW w:w="4808" w:type="dxa"/>
            <w:vAlign w:val="center"/>
          </w:tcPr>
          <w:p w:rsidR="006C3B4F" w:rsidRDefault="00E54414">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24,070.45</w:t>
            </w:r>
          </w:p>
        </w:tc>
      </w:tr>
      <w:tr w:rsidR="006C3B4F">
        <w:tc>
          <w:tcPr>
            <w:tcW w:w="1110" w:type="dxa"/>
            <w:vAlign w:val="center"/>
          </w:tcPr>
          <w:p w:rsidR="006C3B4F" w:rsidRDefault="00E54414">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2</w:t>
            </w:r>
          </w:p>
        </w:tc>
        <w:tc>
          <w:tcPr>
            <w:tcW w:w="2761" w:type="dxa"/>
            <w:vAlign w:val="center"/>
          </w:tcPr>
          <w:p w:rsidR="006C3B4F" w:rsidRDefault="00E54414">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应收证券清算款</w:t>
            </w:r>
          </w:p>
        </w:tc>
        <w:tc>
          <w:tcPr>
            <w:tcW w:w="4808" w:type="dxa"/>
            <w:vAlign w:val="center"/>
          </w:tcPr>
          <w:p w:rsidR="006C3B4F" w:rsidRDefault="00E54414">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6C3B4F">
        <w:tc>
          <w:tcPr>
            <w:tcW w:w="1110" w:type="dxa"/>
            <w:vAlign w:val="center"/>
          </w:tcPr>
          <w:p w:rsidR="006C3B4F" w:rsidRDefault="00E54414">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3</w:t>
            </w:r>
          </w:p>
        </w:tc>
        <w:tc>
          <w:tcPr>
            <w:tcW w:w="2761" w:type="dxa"/>
            <w:vAlign w:val="center"/>
          </w:tcPr>
          <w:p w:rsidR="006C3B4F" w:rsidRDefault="00E54414">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应收股利</w:t>
            </w:r>
          </w:p>
        </w:tc>
        <w:tc>
          <w:tcPr>
            <w:tcW w:w="4808" w:type="dxa"/>
            <w:vAlign w:val="center"/>
          </w:tcPr>
          <w:p w:rsidR="006C3B4F" w:rsidRDefault="00E54414">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6C3B4F">
        <w:tc>
          <w:tcPr>
            <w:tcW w:w="1110" w:type="dxa"/>
            <w:vAlign w:val="center"/>
          </w:tcPr>
          <w:p w:rsidR="006C3B4F" w:rsidRDefault="00E54414">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4</w:t>
            </w:r>
          </w:p>
        </w:tc>
        <w:tc>
          <w:tcPr>
            <w:tcW w:w="2761" w:type="dxa"/>
            <w:vAlign w:val="center"/>
          </w:tcPr>
          <w:p w:rsidR="006C3B4F" w:rsidRDefault="00E54414">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应收利息</w:t>
            </w:r>
          </w:p>
        </w:tc>
        <w:tc>
          <w:tcPr>
            <w:tcW w:w="4808" w:type="dxa"/>
            <w:vAlign w:val="center"/>
          </w:tcPr>
          <w:p w:rsidR="006C3B4F" w:rsidRDefault="00E54414">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1,064,558.57</w:t>
            </w:r>
          </w:p>
        </w:tc>
      </w:tr>
      <w:tr w:rsidR="006C3B4F">
        <w:tc>
          <w:tcPr>
            <w:tcW w:w="1110" w:type="dxa"/>
            <w:vAlign w:val="center"/>
          </w:tcPr>
          <w:p w:rsidR="006C3B4F" w:rsidRDefault="00E54414">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5</w:t>
            </w:r>
          </w:p>
        </w:tc>
        <w:tc>
          <w:tcPr>
            <w:tcW w:w="2761" w:type="dxa"/>
            <w:vAlign w:val="center"/>
          </w:tcPr>
          <w:p w:rsidR="006C3B4F" w:rsidRDefault="00E54414">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应收申购款</w:t>
            </w:r>
          </w:p>
        </w:tc>
        <w:tc>
          <w:tcPr>
            <w:tcW w:w="4808" w:type="dxa"/>
            <w:vAlign w:val="center"/>
          </w:tcPr>
          <w:p w:rsidR="006C3B4F" w:rsidRDefault="00E54414">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6C3B4F">
        <w:tc>
          <w:tcPr>
            <w:tcW w:w="1110" w:type="dxa"/>
            <w:vAlign w:val="center"/>
          </w:tcPr>
          <w:p w:rsidR="006C3B4F" w:rsidRDefault="00E54414">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6</w:t>
            </w:r>
          </w:p>
        </w:tc>
        <w:tc>
          <w:tcPr>
            <w:tcW w:w="2761" w:type="dxa"/>
            <w:vAlign w:val="center"/>
          </w:tcPr>
          <w:p w:rsidR="006C3B4F" w:rsidRDefault="00E54414">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其他应收款</w:t>
            </w:r>
          </w:p>
        </w:tc>
        <w:tc>
          <w:tcPr>
            <w:tcW w:w="4808" w:type="dxa"/>
            <w:vAlign w:val="center"/>
          </w:tcPr>
          <w:p w:rsidR="006C3B4F" w:rsidRDefault="00E54414">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6C3B4F">
        <w:tc>
          <w:tcPr>
            <w:tcW w:w="1110" w:type="dxa"/>
            <w:vAlign w:val="center"/>
          </w:tcPr>
          <w:p w:rsidR="006C3B4F" w:rsidRDefault="00E54414">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7</w:t>
            </w:r>
          </w:p>
        </w:tc>
        <w:tc>
          <w:tcPr>
            <w:tcW w:w="2761" w:type="dxa"/>
            <w:vAlign w:val="center"/>
          </w:tcPr>
          <w:p w:rsidR="006C3B4F" w:rsidRDefault="00E54414">
            <w:pPr>
              <w:autoSpaceDE w:val="0"/>
              <w:autoSpaceDN w:val="0"/>
              <w:adjustRightInd w:val="0"/>
              <w:spacing w:before="29" w:line="360" w:lineRule="auto"/>
              <w:ind w:left="15"/>
              <w:jc w:val="left"/>
              <w:rPr>
                <w:rFonts w:eastAsiaTheme="minorEastAsia"/>
                <w:color w:val="000000" w:themeColor="text1"/>
                <w:szCs w:val="21"/>
              </w:rPr>
            </w:pPr>
            <w:r>
              <w:rPr>
                <w:rFonts w:eastAsiaTheme="minorEastAsia"/>
                <w:color w:val="000000" w:themeColor="text1"/>
                <w:szCs w:val="21"/>
              </w:rPr>
              <w:t>待摊费用</w:t>
            </w:r>
          </w:p>
        </w:tc>
        <w:tc>
          <w:tcPr>
            <w:tcW w:w="4808" w:type="dxa"/>
            <w:vAlign w:val="center"/>
          </w:tcPr>
          <w:p w:rsidR="006C3B4F" w:rsidRDefault="00E54414">
            <w:pPr>
              <w:autoSpaceDE w:val="0"/>
              <w:autoSpaceDN w:val="0"/>
              <w:adjustRightInd w:val="0"/>
              <w:spacing w:before="29" w:line="360" w:lineRule="auto"/>
              <w:ind w:left="15"/>
              <w:jc w:val="right"/>
              <w:rPr>
                <w:rFonts w:eastAsiaTheme="minorEastAsia"/>
                <w:color w:val="000000" w:themeColor="text1"/>
                <w:szCs w:val="21"/>
              </w:rPr>
            </w:pPr>
            <w:r>
              <w:rPr>
                <w:rFonts w:eastAsiaTheme="minorEastAsia"/>
                <w:color w:val="000000" w:themeColor="text1"/>
                <w:szCs w:val="21"/>
              </w:rPr>
              <w:t>-</w:t>
            </w:r>
          </w:p>
        </w:tc>
      </w:tr>
      <w:tr w:rsidR="006C3B4F">
        <w:tc>
          <w:tcPr>
            <w:tcW w:w="1110" w:type="dxa"/>
            <w:vAlign w:val="center"/>
          </w:tcPr>
          <w:p w:rsidR="006C3B4F" w:rsidRDefault="00E54414">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8</w:t>
            </w:r>
          </w:p>
        </w:tc>
        <w:tc>
          <w:tcPr>
            <w:tcW w:w="2761" w:type="dxa"/>
            <w:vAlign w:val="center"/>
          </w:tcPr>
          <w:p w:rsidR="006C3B4F" w:rsidRDefault="00E54414">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w:t>
            </w:r>
          </w:p>
        </w:tc>
        <w:tc>
          <w:tcPr>
            <w:tcW w:w="4808" w:type="dxa"/>
            <w:vAlign w:val="center"/>
          </w:tcPr>
          <w:p w:rsidR="006C3B4F" w:rsidRDefault="00E54414">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6C3B4F">
        <w:tc>
          <w:tcPr>
            <w:tcW w:w="1110" w:type="dxa"/>
            <w:vAlign w:val="center"/>
          </w:tcPr>
          <w:p w:rsidR="006C3B4F" w:rsidRDefault="00E54414">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9</w:t>
            </w:r>
          </w:p>
        </w:tc>
        <w:tc>
          <w:tcPr>
            <w:tcW w:w="2761" w:type="dxa"/>
            <w:vAlign w:val="center"/>
          </w:tcPr>
          <w:p w:rsidR="006C3B4F" w:rsidRDefault="00E54414">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合计</w:t>
            </w:r>
          </w:p>
        </w:tc>
        <w:tc>
          <w:tcPr>
            <w:tcW w:w="4808" w:type="dxa"/>
            <w:vAlign w:val="center"/>
          </w:tcPr>
          <w:p w:rsidR="006C3B4F" w:rsidRDefault="00E54414">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1,088,629.02</w:t>
            </w:r>
          </w:p>
        </w:tc>
      </w:tr>
    </w:tbl>
    <w:p w:rsidR="006C3B4F" w:rsidRDefault="00E54414" w:rsidP="00A3638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5.11.4</w:t>
      </w:r>
      <w:r>
        <w:rPr>
          <w:rFonts w:eastAsiaTheme="minorEastAsia"/>
          <w:b/>
          <w:color w:val="000000" w:themeColor="text1"/>
          <w:kern w:val="0"/>
          <w:szCs w:val="21"/>
        </w:rPr>
        <w:t>报告期末持有的处于转股期的可转换债券明细</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本基金本报告期末未持有处于转股期的可转换债券。</w:t>
      </w:r>
    </w:p>
    <w:p w:rsidR="006C3B4F" w:rsidRDefault="00E54414" w:rsidP="00A36383">
      <w:pPr>
        <w:autoSpaceDE w:val="0"/>
        <w:autoSpaceDN w:val="0"/>
        <w:adjustRightInd w:val="0"/>
        <w:spacing w:beforeLines="100" w:line="360" w:lineRule="auto"/>
        <w:jc w:val="left"/>
        <w:rPr>
          <w:rFonts w:eastAsiaTheme="minorEastAsia"/>
          <w:b/>
          <w:bCs/>
          <w:color w:val="000000" w:themeColor="text1"/>
          <w:szCs w:val="21"/>
        </w:rPr>
      </w:pPr>
      <w:r>
        <w:rPr>
          <w:rFonts w:eastAsiaTheme="minorEastAsia"/>
          <w:b/>
          <w:color w:val="000000" w:themeColor="text1"/>
          <w:kern w:val="0"/>
          <w:szCs w:val="21"/>
        </w:rPr>
        <w:t>5.11.5</w:t>
      </w:r>
      <w:r>
        <w:rPr>
          <w:rFonts w:eastAsiaTheme="minorEastAsia"/>
          <w:b/>
          <w:bCs/>
          <w:color w:val="000000" w:themeColor="text1"/>
          <w:szCs w:val="21"/>
        </w:rPr>
        <w:t>报告期末前十名股票中存在流通受限情况的说明</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本基金本报告期末前十名股票中不存在流通受限情况。</w:t>
      </w:r>
    </w:p>
    <w:p w:rsidR="006C3B4F" w:rsidRDefault="00E54414" w:rsidP="00A36383">
      <w:pPr>
        <w:spacing w:beforeLines="100" w:line="360" w:lineRule="auto"/>
        <w:rPr>
          <w:rFonts w:eastAsiaTheme="minorEastAsia"/>
          <w:b/>
          <w:color w:val="000000" w:themeColor="text1"/>
          <w:kern w:val="0"/>
          <w:szCs w:val="21"/>
        </w:rPr>
      </w:pPr>
      <w:r>
        <w:rPr>
          <w:rFonts w:eastAsiaTheme="minorEastAsia"/>
          <w:b/>
          <w:color w:val="000000" w:themeColor="text1"/>
          <w:kern w:val="0"/>
          <w:szCs w:val="21"/>
        </w:rPr>
        <w:t>5.11.6</w:t>
      </w:r>
      <w:r>
        <w:rPr>
          <w:rFonts w:eastAsiaTheme="minorEastAsia"/>
          <w:b/>
          <w:color w:val="000000" w:themeColor="text1"/>
          <w:kern w:val="0"/>
          <w:szCs w:val="21"/>
        </w:rPr>
        <w:t>投资组合报告附注的其他文字描述部分</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因四舍五入的原因，投资组合报告中分项之和与合计数可能存在尾差。</w:t>
      </w:r>
    </w:p>
    <w:p w:rsidR="006C3B4F" w:rsidRDefault="00E54414" w:rsidP="00A3638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§6  </w:t>
      </w:r>
      <w:r>
        <w:rPr>
          <w:rFonts w:eastAsiaTheme="minorEastAsia"/>
          <w:color w:val="000000" w:themeColor="text1"/>
          <w:kern w:val="0"/>
          <w:sz w:val="21"/>
          <w:szCs w:val="21"/>
        </w:rPr>
        <w:t>开放式基金份额变动</w:t>
      </w:r>
    </w:p>
    <w:p w:rsidR="006C3B4F" w:rsidRDefault="00E54414">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t>单位：份</w:t>
      </w:r>
    </w:p>
    <w:tbl>
      <w:tblPr>
        <w:tblW w:w="8634" w:type="dxa"/>
        <w:tblInd w:w="108" w:type="dxa"/>
        <w:tblLayout w:type="fixed"/>
        <w:tblLook w:val="04A0"/>
      </w:tblPr>
      <w:tblGrid>
        <w:gridCol w:w="3900"/>
        <w:gridCol w:w="2367"/>
        <w:gridCol w:w="2367"/>
      </w:tblGrid>
      <w:tr w:rsidR="006C3B4F">
        <w:tc>
          <w:tcPr>
            <w:tcW w:w="3900"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C</w:t>
            </w:r>
          </w:p>
        </w:tc>
      </w:tr>
      <w:tr w:rsidR="006C3B4F">
        <w:tc>
          <w:tcPr>
            <w:tcW w:w="3900"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lastRenderedPageBreak/>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35,800,354.70</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1,652,258.69</w:t>
            </w:r>
          </w:p>
        </w:tc>
      </w:tr>
      <w:tr w:rsidR="006C3B4F">
        <w:tc>
          <w:tcPr>
            <w:tcW w:w="3900"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3900"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3900"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6C3B4F">
        <w:tc>
          <w:tcPr>
            <w:tcW w:w="3900"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35,800,354.70</w:t>
            </w:r>
          </w:p>
        </w:tc>
        <w:tc>
          <w:tcPr>
            <w:tcW w:w="2367" w:type="dxa"/>
            <w:tcBorders>
              <w:top w:val="single" w:sz="8" w:space="0" w:color="000000"/>
              <w:left w:val="single" w:sz="8" w:space="0" w:color="000000"/>
              <w:bottom w:val="single" w:sz="8" w:space="0" w:color="000000"/>
              <w:right w:val="single" w:sz="8" w:space="0" w:color="000000"/>
            </w:tcBorders>
            <w:vAlign w:val="center"/>
          </w:tcPr>
          <w:p w:rsidR="006C3B4F" w:rsidRDefault="00E54414">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1,652,258.69</w:t>
            </w:r>
          </w:p>
        </w:tc>
      </w:tr>
    </w:tbl>
    <w:p w:rsidR="006C3B4F" w:rsidRDefault="00E54414" w:rsidP="00A36383">
      <w:pPr>
        <w:pStyle w:val="1"/>
        <w:tabs>
          <w:tab w:val="center" w:pos="4156"/>
          <w:tab w:val="right" w:pos="8312"/>
        </w:tabs>
        <w:spacing w:beforeLines="100" w:afterLines="100" w:line="360" w:lineRule="auto"/>
        <w:jc w:val="center"/>
        <w:rPr>
          <w:color w:val="000000" w:themeColor="text1"/>
          <w:sz w:val="21"/>
          <w:szCs w:val="21"/>
        </w:rPr>
      </w:pPr>
      <w:r>
        <w:rPr>
          <w:rFonts w:eastAsiaTheme="minorEastAsia"/>
          <w:color w:val="000000" w:themeColor="text1"/>
          <w:kern w:val="0"/>
          <w:sz w:val="21"/>
          <w:szCs w:val="21"/>
        </w:rPr>
        <w:t>§7</w:t>
      </w:r>
      <w:r>
        <w:rPr>
          <w:rFonts w:hint="eastAsia"/>
          <w:color w:val="000000"/>
          <w:sz w:val="21"/>
          <w:szCs w:val="21"/>
          <w:shd w:val="clear" w:color="auto" w:fill="FFFFFF"/>
        </w:rPr>
        <w:t>基金管理人运用固有资金投资本基金情况</w:t>
      </w:r>
    </w:p>
    <w:p w:rsidR="006C3B4F" w:rsidRDefault="00E54414">
      <w:pPr>
        <w:spacing w:line="360" w:lineRule="auto"/>
        <w:jc w:val="left"/>
        <w:rPr>
          <w:color w:val="000000" w:themeColor="text1"/>
          <w:szCs w:val="21"/>
        </w:rPr>
      </w:pPr>
      <w:r>
        <w:rPr>
          <w:b/>
          <w:color w:val="000000" w:themeColor="text1"/>
          <w:szCs w:val="21"/>
        </w:rPr>
        <w:t>7.1</w:t>
      </w:r>
      <w:r>
        <w:rPr>
          <w:rFonts w:eastAsiaTheme="minorEastAsia" w:hint="eastAsia"/>
          <w:b/>
          <w:bCs/>
          <w:color w:val="000000" w:themeColor="text1"/>
          <w:kern w:val="44"/>
          <w:szCs w:val="21"/>
        </w:rPr>
        <w:t>基金管理人持有本基金份额变动情况</w:t>
      </w:r>
    </w:p>
    <w:p w:rsidR="006C3B4F" w:rsidRDefault="00E54414">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无。</w:t>
      </w:r>
    </w:p>
    <w:p w:rsidR="006C3B4F" w:rsidRDefault="00E54414" w:rsidP="00A3638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Pr>
          <w:rFonts w:eastAsiaTheme="minorEastAsia"/>
          <w:color w:val="000000" w:themeColor="text1"/>
          <w:kern w:val="0"/>
          <w:sz w:val="21"/>
          <w:szCs w:val="21"/>
        </w:rPr>
        <w:t>影响投资者决策的其他重要信息</w:t>
      </w:r>
    </w:p>
    <w:p w:rsidR="006C3B4F" w:rsidRDefault="00E54414">
      <w:pPr>
        <w:autoSpaceDE w:val="0"/>
        <w:autoSpaceDN w:val="0"/>
        <w:adjustRightInd w:val="0"/>
        <w:spacing w:line="360" w:lineRule="auto"/>
        <w:jc w:val="left"/>
        <w:rPr>
          <w:rFonts w:ascii="宋体" w:hAnsi="宋体"/>
          <w:b/>
          <w:bCs/>
          <w:color w:val="000000"/>
          <w:kern w:val="0"/>
          <w:szCs w:val="21"/>
        </w:rPr>
      </w:pPr>
      <w:r>
        <w:rPr>
          <w:rFonts w:ascii="宋体" w:hAnsi="宋体"/>
          <w:b/>
          <w:bCs/>
          <w:color w:val="000000"/>
          <w:kern w:val="0"/>
          <w:szCs w:val="21"/>
        </w:rPr>
        <w:t>8.</w:t>
      </w:r>
      <w:r>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1843"/>
        <w:gridCol w:w="851"/>
        <w:gridCol w:w="850"/>
        <w:gridCol w:w="1134"/>
        <w:gridCol w:w="1419"/>
        <w:gridCol w:w="1130"/>
      </w:tblGrid>
      <w:tr w:rsidR="006C3B4F">
        <w:tc>
          <w:tcPr>
            <w:tcW w:w="993" w:type="dxa"/>
            <w:vMerge w:val="restart"/>
            <w:vAlign w:val="center"/>
          </w:tcPr>
          <w:p w:rsidR="006C3B4F" w:rsidRDefault="00E54414">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投资者类别</w:t>
            </w:r>
            <w:r>
              <w:rPr>
                <w:rFonts w:ascii="宋体" w:hAnsi="宋体"/>
                <w:color w:val="000000"/>
                <w:kern w:val="0"/>
                <w:szCs w:val="21"/>
              </w:rPr>
              <w:t xml:space="preserve">  </w:t>
            </w:r>
          </w:p>
        </w:tc>
        <w:tc>
          <w:tcPr>
            <w:tcW w:w="5670" w:type="dxa"/>
            <w:gridSpan w:val="5"/>
            <w:vAlign w:val="center"/>
          </w:tcPr>
          <w:p w:rsidR="006C3B4F" w:rsidRDefault="00E54414">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vAlign w:val="center"/>
          </w:tcPr>
          <w:p w:rsidR="006C3B4F" w:rsidRDefault="00E54414">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6C3B4F">
        <w:tc>
          <w:tcPr>
            <w:tcW w:w="993" w:type="dxa"/>
            <w:vMerge/>
            <w:vAlign w:val="center"/>
          </w:tcPr>
          <w:p w:rsidR="006C3B4F" w:rsidRDefault="006C3B4F">
            <w:pPr>
              <w:autoSpaceDE w:val="0"/>
              <w:autoSpaceDN w:val="0"/>
              <w:adjustRightInd w:val="0"/>
              <w:jc w:val="center"/>
              <w:rPr>
                <w:rFonts w:ascii="宋体" w:hAnsi="宋体"/>
                <w:b/>
                <w:bCs/>
                <w:color w:val="000000"/>
                <w:kern w:val="0"/>
                <w:szCs w:val="21"/>
              </w:rPr>
            </w:pPr>
          </w:p>
        </w:tc>
        <w:tc>
          <w:tcPr>
            <w:tcW w:w="992" w:type="dxa"/>
            <w:vAlign w:val="center"/>
          </w:tcPr>
          <w:p w:rsidR="006C3B4F" w:rsidRDefault="00E54414">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vAlign w:val="center"/>
          </w:tcPr>
          <w:p w:rsidR="006C3B4F" w:rsidRDefault="00E54414">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vAlign w:val="center"/>
          </w:tcPr>
          <w:p w:rsidR="006C3B4F" w:rsidRDefault="00E54414">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vAlign w:val="center"/>
          </w:tcPr>
          <w:p w:rsidR="006C3B4F" w:rsidRDefault="00E54414">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vAlign w:val="center"/>
          </w:tcPr>
          <w:p w:rsidR="006C3B4F" w:rsidRDefault="00E54414">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vAlign w:val="center"/>
          </w:tcPr>
          <w:p w:rsidR="006C3B4F" w:rsidRDefault="00E54414">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vAlign w:val="center"/>
          </w:tcPr>
          <w:p w:rsidR="006C3B4F" w:rsidRDefault="00E54414">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6C3B4F">
        <w:tc>
          <w:tcPr>
            <w:tcW w:w="993" w:type="dxa"/>
            <w:vMerge w:val="restart"/>
          </w:tcPr>
          <w:p w:rsidR="006C3B4F" w:rsidRDefault="006C3B4F"/>
          <w:p w:rsidR="006C3B4F" w:rsidRDefault="00E54414">
            <w:r>
              <w:rPr>
                <w:rFonts w:ascii="宋体" w:hAnsi="宋体" w:hint="eastAsia"/>
                <w:bCs/>
                <w:color w:val="000000"/>
                <w:kern w:val="0"/>
                <w:szCs w:val="21"/>
              </w:rPr>
              <w:t>机构</w:t>
            </w:r>
          </w:p>
        </w:tc>
        <w:tc>
          <w:tcPr>
            <w:tcW w:w="992" w:type="dxa"/>
            <w:vAlign w:val="center"/>
          </w:tcPr>
          <w:p w:rsidR="006C3B4F" w:rsidRDefault="00E54414">
            <w:pPr>
              <w:jc w:val="center"/>
            </w:pPr>
            <w:r>
              <w:rPr>
                <w:rFonts w:ascii="宋体" w:hAnsi="宋体"/>
                <w:color w:val="000000"/>
                <w:kern w:val="0"/>
                <w:szCs w:val="21"/>
              </w:rPr>
              <w:t>1</w:t>
            </w:r>
          </w:p>
        </w:tc>
        <w:tc>
          <w:tcPr>
            <w:tcW w:w="1843" w:type="dxa"/>
            <w:vAlign w:val="center"/>
          </w:tcPr>
          <w:p w:rsidR="006C3B4F" w:rsidRDefault="00E54414">
            <w:pPr>
              <w:jc w:val="center"/>
            </w:pPr>
            <w:r>
              <w:rPr>
                <w:rFonts w:ascii="宋体" w:hAnsi="宋体"/>
                <w:color w:val="000000"/>
                <w:kern w:val="0"/>
                <w:szCs w:val="21"/>
              </w:rPr>
              <w:t>20181001-20181231</w:t>
            </w:r>
          </w:p>
        </w:tc>
        <w:tc>
          <w:tcPr>
            <w:tcW w:w="851" w:type="dxa"/>
            <w:vAlign w:val="center"/>
          </w:tcPr>
          <w:p w:rsidR="006C3B4F" w:rsidRDefault="00E54414">
            <w:pPr>
              <w:jc w:val="center"/>
            </w:pPr>
            <w:r>
              <w:rPr>
                <w:rFonts w:ascii="宋体" w:hAnsi="宋体"/>
                <w:color w:val="000000"/>
                <w:kern w:val="0"/>
                <w:szCs w:val="21"/>
              </w:rPr>
              <w:t>25,006,875.00</w:t>
            </w:r>
          </w:p>
        </w:tc>
        <w:tc>
          <w:tcPr>
            <w:tcW w:w="850" w:type="dxa"/>
            <w:vAlign w:val="center"/>
          </w:tcPr>
          <w:p w:rsidR="006C3B4F" w:rsidRDefault="00E54414">
            <w:pPr>
              <w:jc w:val="center"/>
            </w:pPr>
            <w:r>
              <w:rPr>
                <w:rFonts w:ascii="宋体" w:hAnsi="宋体"/>
                <w:color w:val="000000"/>
                <w:kern w:val="0"/>
                <w:szCs w:val="21"/>
              </w:rPr>
              <w:t>0.00</w:t>
            </w:r>
          </w:p>
        </w:tc>
        <w:tc>
          <w:tcPr>
            <w:tcW w:w="1134" w:type="dxa"/>
            <w:vAlign w:val="center"/>
          </w:tcPr>
          <w:p w:rsidR="006C3B4F" w:rsidRDefault="00E54414">
            <w:pPr>
              <w:jc w:val="center"/>
            </w:pPr>
            <w:r>
              <w:rPr>
                <w:rFonts w:ascii="宋体" w:hAnsi="宋体"/>
                <w:color w:val="000000"/>
                <w:kern w:val="0"/>
                <w:szCs w:val="21"/>
              </w:rPr>
              <w:t>0.00</w:t>
            </w:r>
          </w:p>
        </w:tc>
        <w:tc>
          <w:tcPr>
            <w:tcW w:w="1419" w:type="dxa"/>
            <w:vAlign w:val="center"/>
          </w:tcPr>
          <w:p w:rsidR="006C3B4F" w:rsidRDefault="00E54414">
            <w:pPr>
              <w:jc w:val="center"/>
            </w:pPr>
            <w:r>
              <w:rPr>
                <w:rFonts w:ascii="宋体" w:hAnsi="宋体"/>
                <w:color w:val="000000"/>
                <w:kern w:val="0"/>
                <w:szCs w:val="21"/>
              </w:rPr>
              <w:t>25,006,875.00</w:t>
            </w:r>
          </w:p>
        </w:tc>
        <w:tc>
          <w:tcPr>
            <w:tcW w:w="1130" w:type="dxa"/>
            <w:vAlign w:val="center"/>
          </w:tcPr>
          <w:p w:rsidR="006C3B4F" w:rsidRDefault="00E54414">
            <w:pPr>
              <w:jc w:val="center"/>
            </w:pPr>
            <w:r>
              <w:rPr>
                <w:rFonts w:ascii="宋体" w:hAnsi="宋体"/>
                <w:color w:val="000000"/>
                <w:kern w:val="0"/>
                <w:szCs w:val="21"/>
              </w:rPr>
              <w:t>66.77%</w:t>
            </w:r>
          </w:p>
        </w:tc>
      </w:tr>
      <w:tr w:rsidR="006C3B4F">
        <w:tc>
          <w:tcPr>
            <w:tcW w:w="9212" w:type="dxa"/>
            <w:gridSpan w:val="8"/>
            <w:vAlign w:val="center"/>
          </w:tcPr>
          <w:p w:rsidR="006C3B4F" w:rsidRDefault="00E54414">
            <w:pPr>
              <w:autoSpaceDE w:val="0"/>
              <w:autoSpaceDN w:val="0"/>
              <w:adjustRightInd w:val="0"/>
              <w:jc w:val="center"/>
              <w:rPr>
                <w:rFonts w:ascii="宋体" w:hAnsi="宋体"/>
                <w:kern w:val="0"/>
                <w:szCs w:val="21"/>
              </w:rPr>
            </w:pPr>
            <w:r>
              <w:rPr>
                <w:rFonts w:ascii="宋体" w:hAnsi="宋体"/>
                <w:color w:val="000000"/>
                <w:kern w:val="0"/>
                <w:szCs w:val="21"/>
              </w:rPr>
              <w:t>产品特有风险</w:t>
            </w:r>
          </w:p>
        </w:tc>
      </w:tr>
      <w:tr w:rsidR="006C3B4F">
        <w:tc>
          <w:tcPr>
            <w:tcW w:w="9212" w:type="dxa"/>
            <w:gridSpan w:val="8"/>
            <w:vAlign w:val="center"/>
          </w:tcPr>
          <w:p w:rsidR="006C3B4F" w:rsidRDefault="00E54414">
            <w:pPr>
              <w:autoSpaceDE w:val="0"/>
              <w:autoSpaceDN w:val="0"/>
              <w:adjustRightInd w:val="0"/>
              <w:jc w:val="left"/>
              <w:rPr>
                <w:rFonts w:ascii="宋体" w:hAnsi="宋体"/>
                <w:kern w:val="0"/>
                <w:szCs w:val="21"/>
              </w:rPr>
            </w:pPr>
            <w:r>
              <w:rPr>
                <w:rFonts w:ascii="宋体" w:hAnsi="宋体" w:hint="eastAsia"/>
                <w:kern w:val="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p>
        </w:tc>
      </w:tr>
    </w:tbl>
    <w:p w:rsidR="006C3B4F" w:rsidRDefault="00E54414">
      <w:pPr>
        <w:autoSpaceDE w:val="0"/>
        <w:autoSpaceDN w:val="0"/>
        <w:adjustRightInd w:val="0"/>
        <w:spacing w:line="360" w:lineRule="auto"/>
        <w:jc w:val="left"/>
        <w:rPr>
          <w:rFonts w:ascii="宋体" w:hAnsi="宋体"/>
          <w:b/>
          <w:bCs/>
          <w:color w:val="000000"/>
          <w:kern w:val="0"/>
          <w:szCs w:val="21"/>
        </w:rPr>
      </w:pPr>
      <w:r>
        <w:rPr>
          <w:rFonts w:ascii="宋体" w:hAnsi="宋体" w:hint="eastAsia"/>
          <w:b/>
          <w:bCs/>
          <w:color w:val="000000"/>
          <w:kern w:val="0"/>
          <w:szCs w:val="21"/>
        </w:rPr>
        <w:t>8.2 影响投资者决策的其他重要信息</w:t>
      </w:r>
    </w:p>
    <w:p w:rsidR="006C3B4F" w:rsidRDefault="00E54414">
      <w:pPr>
        <w:spacing w:line="360" w:lineRule="auto"/>
        <w:ind w:firstLineChars="200" w:firstLine="420"/>
        <w:rPr>
          <w:rFonts w:ascii="宋体" w:hAnsi="宋体"/>
          <w:color w:val="000000"/>
          <w:szCs w:val="21"/>
        </w:rPr>
      </w:pPr>
      <w:r>
        <w:rPr>
          <w:rFonts w:ascii="宋体" w:hAnsi="宋体"/>
          <w:color w:val="000000"/>
          <w:szCs w:val="21"/>
        </w:rPr>
        <w:t>无</w:t>
      </w:r>
    </w:p>
    <w:p w:rsidR="006C3B4F" w:rsidRDefault="00E54414" w:rsidP="00A3638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§9 </w:t>
      </w:r>
      <w:r>
        <w:rPr>
          <w:rFonts w:eastAsiaTheme="minorEastAsia"/>
          <w:color w:val="000000" w:themeColor="text1"/>
          <w:kern w:val="0"/>
          <w:sz w:val="21"/>
          <w:szCs w:val="21"/>
        </w:rPr>
        <w:t>备查文件目录</w:t>
      </w:r>
    </w:p>
    <w:p w:rsidR="006C3B4F" w:rsidRDefault="00E54414">
      <w:pPr>
        <w:autoSpaceDE w:val="0"/>
        <w:autoSpaceDN w:val="0"/>
        <w:adjustRightInd w:val="0"/>
        <w:spacing w:line="360" w:lineRule="auto"/>
        <w:jc w:val="left"/>
        <w:rPr>
          <w:rFonts w:eastAsiaTheme="minorEastAsia"/>
          <w:b/>
          <w:bCs/>
          <w:color w:val="000000" w:themeColor="text1"/>
          <w:kern w:val="0"/>
          <w:szCs w:val="21"/>
        </w:rPr>
      </w:pPr>
      <w:r>
        <w:rPr>
          <w:rFonts w:eastAsiaTheme="minorEastAsia"/>
          <w:b/>
          <w:bCs/>
          <w:color w:val="000000" w:themeColor="text1"/>
          <w:kern w:val="0"/>
          <w:szCs w:val="21"/>
        </w:rPr>
        <w:t>9.1</w:t>
      </w:r>
      <w:r>
        <w:rPr>
          <w:rFonts w:eastAsiaTheme="minorEastAsia"/>
          <w:b/>
          <w:bCs/>
          <w:color w:val="000000" w:themeColor="text1"/>
          <w:kern w:val="0"/>
          <w:szCs w:val="21"/>
        </w:rPr>
        <w:t>备查文件目录</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（一）中国证监会准予上投摩根岁岁金定期开放债券型证券投资基金募集注册的文件</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（二）上投摩根岁岁金定期开放债券型证券投资基金基金合同</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（三）上投摩根岁岁金定期开放债券型证券投资基金托管协议</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（四）法律意见书</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（五）基金管理人业务资格批件、营业执照</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（六）基金托管人业务资格批件、营业执照</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（七）上投摩根基金管理有限公司开放式基金业务规则</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（八）中国证监会要求的其他文件</w:t>
      </w:r>
    </w:p>
    <w:p w:rsidR="006C3B4F" w:rsidRDefault="00E54414" w:rsidP="00A36383">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9.2</w:t>
      </w:r>
      <w:r>
        <w:rPr>
          <w:rFonts w:eastAsiaTheme="minorEastAsia"/>
          <w:b/>
          <w:bCs/>
          <w:color w:val="000000" w:themeColor="text1"/>
          <w:kern w:val="0"/>
          <w:szCs w:val="21"/>
        </w:rPr>
        <w:t>存放地点</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基金管理人或基金托管人处。</w:t>
      </w:r>
    </w:p>
    <w:p w:rsidR="006C3B4F" w:rsidRDefault="00E54414" w:rsidP="00A36383">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9.3</w:t>
      </w:r>
      <w:r>
        <w:rPr>
          <w:rFonts w:eastAsiaTheme="minorEastAsia"/>
          <w:b/>
          <w:bCs/>
          <w:color w:val="000000" w:themeColor="text1"/>
          <w:kern w:val="0"/>
          <w:szCs w:val="21"/>
        </w:rPr>
        <w:t>查阅方式</w:t>
      </w:r>
    </w:p>
    <w:p w:rsidR="006C3B4F" w:rsidRDefault="00E54414">
      <w:pPr>
        <w:spacing w:line="360" w:lineRule="auto"/>
        <w:ind w:firstLineChars="200" w:firstLine="420"/>
        <w:rPr>
          <w:rFonts w:eastAsiaTheme="minorEastAsia"/>
          <w:color w:val="000000" w:themeColor="text1"/>
          <w:szCs w:val="21"/>
        </w:rPr>
      </w:pPr>
      <w:r>
        <w:rPr>
          <w:rFonts w:eastAsiaTheme="minorEastAsia"/>
          <w:color w:val="000000" w:themeColor="text1"/>
          <w:szCs w:val="21"/>
        </w:rPr>
        <w:t>投资者可在营业时间免费查阅，也可按工本费购买复印件。</w:t>
      </w:r>
    </w:p>
    <w:p w:rsidR="006C3B4F" w:rsidRDefault="006C3B4F">
      <w:pPr>
        <w:spacing w:line="360" w:lineRule="auto"/>
        <w:ind w:left="840"/>
        <w:jc w:val="right"/>
        <w:rPr>
          <w:rFonts w:eastAsiaTheme="minorEastAsia"/>
          <w:color w:val="000000" w:themeColor="text1"/>
          <w:szCs w:val="21"/>
        </w:rPr>
      </w:pPr>
    </w:p>
    <w:p w:rsidR="006C3B4F" w:rsidRDefault="006C3B4F">
      <w:pPr>
        <w:spacing w:line="360" w:lineRule="auto"/>
        <w:ind w:left="840"/>
        <w:jc w:val="center"/>
        <w:rPr>
          <w:rFonts w:eastAsiaTheme="minorEastAsia"/>
          <w:b/>
          <w:color w:val="000000" w:themeColor="text1"/>
          <w:szCs w:val="21"/>
        </w:rPr>
      </w:pPr>
    </w:p>
    <w:p w:rsidR="006C3B4F" w:rsidRDefault="00E54414">
      <w:pPr>
        <w:spacing w:line="360" w:lineRule="auto"/>
        <w:jc w:val="right"/>
        <w:rPr>
          <w:rFonts w:eastAsiaTheme="minorEastAsia"/>
          <w:b/>
          <w:bCs/>
          <w:color w:val="000000" w:themeColor="text1"/>
          <w:szCs w:val="21"/>
        </w:rPr>
      </w:pPr>
      <w:r>
        <w:rPr>
          <w:rFonts w:eastAsiaTheme="minorEastAsia"/>
          <w:b/>
          <w:bCs/>
          <w:color w:val="000000" w:themeColor="text1"/>
          <w:szCs w:val="21"/>
        </w:rPr>
        <w:t>上投摩根基金管理有限公司</w:t>
      </w:r>
    </w:p>
    <w:p w:rsidR="006C3B4F" w:rsidRDefault="00E54414">
      <w:pPr>
        <w:spacing w:line="360" w:lineRule="auto"/>
        <w:jc w:val="right"/>
        <w:rPr>
          <w:rFonts w:eastAsiaTheme="minorEastAsia"/>
          <w:b/>
          <w:bCs/>
          <w:color w:val="000000" w:themeColor="text1"/>
          <w:szCs w:val="21"/>
        </w:rPr>
      </w:pPr>
      <w:r>
        <w:rPr>
          <w:rFonts w:eastAsiaTheme="minorEastAsia"/>
          <w:b/>
          <w:bCs/>
          <w:color w:val="000000" w:themeColor="text1"/>
          <w:szCs w:val="21"/>
        </w:rPr>
        <w:t>二〇一九年一月二十二日</w:t>
      </w:r>
    </w:p>
    <w:sectPr w:rsidR="006C3B4F" w:rsidSect="006C3B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B4F" w:rsidRDefault="006C3B4F" w:rsidP="006C3B4F">
      <w:r>
        <w:separator/>
      </w:r>
    </w:p>
  </w:endnote>
  <w:endnote w:type="continuationSeparator" w:id="1">
    <w:p w:rsidR="006C3B4F" w:rsidRDefault="006C3B4F" w:rsidP="006C3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B4F" w:rsidRDefault="00E54414">
    <w:pPr>
      <w:pStyle w:val="ac"/>
      <w:jc w:val="center"/>
    </w:pPr>
    <w:r>
      <w:rPr>
        <w:rFonts w:hint="eastAsia"/>
        <w:kern w:val="0"/>
        <w:szCs w:val="21"/>
      </w:rPr>
      <w:t>第</w:t>
    </w:r>
    <w:r w:rsidR="00952D96">
      <w:rPr>
        <w:kern w:val="0"/>
        <w:szCs w:val="21"/>
      </w:rPr>
      <w:fldChar w:fldCharType="begin"/>
    </w:r>
    <w:r>
      <w:rPr>
        <w:kern w:val="0"/>
        <w:szCs w:val="21"/>
      </w:rPr>
      <w:instrText xml:space="preserve"> PAGE </w:instrText>
    </w:r>
    <w:r w:rsidR="00952D96">
      <w:rPr>
        <w:kern w:val="0"/>
        <w:szCs w:val="21"/>
      </w:rPr>
      <w:fldChar w:fldCharType="separate"/>
    </w:r>
    <w:r w:rsidR="00A36383">
      <w:rPr>
        <w:noProof/>
        <w:kern w:val="0"/>
        <w:szCs w:val="21"/>
      </w:rPr>
      <w:t>1</w:t>
    </w:r>
    <w:r w:rsidR="00952D96">
      <w:rPr>
        <w:kern w:val="0"/>
        <w:szCs w:val="21"/>
      </w:rPr>
      <w:fldChar w:fldCharType="end"/>
    </w:r>
    <w:r>
      <w:rPr>
        <w:rFonts w:hint="eastAsia"/>
        <w:kern w:val="0"/>
        <w:szCs w:val="21"/>
      </w:rPr>
      <w:t>页共</w:t>
    </w:r>
    <w:r w:rsidR="00952D96">
      <w:rPr>
        <w:kern w:val="0"/>
        <w:szCs w:val="21"/>
      </w:rPr>
      <w:fldChar w:fldCharType="begin"/>
    </w:r>
    <w:r>
      <w:rPr>
        <w:kern w:val="0"/>
        <w:szCs w:val="21"/>
      </w:rPr>
      <w:instrText xml:space="preserve"> NUMPAGES </w:instrText>
    </w:r>
    <w:r w:rsidR="00952D96">
      <w:rPr>
        <w:kern w:val="0"/>
        <w:szCs w:val="21"/>
      </w:rPr>
      <w:fldChar w:fldCharType="separate"/>
    </w:r>
    <w:r w:rsidR="00A36383">
      <w:rPr>
        <w:noProof/>
        <w:kern w:val="0"/>
        <w:szCs w:val="21"/>
      </w:rPr>
      <w:t>14</w:t>
    </w:r>
    <w:r w:rsidR="00952D96">
      <w:rPr>
        <w:kern w:val="0"/>
        <w:szCs w:val="21"/>
      </w:rPr>
      <w:fldChar w:fldCharType="end"/>
    </w:r>
    <w:r>
      <w:rPr>
        <w:rFonts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B4F" w:rsidRDefault="00952D96">
    <w:pPr>
      <w:pStyle w:val="ac"/>
      <w:framePr w:wrap="around" w:vAnchor="text" w:hAnchor="margin" w:xAlign="center" w:y="1"/>
      <w:rPr>
        <w:rStyle w:val="af2"/>
      </w:rPr>
    </w:pPr>
    <w:r>
      <w:rPr>
        <w:rStyle w:val="af2"/>
      </w:rPr>
      <w:fldChar w:fldCharType="begin"/>
    </w:r>
    <w:r w:rsidR="00E54414">
      <w:rPr>
        <w:rStyle w:val="af2"/>
      </w:rPr>
      <w:instrText xml:space="preserve">PAGE  </w:instrText>
    </w:r>
    <w:r>
      <w:rPr>
        <w:rStyle w:val="af2"/>
      </w:rPr>
      <w:fldChar w:fldCharType="end"/>
    </w:r>
  </w:p>
  <w:p w:rsidR="006C3B4F" w:rsidRDefault="006C3B4F">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B4F" w:rsidRDefault="00952D96">
    <w:pPr>
      <w:pStyle w:val="ac"/>
      <w:framePr w:wrap="around" w:vAnchor="text" w:hAnchor="margin" w:xAlign="center" w:y="1"/>
      <w:rPr>
        <w:rStyle w:val="af2"/>
      </w:rPr>
    </w:pPr>
    <w:r>
      <w:rPr>
        <w:rStyle w:val="af2"/>
      </w:rPr>
      <w:fldChar w:fldCharType="begin"/>
    </w:r>
    <w:r w:rsidR="00E54414">
      <w:rPr>
        <w:rStyle w:val="af2"/>
      </w:rPr>
      <w:instrText xml:space="preserve">PAGE  </w:instrText>
    </w:r>
    <w:r>
      <w:rPr>
        <w:rStyle w:val="af2"/>
      </w:rPr>
      <w:fldChar w:fldCharType="separate"/>
    </w:r>
    <w:r w:rsidR="00A36383">
      <w:rPr>
        <w:rStyle w:val="af2"/>
        <w:noProof/>
      </w:rPr>
      <w:t>14</w:t>
    </w:r>
    <w:r>
      <w:rPr>
        <w:rStyle w:val="af2"/>
      </w:rPr>
      <w:fldChar w:fldCharType="end"/>
    </w:r>
  </w:p>
  <w:p w:rsidR="006C3B4F" w:rsidRDefault="006C3B4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B4F" w:rsidRDefault="006C3B4F" w:rsidP="006C3B4F">
      <w:r>
        <w:separator/>
      </w:r>
    </w:p>
  </w:footnote>
  <w:footnote w:type="continuationSeparator" w:id="1">
    <w:p w:rsidR="006C3B4F" w:rsidRDefault="006C3B4F" w:rsidP="006C3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B4F" w:rsidRDefault="00E54414">
    <w:pPr>
      <w:pStyle w:val="ad"/>
      <w:pBdr>
        <w:bottom w:val="single" w:sz="6" w:space="0" w:color="auto"/>
      </w:pBdr>
      <w:jc w:val="right"/>
    </w:pPr>
    <w:r>
      <w:t>上投摩根岁岁金定期开放债券型证券投资基金</w:t>
    </w:r>
    <w:r>
      <w:t>2018</w:t>
    </w:r>
    <w:r>
      <w:t>年第</w:t>
    </w:r>
    <w:r>
      <w:t>4</w:t>
    </w:r>
    <w:r>
      <w:t>季度报告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7B55"/>
    <w:rsid w:val="00037C73"/>
    <w:rsid w:val="00042065"/>
    <w:rsid w:val="00043FD2"/>
    <w:rsid w:val="00045476"/>
    <w:rsid w:val="00045558"/>
    <w:rsid w:val="00045BA9"/>
    <w:rsid w:val="00047D87"/>
    <w:rsid w:val="00047DC8"/>
    <w:rsid w:val="000510AB"/>
    <w:rsid w:val="00053FFD"/>
    <w:rsid w:val="00056D5C"/>
    <w:rsid w:val="00061B0B"/>
    <w:rsid w:val="00061E09"/>
    <w:rsid w:val="00062C69"/>
    <w:rsid w:val="00062E1F"/>
    <w:rsid w:val="00064601"/>
    <w:rsid w:val="00064AE3"/>
    <w:rsid w:val="0006750A"/>
    <w:rsid w:val="000739C3"/>
    <w:rsid w:val="000776C0"/>
    <w:rsid w:val="00077849"/>
    <w:rsid w:val="000803AD"/>
    <w:rsid w:val="000813D6"/>
    <w:rsid w:val="00081D05"/>
    <w:rsid w:val="000827CC"/>
    <w:rsid w:val="000871DB"/>
    <w:rsid w:val="00087C69"/>
    <w:rsid w:val="00090834"/>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45E7"/>
    <w:rsid w:val="000C5956"/>
    <w:rsid w:val="000C757F"/>
    <w:rsid w:val="000C7DD4"/>
    <w:rsid w:val="000D0474"/>
    <w:rsid w:val="000D1164"/>
    <w:rsid w:val="000D1BBE"/>
    <w:rsid w:val="000D3773"/>
    <w:rsid w:val="000D4DE9"/>
    <w:rsid w:val="000D6660"/>
    <w:rsid w:val="000D6BA0"/>
    <w:rsid w:val="000D7ECA"/>
    <w:rsid w:val="000E0D84"/>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5D3"/>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D8"/>
    <w:rsid w:val="00176874"/>
    <w:rsid w:val="0017725A"/>
    <w:rsid w:val="0018052A"/>
    <w:rsid w:val="00180952"/>
    <w:rsid w:val="0018191A"/>
    <w:rsid w:val="00184F7E"/>
    <w:rsid w:val="00185B68"/>
    <w:rsid w:val="00186199"/>
    <w:rsid w:val="001874E3"/>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2045"/>
    <w:rsid w:val="001C5040"/>
    <w:rsid w:val="001C715A"/>
    <w:rsid w:val="001C7B5E"/>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50AC"/>
    <w:rsid w:val="0021650B"/>
    <w:rsid w:val="002170FF"/>
    <w:rsid w:val="00221938"/>
    <w:rsid w:val="00222262"/>
    <w:rsid w:val="00222ABD"/>
    <w:rsid w:val="002230A8"/>
    <w:rsid w:val="00227D20"/>
    <w:rsid w:val="00231BCE"/>
    <w:rsid w:val="0023336A"/>
    <w:rsid w:val="00233D00"/>
    <w:rsid w:val="002359EB"/>
    <w:rsid w:val="0023649E"/>
    <w:rsid w:val="00241222"/>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3D3C"/>
    <w:rsid w:val="00254A7E"/>
    <w:rsid w:val="00255292"/>
    <w:rsid w:val="002553A9"/>
    <w:rsid w:val="00256047"/>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1E9A"/>
    <w:rsid w:val="002935BF"/>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41B1"/>
    <w:rsid w:val="002C77CC"/>
    <w:rsid w:val="002D2A00"/>
    <w:rsid w:val="002D5199"/>
    <w:rsid w:val="002E2862"/>
    <w:rsid w:val="002E356A"/>
    <w:rsid w:val="002E4C01"/>
    <w:rsid w:val="002F0516"/>
    <w:rsid w:val="002F22D2"/>
    <w:rsid w:val="002F2863"/>
    <w:rsid w:val="002F778A"/>
    <w:rsid w:val="00302187"/>
    <w:rsid w:val="00302293"/>
    <w:rsid w:val="003028D8"/>
    <w:rsid w:val="0030290F"/>
    <w:rsid w:val="00302DE9"/>
    <w:rsid w:val="00303869"/>
    <w:rsid w:val="00303F1D"/>
    <w:rsid w:val="00305084"/>
    <w:rsid w:val="003052C5"/>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37C2E"/>
    <w:rsid w:val="0034147B"/>
    <w:rsid w:val="00341889"/>
    <w:rsid w:val="003426CE"/>
    <w:rsid w:val="00343016"/>
    <w:rsid w:val="0034447B"/>
    <w:rsid w:val="00351704"/>
    <w:rsid w:val="003570C8"/>
    <w:rsid w:val="00360D91"/>
    <w:rsid w:val="00367770"/>
    <w:rsid w:val="00370BEA"/>
    <w:rsid w:val="00371424"/>
    <w:rsid w:val="00371FF4"/>
    <w:rsid w:val="00372209"/>
    <w:rsid w:val="00374C4E"/>
    <w:rsid w:val="003771ED"/>
    <w:rsid w:val="0037768B"/>
    <w:rsid w:val="00381791"/>
    <w:rsid w:val="00382E6F"/>
    <w:rsid w:val="00387C00"/>
    <w:rsid w:val="0039032E"/>
    <w:rsid w:val="003968CD"/>
    <w:rsid w:val="00397960"/>
    <w:rsid w:val="00397F75"/>
    <w:rsid w:val="003A2008"/>
    <w:rsid w:val="003A3BC4"/>
    <w:rsid w:val="003A4AA3"/>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A6E"/>
    <w:rsid w:val="00441FEC"/>
    <w:rsid w:val="004425E8"/>
    <w:rsid w:val="00443C8F"/>
    <w:rsid w:val="00447BC6"/>
    <w:rsid w:val="004501CE"/>
    <w:rsid w:val="00452481"/>
    <w:rsid w:val="00453832"/>
    <w:rsid w:val="00454A0F"/>
    <w:rsid w:val="0046335D"/>
    <w:rsid w:val="00463C2C"/>
    <w:rsid w:val="00466BBC"/>
    <w:rsid w:val="004733AC"/>
    <w:rsid w:val="004734F0"/>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537"/>
    <w:rsid w:val="004D4D4E"/>
    <w:rsid w:val="004D5974"/>
    <w:rsid w:val="004D614E"/>
    <w:rsid w:val="004D650F"/>
    <w:rsid w:val="004E2133"/>
    <w:rsid w:val="004E4E04"/>
    <w:rsid w:val="004E6CBA"/>
    <w:rsid w:val="004F521C"/>
    <w:rsid w:val="00502CD8"/>
    <w:rsid w:val="0050361C"/>
    <w:rsid w:val="00503ABF"/>
    <w:rsid w:val="00506A40"/>
    <w:rsid w:val="00506D4F"/>
    <w:rsid w:val="0051064F"/>
    <w:rsid w:val="00513A0E"/>
    <w:rsid w:val="00515D7B"/>
    <w:rsid w:val="00515F29"/>
    <w:rsid w:val="0052009E"/>
    <w:rsid w:val="0052306A"/>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5D10"/>
    <w:rsid w:val="0058694E"/>
    <w:rsid w:val="005875F9"/>
    <w:rsid w:val="00593A35"/>
    <w:rsid w:val="00593C74"/>
    <w:rsid w:val="00597D8B"/>
    <w:rsid w:val="005A46FF"/>
    <w:rsid w:val="005A557E"/>
    <w:rsid w:val="005A63FD"/>
    <w:rsid w:val="005B462A"/>
    <w:rsid w:val="005B5137"/>
    <w:rsid w:val="005B6047"/>
    <w:rsid w:val="005C0ED7"/>
    <w:rsid w:val="005C5409"/>
    <w:rsid w:val="005C62A5"/>
    <w:rsid w:val="005C6FF7"/>
    <w:rsid w:val="005C7C75"/>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C20"/>
    <w:rsid w:val="00613F44"/>
    <w:rsid w:val="006149D4"/>
    <w:rsid w:val="00615A56"/>
    <w:rsid w:val="006160BD"/>
    <w:rsid w:val="00620EDB"/>
    <w:rsid w:val="0062386E"/>
    <w:rsid w:val="006253EF"/>
    <w:rsid w:val="00626075"/>
    <w:rsid w:val="0062680E"/>
    <w:rsid w:val="00631158"/>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464C1"/>
    <w:rsid w:val="00651B78"/>
    <w:rsid w:val="0065237A"/>
    <w:rsid w:val="00652FF5"/>
    <w:rsid w:val="0065303C"/>
    <w:rsid w:val="00653246"/>
    <w:rsid w:val="00654382"/>
    <w:rsid w:val="00661244"/>
    <w:rsid w:val="006640DF"/>
    <w:rsid w:val="00666A3C"/>
    <w:rsid w:val="00667519"/>
    <w:rsid w:val="006676A0"/>
    <w:rsid w:val="00670857"/>
    <w:rsid w:val="00670868"/>
    <w:rsid w:val="006721BC"/>
    <w:rsid w:val="00673D69"/>
    <w:rsid w:val="00676431"/>
    <w:rsid w:val="00677A9C"/>
    <w:rsid w:val="0068050D"/>
    <w:rsid w:val="00685FFC"/>
    <w:rsid w:val="00686943"/>
    <w:rsid w:val="00686EDE"/>
    <w:rsid w:val="00687AD5"/>
    <w:rsid w:val="00690A31"/>
    <w:rsid w:val="006911CE"/>
    <w:rsid w:val="00692002"/>
    <w:rsid w:val="00695251"/>
    <w:rsid w:val="00695B58"/>
    <w:rsid w:val="006979FE"/>
    <w:rsid w:val="006A4828"/>
    <w:rsid w:val="006A7C09"/>
    <w:rsid w:val="006B046C"/>
    <w:rsid w:val="006B252F"/>
    <w:rsid w:val="006B3940"/>
    <w:rsid w:val="006C168D"/>
    <w:rsid w:val="006C3B4F"/>
    <w:rsid w:val="006C4033"/>
    <w:rsid w:val="006C5BC9"/>
    <w:rsid w:val="006C642C"/>
    <w:rsid w:val="006D462B"/>
    <w:rsid w:val="006D7386"/>
    <w:rsid w:val="006E0DAD"/>
    <w:rsid w:val="006E313F"/>
    <w:rsid w:val="006F1F1A"/>
    <w:rsid w:val="006F5AC2"/>
    <w:rsid w:val="006F6C28"/>
    <w:rsid w:val="007007EB"/>
    <w:rsid w:val="00701F57"/>
    <w:rsid w:val="00703E8A"/>
    <w:rsid w:val="00706046"/>
    <w:rsid w:val="007112F0"/>
    <w:rsid w:val="00711343"/>
    <w:rsid w:val="00714309"/>
    <w:rsid w:val="0071450F"/>
    <w:rsid w:val="00717772"/>
    <w:rsid w:val="00721DBE"/>
    <w:rsid w:val="007226EC"/>
    <w:rsid w:val="00722B5E"/>
    <w:rsid w:val="00724F6D"/>
    <w:rsid w:val="0072678C"/>
    <w:rsid w:val="00732D1D"/>
    <w:rsid w:val="007350D4"/>
    <w:rsid w:val="00736034"/>
    <w:rsid w:val="00737E79"/>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2100"/>
    <w:rsid w:val="008428A9"/>
    <w:rsid w:val="0084308F"/>
    <w:rsid w:val="00846C2B"/>
    <w:rsid w:val="008473F2"/>
    <w:rsid w:val="0085139A"/>
    <w:rsid w:val="008524F6"/>
    <w:rsid w:val="008532F3"/>
    <w:rsid w:val="00854B3F"/>
    <w:rsid w:val="00861C2C"/>
    <w:rsid w:val="00863744"/>
    <w:rsid w:val="008668B8"/>
    <w:rsid w:val="0086748F"/>
    <w:rsid w:val="0086758B"/>
    <w:rsid w:val="00867B4D"/>
    <w:rsid w:val="00867CF3"/>
    <w:rsid w:val="00874AB5"/>
    <w:rsid w:val="00877671"/>
    <w:rsid w:val="00877A13"/>
    <w:rsid w:val="0088020A"/>
    <w:rsid w:val="008869BC"/>
    <w:rsid w:val="00887DDD"/>
    <w:rsid w:val="00887DE6"/>
    <w:rsid w:val="00887E9F"/>
    <w:rsid w:val="008908AA"/>
    <w:rsid w:val="00890E08"/>
    <w:rsid w:val="008926E3"/>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B41"/>
    <w:rsid w:val="008E3DDD"/>
    <w:rsid w:val="008F0212"/>
    <w:rsid w:val="008F0559"/>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27348"/>
    <w:rsid w:val="00930079"/>
    <w:rsid w:val="00930966"/>
    <w:rsid w:val="00932F64"/>
    <w:rsid w:val="00935FB1"/>
    <w:rsid w:val="00936075"/>
    <w:rsid w:val="00936D40"/>
    <w:rsid w:val="00937ABF"/>
    <w:rsid w:val="00937DB1"/>
    <w:rsid w:val="0094296E"/>
    <w:rsid w:val="009463CC"/>
    <w:rsid w:val="0094687A"/>
    <w:rsid w:val="00950413"/>
    <w:rsid w:val="0095078E"/>
    <w:rsid w:val="00952404"/>
    <w:rsid w:val="00952A72"/>
    <w:rsid w:val="00952D96"/>
    <w:rsid w:val="009542B3"/>
    <w:rsid w:val="009550A8"/>
    <w:rsid w:val="00955FF2"/>
    <w:rsid w:val="0095693D"/>
    <w:rsid w:val="00956B0D"/>
    <w:rsid w:val="0096260B"/>
    <w:rsid w:val="009631C1"/>
    <w:rsid w:val="00970C69"/>
    <w:rsid w:val="00973B57"/>
    <w:rsid w:val="00973E0D"/>
    <w:rsid w:val="0097403F"/>
    <w:rsid w:val="00976797"/>
    <w:rsid w:val="00980C0C"/>
    <w:rsid w:val="00982E47"/>
    <w:rsid w:val="00982EAE"/>
    <w:rsid w:val="00983E7D"/>
    <w:rsid w:val="00991642"/>
    <w:rsid w:val="0099260C"/>
    <w:rsid w:val="009942F4"/>
    <w:rsid w:val="00995B3C"/>
    <w:rsid w:val="00996BCA"/>
    <w:rsid w:val="009A045B"/>
    <w:rsid w:val="009A0513"/>
    <w:rsid w:val="009A07C1"/>
    <w:rsid w:val="009A2283"/>
    <w:rsid w:val="009A31AF"/>
    <w:rsid w:val="009A3507"/>
    <w:rsid w:val="009A529F"/>
    <w:rsid w:val="009A5C1D"/>
    <w:rsid w:val="009A6018"/>
    <w:rsid w:val="009A7920"/>
    <w:rsid w:val="009B4286"/>
    <w:rsid w:val="009B5BF9"/>
    <w:rsid w:val="009B5DAF"/>
    <w:rsid w:val="009B5F83"/>
    <w:rsid w:val="009B61C5"/>
    <w:rsid w:val="009B769E"/>
    <w:rsid w:val="009C03E5"/>
    <w:rsid w:val="009C4D19"/>
    <w:rsid w:val="009C5FDB"/>
    <w:rsid w:val="009C6334"/>
    <w:rsid w:val="009C65AF"/>
    <w:rsid w:val="009C70CB"/>
    <w:rsid w:val="009C74DD"/>
    <w:rsid w:val="009D27AA"/>
    <w:rsid w:val="009D2AD9"/>
    <w:rsid w:val="009D514E"/>
    <w:rsid w:val="009D5A40"/>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0870"/>
    <w:rsid w:val="00A02F51"/>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6437"/>
    <w:rsid w:val="00A30E4D"/>
    <w:rsid w:val="00A32410"/>
    <w:rsid w:val="00A32B48"/>
    <w:rsid w:val="00A36383"/>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1ECB"/>
    <w:rsid w:val="00A95B37"/>
    <w:rsid w:val="00A96B6F"/>
    <w:rsid w:val="00AA0CE8"/>
    <w:rsid w:val="00AA35FD"/>
    <w:rsid w:val="00AA3DB7"/>
    <w:rsid w:val="00AA58C5"/>
    <w:rsid w:val="00AA5EF2"/>
    <w:rsid w:val="00AA5F63"/>
    <w:rsid w:val="00AA7EBD"/>
    <w:rsid w:val="00AB69EF"/>
    <w:rsid w:val="00AC11DC"/>
    <w:rsid w:val="00AC3183"/>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3EFD"/>
    <w:rsid w:val="00AF44C1"/>
    <w:rsid w:val="00AF4F09"/>
    <w:rsid w:val="00AF643E"/>
    <w:rsid w:val="00AF73EB"/>
    <w:rsid w:val="00AF79C8"/>
    <w:rsid w:val="00B00FA8"/>
    <w:rsid w:val="00B011B0"/>
    <w:rsid w:val="00B0391C"/>
    <w:rsid w:val="00B047F6"/>
    <w:rsid w:val="00B06019"/>
    <w:rsid w:val="00B0700F"/>
    <w:rsid w:val="00B1493B"/>
    <w:rsid w:val="00B15119"/>
    <w:rsid w:val="00B17169"/>
    <w:rsid w:val="00B22511"/>
    <w:rsid w:val="00B23996"/>
    <w:rsid w:val="00B23CB2"/>
    <w:rsid w:val="00B24A18"/>
    <w:rsid w:val="00B255C5"/>
    <w:rsid w:val="00B25807"/>
    <w:rsid w:val="00B268DD"/>
    <w:rsid w:val="00B32AE1"/>
    <w:rsid w:val="00B35FEC"/>
    <w:rsid w:val="00B37780"/>
    <w:rsid w:val="00B37813"/>
    <w:rsid w:val="00B37EEF"/>
    <w:rsid w:val="00B41C1D"/>
    <w:rsid w:val="00B43917"/>
    <w:rsid w:val="00B4515C"/>
    <w:rsid w:val="00B459CD"/>
    <w:rsid w:val="00B46220"/>
    <w:rsid w:val="00B464EA"/>
    <w:rsid w:val="00B47574"/>
    <w:rsid w:val="00B5430C"/>
    <w:rsid w:val="00B54782"/>
    <w:rsid w:val="00B56A90"/>
    <w:rsid w:val="00B5711C"/>
    <w:rsid w:val="00B57BCF"/>
    <w:rsid w:val="00B57E36"/>
    <w:rsid w:val="00B60209"/>
    <w:rsid w:val="00B606A3"/>
    <w:rsid w:val="00B63B6A"/>
    <w:rsid w:val="00B65D6F"/>
    <w:rsid w:val="00B66C17"/>
    <w:rsid w:val="00B673F3"/>
    <w:rsid w:val="00B67A25"/>
    <w:rsid w:val="00B7354A"/>
    <w:rsid w:val="00B7435B"/>
    <w:rsid w:val="00B74446"/>
    <w:rsid w:val="00B74B59"/>
    <w:rsid w:val="00B77142"/>
    <w:rsid w:val="00B8024E"/>
    <w:rsid w:val="00B80C3A"/>
    <w:rsid w:val="00B84643"/>
    <w:rsid w:val="00B87130"/>
    <w:rsid w:val="00B90452"/>
    <w:rsid w:val="00B90780"/>
    <w:rsid w:val="00B916D6"/>
    <w:rsid w:val="00B91AD8"/>
    <w:rsid w:val="00B9209B"/>
    <w:rsid w:val="00B9240D"/>
    <w:rsid w:val="00B9328B"/>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4BCD"/>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4ECB"/>
    <w:rsid w:val="00C35BB7"/>
    <w:rsid w:val="00C36B35"/>
    <w:rsid w:val="00C36E74"/>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2451"/>
    <w:rsid w:val="00C9272C"/>
    <w:rsid w:val="00C97764"/>
    <w:rsid w:val="00C97C9B"/>
    <w:rsid w:val="00CA344C"/>
    <w:rsid w:val="00CA6B2A"/>
    <w:rsid w:val="00CA7CF8"/>
    <w:rsid w:val="00CA7F19"/>
    <w:rsid w:val="00CB142D"/>
    <w:rsid w:val="00CB29F6"/>
    <w:rsid w:val="00CB2BBF"/>
    <w:rsid w:val="00CB481C"/>
    <w:rsid w:val="00CB4C8C"/>
    <w:rsid w:val="00CB62E1"/>
    <w:rsid w:val="00CB6EFE"/>
    <w:rsid w:val="00CC16F9"/>
    <w:rsid w:val="00CC28A9"/>
    <w:rsid w:val="00CC4183"/>
    <w:rsid w:val="00CC70A4"/>
    <w:rsid w:val="00CD4A0C"/>
    <w:rsid w:val="00CD5CEF"/>
    <w:rsid w:val="00CE06EC"/>
    <w:rsid w:val="00CE592E"/>
    <w:rsid w:val="00CE5BC5"/>
    <w:rsid w:val="00CF16A4"/>
    <w:rsid w:val="00CF299F"/>
    <w:rsid w:val="00CF3357"/>
    <w:rsid w:val="00CF4F26"/>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194F"/>
    <w:rsid w:val="00D33751"/>
    <w:rsid w:val="00D37343"/>
    <w:rsid w:val="00D37495"/>
    <w:rsid w:val="00D41727"/>
    <w:rsid w:val="00D427E4"/>
    <w:rsid w:val="00D45058"/>
    <w:rsid w:val="00D45F1B"/>
    <w:rsid w:val="00D50E1A"/>
    <w:rsid w:val="00D52289"/>
    <w:rsid w:val="00D55A37"/>
    <w:rsid w:val="00D55B7E"/>
    <w:rsid w:val="00D64354"/>
    <w:rsid w:val="00D66685"/>
    <w:rsid w:val="00D70D35"/>
    <w:rsid w:val="00D71351"/>
    <w:rsid w:val="00D71997"/>
    <w:rsid w:val="00D72993"/>
    <w:rsid w:val="00D753E9"/>
    <w:rsid w:val="00D777B9"/>
    <w:rsid w:val="00D77E2E"/>
    <w:rsid w:val="00D81050"/>
    <w:rsid w:val="00D82273"/>
    <w:rsid w:val="00D82FA5"/>
    <w:rsid w:val="00D84A4B"/>
    <w:rsid w:val="00D84B45"/>
    <w:rsid w:val="00D857AE"/>
    <w:rsid w:val="00D8623D"/>
    <w:rsid w:val="00D867FB"/>
    <w:rsid w:val="00D870CF"/>
    <w:rsid w:val="00D873C4"/>
    <w:rsid w:val="00D90E11"/>
    <w:rsid w:val="00D9110D"/>
    <w:rsid w:val="00D91124"/>
    <w:rsid w:val="00D91987"/>
    <w:rsid w:val="00D92168"/>
    <w:rsid w:val="00D932DF"/>
    <w:rsid w:val="00D93426"/>
    <w:rsid w:val="00D94B22"/>
    <w:rsid w:val="00D958D3"/>
    <w:rsid w:val="00D9594F"/>
    <w:rsid w:val="00D95EEA"/>
    <w:rsid w:val="00D971CB"/>
    <w:rsid w:val="00D97213"/>
    <w:rsid w:val="00DA134E"/>
    <w:rsid w:val="00DA13F3"/>
    <w:rsid w:val="00DA2DE3"/>
    <w:rsid w:val="00DA64AF"/>
    <w:rsid w:val="00DB1F4F"/>
    <w:rsid w:val="00DB2AC7"/>
    <w:rsid w:val="00DB704C"/>
    <w:rsid w:val="00DC693B"/>
    <w:rsid w:val="00DC7C77"/>
    <w:rsid w:val="00DD0F5D"/>
    <w:rsid w:val="00DD426D"/>
    <w:rsid w:val="00DD74FC"/>
    <w:rsid w:val="00DE0DB6"/>
    <w:rsid w:val="00DE117F"/>
    <w:rsid w:val="00DE1769"/>
    <w:rsid w:val="00DE1A17"/>
    <w:rsid w:val="00DE44C8"/>
    <w:rsid w:val="00DE64CC"/>
    <w:rsid w:val="00DE6AA9"/>
    <w:rsid w:val="00DE7B30"/>
    <w:rsid w:val="00DF20C7"/>
    <w:rsid w:val="00DF4D0C"/>
    <w:rsid w:val="00DF5C20"/>
    <w:rsid w:val="00DF7D81"/>
    <w:rsid w:val="00E02DEB"/>
    <w:rsid w:val="00E042A1"/>
    <w:rsid w:val="00E0476C"/>
    <w:rsid w:val="00E0576B"/>
    <w:rsid w:val="00E067EA"/>
    <w:rsid w:val="00E06D18"/>
    <w:rsid w:val="00E104FA"/>
    <w:rsid w:val="00E1320D"/>
    <w:rsid w:val="00E16022"/>
    <w:rsid w:val="00E1694E"/>
    <w:rsid w:val="00E1738C"/>
    <w:rsid w:val="00E174FF"/>
    <w:rsid w:val="00E205AA"/>
    <w:rsid w:val="00E22296"/>
    <w:rsid w:val="00E27360"/>
    <w:rsid w:val="00E27C04"/>
    <w:rsid w:val="00E30713"/>
    <w:rsid w:val="00E30EDF"/>
    <w:rsid w:val="00E3153A"/>
    <w:rsid w:val="00E31FBA"/>
    <w:rsid w:val="00E328E2"/>
    <w:rsid w:val="00E336BB"/>
    <w:rsid w:val="00E3384E"/>
    <w:rsid w:val="00E374C8"/>
    <w:rsid w:val="00E4042D"/>
    <w:rsid w:val="00E4135D"/>
    <w:rsid w:val="00E43750"/>
    <w:rsid w:val="00E508EB"/>
    <w:rsid w:val="00E521E3"/>
    <w:rsid w:val="00E53B7A"/>
    <w:rsid w:val="00E54414"/>
    <w:rsid w:val="00E550C9"/>
    <w:rsid w:val="00E55405"/>
    <w:rsid w:val="00E5645D"/>
    <w:rsid w:val="00E627A4"/>
    <w:rsid w:val="00E6280E"/>
    <w:rsid w:val="00E62C9C"/>
    <w:rsid w:val="00E630EE"/>
    <w:rsid w:val="00E67A61"/>
    <w:rsid w:val="00E70455"/>
    <w:rsid w:val="00E73221"/>
    <w:rsid w:val="00E75116"/>
    <w:rsid w:val="00E763EB"/>
    <w:rsid w:val="00E80A5B"/>
    <w:rsid w:val="00E822EA"/>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58F5"/>
    <w:rsid w:val="00EB6E6B"/>
    <w:rsid w:val="00EC010F"/>
    <w:rsid w:val="00EC0FC0"/>
    <w:rsid w:val="00EC2E3A"/>
    <w:rsid w:val="00EC3CCB"/>
    <w:rsid w:val="00EC5A74"/>
    <w:rsid w:val="00EC737D"/>
    <w:rsid w:val="00ED2154"/>
    <w:rsid w:val="00ED4277"/>
    <w:rsid w:val="00ED7C8C"/>
    <w:rsid w:val="00ED7DDB"/>
    <w:rsid w:val="00EE431B"/>
    <w:rsid w:val="00EE4874"/>
    <w:rsid w:val="00EE53E5"/>
    <w:rsid w:val="00EE6654"/>
    <w:rsid w:val="00EE73FB"/>
    <w:rsid w:val="00EE7BF0"/>
    <w:rsid w:val="00EF2674"/>
    <w:rsid w:val="00EF3163"/>
    <w:rsid w:val="00EF4D29"/>
    <w:rsid w:val="00EF556F"/>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266E1"/>
    <w:rsid w:val="00F3477D"/>
    <w:rsid w:val="00F347FE"/>
    <w:rsid w:val="00F34859"/>
    <w:rsid w:val="00F356F7"/>
    <w:rsid w:val="00F40055"/>
    <w:rsid w:val="00F40868"/>
    <w:rsid w:val="00F44FDE"/>
    <w:rsid w:val="00F46467"/>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1B52"/>
    <w:rsid w:val="00F96087"/>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750"/>
    <w:rsid w:val="00FB387C"/>
    <w:rsid w:val="00FB3C94"/>
    <w:rsid w:val="00FB48C1"/>
    <w:rsid w:val="00FB6808"/>
    <w:rsid w:val="00FB6CD0"/>
    <w:rsid w:val="00FB723C"/>
    <w:rsid w:val="00FB72B4"/>
    <w:rsid w:val="00FC0A2D"/>
    <w:rsid w:val="00FC13C8"/>
    <w:rsid w:val="00FC39F9"/>
    <w:rsid w:val="00FC59F8"/>
    <w:rsid w:val="00FC60F6"/>
    <w:rsid w:val="00FC7F43"/>
    <w:rsid w:val="00FD0DFA"/>
    <w:rsid w:val="00FD5E71"/>
    <w:rsid w:val="00FD7D41"/>
    <w:rsid w:val="00FE0072"/>
    <w:rsid w:val="00FE0C71"/>
    <w:rsid w:val="00FE1E47"/>
    <w:rsid w:val="00FE275D"/>
    <w:rsid w:val="00FE65AC"/>
    <w:rsid w:val="00FE7FBD"/>
    <w:rsid w:val="00FF10BC"/>
    <w:rsid w:val="00FF5DCF"/>
    <w:rsid w:val="00FF699B"/>
    <w:rsid w:val="00FF6ADB"/>
    <w:rsid w:val="3B5631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Normal Indent" w:uiPriority="99" w:qFormat="1"/>
    <w:lsdException w:name="footnote text" w:qFormat="1"/>
    <w:lsdException w:name="annotation text" w:semiHidden="1" w:qFormat="1"/>
    <w:lsdException w:name="header" w:uiPriority="99"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3B4F"/>
    <w:pPr>
      <w:widowControl w:val="0"/>
      <w:jc w:val="both"/>
    </w:pPr>
    <w:rPr>
      <w:kern w:val="2"/>
      <w:sz w:val="21"/>
      <w:szCs w:val="24"/>
    </w:rPr>
  </w:style>
  <w:style w:type="paragraph" w:styleId="1">
    <w:name w:val="heading 1"/>
    <w:basedOn w:val="a"/>
    <w:next w:val="a"/>
    <w:link w:val="1Char"/>
    <w:qFormat/>
    <w:rsid w:val="006C3B4F"/>
    <w:pPr>
      <w:keepNext/>
      <w:keepLines/>
      <w:spacing w:before="340" w:after="330" w:line="578" w:lineRule="auto"/>
      <w:outlineLvl w:val="0"/>
    </w:pPr>
    <w:rPr>
      <w:b/>
      <w:bCs/>
      <w:kern w:val="44"/>
      <w:sz w:val="44"/>
      <w:szCs w:val="44"/>
    </w:rPr>
  </w:style>
  <w:style w:type="paragraph" w:styleId="2">
    <w:name w:val="heading 2"/>
    <w:basedOn w:val="a"/>
    <w:next w:val="a0"/>
    <w:qFormat/>
    <w:rsid w:val="006C3B4F"/>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Char"/>
    <w:uiPriority w:val="9"/>
    <w:unhideWhenUsed/>
    <w:qFormat/>
    <w:rsid w:val="006C3B4F"/>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6C3B4F"/>
    <w:pPr>
      <w:ind w:firstLineChars="200" w:firstLine="420"/>
    </w:pPr>
  </w:style>
  <w:style w:type="paragraph" w:styleId="a4">
    <w:name w:val="annotation subject"/>
    <w:basedOn w:val="a5"/>
    <w:next w:val="a5"/>
    <w:semiHidden/>
    <w:qFormat/>
    <w:rsid w:val="006C3B4F"/>
    <w:rPr>
      <w:b/>
      <w:bCs/>
    </w:rPr>
  </w:style>
  <w:style w:type="paragraph" w:styleId="a5">
    <w:name w:val="annotation text"/>
    <w:basedOn w:val="a"/>
    <w:semiHidden/>
    <w:qFormat/>
    <w:rsid w:val="006C3B4F"/>
    <w:pPr>
      <w:jc w:val="left"/>
    </w:pPr>
  </w:style>
  <w:style w:type="paragraph" w:styleId="a6">
    <w:name w:val="Document Map"/>
    <w:basedOn w:val="a"/>
    <w:semiHidden/>
    <w:qFormat/>
    <w:rsid w:val="006C3B4F"/>
    <w:pPr>
      <w:shd w:val="clear" w:color="auto" w:fill="000080"/>
    </w:pPr>
  </w:style>
  <w:style w:type="paragraph" w:styleId="a7">
    <w:name w:val="Body Text"/>
    <w:basedOn w:val="a"/>
    <w:qFormat/>
    <w:rsid w:val="006C3B4F"/>
    <w:pPr>
      <w:spacing w:after="120"/>
    </w:pPr>
  </w:style>
  <w:style w:type="paragraph" w:styleId="a8">
    <w:name w:val="Body Text Indent"/>
    <w:basedOn w:val="a"/>
    <w:qFormat/>
    <w:rsid w:val="006C3B4F"/>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Char"/>
    <w:uiPriority w:val="99"/>
    <w:qFormat/>
    <w:rsid w:val="006C3B4F"/>
    <w:rPr>
      <w:rFonts w:ascii="宋体" w:hAnsi="Courier New"/>
      <w:szCs w:val="21"/>
    </w:rPr>
  </w:style>
  <w:style w:type="paragraph" w:styleId="aa">
    <w:name w:val="Date"/>
    <w:basedOn w:val="a"/>
    <w:next w:val="a"/>
    <w:link w:val="Char0"/>
    <w:qFormat/>
    <w:rsid w:val="006C3B4F"/>
    <w:rPr>
      <w:sz w:val="24"/>
      <w:szCs w:val="20"/>
    </w:rPr>
  </w:style>
  <w:style w:type="paragraph" w:styleId="20">
    <w:name w:val="Body Text Indent 2"/>
    <w:basedOn w:val="a"/>
    <w:qFormat/>
    <w:rsid w:val="006C3B4F"/>
    <w:pPr>
      <w:spacing w:line="560" w:lineRule="exact"/>
      <w:ind w:firstLineChars="200" w:firstLine="480"/>
    </w:pPr>
    <w:rPr>
      <w:rFonts w:ascii="宋体" w:hAnsi="宋体"/>
      <w:color w:val="FF0000"/>
      <w:sz w:val="24"/>
    </w:rPr>
  </w:style>
  <w:style w:type="paragraph" w:styleId="ab">
    <w:name w:val="Balloon Text"/>
    <w:basedOn w:val="a"/>
    <w:semiHidden/>
    <w:qFormat/>
    <w:rsid w:val="006C3B4F"/>
    <w:rPr>
      <w:sz w:val="18"/>
      <w:szCs w:val="18"/>
    </w:rPr>
  </w:style>
  <w:style w:type="paragraph" w:styleId="ac">
    <w:name w:val="footer"/>
    <w:basedOn w:val="a"/>
    <w:qFormat/>
    <w:rsid w:val="006C3B4F"/>
    <w:pPr>
      <w:tabs>
        <w:tab w:val="center" w:pos="4153"/>
        <w:tab w:val="right" w:pos="8306"/>
      </w:tabs>
      <w:snapToGrid w:val="0"/>
      <w:jc w:val="left"/>
    </w:pPr>
    <w:rPr>
      <w:sz w:val="18"/>
      <w:szCs w:val="18"/>
    </w:rPr>
  </w:style>
  <w:style w:type="paragraph" w:styleId="ad">
    <w:name w:val="header"/>
    <w:basedOn w:val="a"/>
    <w:link w:val="Char1"/>
    <w:uiPriority w:val="99"/>
    <w:qFormat/>
    <w:rsid w:val="006C3B4F"/>
    <w:pPr>
      <w:pBdr>
        <w:bottom w:val="single" w:sz="6" w:space="1" w:color="auto"/>
      </w:pBdr>
      <w:tabs>
        <w:tab w:val="center" w:pos="4153"/>
        <w:tab w:val="right" w:pos="8306"/>
      </w:tabs>
      <w:snapToGrid w:val="0"/>
      <w:jc w:val="center"/>
    </w:pPr>
    <w:rPr>
      <w:sz w:val="18"/>
      <w:szCs w:val="18"/>
    </w:rPr>
  </w:style>
  <w:style w:type="paragraph" w:styleId="ae">
    <w:name w:val="List"/>
    <w:basedOn w:val="a7"/>
    <w:qFormat/>
    <w:rsid w:val="006C3B4F"/>
    <w:pPr>
      <w:spacing w:after="220" w:line="220" w:lineRule="atLeast"/>
      <w:ind w:left="1440" w:hanging="360"/>
    </w:pPr>
    <w:rPr>
      <w:szCs w:val="20"/>
    </w:rPr>
  </w:style>
  <w:style w:type="paragraph" w:styleId="af">
    <w:name w:val="footnote text"/>
    <w:basedOn w:val="a"/>
    <w:link w:val="Char2"/>
    <w:qFormat/>
    <w:rsid w:val="006C3B4F"/>
    <w:pPr>
      <w:snapToGrid w:val="0"/>
      <w:jc w:val="left"/>
    </w:pPr>
    <w:rPr>
      <w:sz w:val="18"/>
      <w:szCs w:val="18"/>
    </w:rPr>
  </w:style>
  <w:style w:type="paragraph" w:styleId="30">
    <w:name w:val="Body Text Indent 3"/>
    <w:basedOn w:val="a"/>
    <w:qFormat/>
    <w:rsid w:val="006C3B4F"/>
    <w:pPr>
      <w:spacing w:line="560" w:lineRule="exact"/>
      <w:ind w:firstLineChars="200" w:firstLine="420"/>
    </w:pPr>
    <w:rPr>
      <w:rFonts w:ascii="Arial" w:hAnsi="Arial" w:cs="Arial"/>
      <w:color w:val="FF0000"/>
    </w:rPr>
  </w:style>
  <w:style w:type="paragraph" w:styleId="af0">
    <w:name w:val="Normal (Web)"/>
    <w:basedOn w:val="a"/>
    <w:qFormat/>
    <w:rsid w:val="006C3B4F"/>
    <w:pPr>
      <w:widowControl/>
      <w:spacing w:before="100" w:beforeAutospacing="1" w:after="100" w:afterAutospacing="1"/>
      <w:jc w:val="left"/>
    </w:pPr>
    <w:rPr>
      <w:rFonts w:ascii="宋体" w:hAnsi="宋体"/>
      <w:kern w:val="0"/>
      <w:sz w:val="24"/>
    </w:rPr>
  </w:style>
  <w:style w:type="paragraph" w:styleId="10">
    <w:name w:val="index 1"/>
    <w:basedOn w:val="a"/>
    <w:next w:val="a"/>
    <w:semiHidden/>
    <w:qFormat/>
    <w:rsid w:val="006C3B4F"/>
    <w:pPr>
      <w:jc w:val="right"/>
    </w:pPr>
    <w:rPr>
      <w:color w:val="008000"/>
    </w:rPr>
  </w:style>
  <w:style w:type="character" w:styleId="af1">
    <w:name w:val="Strong"/>
    <w:basedOn w:val="a1"/>
    <w:uiPriority w:val="22"/>
    <w:qFormat/>
    <w:rsid w:val="006C3B4F"/>
    <w:rPr>
      <w:b/>
      <w:bCs/>
    </w:rPr>
  </w:style>
  <w:style w:type="character" w:styleId="af2">
    <w:name w:val="page number"/>
    <w:basedOn w:val="a1"/>
    <w:qFormat/>
    <w:rsid w:val="006C3B4F"/>
  </w:style>
  <w:style w:type="character" w:styleId="af3">
    <w:name w:val="Hyperlink"/>
    <w:basedOn w:val="a1"/>
    <w:qFormat/>
    <w:rsid w:val="006C3B4F"/>
    <w:rPr>
      <w:color w:val="0000FF"/>
      <w:u w:val="single"/>
    </w:rPr>
  </w:style>
  <w:style w:type="character" w:styleId="af4">
    <w:name w:val="annotation reference"/>
    <w:basedOn w:val="a1"/>
    <w:semiHidden/>
    <w:qFormat/>
    <w:rsid w:val="006C3B4F"/>
    <w:rPr>
      <w:sz w:val="21"/>
      <w:szCs w:val="21"/>
    </w:rPr>
  </w:style>
  <w:style w:type="character" w:styleId="af5">
    <w:name w:val="footnote reference"/>
    <w:basedOn w:val="a1"/>
    <w:qFormat/>
    <w:rsid w:val="006C3B4F"/>
    <w:rPr>
      <w:vertAlign w:val="superscript"/>
    </w:rPr>
  </w:style>
  <w:style w:type="table" w:styleId="af6">
    <w:name w:val="Table Grid"/>
    <w:basedOn w:val="a2"/>
    <w:uiPriority w:val="99"/>
    <w:qFormat/>
    <w:rsid w:val="006C3B4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已访问的超链接1"/>
    <w:basedOn w:val="a1"/>
    <w:qFormat/>
    <w:rsid w:val="006C3B4F"/>
    <w:rPr>
      <w:color w:val="800080"/>
      <w:u w:val="single"/>
    </w:rPr>
  </w:style>
  <w:style w:type="character" w:customStyle="1" w:styleId="c1">
    <w:name w:val="c1"/>
    <w:basedOn w:val="a1"/>
    <w:qFormat/>
    <w:rsid w:val="006C3B4F"/>
    <w:rPr>
      <w:color w:val="000000"/>
      <w:sz w:val="18"/>
      <w:szCs w:val="18"/>
    </w:rPr>
  </w:style>
  <w:style w:type="paragraph" w:customStyle="1" w:styleId="font5">
    <w:name w:val="font5"/>
    <w:basedOn w:val="a"/>
    <w:qFormat/>
    <w:rsid w:val="006C3B4F"/>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qFormat/>
    <w:rsid w:val="006C3B4F"/>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qFormat/>
    <w:rsid w:val="006C3B4F"/>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qFormat/>
    <w:rsid w:val="006C3B4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qFormat/>
    <w:rsid w:val="006C3B4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rsid w:val="006C3B4F"/>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qFormat/>
    <w:rsid w:val="006C3B4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qFormat/>
    <w:rsid w:val="006C3B4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qFormat/>
    <w:rsid w:val="006C3B4F"/>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rsid w:val="006C3B4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qFormat/>
    <w:rsid w:val="006C3B4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rsid w:val="006C3B4F"/>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qFormat/>
    <w:rsid w:val="006C3B4F"/>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qFormat/>
    <w:rsid w:val="006C3B4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rsid w:val="006C3B4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qFormat/>
    <w:rsid w:val="006C3B4F"/>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3">
    <w:name w:val="Char"/>
    <w:basedOn w:val="a"/>
    <w:qFormat/>
    <w:rsid w:val="006C3B4F"/>
  </w:style>
  <w:style w:type="paragraph" w:customStyle="1" w:styleId="Char10">
    <w:name w:val="Char1"/>
    <w:basedOn w:val="a"/>
    <w:qFormat/>
    <w:rsid w:val="006C3B4F"/>
  </w:style>
  <w:style w:type="character" w:customStyle="1" w:styleId="t1">
    <w:name w:val="t1"/>
    <w:basedOn w:val="a1"/>
    <w:rsid w:val="006C3B4F"/>
    <w:rPr>
      <w:color w:val="990000"/>
    </w:rPr>
  </w:style>
  <w:style w:type="character" w:customStyle="1" w:styleId="Char">
    <w:name w:val="纯文本 Char"/>
    <w:basedOn w:val="a1"/>
    <w:link w:val="a9"/>
    <w:uiPriority w:val="99"/>
    <w:rsid w:val="006C3B4F"/>
    <w:rPr>
      <w:rFonts w:ascii="宋体" w:hAnsi="Courier New"/>
      <w:kern w:val="2"/>
      <w:sz w:val="21"/>
      <w:szCs w:val="21"/>
    </w:rPr>
  </w:style>
  <w:style w:type="character" w:customStyle="1" w:styleId="Char2">
    <w:name w:val="脚注文本 Char"/>
    <w:basedOn w:val="a1"/>
    <w:link w:val="af"/>
    <w:rsid w:val="006C3B4F"/>
    <w:rPr>
      <w:kern w:val="2"/>
      <w:sz w:val="18"/>
      <w:szCs w:val="18"/>
    </w:rPr>
  </w:style>
  <w:style w:type="paragraph" w:customStyle="1" w:styleId="Default">
    <w:name w:val="Default"/>
    <w:rsid w:val="006C3B4F"/>
    <w:pPr>
      <w:widowControl w:val="0"/>
      <w:autoSpaceDE w:val="0"/>
      <w:autoSpaceDN w:val="0"/>
      <w:adjustRightInd w:val="0"/>
    </w:pPr>
    <w:rPr>
      <w:rFonts w:ascii="仿宋" w:hAnsi="仿宋" w:cs="仿宋"/>
      <w:color w:val="000000"/>
      <w:sz w:val="24"/>
      <w:szCs w:val="24"/>
    </w:rPr>
  </w:style>
  <w:style w:type="character" w:customStyle="1" w:styleId="Char1">
    <w:name w:val="页眉 Char"/>
    <w:basedOn w:val="a1"/>
    <w:link w:val="ad"/>
    <w:uiPriority w:val="99"/>
    <w:rsid w:val="006C3B4F"/>
    <w:rPr>
      <w:kern w:val="2"/>
      <w:sz w:val="18"/>
      <w:szCs w:val="18"/>
    </w:rPr>
  </w:style>
  <w:style w:type="character" w:customStyle="1" w:styleId="1Char">
    <w:name w:val="标题 1 Char"/>
    <w:basedOn w:val="a1"/>
    <w:link w:val="1"/>
    <w:rsid w:val="006C3B4F"/>
    <w:rPr>
      <w:b/>
      <w:bCs/>
      <w:kern w:val="44"/>
      <w:sz w:val="44"/>
      <w:szCs w:val="44"/>
    </w:rPr>
  </w:style>
  <w:style w:type="character" w:customStyle="1" w:styleId="Char0">
    <w:name w:val="日期 Char"/>
    <w:basedOn w:val="a1"/>
    <w:link w:val="aa"/>
    <w:rsid w:val="006C3B4F"/>
    <w:rPr>
      <w:kern w:val="2"/>
      <w:sz w:val="24"/>
    </w:rPr>
  </w:style>
  <w:style w:type="character" w:customStyle="1" w:styleId="3Char">
    <w:name w:val="标题 3 Char"/>
    <w:basedOn w:val="a1"/>
    <w:link w:val="3"/>
    <w:uiPriority w:val="9"/>
    <w:qFormat/>
    <w:rsid w:val="006C3B4F"/>
    <w:rPr>
      <w:rFonts w:asciiTheme="minorHAnsi" w:eastAsiaTheme="minorEastAsia" w:hAnsiTheme="minorHAnsi" w:cstheme="min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18B4FC5-26C6-49F6-B788-095F558553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abc季报.dot</Template>
  <TotalTime>0</TotalTime>
  <Pages>14</Pages>
  <Words>1164</Words>
  <Characters>6636</Characters>
  <Application>Microsoft Office Word</Application>
  <DocSecurity>0</DocSecurity>
  <Lines>55</Lines>
  <Paragraphs>15</Paragraphs>
  <ScaleCrop>false</ScaleCrop>
  <Company>TRT. Ltd. Co.</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ut174</cp:lastModifiedBy>
  <cp:revision>216</cp:revision>
  <cp:lastPrinted>2007-07-19T00:46:00Z</cp:lastPrinted>
  <dcterms:created xsi:type="dcterms:W3CDTF">2013-06-21T06:56:00Z</dcterms:created>
  <dcterms:modified xsi:type="dcterms:W3CDTF">2019-01-21T08:58:00Z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