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上投摩根安丰回报混合型证券投资基金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年第</w:t>
      </w:r>
      <w:r w:rsidRPr="00B27A29">
        <w:rPr>
          <w:rFonts w:eastAsiaTheme="minorEastAsia"/>
          <w:b/>
          <w:color w:val="000000" w:themeColor="text1"/>
          <w:sz w:val="36"/>
          <w:szCs w:val="36"/>
        </w:rPr>
        <w:t>3</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2022</w:t>
      </w:r>
      <w:r w:rsidRPr="00B27A29">
        <w:rPr>
          <w:rFonts w:eastAsiaTheme="minorEastAsia"/>
          <w:b/>
          <w:color w:val="000000" w:themeColor="text1"/>
          <w:sz w:val="36"/>
          <w:szCs w:val="36"/>
        </w:rPr>
        <w:t>年</w:t>
      </w:r>
      <w:r w:rsidRPr="00B27A29">
        <w:rPr>
          <w:rFonts w:eastAsiaTheme="minorEastAsia"/>
          <w:b/>
          <w:color w:val="000000" w:themeColor="text1"/>
          <w:sz w:val="36"/>
          <w:szCs w:val="36"/>
        </w:rPr>
        <w:t>9</w:t>
      </w:r>
      <w:r w:rsidRPr="00B27A29">
        <w:rPr>
          <w:rFonts w:eastAsiaTheme="minorEastAsia"/>
          <w:b/>
          <w:color w:val="000000" w:themeColor="text1"/>
          <w:sz w:val="36"/>
          <w:szCs w:val="36"/>
        </w:rPr>
        <w:t>月</w:t>
      </w:r>
      <w:r w:rsidRPr="00B27A29">
        <w:rPr>
          <w:rFonts w:eastAsiaTheme="minorEastAsia"/>
          <w:b/>
          <w:color w:val="000000" w:themeColor="text1"/>
          <w:sz w:val="36"/>
          <w:szCs w:val="36"/>
        </w:rPr>
        <w:t>15</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基金管理人：上投摩根基金管理有限公司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基金托管人：交通银行股份有限公司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报告送出日期：二〇二二年十月二十六日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基金托管人交通银行股份有限公司根据本基金合同规定，于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15</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上投摩根安丰回报混合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004144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1</w:t>
            </w:r>
            <w:r w:rsidRPr="00B27A29">
              <w:rPr>
                <w:rFonts w:eastAsiaTheme="minorEastAsia"/>
                <w:color w:val="000000" w:themeColor="text1"/>
                <w:kern w:val="0"/>
                <w:szCs w:val="21"/>
              </w:rPr>
              <w:t>月</w:t>
            </w:r>
            <w:r w:rsidRPr="00B27A29">
              <w:rPr>
                <w:rFonts w:eastAsiaTheme="minorEastAsia"/>
                <w:color w:val="000000" w:themeColor="text1"/>
                <w:kern w:val="0"/>
                <w:szCs w:val="21"/>
              </w:rPr>
              <w:t>18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1,014,666.92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以追求稳健收益作为基金的投资目标，通过严格的风险控制，力争实现基金资产的稳健增值。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对宏观经济、国家政策、资金面、市场估值水平和市场情绪等影响证券市场的重要因素进行综合分析，评估股票、债券等各类资产风险收益特征，预测不同类别资产表现，确定合适的资产配置比例。同时采用严格的仓位控制策略，根据基金单位净值的变化和对未来市场的判断，灵活控制股票仓位，控制下行风险。</w:t>
            </w:r>
          </w:p>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2</w:t>
            </w:r>
            <w:r>
              <w:rPr>
                <w:rFonts w:eastAsiaTheme="minorEastAsia"/>
                <w:color w:val="000000" w:themeColor="text1"/>
                <w:kern w:val="0"/>
                <w:szCs w:val="21"/>
              </w:rPr>
              <w:t>、债券投资策略</w:t>
            </w:r>
          </w:p>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根据对财政政策、货币政策的分析以及对宏观经济的持续跟踪，结合不同债券品种的到期收益率、流动性、市场规模等情况，灵活运用久期策略、期限结构配置策略、信用债策略、可转债策略、中小企业私募债策略、证券公司</w:t>
            </w:r>
            <w:r>
              <w:rPr>
                <w:rFonts w:eastAsiaTheme="minorEastAsia"/>
                <w:color w:val="000000" w:themeColor="text1"/>
                <w:kern w:val="0"/>
                <w:szCs w:val="21"/>
              </w:rPr>
              <w:t>短期债等多种投资策略，实施积极主动的组合管理，并根据对债券收益率曲线形态、息差变化的预测，对债券组合进行动态调整。</w:t>
            </w:r>
          </w:p>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、股票投资策略</w:t>
            </w:r>
          </w:p>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本基金将采用自下而上的分析方法，根据上市公司财务分析、盈利预期、治理结构等因素，结合股票的价值评估，以及对公司经营有实质性影响的事件，精选个股，构建投资组合。</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、其他投资策略：包括股指期货投资策略、股票期权投资策略、资产支持证券投资策略、存托凭证投资策略。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中证综合债券指数收益率</w:t>
            </w:r>
            <w:r w:rsidRPr="00B27A29">
              <w:rPr>
                <w:rFonts w:eastAsiaTheme="minorEastAsia"/>
                <w:color w:val="000000" w:themeColor="text1"/>
                <w:kern w:val="0"/>
                <w:szCs w:val="21"/>
              </w:rPr>
              <w:t>×80%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E24F6D" w:rsidRDefault="00E93AA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w:t>
            </w:r>
            <w:r>
              <w:rPr>
                <w:rFonts w:eastAsiaTheme="minorEastAsia"/>
                <w:color w:val="000000" w:themeColor="text1"/>
                <w:kern w:val="0"/>
                <w:szCs w:val="21"/>
              </w:rPr>
              <w:t>，预期风险和收益水平高于债券型基金和货币市场基金，低于股票型基金，属于中等风险收益水平的基金产品。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上投摩根基金管理有限公司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交通银行股份有限公司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lastRenderedPageBreak/>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004144</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004145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394,910.15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619,756.77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7</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15</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22,202.06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546,409.05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-44.42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14,985.73</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0.0029</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543,337.22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802,143.26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1.3759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1.2943</w:t>
            </w:r>
          </w:p>
        </w:tc>
      </w:tr>
    </w:tbl>
    <w:p w:rsidR="00E24F6D" w:rsidRDefault="00E93AA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上投摩根安丰回报混合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24F6D">
        <w:tc>
          <w:tcPr>
            <w:tcW w:w="1290" w:type="dxa"/>
            <w:vAlign w:val="center"/>
          </w:tcPr>
          <w:p w:rsidR="00E24F6D" w:rsidRDefault="00E93AA1">
            <w:pPr>
              <w:jc w:val="left"/>
            </w:pPr>
            <w:r>
              <w:rPr>
                <w:rFonts w:eastAsiaTheme="minorEastAsia"/>
                <w:color w:val="000000" w:themeColor="text1"/>
                <w:szCs w:val="21"/>
              </w:rPr>
              <w:t>过去三个月</w:t>
            </w:r>
          </w:p>
        </w:tc>
        <w:tc>
          <w:tcPr>
            <w:tcW w:w="1291" w:type="dxa"/>
            <w:vAlign w:val="center"/>
          </w:tcPr>
          <w:p w:rsidR="00E24F6D" w:rsidRDefault="00E93AA1">
            <w:pPr>
              <w:jc w:val="right"/>
            </w:pPr>
            <w:r>
              <w:rPr>
                <w:rFonts w:eastAsiaTheme="minorEastAsia"/>
                <w:color w:val="000000" w:themeColor="text1"/>
                <w:szCs w:val="21"/>
              </w:rPr>
              <w:t>-0.01%</w:t>
            </w:r>
          </w:p>
        </w:tc>
        <w:tc>
          <w:tcPr>
            <w:tcW w:w="1291" w:type="dxa"/>
            <w:vAlign w:val="center"/>
          </w:tcPr>
          <w:p w:rsidR="00E24F6D" w:rsidRDefault="00E93AA1">
            <w:pPr>
              <w:jc w:val="right"/>
            </w:pPr>
            <w:r>
              <w:rPr>
                <w:rFonts w:eastAsiaTheme="minorEastAsia"/>
                <w:color w:val="000000" w:themeColor="text1"/>
                <w:szCs w:val="21"/>
              </w:rPr>
              <w:t>0.14%</w:t>
            </w:r>
          </w:p>
        </w:tc>
        <w:tc>
          <w:tcPr>
            <w:tcW w:w="1291" w:type="dxa"/>
            <w:vAlign w:val="center"/>
          </w:tcPr>
          <w:p w:rsidR="00E24F6D" w:rsidRDefault="00E93AA1">
            <w:pPr>
              <w:jc w:val="right"/>
            </w:pPr>
            <w:r>
              <w:rPr>
                <w:rFonts w:eastAsiaTheme="minorEastAsia"/>
                <w:color w:val="000000" w:themeColor="text1"/>
                <w:szCs w:val="21"/>
              </w:rPr>
              <w:t>-0.73%</w:t>
            </w:r>
          </w:p>
        </w:tc>
        <w:tc>
          <w:tcPr>
            <w:tcW w:w="1291" w:type="dxa"/>
            <w:vAlign w:val="center"/>
          </w:tcPr>
          <w:p w:rsidR="00E24F6D" w:rsidRDefault="00E93AA1">
            <w:pPr>
              <w:jc w:val="right"/>
            </w:pPr>
            <w:r>
              <w:rPr>
                <w:rFonts w:eastAsiaTheme="minorEastAsia"/>
                <w:color w:val="000000" w:themeColor="text1"/>
                <w:szCs w:val="21"/>
              </w:rPr>
              <w:t>0.17%</w:t>
            </w:r>
          </w:p>
        </w:tc>
        <w:tc>
          <w:tcPr>
            <w:tcW w:w="1291" w:type="dxa"/>
            <w:vAlign w:val="center"/>
          </w:tcPr>
          <w:p w:rsidR="00E24F6D" w:rsidRDefault="00E93AA1">
            <w:pPr>
              <w:jc w:val="right"/>
            </w:pPr>
            <w:r>
              <w:rPr>
                <w:rFonts w:eastAsiaTheme="minorEastAsia"/>
                <w:color w:val="000000" w:themeColor="text1"/>
                <w:szCs w:val="21"/>
              </w:rPr>
              <w:t>0.72%</w:t>
            </w:r>
          </w:p>
        </w:tc>
        <w:tc>
          <w:tcPr>
            <w:tcW w:w="1291" w:type="dxa"/>
            <w:vAlign w:val="center"/>
          </w:tcPr>
          <w:p w:rsidR="00E24F6D" w:rsidRDefault="00E93AA1">
            <w:pPr>
              <w:jc w:val="right"/>
            </w:pPr>
            <w:r>
              <w:rPr>
                <w:rFonts w:eastAsiaTheme="minorEastAsia"/>
                <w:color w:val="000000" w:themeColor="text1"/>
                <w:szCs w:val="21"/>
              </w:rPr>
              <w:t>-0.03%</w:t>
            </w:r>
          </w:p>
        </w:tc>
      </w:tr>
      <w:tr w:rsidR="00E24F6D">
        <w:tc>
          <w:tcPr>
            <w:tcW w:w="1290" w:type="dxa"/>
            <w:vAlign w:val="center"/>
          </w:tcPr>
          <w:p w:rsidR="00E24F6D" w:rsidRDefault="00E93AA1">
            <w:pPr>
              <w:jc w:val="left"/>
            </w:pPr>
            <w:r>
              <w:rPr>
                <w:rFonts w:eastAsiaTheme="minorEastAsia"/>
                <w:color w:val="000000" w:themeColor="text1"/>
                <w:szCs w:val="21"/>
              </w:rPr>
              <w:t>过去六个月</w:t>
            </w:r>
          </w:p>
        </w:tc>
        <w:tc>
          <w:tcPr>
            <w:tcW w:w="1291" w:type="dxa"/>
            <w:vAlign w:val="center"/>
          </w:tcPr>
          <w:p w:rsidR="00E24F6D" w:rsidRDefault="00E93AA1">
            <w:pPr>
              <w:jc w:val="right"/>
            </w:pPr>
            <w:r>
              <w:rPr>
                <w:rFonts w:eastAsiaTheme="minorEastAsia"/>
                <w:color w:val="000000" w:themeColor="text1"/>
                <w:szCs w:val="21"/>
              </w:rPr>
              <w:t>2.18%</w:t>
            </w:r>
          </w:p>
        </w:tc>
        <w:tc>
          <w:tcPr>
            <w:tcW w:w="1291" w:type="dxa"/>
            <w:vAlign w:val="center"/>
          </w:tcPr>
          <w:p w:rsidR="00E24F6D" w:rsidRDefault="00E93AA1">
            <w:pPr>
              <w:jc w:val="right"/>
            </w:pPr>
            <w:r>
              <w:rPr>
                <w:rFonts w:eastAsiaTheme="minorEastAsia"/>
                <w:color w:val="000000" w:themeColor="text1"/>
                <w:szCs w:val="21"/>
              </w:rPr>
              <w:t>0.17%</w:t>
            </w:r>
          </w:p>
        </w:tc>
        <w:tc>
          <w:tcPr>
            <w:tcW w:w="1291" w:type="dxa"/>
            <w:vAlign w:val="center"/>
          </w:tcPr>
          <w:p w:rsidR="00E24F6D" w:rsidRDefault="00E93AA1">
            <w:pPr>
              <w:jc w:val="right"/>
            </w:pPr>
            <w:r>
              <w:rPr>
                <w:rFonts w:eastAsiaTheme="minorEastAsia"/>
                <w:color w:val="000000" w:themeColor="text1"/>
                <w:szCs w:val="21"/>
              </w:rPr>
              <w:t>1.23%</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0.95%</w:t>
            </w:r>
          </w:p>
        </w:tc>
        <w:tc>
          <w:tcPr>
            <w:tcW w:w="1291" w:type="dxa"/>
            <w:vAlign w:val="center"/>
          </w:tcPr>
          <w:p w:rsidR="00E24F6D" w:rsidRDefault="00E93AA1">
            <w:pPr>
              <w:jc w:val="right"/>
            </w:pPr>
            <w:r>
              <w:rPr>
                <w:rFonts w:eastAsiaTheme="minorEastAsia"/>
                <w:color w:val="000000" w:themeColor="text1"/>
                <w:szCs w:val="21"/>
              </w:rPr>
              <w:t>-0.07%</w:t>
            </w:r>
          </w:p>
        </w:tc>
      </w:tr>
      <w:tr w:rsidR="00E24F6D">
        <w:tc>
          <w:tcPr>
            <w:tcW w:w="1290" w:type="dxa"/>
            <w:vAlign w:val="center"/>
          </w:tcPr>
          <w:p w:rsidR="00E24F6D" w:rsidRDefault="00E93AA1">
            <w:pPr>
              <w:jc w:val="left"/>
            </w:pPr>
            <w:r>
              <w:rPr>
                <w:rFonts w:eastAsiaTheme="minorEastAsia"/>
                <w:color w:val="000000" w:themeColor="text1"/>
                <w:szCs w:val="21"/>
              </w:rPr>
              <w:lastRenderedPageBreak/>
              <w:t>过去一年</w:t>
            </w:r>
          </w:p>
        </w:tc>
        <w:tc>
          <w:tcPr>
            <w:tcW w:w="1291" w:type="dxa"/>
            <w:vAlign w:val="center"/>
          </w:tcPr>
          <w:p w:rsidR="00E24F6D" w:rsidRDefault="00E93AA1">
            <w:pPr>
              <w:jc w:val="right"/>
            </w:pPr>
            <w:r>
              <w:rPr>
                <w:rFonts w:eastAsiaTheme="minorEastAsia"/>
                <w:color w:val="000000" w:themeColor="text1"/>
                <w:szCs w:val="21"/>
              </w:rPr>
              <w:t>-3.18%</w:t>
            </w:r>
          </w:p>
        </w:tc>
        <w:tc>
          <w:tcPr>
            <w:tcW w:w="1291" w:type="dxa"/>
            <w:vAlign w:val="center"/>
          </w:tcPr>
          <w:p w:rsidR="00E24F6D" w:rsidRDefault="00E93AA1">
            <w:pPr>
              <w:jc w:val="right"/>
            </w:pPr>
            <w:r>
              <w:rPr>
                <w:rFonts w:eastAsiaTheme="minorEastAsia"/>
                <w:color w:val="000000" w:themeColor="text1"/>
                <w:szCs w:val="21"/>
              </w:rPr>
              <w:t>0.27%</w:t>
            </w:r>
          </w:p>
        </w:tc>
        <w:tc>
          <w:tcPr>
            <w:tcW w:w="1291" w:type="dxa"/>
            <w:vAlign w:val="center"/>
          </w:tcPr>
          <w:p w:rsidR="00E24F6D" w:rsidRDefault="00E93AA1">
            <w:pPr>
              <w:jc w:val="right"/>
            </w:pPr>
            <w:r>
              <w:rPr>
                <w:rFonts w:eastAsiaTheme="minorEastAsia"/>
                <w:color w:val="000000" w:themeColor="text1"/>
                <w:szCs w:val="21"/>
              </w:rPr>
              <w:t>0.38%</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-3.56%</w:t>
            </w:r>
          </w:p>
        </w:tc>
        <w:tc>
          <w:tcPr>
            <w:tcW w:w="1291" w:type="dxa"/>
            <w:vAlign w:val="center"/>
          </w:tcPr>
          <w:p w:rsidR="00E24F6D" w:rsidRDefault="00E93AA1">
            <w:pPr>
              <w:jc w:val="right"/>
            </w:pPr>
            <w:r>
              <w:rPr>
                <w:rFonts w:eastAsiaTheme="minorEastAsia"/>
                <w:color w:val="000000" w:themeColor="text1"/>
                <w:szCs w:val="21"/>
              </w:rPr>
              <w:t>0.03%</w:t>
            </w:r>
          </w:p>
        </w:tc>
      </w:tr>
      <w:tr w:rsidR="00E24F6D">
        <w:tc>
          <w:tcPr>
            <w:tcW w:w="1290" w:type="dxa"/>
            <w:vAlign w:val="center"/>
          </w:tcPr>
          <w:p w:rsidR="00E24F6D" w:rsidRDefault="00E93AA1">
            <w:pPr>
              <w:jc w:val="left"/>
            </w:pPr>
            <w:r>
              <w:rPr>
                <w:rFonts w:eastAsiaTheme="minorEastAsia"/>
                <w:color w:val="000000" w:themeColor="text1"/>
                <w:szCs w:val="21"/>
              </w:rPr>
              <w:t>过去三年</w:t>
            </w:r>
          </w:p>
        </w:tc>
        <w:tc>
          <w:tcPr>
            <w:tcW w:w="1291" w:type="dxa"/>
            <w:vAlign w:val="center"/>
          </w:tcPr>
          <w:p w:rsidR="00E24F6D" w:rsidRDefault="00E93AA1">
            <w:pPr>
              <w:jc w:val="right"/>
            </w:pPr>
            <w:r>
              <w:rPr>
                <w:rFonts w:eastAsiaTheme="minorEastAsia"/>
                <w:color w:val="000000" w:themeColor="text1"/>
                <w:szCs w:val="21"/>
              </w:rPr>
              <w:t>12.41%</w:t>
            </w:r>
          </w:p>
        </w:tc>
        <w:tc>
          <w:tcPr>
            <w:tcW w:w="1291" w:type="dxa"/>
            <w:vAlign w:val="center"/>
          </w:tcPr>
          <w:p w:rsidR="00E24F6D" w:rsidRDefault="00E93AA1">
            <w:pPr>
              <w:jc w:val="right"/>
            </w:pPr>
            <w:r>
              <w:rPr>
                <w:rFonts w:eastAsiaTheme="minorEastAsia"/>
                <w:color w:val="000000" w:themeColor="text1"/>
                <w:szCs w:val="21"/>
              </w:rPr>
              <w:t>0.32%</w:t>
            </w:r>
          </w:p>
        </w:tc>
        <w:tc>
          <w:tcPr>
            <w:tcW w:w="1291" w:type="dxa"/>
            <w:vAlign w:val="center"/>
          </w:tcPr>
          <w:p w:rsidR="00E24F6D" w:rsidRDefault="00E93AA1">
            <w:pPr>
              <w:jc w:val="right"/>
            </w:pPr>
            <w:r>
              <w:rPr>
                <w:rFonts w:eastAsiaTheme="minorEastAsia"/>
                <w:color w:val="000000" w:themeColor="text1"/>
                <w:szCs w:val="21"/>
              </w:rPr>
              <w:t>11.90%</w:t>
            </w:r>
          </w:p>
        </w:tc>
        <w:tc>
          <w:tcPr>
            <w:tcW w:w="1291" w:type="dxa"/>
            <w:vAlign w:val="center"/>
          </w:tcPr>
          <w:p w:rsidR="00E24F6D" w:rsidRDefault="00E93AA1">
            <w:pPr>
              <w:jc w:val="right"/>
            </w:pPr>
            <w:r>
              <w:rPr>
                <w:rFonts w:eastAsiaTheme="minorEastAsia"/>
                <w:color w:val="000000" w:themeColor="text1"/>
                <w:szCs w:val="21"/>
              </w:rPr>
              <w:t>0.25%</w:t>
            </w:r>
          </w:p>
        </w:tc>
        <w:tc>
          <w:tcPr>
            <w:tcW w:w="1291" w:type="dxa"/>
            <w:vAlign w:val="center"/>
          </w:tcPr>
          <w:p w:rsidR="00E24F6D" w:rsidRDefault="00E93AA1">
            <w:pPr>
              <w:jc w:val="right"/>
            </w:pPr>
            <w:r>
              <w:rPr>
                <w:rFonts w:eastAsiaTheme="minorEastAsia"/>
                <w:color w:val="000000" w:themeColor="text1"/>
                <w:szCs w:val="21"/>
              </w:rPr>
              <w:t>0.51%</w:t>
            </w:r>
          </w:p>
        </w:tc>
        <w:tc>
          <w:tcPr>
            <w:tcW w:w="1291" w:type="dxa"/>
            <w:vAlign w:val="center"/>
          </w:tcPr>
          <w:p w:rsidR="00E24F6D" w:rsidRDefault="00E93AA1">
            <w:pPr>
              <w:jc w:val="right"/>
            </w:pPr>
            <w:r>
              <w:rPr>
                <w:rFonts w:eastAsiaTheme="minorEastAsia"/>
                <w:color w:val="000000" w:themeColor="text1"/>
                <w:szCs w:val="21"/>
              </w:rPr>
              <w:t>0.07%</w:t>
            </w:r>
          </w:p>
        </w:tc>
      </w:tr>
      <w:tr w:rsidR="00E24F6D">
        <w:tc>
          <w:tcPr>
            <w:tcW w:w="1290" w:type="dxa"/>
            <w:vAlign w:val="center"/>
          </w:tcPr>
          <w:p w:rsidR="00E24F6D" w:rsidRDefault="00E93AA1">
            <w:pPr>
              <w:jc w:val="left"/>
            </w:pPr>
            <w:r>
              <w:rPr>
                <w:rFonts w:eastAsiaTheme="minorEastAsia"/>
                <w:color w:val="000000" w:themeColor="text1"/>
                <w:szCs w:val="21"/>
              </w:rPr>
              <w:t>过去五年</w:t>
            </w:r>
          </w:p>
        </w:tc>
        <w:tc>
          <w:tcPr>
            <w:tcW w:w="1291" w:type="dxa"/>
            <w:vAlign w:val="center"/>
          </w:tcPr>
          <w:p w:rsidR="00E24F6D" w:rsidRDefault="00E93AA1">
            <w:pPr>
              <w:jc w:val="right"/>
            </w:pPr>
            <w:r>
              <w:rPr>
                <w:rFonts w:eastAsiaTheme="minorEastAsia"/>
                <w:color w:val="000000" w:themeColor="text1"/>
                <w:szCs w:val="21"/>
              </w:rPr>
              <w:t>32.57%</w:t>
            </w:r>
          </w:p>
        </w:tc>
        <w:tc>
          <w:tcPr>
            <w:tcW w:w="1291" w:type="dxa"/>
            <w:vAlign w:val="center"/>
          </w:tcPr>
          <w:p w:rsidR="00E24F6D" w:rsidRDefault="00E93AA1">
            <w:pPr>
              <w:jc w:val="right"/>
            </w:pPr>
            <w:r>
              <w:rPr>
                <w:rFonts w:eastAsiaTheme="minorEastAsia"/>
                <w:color w:val="000000" w:themeColor="text1"/>
                <w:szCs w:val="21"/>
              </w:rPr>
              <w:t>0.30%</w:t>
            </w:r>
          </w:p>
        </w:tc>
        <w:tc>
          <w:tcPr>
            <w:tcW w:w="1291" w:type="dxa"/>
            <w:vAlign w:val="center"/>
          </w:tcPr>
          <w:p w:rsidR="00E24F6D" w:rsidRDefault="00E93AA1">
            <w:pPr>
              <w:jc w:val="right"/>
            </w:pPr>
            <w:r>
              <w:rPr>
                <w:rFonts w:eastAsiaTheme="minorEastAsia"/>
                <w:color w:val="000000" w:themeColor="text1"/>
                <w:szCs w:val="21"/>
              </w:rPr>
              <w:t>22.03%</w:t>
            </w:r>
          </w:p>
        </w:tc>
        <w:tc>
          <w:tcPr>
            <w:tcW w:w="1291" w:type="dxa"/>
            <w:vAlign w:val="center"/>
          </w:tcPr>
          <w:p w:rsidR="00E24F6D" w:rsidRDefault="00E93AA1">
            <w:pPr>
              <w:jc w:val="right"/>
            </w:pPr>
            <w:r>
              <w:rPr>
                <w:rFonts w:eastAsiaTheme="minorEastAsia"/>
                <w:color w:val="000000" w:themeColor="text1"/>
                <w:szCs w:val="21"/>
              </w:rPr>
              <w:t>0.25%</w:t>
            </w:r>
          </w:p>
        </w:tc>
        <w:tc>
          <w:tcPr>
            <w:tcW w:w="1291" w:type="dxa"/>
            <w:vAlign w:val="center"/>
          </w:tcPr>
          <w:p w:rsidR="00E24F6D" w:rsidRDefault="00E93AA1">
            <w:pPr>
              <w:jc w:val="right"/>
            </w:pPr>
            <w:r>
              <w:rPr>
                <w:rFonts w:eastAsiaTheme="minorEastAsia"/>
                <w:color w:val="000000" w:themeColor="text1"/>
                <w:szCs w:val="21"/>
              </w:rPr>
              <w:t>10.54%</w:t>
            </w:r>
          </w:p>
        </w:tc>
        <w:tc>
          <w:tcPr>
            <w:tcW w:w="1291" w:type="dxa"/>
            <w:vAlign w:val="center"/>
          </w:tcPr>
          <w:p w:rsidR="00E24F6D" w:rsidRDefault="00E93AA1">
            <w:pPr>
              <w:jc w:val="right"/>
            </w:pPr>
            <w:r>
              <w:rPr>
                <w:rFonts w:eastAsiaTheme="minorEastAsia"/>
                <w:color w:val="000000" w:themeColor="text1"/>
                <w:szCs w:val="21"/>
              </w:rPr>
              <w:t>0.05%</w:t>
            </w:r>
          </w:p>
        </w:tc>
      </w:tr>
      <w:tr w:rsidR="00E24F6D">
        <w:tc>
          <w:tcPr>
            <w:tcW w:w="1290" w:type="dxa"/>
            <w:vAlign w:val="center"/>
          </w:tcPr>
          <w:p w:rsidR="00E24F6D" w:rsidRDefault="00E93AA1">
            <w:pPr>
              <w:jc w:val="left"/>
            </w:pPr>
            <w:r>
              <w:rPr>
                <w:rFonts w:eastAsiaTheme="minorEastAsia"/>
                <w:color w:val="000000" w:themeColor="text1"/>
                <w:szCs w:val="21"/>
              </w:rPr>
              <w:t>自基金合同生效起至今</w:t>
            </w:r>
          </w:p>
        </w:tc>
        <w:tc>
          <w:tcPr>
            <w:tcW w:w="1291" w:type="dxa"/>
            <w:vAlign w:val="center"/>
          </w:tcPr>
          <w:p w:rsidR="00E24F6D" w:rsidRDefault="00E93AA1">
            <w:pPr>
              <w:jc w:val="right"/>
            </w:pPr>
            <w:r>
              <w:rPr>
                <w:rFonts w:eastAsiaTheme="minorEastAsia"/>
                <w:color w:val="000000" w:themeColor="text1"/>
                <w:szCs w:val="21"/>
              </w:rPr>
              <w:t>37.59%</w:t>
            </w:r>
          </w:p>
        </w:tc>
        <w:tc>
          <w:tcPr>
            <w:tcW w:w="1291" w:type="dxa"/>
            <w:vAlign w:val="center"/>
          </w:tcPr>
          <w:p w:rsidR="00E24F6D" w:rsidRDefault="00E93AA1">
            <w:pPr>
              <w:jc w:val="right"/>
            </w:pPr>
            <w:r>
              <w:rPr>
                <w:rFonts w:eastAsiaTheme="minorEastAsia"/>
                <w:color w:val="000000" w:themeColor="text1"/>
                <w:szCs w:val="21"/>
              </w:rPr>
              <w:t>0.29%</w:t>
            </w:r>
          </w:p>
        </w:tc>
        <w:tc>
          <w:tcPr>
            <w:tcW w:w="1291" w:type="dxa"/>
            <w:vAlign w:val="center"/>
          </w:tcPr>
          <w:p w:rsidR="00E24F6D" w:rsidRDefault="00E93AA1">
            <w:pPr>
              <w:jc w:val="right"/>
            </w:pPr>
            <w:r>
              <w:rPr>
                <w:rFonts w:eastAsiaTheme="minorEastAsia"/>
                <w:color w:val="000000" w:themeColor="text1"/>
                <w:szCs w:val="21"/>
              </w:rPr>
              <w:t>25.94%</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11.65%</w:t>
            </w:r>
          </w:p>
        </w:tc>
        <w:tc>
          <w:tcPr>
            <w:tcW w:w="1291" w:type="dxa"/>
            <w:vAlign w:val="center"/>
          </w:tcPr>
          <w:p w:rsidR="00E24F6D" w:rsidRDefault="00E93AA1">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上投摩根安丰回报混合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E24F6D">
        <w:tc>
          <w:tcPr>
            <w:tcW w:w="1290" w:type="dxa"/>
            <w:vAlign w:val="center"/>
          </w:tcPr>
          <w:p w:rsidR="00E24F6D" w:rsidRDefault="00E93AA1">
            <w:pPr>
              <w:jc w:val="left"/>
            </w:pPr>
            <w:r>
              <w:rPr>
                <w:rFonts w:eastAsiaTheme="minorEastAsia"/>
                <w:color w:val="000000" w:themeColor="text1"/>
                <w:szCs w:val="21"/>
              </w:rPr>
              <w:t>过去三个月</w:t>
            </w:r>
          </w:p>
        </w:tc>
        <w:tc>
          <w:tcPr>
            <w:tcW w:w="1291" w:type="dxa"/>
            <w:vAlign w:val="center"/>
          </w:tcPr>
          <w:p w:rsidR="00E24F6D" w:rsidRDefault="00E93AA1">
            <w:pPr>
              <w:jc w:val="right"/>
            </w:pPr>
            <w:r>
              <w:rPr>
                <w:rFonts w:eastAsiaTheme="minorEastAsia"/>
                <w:color w:val="000000" w:themeColor="text1"/>
                <w:szCs w:val="21"/>
              </w:rPr>
              <w:t>-0.12%</w:t>
            </w:r>
          </w:p>
        </w:tc>
        <w:tc>
          <w:tcPr>
            <w:tcW w:w="1291" w:type="dxa"/>
            <w:vAlign w:val="center"/>
          </w:tcPr>
          <w:p w:rsidR="00E24F6D" w:rsidRDefault="00E93AA1">
            <w:pPr>
              <w:jc w:val="right"/>
            </w:pPr>
            <w:r>
              <w:rPr>
                <w:rFonts w:eastAsiaTheme="minorEastAsia"/>
                <w:color w:val="000000" w:themeColor="text1"/>
                <w:szCs w:val="21"/>
              </w:rPr>
              <w:t>0.14%</w:t>
            </w:r>
          </w:p>
        </w:tc>
        <w:tc>
          <w:tcPr>
            <w:tcW w:w="1291" w:type="dxa"/>
            <w:vAlign w:val="center"/>
          </w:tcPr>
          <w:p w:rsidR="00E24F6D" w:rsidRDefault="00E93AA1">
            <w:pPr>
              <w:jc w:val="right"/>
            </w:pPr>
            <w:r>
              <w:rPr>
                <w:rFonts w:eastAsiaTheme="minorEastAsia"/>
                <w:color w:val="000000" w:themeColor="text1"/>
                <w:szCs w:val="21"/>
              </w:rPr>
              <w:t>-0.73%</w:t>
            </w:r>
          </w:p>
        </w:tc>
        <w:tc>
          <w:tcPr>
            <w:tcW w:w="1291" w:type="dxa"/>
            <w:vAlign w:val="center"/>
          </w:tcPr>
          <w:p w:rsidR="00E24F6D" w:rsidRDefault="00E93AA1">
            <w:pPr>
              <w:jc w:val="right"/>
            </w:pPr>
            <w:r>
              <w:rPr>
                <w:rFonts w:eastAsiaTheme="minorEastAsia"/>
                <w:color w:val="000000" w:themeColor="text1"/>
                <w:szCs w:val="21"/>
              </w:rPr>
              <w:t>0.17%</w:t>
            </w:r>
          </w:p>
        </w:tc>
        <w:tc>
          <w:tcPr>
            <w:tcW w:w="1291" w:type="dxa"/>
            <w:vAlign w:val="center"/>
          </w:tcPr>
          <w:p w:rsidR="00E24F6D" w:rsidRDefault="00E93AA1">
            <w:pPr>
              <w:jc w:val="right"/>
            </w:pPr>
            <w:r>
              <w:rPr>
                <w:rFonts w:eastAsiaTheme="minorEastAsia"/>
                <w:color w:val="000000" w:themeColor="text1"/>
                <w:szCs w:val="21"/>
              </w:rPr>
              <w:t>0.61%</w:t>
            </w:r>
          </w:p>
        </w:tc>
        <w:tc>
          <w:tcPr>
            <w:tcW w:w="1291" w:type="dxa"/>
            <w:vAlign w:val="center"/>
          </w:tcPr>
          <w:p w:rsidR="00E24F6D" w:rsidRDefault="00E93AA1">
            <w:pPr>
              <w:jc w:val="right"/>
            </w:pPr>
            <w:r>
              <w:rPr>
                <w:rFonts w:eastAsiaTheme="minorEastAsia"/>
                <w:color w:val="000000" w:themeColor="text1"/>
                <w:szCs w:val="21"/>
              </w:rPr>
              <w:t>-0.03%</w:t>
            </w:r>
          </w:p>
        </w:tc>
      </w:tr>
      <w:tr w:rsidR="00E24F6D">
        <w:tc>
          <w:tcPr>
            <w:tcW w:w="1290" w:type="dxa"/>
            <w:vAlign w:val="center"/>
          </w:tcPr>
          <w:p w:rsidR="00E24F6D" w:rsidRDefault="00E93AA1">
            <w:pPr>
              <w:jc w:val="left"/>
            </w:pPr>
            <w:r>
              <w:rPr>
                <w:rFonts w:eastAsiaTheme="minorEastAsia"/>
                <w:color w:val="000000" w:themeColor="text1"/>
                <w:szCs w:val="21"/>
              </w:rPr>
              <w:t>过去六个月</w:t>
            </w:r>
          </w:p>
        </w:tc>
        <w:tc>
          <w:tcPr>
            <w:tcW w:w="1291" w:type="dxa"/>
            <w:vAlign w:val="center"/>
          </w:tcPr>
          <w:p w:rsidR="00E24F6D" w:rsidRDefault="00E93AA1">
            <w:pPr>
              <w:jc w:val="right"/>
            </w:pPr>
            <w:r>
              <w:rPr>
                <w:rFonts w:eastAsiaTheme="minorEastAsia"/>
                <w:color w:val="000000" w:themeColor="text1"/>
                <w:szCs w:val="21"/>
              </w:rPr>
              <w:t>1.92%</w:t>
            </w:r>
          </w:p>
        </w:tc>
        <w:tc>
          <w:tcPr>
            <w:tcW w:w="1291" w:type="dxa"/>
            <w:vAlign w:val="center"/>
          </w:tcPr>
          <w:p w:rsidR="00E24F6D" w:rsidRDefault="00E93AA1">
            <w:pPr>
              <w:jc w:val="right"/>
            </w:pPr>
            <w:r>
              <w:rPr>
                <w:rFonts w:eastAsiaTheme="minorEastAsia"/>
                <w:color w:val="000000" w:themeColor="text1"/>
                <w:szCs w:val="21"/>
              </w:rPr>
              <w:t>0.17%</w:t>
            </w:r>
          </w:p>
        </w:tc>
        <w:tc>
          <w:tcPr>
            <w:tcW w:w="1291" w:type="dxa"/>
            <w:vAlign w:val="center"/>
          </w:tcPr>
          <w:p w:rsidR="00E24F6D" w:rsidRDefault="00E93AA1">
            <w:pPr>
              <w:jc w:val="right"/>
            </w:pPr>
            <w:r>
              <w:rPr>
                <w:rFonts w:eastAsiaTheme="minorEastAsia"/>
                <w:color w:val="000000" w:themeColor="text1"/>
                <w:szCs w:val="21"/>
              </w:rPr>
              <w:t>1.23%</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0.69%</w:t>
            </w:r>
          </w:p>
        </w:tc>
        <w:tc>
          <w:tcPr>
            <w:tcW w:w="1291" w:type="dxa"/>
            <w:vAlign w:val="center"/>
          </w:tcPr>
          <w:p w:rsidR="00E24F6D" w:rsidRDefault="00E93AA1">
            <w:pPr>
              <w:jc w:val="right"/>
            </w:pPr>
            <w:r>
              <w:rPr>
                <w:rFonts w:eastAsiaTheme="minorEastAsia"/>
                <w:color w:val="000000" w:themeColor="text1"/>
                <w:szCs w:val="21"/>
              </w:rPr>
              <w:t>-0.07%</w:t>
            </w:r>
          </w:p>
        </w:tc>
      </w:tr>
      <w:tr w:rsidR="00E24F6D">
        <w:tc>
          <w:tcPr>
            <w:tcW w:w="1290" w:type="dxa"/>
            <w:vAlign w:val="center"/>
          </w:tcPr>
          <w:p w:rsidR="00E24F6D" w:rsidRDefault="00E93AA1">
            <w:pPr>
              <w:jc w:val="left"/>
            </w:pPr>
            <w:r>
              <w:rPr>
                <w:rFonts w:eastAsiaTheme="minorEastAsia"/>
                <w:color w:val="000000" w:themeColor="text1"/>
                <w:szCs w:val="21"/>
              </w:rPr>
              <w:t>过去一年</w:t>
            </w:r>
          </w:p>
        </w:tc>
        <w:tc>
          <w:tcPr>
            <w:tcW w:w="1291" w:type="dxa"/>
            <w:vAlign w:val="center"/>
          </w:tcPr>
          <w:p w:rsidR="00E24F6D" w:rsidRDefault="00E93AA1">
            <w:pPr>
              <w:jc w:val="right"/>
            </w:pPr>
            <w:r>
              <w:rPr>
                <w:rFonts w:eastAsiaTheme="minorEastAsia"/>
                <w:color w:val="000000" w:themeColor="text1"/>
                <w:szCs w:val="21"/>
              </w:rPr>
              <w:t>-3.58%</w:t>
            </w:r>
          </w:p>
        </w:tc>
        <w:tc>
          <w:tcPr>
            <w:tcW w:w="1291" w:type="dxa"/>
            <w:vAlign w:val="center"/>
          </w:tcPr>
          <w:p w:rsidR="00E24F6D" w:rsidRDefault="00E93AA1">
            <w:pPr>
              <w:jc w:val="right"/>
            </w:pPr>
            <w:r>
              <w:rPr>
                <w:rFonts w:eastAsiaTheme="minorEastAsia"/>
                <w:color w:val="000000" w:themeColor="text1"/>
                <w:szCs w:val="21"/>
              </w:rPr>
              <w:t>0.27%</w:t>
            </w:r>
          </w:p>
        </w:tc>
        <w:tc>
          <w:tcPr>
            <w:tcW w:w="1291" w:type="dxa"/>
            <w:vAlign w:val="center"/>
          </w:tcPr>
          <w:p w:rsidR="00E24F6D" w:rsidRDefault="00E93AA1">
            <w:pPr>
              <w:jc w:val="right"/>
            </w:pPr>
            <w:r>
              <w:rPr>
                <w:rFonts w:eastAsiaTheme="minorEastAsia"/>
                <w:color w:val="000000" w:themeColor="text1"/>
                <w:szCs w:val="21"/>
              </w:rPr>
              <w:t>0.38%</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-3.96%</w:t>
            </w:r>
          </w:p>
        </w:tc>
        <w:tc>
          <w:tcPr>
            <w:tcW w:w="1291" w:type="dxa"/>
            <w:vAlign w:val="center"/>
          </w:tcPr>
          <w:p w:rsidR="00E24F6D" w:rsidRDefault="00E93AA1">
            <w:pPr>
              <w:jc w:val="right"/>
            </w:pPr>
            <w:r>
              <w:rPr>
                <w:rFonts w:eastAsiaTheme="minorEastAsia"/>
                <w:color w:val="000000" w:themeColor="text1"/>
                <w:szCs w:val="21"/>
              </w:rPr>
              <w:t>0.03%</w:t>
            </w:r>
          </w:p>
        </w:tc>
      </w:tr>
      <w:tr w:rsidR="00E24F6D">
        <w:tc>
          <w:tcPr>
            <w:tcW w:w="1290" w:type="dxa"/>
            <w:vAlign w:val="center"/>
          </w:tcPr>
          <w:p w:rsidR="00E24F6D" w:rsidRDefault="00E93AA1">
            <w:pPr>
              <w:jc w:val="left"/>
            </w:pPr>
            <w:r>
              <w:rPr>
                <w:rFonts w:eastAsiaTheme="minorEastAsia"/>
                <w:color w:val="000000" w:themeColor="text1"/>
                <w:szCs w:val="21"/>
              </w:rPr>
              <w:t>过去三年</w:t>
            </w:r>
          </w:p>
        </w:tc>
        <w:tc>
          <w:tcPr>
            <w:tcW w:w="1291" w:type="dxa"/>
            <w:vAlign w:val="center"/>
          </w:tcPr>
          <w:p w:rsidR="00E24F6D" w:rsidRDefault="00E93AA1">
            <w:pPr>
              <w:jc w:val="right"/>
            </w:pPr>
            <w:r>
              <w:rPr>
                <w:rFonts w:eastAsiaTheme="minorEastAsia"/>
                <w:color w:val="000000" w:themeColor="text1"/>
                <w:szCs w:val="21"/>
              </w:rPr>
              <w:t>11.37%</w:t>
            </w:r>
          </w:p>
        </w:tc>
        <w:tc>
          <w:tcPr>
            <w:tcW w:w="1291" w:type="dxa"/>
            <w:vAlign w:val="center"/>
          </w:tcPr>
          <w:p w:rsidR="00E24F6D" w:rsidRDefault="00E93AA1">
            <w:pPr>
              <w:jc w:val="right"/>
            </w:pPr>
            <w:r>
              <w:rPr>
                <w:rFonts w:eastAsiaTheme="minorEastAsia"/>
                <w:color w:val="000000" w:themeColor="text1"/>
                <w:szCs w:val="21"/>
              </w:rPr>
              <w:t>0.32%</w:t>
            </w:r>
          </w:p>
        </w:tc>
        <w:tc>
          <w:tcPr>
            <w:tcW w:w="1291" w:type="dxa"/>
            <w:vAlign w:val="center"/>
          </w:tcPr>
          <w:p w:rsidR="00E24F6D" w:rsidRDefault="00E93AA1">
            <w:pPr>
              <w:jc w:val="right"/>
            </w:pPr>
            <w:r>
              <w:rPr>
                <w:rFonts w:eastAsiaTheme="minorEastAsia"/>
                <w:color w:val="000000" w:themeColor="text1"/>
                <w:szCs w:val="21"/>
              </w:rPr>
              <w:t>11.90%</w:t>
            </w:r>
          </w:p>
        </w:tc>
        <w:tc>
          <w:tcPr>
            <w:tcW w:w="1291" w:type="dxa"/>
            <w:vAlign w:val="center"/>
          </w:tcPr>
          <w:p w:rsidR="00E24F6D" w:rsidRDefault="00E93AA1">
            <w:pPr>
              <w:jc w:val="right"/>
            </w:pPr>
            <w:r>
              <w:rPr>
                <w:rFonts w:eastAsiaTheme="minorEastAsia"/>
                <w:color w:val="000000" w:themeColor="text1"/>
                <w:szCs w:val="21"/>
              </w:rPr>
              <w:t>0.25%</w:t>
            </w:r>
          </w:p>
        </w:tc>
        <w:tc>
          <w:tcPr>
            <w:tcW w:w="1291" w:type="dxa"/>
            <w:vAlign w:val="center"/>
          </w:tcPr>
          <w:p w:rsidR="00E24F6D" w:rsidRDefault="00E93AA1">
            <w:pPr>
              <w:jc w:val="right"/>
            </w:pPr>
            <w:r>
              <w:rPr>
                <w:rFonts w:eastAsiaTheme="minorEastAsia"/>
                <w:color w:val="000000" w:themeColor="text1"/>
                <w:szCs w:val="21"/>
              </w:rPr>
              <w:t>-0.53%</w:t>
            </w:r>
          </w:p>
        </w:tc>
        <w:tc>
          <w:tcPr>
            <w:tcW w:w="1291" w:type="dxa"/>
            <w:vAlign w:val="center"/>
          </w:tcPr>
          <w:p w:rsidR="00E24F6D" w:rsidRDefault="00E93AA1">
            <w:pPr>
              <w:jc w:val="right"/>
            </w:pPr>
            <w:r>
              <w:rPr>
                <w:rFonts w:eastAsiaTheme="minorEastAsia"/>
                <w:color w:val="000000" w:themeColor="text1"/>
                <w:szCs w:val="21"/>
              </w:rPr>
              <w:t>0.07%</w:t>
            </w:r>
          </w:p>
        </w:tc>
      </w:tr>
      <w:tr w:rsidR="00E24F6D">
        <w:tc>
          <w:tcPr>
            <w:tcW w:w="1290" w:type="dxa"/>
            <w:vAlign w:val="center"/>
          </w:tcPr>
          <w:p w:rsidR="00E24F6D" w:rsidRDefault="00E93AA1">
            <w:pPr>
              <w:jc w:val="left"/>
            </w:pPr>
            <w:r>
              <w:rPr>
                <w:rFonts w:eastAsiaTheme="minorEastAsia"/>
                <w:color w:val="000000" w:themeColor="text1"/>
                <w:szCs w:val="21"/>
              </w:rPr>
              <w:t>过去五年</w:t>
            </w:r>
          </w:p>
        </w:tc>
        <w:tc>
          <w:tcPr>
            <w:tcW w:w="1291" w:type="dxa"/>
            <w:vAlign w:val="center"/>
          </w:tcPr>
          <w:p w:rsidR="00E24F6D" w:rsidRDefault="00E93AA1">
            <w:pPr>
              <w:jc w:val="right"/>
            </w:pPr>
            <w:r>
              <w:rPr>
                <w:rFonts w:eastAsiaTheme="minorEastAsia"/>
                <w:color w:val="000000" w:themeColor="text1"/>
                <w:szCs w:val="21"/>
              </w:rPr>
              <w:t>24.97%</w:t>
            </w:r>
          </w:p>
        </w:tc>
        <w:tc>
          <w:tcPr>
            <w:tcW w:w="1291" w:type="dxa"/>
            <w:vAlign w:val="center"/>
          </w:tcPr>
          <w:p w:rsidR="00E24F6D" w:rsidRDefault="00E93AA1">
            <w:pPr>
              <w:jc w:val="right"/>
            </w:pPr>
            <w:r>
              <w:rPr>
                <w:rFonts w:eastAsiaTheme="minorEastAsia"/>
                <w:color w:val="000000" w:themeColor="text1"/>
                <w:szCs w:val="21"/>
              </w:rPr>
              <w:t>0.29%</w:t>
            </w:r>
          </w:p>
        </w:tc>
        <w:tc>
          <w:tcPr>
            <w:tcW w:w="1291" w:type="dxa"/>
            <w:vAlign w:val="center"/>
          </w:tcPr>
          <w:p w:rsidR="00E24F6D" w:rsidRDefault="00E93AA1">
            <w:pPr>
              <w:jc w:val="right"/>
            </w:pPr>
            <w:r>
              <w:rPr>
                <w:rFonts w:eastAsiaTheme="minorEastAsia"/>
                <w:color w:val="000000" w:themeColor="text1"/>
                <w:szCs w:val="21"/>
              </w:rPr>
              <w:t>22.03%</w:t>
            </w:r>
          </w:p>
        </w:tc>
        <w:tc>
          <w:tcPr>
            <w:tcW w:w="1291" w:type="dxa"/>
            <w:vAlign w:val="center"/>
          </w:tcPr>
          <w:p w:rsidR="00E24F6D" w:rsidRDefault="00E93AA1">
            <w:pPr>
              <w:jc w:val="right"/>
            </w:pPr>
            <w:r>
              <w:rPr>
                <w:rFonts w:eastAsiaTheme="minorEastAsia"/>
                <w:color w:val="000000" w:themeColor="text1"/>
                <w:szCs w:val="21"/>
              </w:rPr>
              <w:t>0.25%</w:t>
            </w:r>
          </w:p>
        </w:tc>
        <w:tc>
          <w:tcPr>
            <w:tcW w:w="1291" w:type="dxa"/>
            <w:vAlign w:val="center"/>
          </w:tcPr>
          <w:p w:rsidR="00E24F6D" w:rsidRDefault="00E93AA1">
            <w:pPr>
              <w:jc w:val="right"/>
            </w:pPr>
            <w:r>
              <w:rPr>
                <w:rFonts w:eastAsiaTheme="minorEastAsia"/>
                <w:color w:val="000000" w:themeColor="text1"/>
                <w:szCs w:val="21"/>
              </w:rPr>
              <w:t>2.94%</w:t>
            </w:r>
          </w:p>
        </w:tc>
        <w:tc>
          <w:tcPr>
            <w:tcW w:w="1291" w:type="dxa"/>
            <w:vAlign w:val="center"/>
          </w:tcPr>
          <w:p w:rsidR="00E24F6D" w:rsidRDefault="00E93AA1">
            <w:pPr>
              <w:jc w:val="right"/>
            </w:pPr>
            <w:r>
              <w:rPr>
                <w:rFonts w:eastAsiaTheme="minorEastAsia"/>
                <w:color w:val="000000" w:themeColor="text1"/>
                <w:szCs w:val="21"/>
              </w:rPr>
              <w:t>0.04%</w:t>
            </w:r>
          </w:p>
        </w:tc>
      </w:tr>
      <w:tr w:rsidR="00E24F6D">
        <w:tc>
          <w:tcPr>
            <w:tcW w:w="1290" w:type="dxa"/>
            <w:vAlign w:val="center"/>
          </w:tcPr>
          <w:p w:rsidR="00E24F6D" w:rsidRDefault="00E93AA1">
            <w:pPr>
              <w:jc w:val="left"/>
            </w:pPr>
            <w:r>
              <w:rPr>
                <w:rFonts w:eastAsiaTheme="minorEastAsia"/>
                <w:color w:val="000000" w:themeColor="text1"/>
                <w:szCs w:val="21"/>
              </w:rPr>
              <w:t>自基金合同生效起至今</w:t>
            </w:r>
          </w:p>
        </w:tc>
        <w:tc>
          <w:tcPr>
            <w:tcW w:w="1291" w:type="dxa"/>
            <w:vAlign w:val="center"/>
          </w:tcPr>
          <w:p w:rsidR="00E24F6D" w:rsidRDefault="00E93AA1">
            <w:pPr>
              <w:jc w:val="right"/>
            </w:pPr>
            <w:r>
              <w:rPr>
                <w:rFonts w:eastAsiaTheme="minorEastAsia"/>
                <w:color w:val="000000" w:themeColor="text1"/>
                <w:szCs w:val="21"/>
              </w:rPr>
              <w:t>29.43%</w:t>
            </w:r>
          </w:p>
        </w:tc>
        <w:tc>
          <w:tcPr>
            <w:tcW w:w="1291" w:type="dxa"/>
            <w:vAlign w:val="center"/>
          </w:tcPr>
          <w:p w:rsidR="00E24F6D" w:rsidRDefault="00E93AA1">
            <w:pPr>
              <w:jc w:val="right"/>
            </w:pPr>
            <w:r>
              <w:rPr>
                <w:rFonts w:eastAsiaTheme="minorEastAsia"/>
                <w:color w:val="000000" w:themeColor="text1"/>
                <w:szCs w:val="21"/>
              </w:rPr>
              <w:t>0.27%</w:t>
            </w:r>
          </w:p>
        </w:tc>
        <w:tc>
          <w:tcPr>
            <w:tcW w:w="1291" w:type="dxa"/>
            <w:vAlign w:val="center"/>
          </w:tcPr>
          <w:p w:rsidR="00E24F6D" w:rsidRDefault="00E93AA1">
            <w:pPr>
              <w:jc w:val="right"/>
            </w:pPr>
            <w:r>
              <w:rPr>
                <w:rFonts w:eastAsiaTheme="minorEastAsia"/>
                <w:color w:val="000000" w:themeColor="text1"/>
                <w:szCs w:val="21"/>
              </w:rPr>
              <w:t>25.94%</w:t>
            </w:r>
          </w:p>
        </w:tc>
        <w:tc>
          <w:tcPr>
            <w:tcW w:w="1291" w:type="dxa"/>
            <w:vAlign w:val="center"/>
          </w:tcPr>
          <w:p w:rsidR="00E24F6D" w:rsidRDefault="00E93AA1">
            <w:pPr>
              <w:jc w:val="right"/>
            </w:pPr>
            <w:r>
              <w:rPr>
                <w:rFonts w:eastAsiaTheme="minorEastAsia"/>
                <w:color w:val="000000" w:themeColor="text1"/>
                <w:szCs w:val="21"/>
              </w:rPr>
              <w:t>0.24%</w:t>
            </w:r>
          </w:p>
        </w:tc>
        <w:tc>
          <w:tcPr>
            <w:tcW w:w="1291" w:type="dxa"/>
            <w:vAlign w:val="center"/>
          </w:tcPr>
          <w:p w:rsidR="00E24F6D" w:rsidRDefault="00E93AA1">
            <w:pPr>
              <w:jc w:val="right"/>
            </w:pPr>
            <w:r>
              <w:rPr>
                <w:rFonts w:eastAsiaTheme="minorEastAsia"/>
                <w:color w:val="000000" w:themeColor="text1"/>
                <w:szCs w:val="21"/>
              </w:rPr>
              <w:t>3.49%</w:t>
            </w:r>
          </w:p>
        </w:tc>
        <w:tc>
          <w:tcPr>
            <w:tcW w:w="1291" w:type="dxa"/>
            <w:vAlign w:val="center"/>
          </w:tcPr>
          <w:p w:rsidR="00E24F6D" w:rsidRDefault="00E93AA1">
            <w:pPr>
              <w:jc w:val="right"/>
            </w:pPr>
            <w:r>
              <w:rPr>
                <w:rFonts w:eastAsiaTheme="minorEastAsia"/>
                <w:color w:val="000000" w:themeColor="text1"/>
                <w:szCs w:val="21"/>
              </w:rPr>
              <w:t>0.03%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上投摩根安丰回报混合型证券投资基金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(2017</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9</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15</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．上投摩根安丰回报混合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日，本基金运作终止日为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日，图示的时间段为合同生效日至本基金运作终止日</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．上投摩根安丰回报混合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日，本基金运作终止日为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日，图示的时间段为合同生效日至本基金运作终止日</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24F6D">
        <w:tc>
          <w:tcPr>
            <w:tcW w:w="952" w:type="dxa"/>
            <w:vAlign w:val="center"/>
          </w:tcPr>
          <w:p w:rsidR="00E24F6D" w:rsidRDefault="00E93AA1">
            <w:pPr>
              <w:jc w:val="center"/>
            </w:pPr>
            <w:r>
              <w:rPr>
                <w:rFonts w:eastAsiaTheme="minorEastAsia"/>
                <w:color w:val="000000" w:themeColor="text1"/>
                <w:szCs w:val="21"/>
              </w:rPr>
              <w:t>任翔</w:t>
            </w:r>
          </w:p>
        </w:tc>
        <w:tc>
          <w:tcPr>
            <w:tcW w:w="930" w:type="dxa"/>
            <w:vAlign w:val="center"/>
          </w:tcPr>
          <w:p w:rsidR="00E24F6D" w:rsidRDefault="00E93AA1">
            <w:pPr>
              <w:jc w:val="center"/>
            </w:pPr>
            <w:r>
              <w:rPr>
                <w:rFonts w:eastAsiaTheme="minorEastAsia"/>
                <w:color w:val="000000" w:themeColor="text1"/>
                <w:szCs w:val="21"/>
              </w:rPr>
              <w:t>本基金基金经理、固</w:t>
            </w:r>
            <w:r>
              <w:rPr>
                <w:rFonts w:eastAsiaTheme="minorEastAsia"/>
                <w:color w:val="000000" w:themeColor="text1"/>
                <w:szCs w:val="21"/>
              </w:rPr>
              <w:lastRenderedPageBreak/>
              <w:t>收研究部总监</w:t>
            </w:r>
          </w:p>
        </w:tc>
        <w:tc>
          <w:tcPr>
            <w:tcW w:w="1210" w:type="dxa"/>
            <w:vAlign w:val="center"/>
          </w:tcPr>
          <w:p w:rsidR="00E24F6D" w:rsidRDefault="00E93AA1">
            <w:pPr>
              <w:jc w:val="center"/>
            </w:pPr>
            <w:r>
              <w:rPr>
                <w:rFonts w:eastAsiaTheme="minorEastAsia"/>
                <w:color w:val="000000" w:themeColor="text1"/>
                <w:szCs w:val="21"/>
              </w:rPr>
              <w:lastRenderedPageBreak/>
              <w:t>2022-04-28</w:t>
            </w:r>
          </w:p>
        </w:tc>
        <w:tc>
          <w:tcPr>
            <w:tcW w:w="1309" w:type="dxa"/>
            <w:vAlign w:val="center"/>
          </w:tcPr>
          <w:p w:rsidR="00E24F6D" w:rsidRDefault="00E93AA1">
            <w:pPr>
              <w:jc w:val="center"/>
            </w:pPr>
            <w:r>
              <w:rPr>
                <w:rFonts w:eastAsiaTheme="minorEastAsia"/>
                <w:color w:val="000000" w:themeColor="text1"/>
                <w:szCs w:val="21"/>
              </w:rPr>
              <w:t>-</w:t>
            </w:r>
          </w:p>
        </w:tc>
        <w:tc>
          <w:tcPr>
            <w:tcW w:w="1254" w:type="dxa"/>
            <w:vAlign w:val="center"/>
          </w:tcPr>
          <w:p w:rsidR="00E24F6D" w:rsidRDefault="00E93AA1">
            <w:pPr>
              <w:jc w:val="center"/>
            </w:pPr>
            <w:r>
              <w:rPr>
                <w:rFonts w:eastAsiaTheme="minorEastAsia"/>
                <w:color w:val="000000" w:themeColor="text1"/>
                <w:szCs w:val="21"/>
              </w:rPr>
              <w:t>8</w:t>
            </w:r>
            <w:r>
              <w:rPr>
                <w:rFonts w:eastAsiaTheme="minorEastAsia"/>
                <w:color w:val="000000" w:themeColor="text1"/>
                <w:szCs w:val="21"/>
              </w:rPr>
              <w:t>年</w:t>
            </w:r>
          </w:p>
        </w:tc>
        <w:tc>
          <w:tcPr>
            <w:tcW w:w="3276" w:type="dxa"/>
            <w:vAlign w:val="center"/>
          </w:tcPr>
          <w:p w:rsidR="00E24F6D" w:rsidRDefault="00E93AA1">
            <w:r>
              <w:rPr>
                <w:rFonts w:eastAsiaTheme="minorEastAsia"/>
                <w:color w:val="000000" w:themeColor="text1"/>
                <w:szCs w:val="21"/>
              </w:rPr>
              <w:t>任翔先生，</w:t>
            </w:r>
            <w:r>
              <w:rPr>
                <w:rFonts w:eastAsiaTheme="minorEastAsia"/>
                <w:color w:val="000000" w:themeColor="text1"/>
                <w:szCs w:val="21"/>
              </w:rPr>
              <w:t>CFA</w:t>
            </w:r>
            <w:r>
              <w:rPr>
                <w:rFonts w:eastAsiaTheme="minorEastAsia"/>
                <w:color w:val="000000" w:themeColor="text1"/>
                <w:szCs w:val="21"/>
              </w:rPr>
              <w:t>，</w:t>
            </w:r>
            <w:r>
              <w:rPr>
                <w:rFonts w:eastAsiaTheme="minorEastAsia"/>
                <w:color w:val="000000" w:themeColor="text1"/>
                <w:szCs w:val="21"/>
              </w:rPr>
              <w:t>CPA</w:t>
            </w:r>
            <w:r>
              <w:rPr>
                <w:rFonts w:eastAsiaTheme="minorEastAsia"/>
                <w:color w:val="000000" w:themeColor="text1"/>
                <w:szCs w:val="21"/>
              </w:rPr>
              <w:t>，上海交通大学硕士，现任基金经理兼固收研究部总监。任翔先生自</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lastRenderedPageBreak/>
              <w:t>月至</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月，在德勤华永会计师事务所有限公司任高级审计师；</w:t>
            </w:r>
            <w:r>
              <w:rPr>
                <w:rFonts w:eastAsiaTheme="minorEastAsia"/>
                <w:color w:val="000000" w:themeColor="text1"/>
                <w:szCs w:val="21"/>
              </w:rPr>
              <w:t>2012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月，在汇丰银行（中国）有限公司任客户审计经理；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月起加入上投摩根基金管理有限公司，历任研究员、投资经理助理、投资经理兼债券研究部副总监、投资经理兼固收研究部总监，现任债券投资部基金经理兼固收研究部总监，自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月起任上投摩根瑞益纯债债券型证券投资基金基金经理，自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月起同时担任上投摩根瑞泰</w:t>
            </w:r>
            <w:r>
              <w:rPr>
                <w:rFonts w:eastAsiaTheme="minorEastAsia"/>
                <w:color w:val="000000" w:themeColor="text1"/>
                <w:szCs w:val="21"/>
              </w:rPr>
              <w:t>38</w:t>
            </w:r>
            <w:r>
              <w:rPr>
                <w:rFonts w:eastAsiaTheme="minorEastAsia"/>
                <w:color w:val="000000" w:themeColor="text1"/>
                <w:szCs w:val="21"/>
              </w:rPr>
              <w:t>个月</w:t>
            </w:r>
            <w:r>
              <w:rPr>
                <w:rFonts w:eastAsiaTheme="minorEastAsia"/>
                <w:color w:val="000000" w:themeColor="text1"/>
                <w:szCs w:val="21"/>
              </w:rPr>
              <w:t>定期开放债券型证券投资基金基金经理，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月同时担任上投摩根纯债添利债券型证券投资基金基金经理，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月同时担任上投摩根瑞利纯债债券型证券投资基金基金经理，</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月同时担任上投摩根岁岁益定期开放债券型证券投资基金基金经理，自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月起同时担任上投摩根月月盈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天滚动持有发起式短债债券型证券投资基金基金经理，</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月至</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月同时担任上投摩根</w:t>
            </w:r>
            <w:r>
              <w:rPr>
                <w:rFonts w:eastAsiaTheme="minorEastAsia"/>
                <w:color w:val="000000" w:themeColor="text1"/>
                <w:szCs w:val="21"/>
              </w:rPr>
              <w:t>安丰回报混合型证券投资基金基金经理。</w:t>
            </w:r>
          </w:p>
        </w:tc>
      </w:tr>
    </w:tbl>
    <w:p w:rsidR="00E24F6D" w:rsidRDefault="00E93AA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上投摩根安丰回报混合型证券投资基金基金合同》的规定。除以下情况外，基金经理对个股和投资组合的比例遵循了投资决策委员会的授权限制，基金投资比例符合基金合同和法律法规的要求：本基金曾出现</w:t>
      </w:r>
      <w:r w:rsidRPr="00B27A29">
        <w:rPr>
          <w:rFonts w:eastAsiaTheme="minorEastAsia"/>
          <w:color w:val="000000" w:themeColor="text1"/>
          <w:szCs w:val="21"/>
        </w:rPr>
        <w:lastRenderedPageBreak/>
        <w:t>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w:t>
      </w:r>
      <w:r>
        <w:rPr>
          <w:rFonts w:eastAsiaTheme="minorEastAsia"/>
          <w:color w:val="000000" w:themeColor="text1"/>
          <w:szCs w:val="21"/>
        </w:rPr>
        <w:t>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w:t>
      </w:r>
      <w:r>
        <w:rPr>
          <w:rFonts w:eastAsiaTheme="minorEastAsia"/>
          <w:color w:val="000000" w:themeColor="text1"/>
          <w:szCs w:val="21"/>
        </w:rPr>
        <w:t>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三季度债券收益率呈现出先下后上的特征。具体来看，</w:t>
      </w:r>
      <w:r>
        <w:rPr>
          <w:rFonts w:eastAsiaTheme="minorEastAsia"/>
          <w:color w:val="000000" w:themeColor="text1"/>
          <w:szCs w:val="21"/>
        </w:rPr>
        <w:t>7</w:t>
      </w:r>
      <w:r>
        <w:rPr>
          <w:rFonts w:eastAsiaTheme="minorEastAsia"/>
          <w:color w:val="000000" w:themeColor="text1"/>
          <w:szCs w:val="21"/>
        </w:rPr>
        <w:t>月初央行将公开市场逆回购操作缩量至</w:t>
      </w:r>
      <w:r>
        <w:rPr>
          <w:rFonts w:eastAsiaTheme="minorEastAsia"/>
          <w:color w:val="000000" w:themeColor="text1"/>
          <w:szCs w:val="21"/>
        </w:rPr>
        <w:t>30</w:t>
      </w:r>
      <w:r>
        <w:rPr>
          <w:rFonts w:eastAsiaTheme="minorEastAsia"/>
          <w:color w:val="000000" w:themeColor="text1"/>
          <w:szCs w:val="21"/>
        </w:rPr>
        <w:t>亿，一度令债券投资者对资金面转向悲观，但随后多地疫情扰动再现，个别区域的银行及地产相关风险事件降低了市场对央行短期内收紧流动性的预期。政治局会议出台增量政策较少，更多侧重在前期已出台政策的落实，打消了债券投资者前期对于可能的强刺激政策的担忧，利好债券。月末，市场开始关注佩洛西窜访中国台湾的计划，避险情绪升温，推动收益率进一步下行。</w:t>
      </w:r>
      <w:r>
        <w:rPr>
          <w:rFonts w:eastAsiaTheme="minorEastAsia"/>
          <w:color w:val="000000" w:themeColor="text1"/>
          <w:szCs w:val="21"/>
        </w:rPr>
        <w:lastRenderedPageBreak/>
        <w:t>8</w:t>
      </w:r>
      <w:r>
        <w:rPr>
          <w:rFonts w:eastAsiaTheme="minorEastAsia"/>
          <w:color w:val="000000" w:themeColor="text1"/>
          <w:szCs w:val="21"/>
        </w:rPr>
        <w:t>月资金面延续宽松，资金利率进一步走低。与此同时，</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PMI</w:t>
      </w:r>
      <w:r>
        <w:rPr>
          <w:rFonts w:eastAsiaTheme="minorEastAsia"/>
          <w:color w:val="000000" w:themeColor="text1"/>
          <w:szCs w:val="21"/>
        </w:rPr>
        <w:t>以及金融数据均低于预期，反映出当</w:t>
      </w:r>
      <w:r>
        <w:rPr>
          <w:rFonts w:eastAsiaTheme="minorEastAsia"/>
          <w:color w:val="000000" w:themeColor="text1"/>
          <w:szCs w:val="21"/>
        </w:rPr>
        <w:t>前经济增长压力较高。债券收益率震荡下行。</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日，央行缩量续作</w:t>
      </w:r>
      <w:r>
        <w:rPr>
          <w:rFonts w:eastAsiaTheme="minorEastAsia"/>
          <w:color w:val="000000" w:themeColor="text1"/>
          <w:szCs w:val="21"/>
        </w:rPr>
        <w:t>MLF</w:t>
      </w:r>
      <w:r>
        <w:rPr>
          <w:rFonts w:eastAsiaTheme="minorEastAsia"/>
          <w:color w:val="000000" w:themeColor="text1"/>
          <w:szCs w:val="21"/>
        </w:rPr>
        <w:t>，回笼资金</w:t>
      </w:r>
      <w:r>
        <w:rPr>
          <w:rFonts w:eastAsiaTheme="minorEastAsia"/>
          <w:color w:val="000000" w:themeColor="text1"/>
          <w:szCs w:val="21"/>
        </w:rPr>
        <w:t>2000</w:t>
      </w:r>
      <w:r>
        <w:rPr>
          <w:rFonts w:eastAsiaTheme="minorEastAsia"/>
          <w:color w:val="000000" w:themeColor="text1"/>
          <w:szCs w:val="21"/>
        </w:rPr>
        <w:t>亿，但将</w:t>
      </w:r>
      <w:r>
        <w:rPr>
          <w:rFonts w:eastAsiaTheme="minorEastAsia"/>
          <w:color w:val="000000" w:themeColor="text1"/>
          <w:szCs w:val="21"/>
        </w:rPr>
        <w:t>MLF</w:t>
      </w:r>
      <w:r>
        <w:rPr>
          <w:rFonts w:eastAsiaTheme="minorEastAsia"/>
          <w:color w:val="000000" w:themeColor="text1"/>
          <w:szCs w:val="21"/>
        </w:rPr>
        <w:t>及逆回购利率同时下调</w:t>
      </w:r>
      <w:r>
        <w:rPr>
          <w:rFonts w:eastAsiaTheme="minorEastAsia"/>
          <w:color w:val="000000" w:themeColor="text1"/>
          <w:szCs w:val="21"/>
        </w:rPr>
        <w:t>10bp</w:t>
      </w:r>
      <w:r>
        <w:rPr>
          <w:rFonts w:eastAsiaTheme="minorEastAsia"/>
          <w:color w:val="000000" w:themeColor="text1"/>
          <w:szCs w:val="21"/>
        </w:rPr>
        <w:t>。此前市场对</w:t>
      </w:r>
      <w:r>
        <w:rPr>
          <w:rFonts w:eastAsiaTheme="minorEastAsia"/>
          <w:color w:val="000000" w:themeColor="text1"/>
          <w:szCs w:val="21"/>
        </w:rPr>
        <w:t>MFL</w:t>
      </w:r>
      <w:r>
        <w:rPr>
          <w:rFonts w:eastAsiaTheme="minorEastAsia"/>
          <w:color w:val="000000" w:themeColor="text1"/>
          <w:szCs w:val="21"/>
        </w:rPr>
        <w:t>缩量已有预期，超预期的</w:t>
      </w:r>
      <w:r>
        <w:rPr>
          <w:rFonts w:eastAsiaTheme="minorEastAsia"/>
          <w:color w:val="000000" w:themeColor="text1"/>
          <w:szCs w:val="21"/>
        </w:rPr>
        <w:t>“</w:t>
      </w:r>
      <w:r>
        <w:rPr>
          <w:rFonts w:eastAsiaTheme="minorEastAsia"/>
          <w:color w:val="000000" w:themeColor="text1"/>
          <w:szCs w:val="21"/>
        </w:rPr>
        <w:t>降息</w:t>
      </w:r>
      <w:r>
        <w:rPr>
          <w:rFonts w:eastAsiaTheme="minorEastAsia"/>
          <w:color w:val="000000" w:themeColor="text1"/>
          <w:szCs w:val="21"/>
        </w:rPr>
        <w:t>”</w:t>
      </w:r>
      <w:r>
        <w:rPr>
          <w:rFonts w:eastAsiaTheme="minorEastAsia"/>
          <w:color w:val="000000" w:themeColor="text1"/>
          <w:szCs w:val="21"/>
        </w:rPr>
        <w:t>使得当日收益率大幅下行，叠加经济数据低于预期，债市做多热情被点燃。此后资金面略有收紧，止盈情绪下，收益率有所回调。当月</w:t>
      </w:r>
      <w:r>
        <w:rPr>
          <w:rFonts w:eastAsiaTheme="minorEastAsia"/>
          <w:color w:val="000000" w:themeColor="text1"/>
          <w:szCs w:val="21"/>
        </w:rPr>
        <w:t>LPR</w:t>
      </w:r>
      <w:r>
        <w:rPr>
          <w:rFonts w:eastAsiaTheme="minorEastAsia"/>
          <w:color w:val="000000" w:themeColor="text1"/>
          <w:szCs w:val="21"/>
        </w:rPr>
        <w:t>如期下调，因在</w:t>
      </w:r>
      <w:r>
        <w:rPr>
          <w:rFonts w:eastAsiaTheme="minorEastAsia"/>
          <w:color w:val="000000" w:themeColor="text1"/>
          <w:szCs w:val="21"/>
        </w:rPr>
        <w:t>MLF</w:t>
      </w:r>
      <w:r>
        <w:rPr>
          <w:rFonts w:eastAsiaTheme="minorEastAsia"/>
          <w:color w:val="000000" w:themeColor="text1"/>
          <w:szCs w:val="21"/>
        </w:rPr>
        <w:t>利率调降后，市场对此已有充分预期，故未对市场形成显著影响。</w:t>
      </w:r>
      <w:r>
        <w:rPr>
          <w:rFonts w:eastAsiaTheme="minorEastAsia"/>
          <w:color w:val="000000" w:themeColor="text1"/>
          <w:szCs w:val="21"/>
        </w:rPr>
        <w:t>9</w:t>
      </w:r>
      <w:r>
        <w:rPr>
          <w:rFonts w:eastAsiaTheme="minorEastAsia"/>
          <w:color w:val="000000" w:themeColor="text1"/>
          <w:szCs w:val="21"/>
        </w:rPr>
        <w:t>月份，多个利空因素同时来袭：美联储</w:t>
      </w:r>
      <w:r>
        <w:rPr>
          <w:rFonts w:eastAsiaTheme="minorEastAsia"/>
          <w:color w:val="000000" w:themeColor="text1"/>
          <w:szCs w:val="21"/>
        </w:rPr>
        <w:t>“</w:t>
      </w:r>
      <w:r>
        <w:rPr>
          <w:rFonts w:eastAsiaTheme="minorEastAsia"/>
          <w:color w:val="000000" w:themeColor="text1"/>
          <w:szCs w:val="21"/>
        </w:rPr>
        <w:t>鹰上加鹰</w:t>
      </w:r>
      <w:r>
        <w:rPr>
          <w:rFonts w:eastAsiaTheme="minorEastAsia"/>
          <w:color w:val="000000" w:themeColor="text1"/>
          <w:szCs w:val="21"/>
        </w:rPr>
        <w:t>”</w:t>
      </w:r>
      <w:r>
        <w:rPr>
          <w:rFonts w:eastAsiaTheme="minorEastAsia"/>
          <w:color w:val="000000" w:themeColor="text1"/>
          <w:szCs w:val="21"/>
        </w:rPr>
        <w:t>使得美债收益率走高，同时美元走强给人民币带来压力；国内地产政策进一步放松；临近跨季，</w:t>
      </w:r>
      <w:r>
        <w:rPr>
          <w:rFonts w:eastAsiaTheme="minorEastAsia"/>
          <w:color w:val="000000" w:themeColor="text1"/>
          <w:szCs w:val="21"/>
        </w:rPr>
        <w:t>资金面明显收敛。以上因素交织共振使得收益率震荡上行，回吐</w:t>
      </w:r>
      <w:r>
        <w:rPr>
          <w:rFonts w:eastAsiaTheme="minorEastAsia"/>
          <w:color w:val="000000" w:themeColor="text1"/>
          <w:szCs w:val="21"/>
        </w:rPr>
        <w:t>“</w:t>
      </w:r>
      <w:r>
        <w:rPr>
          <w:rFonts w:eastAsiaTheme="minorEastAsia"/>
          <w:color w:val="000000" w:themeColor="text1"/>
          <w:szCs w:val="21"/>
        </w:rPr>
        <w:t>降息</w:t>
      </w:r>
      <w:r>
        <w:rPr>
          <w:rFonts w:eastAsiaTheme="minorEastAsia"/>
          <w:color w:val="000000" w:themeColor="text1"/>
          <w:szCs w:val="21"/>
        </w:rPr>
        <w:t>”</w:t>
      </w:r>
      <w:r>
        <w:rPr>
          <w:rFonts w:eastAsiaTheme="minorEastAsia"/>
          <w:color w:val="000000" w:themeColor="text1"/>
          <w:szCs w:val="21"/>
        </w:rPr>
        <w:t>后的涨幅。</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本基金在三季度维持前期策略，主要配置于短久期利率债，稳健运作。</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基本面看，地产尚无明显起色，海外需求下行或致出口承压，消费复苏依然受制于疫情，基建发力虽强，但恐独木难支。因此经济增长整体压力依然较大。但亦应看到稳增长相关政策正逐步加码，或可引导市场预期在基本面之前发生变化，而变化的持续性则取决于政策的有效性。货币政策方面，汇率及通胀虽尚未对货币政策构成严重制约，但当前情形下对于进一步的宽松，央行或仍有顾忌。信用方面，在基本面较弱的情况下，信用利差走至低位，需警惕反转可能。景气度下行行业及弱资质城投应尽量规避。后续操作将关注政策落地情况及效果，提高组合灵活性，把控好信用风险。</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本报告期上投摩根安丰回报混合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:-0.01%</w:t>
      </w:r>
      <w:r>
        <w:rPr>
          <w:rFonts w:eastAsiaTheme="minorEastAsia"/>
          <w:color w:val="000000" w:themeColor="text1"/>
          <w:szCs w:val="21"/>
        </w:rPr>
        <w:t>，同期业绩比较基准收益率为</w:t>
      </w:r>
      <w:r>
        <w:rPr>
          <w:rFonts w:eastAsiaTheme="minorEastAsia"/>
          <w:color w:val="000000" w:themeColor="text1"/>
          <w:szCs w:val="21"/>
        </w:rPr>
        <w:t>:-0.73%,</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上投摩根安丰回报混合</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:-0.12%</w:t>
      </w:r>
      <w:r>
        <w:rPr>
          <w:rFonts w:eastAsiaTheme="minorEastAsia"/>
          <w:color w:val="000000" w:themeColor="text1"/>
          <w:szCs w:val="21"/>
        </w:rPr>
        <w:t>，同期业绩比较基准收益率为</w:t>
      </w:r>
      <w:r>
        <w:rPr>
          <w:rFonts w:eastAsiaTheme="minorEastAsia"/>
          <w:color w:val="000000" w:themeColor="text1"/>
          <w:szCs w:val="21"/>
        </w:rPr>
        <w:t>:-0.73%</w:t>
      </w:r>
      <w:r>
        <w:rPr>
          <w:rFonts w:eastAsiaTheme="minorEastAsia"/>
          <w:color w:val="000000" w:themeColor="text1"/>
          <w:szCs w:val="21"/>
        </w:rPr>
        <w:t>。</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本基金于</w:t>
      </w:r>
      <w:r w:rsidRPr="00B27A29">
        <w:rPr>
          <w:rFonts w:eastAsiaTheme="minorEastAsia"/>
          <w:color w:val="000000" w:themeColor="text1"/>
          <w:szCs w:val="21"/>
        </w:rPr>
        <w:t>2022</w:t>
      </w:r>
      <w:r w:rsidRPr="00B27A29">
        <w:rPr>
          <w:rFonts w:eastAsiaTheme="minorEastAsia"/>
          <w:color w:val="000000" w:themeColor="text1"/>
          <w:szCs w:val="21"/>
        </w:rPr>
        <w:t>年</w:t>
      </w:r>
      <w:r w:rsidRPr="00B27A29">
        <w:rPr>
          <w:rFonts w:eastAsiaTheme="minorEastAsia"/>
          <w:color w:val="000000" w:themeColor="text1"/>
          <w:szCs w:val="21"/>
        </w:rPr>
        <w:t>9</w:t>
      </w:r>
      <w:r w:rsidRPr="00B27A29">
        <w:rPr>
          <w:rFonts w:eastAsiaTheme="minorEastAsia"/>
          <w:color w:val="000000" w:themeColor="text1"/>
          <w:szCs w:val="21"/>
        </w:rPr>
        <w:t>月</w:t>
      </w:r>
      <w:r w:rsidRPr="00B27A29">
        <w:rPr>
          <w:rFonts w:eastAsiaTheme="minorEastAsia"/>
          <w:color w:val="000000" w:themeColor="text1"/>
          <w:szCs w:val="21"/>
        </w:rPr>
        <w:t>16</w:t>
      </w:r>
      <w:r w:rsidRPr="00B27A29">
        <w:rPr>
          <w:rFonts w:eastAsiaTheme="minorEastAsia"/>
          <w:color w:val="000000" w:themeColor="text1"/>
          <w:szCs w:val="21"/>
        </w:rPr>
        <w:t>日进入清算期。</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E24F6D" w:rsidRDefault="00E93AA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w:t>
      </w:r>
      <w:r>
        <w:rPr>
          <w:rFonts w:eastAsiaTheme="minorEastAsia"/>
          <w:color w:val="000000" w:themeColor="text1"/>
          <w:kern w:val="0"/>
          <w:szCs w:val="21"/>
        </w:rPr>
        <w:t>个工作日户数低于二百户的情况，出现该情况的时间范围为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E24F6D" w:rsidRDefault="00E93AA1">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报告期内，本基金存在连续六十个工作日基金资产净值低于五千万元的情况，出现该情况的时间范围为</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07</w:t>
      </w:r>
      <w:r>
        <w:rPr>
          <w:rFonts w:eastAsiaTheme="minorEastAsia"/>
          <w:color w:val="000000" w:themeColor="text1"/>
          <w:kern w:val="0"/>
          <w:szCs w:val="21"/>
        </w:rPr>
        <w:t>月</w:t>
      </w:r>
      <w:r>
        <w:rPr>
          <w:rFonts w:eastAsiaTheme="minorEastAsia"/>
          <w:color w:val="000000" w:themeColor="text1"/>
          <w:kern w:val="0"/>
          <w:szCs w:val="21"/>
        </w:rPr>
        <w:t>01</w:t>
      </w:r>
      <w:r>
        <w:rPr>
          <w:rFonts w:eastAsiaTheme="minorEastAsia"/>
          <w:color w:val="000000" w:themeColor="text1"/>
          <w:kern w:val="0"/>
          <w:szCs w:val="21"/>
        </w:rPr>
        <w:t>日至</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09</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本基金于</w:t>
      </w: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9</w:t>
      </w:r>
      <w:r w:rsidRPr="00B27A29">
        <w:rPr>
          <w:rFonts w:eastAsiaTheme="minorEastAsia"/>
          <w:color w:val="000000" w:themeColor="text1"/>
          <w:kern w:val="0"/>
          <w:szCs w:val="21"/>
        </w:rPr>
        <w:t>月</w:t>
      </w:r>
      <w:r w:rsidRPr="00B27A29">
        <w:rPr>
          <w:rFonts w:eastAsiaTheme="minorEastAsia"/>
          <w:color w:val="000000" w:themeColor="text1"/>
          <w:kern w:val="0"/>
          <w:szCs w:val="21"/>
        </w:rPr>
        <w:t>16</w:t>
      </w:r>
      <w:r w:rsidRPr="00B27A29">
        <w:rPr>
          <w:rFonts w:eastAsiaTheme="minorEastAsia"/>
          <w:color w:val="000000" w:themeColor="text1"/>
          <w:kern w:val="0"/>
          <w:szCs w:val="21"/>
        </w:rPr>
        <w:t>日进入清算期。</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1,451,106.48</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99.99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125.48</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1,451,231.96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125.48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125.48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上投摩根安丰回报混合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403,054.67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8,542,604.55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363.49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24.76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8,508.01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7,922,872.54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394,910.15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619,756.77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lastRenderedPageBreak/>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lastRenderedPageBreak/>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E24F6D">
        <w:tc>
          <w:tcPr>
            <w:tcW w:w="993" w:type="dxa"/>
            <w:vMerge w:val="restart"/>
            <w:vAlign w:val="center"/>
          </w:tcPr>
          <w:p w:rsidR="00E24F6D" w:rsidRDefault="00E93AA1">
            <w:r>
              <w:rPr>
                <w:bCs/>
                <w:color w:val="000000"/>
                <w:kern w:val="0"/>
                <w:szCs w:val="21"/>
              </w:rPr>
              <w:t>机构</w:t>
            </w:r>
          </w:p>
        </w:tc>
        <w:tc>
          <w:tcPr>
            <w:tcW w:w="992" w:type="dxa"/>
            <w:vAlign w:val="center"/>
          </w:tcPr>
          <w:p w:rsidR="00E24F6D" w:rsidRDefault="00E93AA1">
            <w:pPr>
              <w:jc w:val="center"/>
            </w:pPr>
            <w:r>
              <w:rPr>
                <w:color w:val="000000"/>
                <w:kern w:val="0"/>
                <w:szCs w:val="21"/>
              </w:rPr>
              <w:t>1</w:t>
            </w:r>
          </w:p>
        </w:tc>
        <w:tc>
          <w:tcPr>
            <w:tcW w:w="1843" w:type="dxa"/>
            <w:vAlign w:val="center"/>
          </w:tcPr>
          <w:p w:rsidR="00E24F6D" w:rsidRDefault="00E93AA1">
            <w:pPr>
              <w:jc w:val="center"/>
            </w:pPr>
            <w:r>
              <w:rPr>
                <w:color w:val="000000"/>
                <w:kern w:val="0"/>
                <w:szCs w:val="21"/>
              </w:rPr>
              <w:t>20220701-20220811</w:t>
            </w:r>
          </w:p>
        </w:tc>
        <w:tc>
          <w:tcPr>
            <w:tcW w:w="851" w:type="dxa"/>
            <w:vAlign w:val="center"/>
          </w:tcPr>
          <w:p w:rsidR="00E24F6D" w:rsidRDefault="00E93AA1">
            <w:pPr>
              <w:jc w:val="center"/>
            </w:pPr>
            <w:r>
              <w:rPr>
                <w:color w:val="000000"/>
                <w:kern w:val="0"/>
                <w:szCs w:val="21"/>
              </w:rPr>
              <w:t>7,876,496.53</w:t>
            </w:r>
          </w:p>
        </w:tc>
        <w:tc>
          <w:tcPr>
            <w:tcW w:w="850" w:type="dxa"/>
            <w:vAlign w:val="center"/>
          </w:tcPr>
          <w:p w:rsidR="00E24F6D" w:rsidRDefault="00E93AA1">
            <w:pPr>
              <w:jc w:val="center"/>
            </w:pPr>
            <w:r>
              <w:rPr>
                <w:color w:val="000000"/>
                <w:kern w:val="0"/>
                <w:szCs w:val="21"/>
              </w:rPr>
              <w:t>-</w:t>
            </w:r>
          </w:p>
        </w:tc>
        <w:tc>
          <w:tcPr>
            <w:tcW w:w="1134" w:type="dxa"/>
            <w:vAlign w:val="center"/>
          </w:tcPr>
          <w:p w:rsidR="00E24F6D" w:rsidRDefault="00E93AA1">
            <w:pPr>
              <w:jc w:val="center"/>
            </w:pPr>
            <w:r>
              <w:rPr>
                <w:color w:val="000000"/>
                <w:kern w:val="0"/>
                <w:szCs w:val="21"/>
              </w:rPr>
              <w:t>7,876,496.53</w:t>
            </w:r>
          </w:p>
        </w:tc>
        <w:tc>
          <w:tcPr>
            <w:tcW w:w="1419" w:type="dxa"/>
            <w:vAlign w:val="center"/>
          </w:tcPr>
          <w:p w:rsidR="00E24F6D" w:rsidRDefault="00E93AA1">
            <w:pPr>
              <w:jc w:val="center"/>
            </w:pPr>
            <w:r>
              <w:rPr>
                <w:color w:val="000000"/>
                <w:kern w:val="0"/>
                <w:szCs w:val="21"/>
              </w:rPr>
              <w:t>0.00</w:t>
            </w:r>
          </w:p>
        </w:tc>
        <w:tc>
          <w:tcPr>
            <w:tcW w:w="1130" w:type="dxa"/>
            <w:vAlign w:val="center"/>
          </w:tcPr>
          <w:p w:rsidR="00E24F6D" w:rsidRDefault="00E93AA1">
            <w:pPr>
              <w:jc w:val="center"/>
            </w:pPr>
            <w:r>
              <w:rPr>
                <w:color w:val="000000"/>
                <w:kern w:val="0"/>
                <w:szCs w:val="21"/>
              </w:rPr>
              <w:t>0.00%</w:t>
            </w:r>
          </w:p>
        </w:tc>
      </w:tr>
      <w:tr w:rsidR="00E24F6D">
        <w:tc>
          <w:tcPr>
            <w:tcW w:w="993" w:type="dxa"/>
            <w:vMerge w:val="restart"/>
            <w:vAlign w:val="center"/>
          </w:tcPr>
          <w:p w:rsidR="00E24F6D" w:rsidRDefault="00E93AA1">
            <w:r>
              <w:rPr>
                <w:bCs/>
                <w:color w:val="000000"/>
                <w:kern w:val="0"/>
                <w:szCs w:val="21"/>
              </w:rPr>
              <w:t>个人</w:t>
            </w:r>
          </w:p>
        </w:tc>
        <w:tc>
          <w:tcPr>
            <w:tcW w:w="992" w:type="dxa"/>
            <w:vAlign w:val="center"/>
          </w:tcPr>
          <w:p w:rsidR="00E24F6D" w:rsidRDefault="00E93AA1">
            <w:pPr>
              <w:jc w:val="center"/>
            </w:pPr>
            <w:r>
              <w:rPr>
                <w:kern w:val="0"/>
                <w:szCs w:val="21"/>
              </w:rPr>
              <w:t>1</w:t>
            </w:r>
          </w:p>
        </w:tc>
        <w:tc>
          <w:tcPr>
            <w:tcW w:w="1843" w:type="dxa"/>
            <w:vAlign w:val="center"/>
          </w:tcPr>
          <w:p w:rsidR="00E24F6D" w:rsidRDefault="00E93AA1">
            <w:pPr>
              <w:jc w:val="center"/>
            </w:pPr>
            <w:r>
              <w:rPr>
                <w:kern w:val="0"/>
                <w:szCs w:val="21"/>
              </w:rPr>
              <w:t>20220812-20220915</w:t>
            </w:r>
          </w:p>
        </w:tc>
        <w:tc>
          <w:tcPr>
            <w:tcW w:w="851" w:type="dxa"/>
            <w:vAlign w:val="center"/>
          </w:tcPr>
          <w:p w:rsidR="00E24F6D" w:rsidRDefault="00E93AA1">
            <w:pPr>
              <w:jc w:val="center"/>
            </w:pPr>
            <w:r>
              <w:rPr>
                <w:kern w:val="0"/>
                <w:szCs w:val="21"/>
              </w:rPr>
              <w:t>258,642.99</w:t>
            </w:r>
          </w:p>
        </w:tc>
        <w:tc>
          <w:tcPr>
            <w:tcW w:w="850" w:type="dxa"/>
            <w:vAlign w:val="center"/>
          </w:tcPr>
          <w:p w:rsidR="00E24F6D" w:rsidRDefault="00E93AA1">
            <w:pPr>
              <w:jc w:val="center"/>
            </w:pPr>
            <w:r>
              <w:rPr>
                <w:kern w:val="0"/>
                <w:szCs w:val="21"/>
              </w:rPr>
              <w:t>-</w:t>
            </w:r>
          </w:p>
        </w:tc>
        <w:tc>
          <w:tcPr>
            <w:tcW w:w="1134" w:type="dxa"/>
            <w:vAlign w:val="center"/>
          </w:tcPr>
          <w:p w:rsidR="00E24F6D" w:rsidRDefault="00E93AA1">
            <w:pPr>
              <w:jc w:val="center"/>
            </w:pPr>
            <w:r>
              <w:rPr>
                <w:kern w:val="0"/>
                <w:szCs w:val="21"/>
              </w:rPr>
              <w:t>-</w:t>
            </w:r>
          </w:p>
        </w:tc>
        <w:tc>
          <w:tcPr>
            <w:tcW w:w="1419" w:type="dxa"/>
            <w:vAlign w:val="center"/>
          </w:tcPr>
          <w:p w:rsidR="00E24F6D" w:rsidRDefault="00E93AA1">
            <w:pPr>
              <w:jc w:val="center"/>
            </w:pPr>
            <w:r>
              <w:rPr>
                <w:kern w:val="0"/>
                <w:szCs w:val="21"/>
              </w:rPr>
              <w:t>258,642.99</w:t>
            </w:r>
          </w:p>
        </w:tc>
        <w:tc>
          <w:tcPr>
            <w:tcW w:w="1130" w:type="dxa"/>
            <w:vAlign w:val="center"/>
          </w:tcPr>
          <w:p w:rsidR="00E24F6D" w:rsidRDefault="00E93AA1">
            <w:pPr>
              <w:jc w:val="center"/>
            </w:pPr>
            <w:r>
              <w:rPr>
                <w:kern w:val="0"/>
                <w:szCs w:val="21"/>
              </w:rPr>
              <w:t>25.49%</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8.2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根据基金管理人于</w:t>
      </w:r>
      <w:r w:rsidRPr="00B27A29">
        <w:rPr>
          <w:color w:val="000000"/>
          <w:szCs w:val="21"/>
        </w:rPr>
        <w:t>2022</w:t>
      </w:r>
      <w:r w:rsidRPr="00B27A29">
        <w:rPr>
          <w:color w:val="000000"/>
          <w:szCs w:val="21"/>
        </w:rPr>
        <w:t>年</w:t>
      </w:r>
      <w:r w:rsidRPr="00B27A29">
        <w:rPr>
          <w:color w:val="000000"/>
          <w:szCs w:val="21"/>
        </w:rPr>
        <w:t>9</w:t>
      </w:r>
      <w:r w:rsidRPr="00B27A29">
        <w:rPr>
          <w:color w:val="000000"/>
          <w:szCs w:val="21"/>
        </w:rPr>
        <w:t>月</w:t>
      </w:r>
      <w:r w:rsidRPr="00B27A29">
        <w:rPr>
          <w:color w:val="000000"/>
          <w:szCs w:val="21"/>
        </w:rPr>
        <w:t>15</w:t>
      </w:r>
      <w:r w:rsidRPr="00B27A29">
        <w:rPr>
          <w:color w:val="000000"/>
          <w:szCs w:val="21"/>
        </w:rPr>
        <w:t>日发布的《关于上投摩根安丰回报混合型证券投资基金基金份额持有人大会表决结果暨决议生效的公告》，本基金份额持有人大会于</w:t>
      </w:r>
      <w:r w:rsidRPr="00B27A29">
        <w:rPr>
          <w:color w:val="000000"/>
          <w:szCs w:val="21"/>
        </w:rPr>
        <w:t>2022</w:t>
      </w:r>
      <w:r w:rsidRPr="00B27A29">
        <w:rPr>
          <w:color w:val="000000"/>
          <w:szCs w:val="21"/>
        </w:rPr>
        <w:t>年</w:t>
      </w:r>
      <w:r w:rsidRPr="00B27A29">
        <w:rPr>
          <w:color w:val="000000"/>
          <w:szCs w:val="21"/>
        </w:rPr>
        <w:t>9</w:t>
      </w:r>
      <w:r w:rsidRPr="00B27A29">
        <w:rPr>
          <w:color w:val="000000"/>
          <w:szCs w:val="21"/>
        </w:rPr>
        <w:t>月</w:t>
      </w:r>
      <w:r w:rsidRPr="00B27A29">
        <w:rPr>
          <w:color w:val="000000"/>
          <w:szCs w:val="21"/>
        </w:rPr>
        <w:t>13</w:t>
      </w:r>
      <w:r w:rsidRPr="00B27A29">
        <w:rPr>
          <w:color w:val="000000"/>
          <w:szCs w:val="21"/>
        </w:rPr>
        <w:t>日表决通过了《关于上投摩根安丰回报混合型证券投资基金终止基金合同有关事项的议案》，决议自该日起生效。该基金份额持有人大会决议生效后，根据基金份额持有人大会通过的议案及方案说明，本基金将从本公告的下一日，即</w:t>
      </w:r>
      <w:r w:rsidRPr="00B27A29">
        <w:rPr>
          <w:color w:val="000000"/>
          <w:szCs w:val="21"/>
        </w:rPr>
        <w:t>2022</w:t>
      </w:r>
      <w:r w:rsidRPr="00B27A29">
        <w:rPr>
          <w:color w:val="000000"/>
          <w:szCs w:val="21"/>
        </w:rPr>
        <w:t>年</w:t>
      </w:r>
      <w:r w:rsidRPr="00B27A29">
        <w:rPr>
          <w:color w:val="000000"/>
          <w:szCs w:val="21"/>
        </w:rPr>
        <w:t>9</w:t>
      </w:r>
      <w:r w:rsidRPr="00B27A29">
        <w:rPr>
          <w:color w:val="000000"/>
          <w:szCs w:val="21"/>
        </w:rPr>
        <w:t>月</w:t>
      </w:r>
      <w:r w:rsidRPr="00B27A29">
        <w:rPr>
          <w:color w:val="000000"/>
          <w:szCs w:val="21"/>
        </w:rPr>
        <w:t>16</w:t>
      </w:r>
      <w:r w:rsidRPr="00B27A29">
        <w:rPr>
          <w:color w:val="000000"/>
          <w:szCs w:val="21"/>
        </w:rPr>
        <w:t>日起进入基金财产清算期。本基金进入清算程序后，即自</w:t>
      </w:r>
      <w:r w:rsidRPr="00B27A29">
        <w:rPr>
          <w:color w:val="000000"/>
          <w:szCs w:val="21"/>
        </w:rPr>
        <w:t>2022</w:t>
      </w:r>
      <w:r w:rsidRPr="00B27A29">
        <w:rPr>
          <w:color w:val="000000"/>
          <w:szCs w:val="21"/>
        </w:rPr>
        <w:t>年</w:t>
      </w:r>
      <w:r w:rsidRPr="00B27A29">
        <w:rPr>
          <w:color w:val="000000"/>
          <w:szCs w:val="21"/>
        </w:rPr>
        <w:t>9</w:t>
      </w:r>
      <w:r w:rsidRPr="00B27A29">
        <w:rPr>
          <w:color w:val="000000"/>
          <w:szCs w:val="21"/>
        </w:rPr>
        <w:t>月</w:t>
      </w:r>
      <w:r w:rsidRPr="00B27A29">
        <w:rPr>
          <w:color w:val="000000"/>
          <w:szCs w:val="21"/>
        </w:rPr>
        <w:t>16</w:t>
      </w:r>
      <w:r w:rsidRPr="00B27A29">
        <w:rPr>
          <w:color w:val="000000"/>
          <w:szCs w:val="21"/>
        </w:rPr>
        <w:t>日起，不再接受投资者提出的申购、赎回、转换及定期定额投资等业务的申请，且不再计提管理费、托管费及销售服务费。</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中国证监会准予上投摩根安丰回报混合型证券投资基金募集注册的文件；</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《上投摩根安丰回报混合型证券投资基金基金合同》；</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《上投摩根安丰回报混合型证券投资基金托管协议》；</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《上投摩根开放式基金业务规则》；</w:t>
      </w:r>
    </w:p>
    <w:p w:rsidR="00E24F6D" w:rsidRDefault="00E93AA1">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 xml:space="preserve">6. </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上投摩根基金管理有限公司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二〇二二年十月二十六日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E0E" w:rsidRDefault="00E54E0E">
      <w:r>
        <w:separator/>
      </w:r>
    </w:p>
  </w:endnote>
  <w:endnote w:type="continuationSeparator" w:id="0">
    <w:p w:rsidR="00E54E0E" w:rsidRDefault="00E5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93AA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93AA1">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E93AA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E0E" w:rsidRDefault="00E54E0E">
      <w:r>
        <w:separator/>
      </w:r>
    </w:p>
  </w:footnote>
  <w:footnote w:type="continuationSeparator" w:id="0">
    <w:p w:rsidR="00E54E0E" w:rsidRDefault="00E5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上投摩根安丰回报混合型证券投资基金</w:t>
    </w:r>
    <w:r>
      <w:t>2022</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4F6D"/>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3AA1"/>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048A38-0AEE-4D77-9994-7C97A63C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22</TotalTime>
  <Pages>14</Pages>
  <Words>1198</Words>
  <Characters>6829</Characters>
  <Application>Microsoft Office Word</Application>
  <DocSecurity>0</DocSecurity>
  <Lines>56</Lines>
  <Paragraphs>16</Paragraphs>
  <ScaleCrop>false</ScaleCrop>
  <Company>TRT. Ltd. Co.</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Chen,Richard</cp:lastModifiedBy>
  <cp:revision>218</cp:revision>
  <cp:lastPrinted>2007-07-19T00:46:00Z</cp:lastPrinted>
  <dcterms:created xsi:type="dcterms:W3CDTF">2013-06-21T06:56:00Z</dcterms:created>
  <dcterms:modified xsi:type="dcterms:W3CDTF">2022-10-25T06:04:00Z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