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1C4503" w:rsidRDefault="001C4503">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1C4503" w:rsidRDefault="001C4503">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1C4503" w:rsidRDefault="001C4503">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sz w:val="48"/>
          <w:szCs w:val="48"/>
        </w:rPr>
        <w:t>摩根全球多元配置证券投资基金</w:t>
      </w:r>
      <w:r>
        <w:rPr>
          <w:rFonts w:ascii="宋体" w:hAnsi="宋体" w:hint="eastAsia"/>
          <w:b/>
          <w:bCs/>
          <w:sz w:val="48"/>
          <w:szCs w:val="48"/>
        </w:rPr>
        <w:t>(QDII-FOF)</w:t>
      </w:r>
      <w:r>
        <w:rPr>
          <w:rFonts w:ascii="宋体" w:hAnsi="宋体" w:hint="eastAsia"/>
          <w:b/>
          <w:bCs/>
          <w:sz w:val="48"/>
          <w:szCs w:val="48"/>
        </w:rPr>
        <w:br/>
        <w:t>2026</w:t>
      </w:r>
      <w:r>
        <w:rPr>
          <w:rFonts w:ascii="宋体" w:hAnsi="宋体" w:hint="eastAsia"/>
          <w:b/>
          <w:bCs/>
          <w:sz w:val="48"/>
          <w:szCs w:val="48"/>
        </w:rPr>
        <w:t>年第</w:t>
      </w:r>
      <w:r>
        <w:rPr>
          <w:rFonts w:ascii="宋体" w:hAnsi="宋体" w:hint="eastAsia"/>
          <w:b/>
          <w:bCs/>
          <w:sz w:val="48"/>
          <w:szCs w:val="48"/>
        </w:rPr>
        <w:t>2</w:t>
      </w:r>
      <w:r>
        <w:rPr>
          <w:rFonts w:ascii="宋体" w:hAnsi="宋体" w:hint="eastAsia"/>
          <w:b/>
          <w:bCs/>
          <w:sz w:val="48"/>
          <w:szCs w:val="48"/>
        </w:rPr>
        <w:t>季度报</w:t>
      </w:r>
      <w:r>
        <w:rPr>
          <w:rFonts w:ascii="宋体" w:hAnsi="宋体" w:hint="eastAsia"/>
          <w:b/>
          <w:bCs/>
          <w:sz w:val="48"/>
          <w:szCs w:val="48"/>
        </w:rPr>
        <w:t>告</w:t>
      </w:r>
    </w:p>
    <w:p w:rsidR="001C4503" w:rsidRDefault="001C4503">
      <w:pPr>
        <w:spacing w:line="360" w:lineRule="auto"/>
        <w:jc w:val="center"/>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1C4503" w:rsidRDefault="001C4503">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1C4503" w:rsidRDefault="001C4503">
      <w:pPr>
        <w:spacing w:line="360" w:lineRule="auto"/>
        <w:ind w:rightChars="-230" w:right="-483"/>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1C4503" w:rsidRDefault="001C450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C4503" w:rsidRDefault="001C450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C4503" w:rsidRDefault="001C450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C4503" w:rsidRDefault="001C450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C4503" w:rsidRDefault="001C450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C4503" w:rsidRDefault="001C450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C4503" w:rsidRDefault="001C450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C4503" w:rsidRDefault="001C450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C4503" w:rsidRDefault="001C450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C4503" w:rsidRDefault="001C450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C4503" w:rsidRDefault="001C4503">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1C4503" w:rsidRDefault="001C4503">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招商银行股份有限公</w:t>
      </w:r>
      <w:r>
        <w:rPr>
          <w:rFonts w:ascii="宋体" w:hAnsi="宋体" w:hint="eastAsia"/>
          <w:b/>
          <w:bCs/>
          <w:sz w:val="28"/>
          <w:szCs w:val="30"/>
        </w:rPr>
        <w:t>司</w:t>
      </w:r>
    </w:p>
    <w:p w:rsidR="001C4503" w:rsidRDefault="001C4503">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1C4503" w:rsidRDefault="001C4503">
      <w:pPr>
        <w:pStyle w:val="XBRLTitle1"/>
        <w:spacing w:before="156"/>
        <w:ind w:left="425"/>
      </w:pPr>
      <w:r>
        <w:rPr>
          <w:rFonts w:cs="宋体" w:hint="eastAsia"/>
          <w:color w:val="404040"/>
          <w:kern w:val="0"/>
        </w:rPr>
        <w:br w:type="page"/>
      </w:r>
      <w:bookmarkStart w:id="7" w:name="_Toc514088243"/>
      <w:bookmarkStart w:id="8" w:name="_Toc480465412"/>
      <w:bookmarkStart w:id="9" w:name="_Toc448480282"/>
      <w:bookmarkStart w:id="10" w:name="_Toc438654070"/>
      <w:bookmarkStart w:id="11" w:name="_Toc456107117"/>
      <w:bookmarkStart w:id="12" w:name="_Toc459213763"/>
      <w:bookmarkStart w:id="13" w:name="_Toc513542644"/>
      <w:bookmarkStart w:id="14" w:name="_Toc512696250"/>
      <w:bookmarkStart w:id="15" w:name="_Toc512612253"/>
      <w:bookmarkStart w:id="16" w:name="_Toc512612077"/>
      <w:bookmarkStart w:id="17" w:name="_Toc512611281"/>
      <w:bookmarkStart w:id="18" w:name="m101"/>
      <w:r>
        <w:rPr>
          <w:rFonts w:hint="eastAsia"/>
        </w:rPr>
        <w:lastRenderedPageBreak/>
        <w:t>重要提</w:t>
      </w:r>
      <w:r>
        <w:rPr>
          <w:rFonts w:hint="eastAsia"/>
        </w:rPr>
        <w:t>示</w:t>
      </w:r>
      <w:bookmarkEnd w:id="7"/>
      <w:bookmarkEnd w:id="8"/>
      <w:bookmarkEnd w:id="9"/>
      <w:bookmarkEnd w:id="10"/>
      <w:bookmarkEnd w:id="11"/>
      <w:bookmarkEnd w:id="12"/>
      <w:bookmarkEnd w:id="13"/>
      <w:bookmarkEnd w:id="14"/>
      <w:bookmarkEnd w:id="15"/>
      <w:bookmarkEnd w:id="16"/>
      <w:bookmarkEnd w:id="17"/>
    </w:p>
    <w:p w:rsidR="001C4503" w:rsidRDefault="001C4503">
      <w:pPr>
        <w:spacing w:line="360" w:lineRule="auto"/>
        <w:ind w:firstLineChars="200" w:firstLine="420"/>
        <w:divId w:val="1334454500"/>
        <w:rPr>
          <w:rFonts w:hint="eastAsia"/>
        </w:rPr>
      </w:pPr>
      <w:bookmarkStart w:id="19" w:name="m502"/>
      <w:bookmarkStart w:id="20" w:name="_Toc438646470"/>
      <w:bookmarkStart w:id="21" w:name="m504"/>
      <w:bookmarkStart w:id="22" w:name="m08QD_01"/>
      <w:bookmarkStart w:id="23" w:name="_Toc194311890"/>
      <w:bookmarkStart w:id="24" w:name="m201"/>
      <w:bookmarkStart w:id="25"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基金托管人招商银行股份有限公司根据本基金合同约定，于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1C4503" w:rsidRDefault="001C4503">
      <w:pPr>
        <w:pStyle w:val="XBRLTitle1"/>
        <w:spacing w:before="156"/>
        <w:ind w:left="425"/>
      </w:pPr>
      <w:bookmarkStart w:id="26" w:name="_Toc514088244"/>
      <w:bookmarkStart w:id="27" w:name="_Toc480465413"/>
      <w:bookmarkStart w:id="28" w:name="_Toc448480283"/>
      <w:bookmarkStart w:id="29" w:name="_Toc438654071"/>
      <w:bookmarkStart w:id="30" w:name="_Toc456107118"/>
      <w:bookmarkStart w:id="31" w:name="_Toc459213764"/>
      <w:bookmarkStart w:id="32" w:name="_Toc513542645"/>
      <w:bookmarkStart w:id="33" w:name="_Toc512696251"/>
      <w:bookmarkStart w:id="34" w:name="_Toc512612254"/>
      <w:bookmarkStart w:id="35" w:name="_Toc512612078"/>
      <w:bookmarkStart w:id="36" w:name="_Toc512611282"/>
      <w:r>
        <w:rPr>
          <w:rFonts w:hint="eastAsia"/>
        </w:rPr>
        <w:t>基金产品概</w:t>
      </w:r>
      <w:r>
        <w:rPr>
          <w:rFonts w:hint="eastAsia"/>
        </w:rPr>
        <w:t>况</w:t>
      </w:r>
      <w:bookmarkEnd w:id="26"/>
      <w:bookmarkEnd w:id="27"/>
      <w:bookmarkEnd w:id="28"/>
      <w:bookmarkEnd w:id="29"/>
      <w:bookmarkEnd w:id="30"/>
      <w:bookmarkEnd w:id="31"/>
      <w:bookmarkEnd w:id="32"/>
      <w:bookmarkEnd w:id="33"/>
      <w:bookmarkEnd w:id="34"/>
      <w:bookmarkEnd w:id="35"/>
      <w:bookmarkEnd w:id="36"/>
    </w:p>
    <w:tbl>
      <w:tblPr>
        <w:tblW w:w="4909"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750"/>
        <w:gridCol w:w="3310"/>
        <w:gridCol w:w="2614"/>
      </w:tblGrid>
      <w:tr w:rsidR="00000000">
        <w:trPr>
          <w:divId w:val="1424104591"/>
          <w:trHeight w:val="406"/>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rPr>
                <w:rFonts w:hint="eastAsia"/>
              </w:rPr>
            </w:pPr>
            <w:bookmarkStart w:id="37" w:name="OLE_LINK1"/>
            <w:bookmarkEnd w:id="18"/>
            <w:r>
              <w:rPr>
                <w:rFonts w:ascii="宋体" w:hAnsi="宋体" w:hint="eastAsia"/>
              </w:rPr>
              <w:t>基金简称</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szCs w:val="24"/>
                <w:lang w:eastAsia="zh-Hans"/>
              </w:rPr>
              <w:t>摩根全球多元配置</w:t>
            </w:r>
            <w:r>
              <w:rPr>
                <w:rFonts w:ascii="宋体" w:hAnsi="宋体" w:hint="eastAsia"/>
                <w:szCs w:val="24"/>
                <w:lang w:eastAsia="zh-Hans"/>
              </w:rPr>
              <w:t>(QDII-FOF</w:t>
            </w:r>
            <w:r>
              <w:rPr>
                <w:rFonts w:ascii="宋体" w:hAnsi="宋体" w:hint="eastAsia"/>
                <w:szCs w:val="24"/>
                <w:lang w:eastAsia="zh-Hans"/>
              </w:rPr>
              <w:t>)</w:t>
            </w:r>
            <w:r>
              <w:rPr>
                <w:rFonts w:ascii="宋体" w:hAnsi="宋体" w:hint="eastAsia"/>
                <w:lang w:eastAsia="zh-Hans"/>
              </w:rPr>
              <w:t xml:space="preserve"> </w:t>
            </w:r>
          </w:p>
        </w:tc>
      </w:tr>
      <w:tr w:rsidR="00000000">
        <w:trPr>
          <w:divId w:val="142410459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rPr>
              <w:t>基金主代码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lang w:eastAsia="zh-Hans"/>
              </w:rPr>
              <w:t>00362</w:t>
            </w:r>
            <w:r>
              <w:rPr>
                <w:rFonts w:ascii="宋体" w:hAnsi="宋体" w:hint="eastAsia"/>
                <w:lang w:eastAsia="zh-Hans"/>
              </w:rPr>
              <w:t>9</w:t>
            </w:r>
          </w:p>
        </w:tc>
      </w:tr>
      <w:tr w:rsidR="00000000">
        <w:trPr>
          <w:divId w:val="142410459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rPr>
              <w:t>基金运作方式</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lang w:eastAsia="zh-Hans"/>
              </w:rPr>
              <w:t>契约型开放</w:t>
            </w:r>
            <w:r>
              <w:rPr>
                <w:rFonts w:ascii="宋体" w:hAnsi="宋体" w:hint="eastAsia"/>
                <w:lang w:eastAsia="zh-Hans"/>
              </w:rPr>
              <w:t>式</w:t>
            </w:r>
          </w:p>
        </w:tc>
      </w:tr>
      <w:tr w:rsidR="00000000">
        <w:trPr>
          <w:divId w:val="142410459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rPr>
              <w:t>基金合同生效日</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lang w:eastAsia="zh-Hans"/>
              </w:rPr>
              <w:t>2016</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19</w:t>
            </w:r>
            <w:r>
              <w:rPr>
                <w:rFonts w:ascii="宋体" w:hAnsi="宋体" w:hint="eastAsia"/>
                <w:lang w:eastAsia="zh-Hans"/>
              </w:rPr>
              <w:t>日</w:t>
            </w:r>
          </w:p>
        </w:tc>
      </w:tr>
      <w:tr w:rsidR="00000000">
        <w:trPr>
          <w:divId w:val="142410459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rPr>
              <w:t>报告期末基金份额总额</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lang w:eastAsia="zh-Hans"/>
              </w:rPr>
              <w:t>563,949,922.0</w:t>
            </w:r>
            <w:r>
              <w:rPr>
                <w:rFonts w:ascii="宋体" w:hAnsi="宋体" w:hint="eastAsia"/>
                <w:lang w:eastAsia="zh-Hans"/>
              </w:rPr>
              <w:t>5</w:t>
            </w:r>
            <w:r>
              <w:rPr>
                <w:rFonts w:asciiTheme="minorHAnsi" w:eastAsiaTheme="minorEastAsia" w:hAnsiTheme="minorHAnsi" w:hint="eastAsia"/>
              </w:rPr>
              <w:t>份</w:t>
            </w:r>
            <w:r>
              <w:rPr>
                <w:rFonts w:ascii="宋体" w:hAnsi="宋体" w:hint="eastAsia"/>
                <w:lang w:eastAsia="zh-Hans"/>
              </w:rPr>
              <w:t xml:space="preserve"> </w:t>
            </w:r>
          </w:p>
        </w:tc>
      </w:tr>
      <w:tr w:rsidR="00000000">
        <w:trPr>
          <w:divId w:val="142410459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rPr>
              <w:t>投资目标</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lang w:eastAsia="zh-Hans"/>
              </w:rPr>
              <w:t>通过全球化的资产配置和组合管理，有效地分散投资风险；在降低组合波动性的同时，实现资产的长期增值</w:t>
            </w:r>
            <w:r>
              <w:rPr>
                <w:rFonts w:ascii="宋体" w:hAnsi="宋体" w:hint="eastAsia"/>
                <w:lang w:eastAsia="zh-Hans"/>
              </w:rPr>
              <w:t>。</w:t>
            </w:r>
          </w:p>
        </w:tc>
      </w:tr>
      <w:tr w:rsidR="00000000">
        <w:trPr>
          <w:divId w:val="142410459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rPr>
              <w:t>投资策略</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lang w:eastAsia="zh-Hans"/>
              </w:rPr>
              <w:t>1</w:t>
            </w:r>
            <w:r>
              <w:rPr>
                <w:rFonts w:ascii="宋体" w:hAnsi="宋体" w:hint="eastAsia"/>
                <w:lang w:eastAsia="zh-Hans"/>
              </w:rPr>
              <w:t>、大类资产配置策略</w:t>
            </w:r>
            <w:r>
              <w:rPr>
                <w:rFonts w:ascii="宋体" w:hAnsi="宋体" w:hint="eastAsia"/>
                <w:lang w:eastAsia="zh-Hans"/>
              </w:rPr>
              <w:br/>
            </w:r>
            <w:r>
              <w:rPr>
                <w:rFonts w:ascii="宋体" w:hAnsi="宋体" w:hint="eastAsia"/>
                <w:lang w:eastAsia="zh-Hans"/>
              </w:rPr>
              <w:t>本基金在大类资产配置层面将贯彻“自上而下”的资产组合配置策略，运用定性和定量相结合的方式确定基金资产配置长期比例。</w:t>
            </w:r>
            <w:r>
              <w:rPr>
                <w:rFonts w:ascii="宋体" w:hAnsi="宋体" w:hint="eastAsia"/>
                <w:lang w:eastAsia="zh-Hans"/>
              </w:rPr>
              <w:br/>
              <w:t>2</w:t>
            </w:r>
            <w:r>
              <w:rPr>
                <w:rFonts w:ascii="宋体" w:hAnsi="宋体" w:hint="eastAsia"/>
                <w:lang w:eastAsia="zh-Hans"/>
              </w:rPr>
              <w:t>、区域资产配置策略</w:t>
            </w:r>
            <w:r>
              <w:rPr>
                <w:rFonts w:ascii="宋体" w:hAnsi="宋体" w:hint="eastAsia"/>
                <w:lang w:eastAsia="zh-Hans"/>
              </w:rPr>
              <w:br/>
            </w:r>
            <w:r>
              <w:rPr>
                <w:rFonts w:ascii="宋体" w:hAnsi="宋体" w:hint="eastAsia"/>
                <w:lang w:eastAsia="zh-Hans"/>
              </w:rPr>
              <w:t>本基金将根据全球经济以及区域化经济发展、不同国家或地区经济体的宏观经济变化和经济增长情况，以及各证券市场的表现、全球资本的流动情况，挑选部分特定国家或地区作为重点投资对象，增加该目标市场在资产组合中的配置比例。本基金管理人在确定国家或地区配置比例后，将动态跟踪各国家或地区的权重，对其估值水平及风险收益特征进行研究并结合风险预算确定超配和低配比例。</w:t>
            </w:r>
            <w:r>
              <w:rPr>
                <w:rFonts w:ascii="宋体" w:hAnsi="宋体" w:hint="eastAsia"/>
                <w:lang w:eastAsia="zh-Hans"/>
              </w:rPr>
              <w:br/>
              <w:t>3</w:t>
            </w:r>
            <w:r>
              <w:rPr>
                <w:rFonts w:ascii="宋体" w:hAnsi="宋体" w:hint="eastAsia"/>
                <w:lang w:eastAsia="zh-Hans"/>
              </w:rPr>
              <w:t>、行业资产配置策略</w:t>
            </w:r>
            <w:r>
              <w:rPr>
                <w:rFonts w:ascii="宋体" w:hAnsi="宋体" w:hint="eastAsia"/>
                <w:lang w:eastAsia="zh-Hans"/>
              </w:rPr>
              <w:br/>
            </w:r>
            <w:r>
              <w:rPr>
                <w:rFonts w:ascii="宋体" w:hAnsi="宋体" w:hint="eastAsia"/>
                <w:lang w:eastAsia="zh-Hans"/>
              </w:rPr>
              <w:t>本基金通过行业分析系统，运用多种指标对各个行业进行综合分析评估，并在大类资产配置和区域资产配置框架下确定行业配置方案。本基金将动态跟踪各行业配置的权重，结合行业分析，考虑市场相关度并基于行业风险预算确定行业资产的具体超配和低配比例。</w:t>
            </w:r>
            <w:r>
              <w:rPr>
                <w:rFonts w:ascii="宋体" w:hAnsi="宋体" w:hint="eastAsia"/>
                <w:lang w:eastAsia="zh-Hans"/>
              </w:rPr>
              <w:br/>
              <w:t>4</w:t>
            </w:r>
            <w:r>
              <w:rPr>
                <w:rFonts w:ascii="宋体" w:hAnsi="宋体" w:hint="eastAsia"/>
                <w:lang w:eastAsia="zh-Hans"/>
              </w:rPr>
              <w:t>、标的基金投资策略</w:t>
            </w:r>
            <w:r>
              <w:rPr>
                <w:rFonts w:ascii="宋体" w:hAnsi="宋体" w:hint="eastAsia"/>
                <w:lang w:eastAsia="zh-Hans"/>
              </w:rPr>
              <w:br/>
            </w:r>
            <w:r>
              <w:rPr>
                <w:rFonts w:ascii="宋体" w:hAnsi="宋体" w:hint="eastAsia"/>
                <w:lang w:eastAsia="zh-Hans"/>
              </w:rPr>
              <w:t>本基金通过定量分析策略和定性分析策略相结合的方式优选标的基金，通过分析各标的基金的费率水平、历史收益、夏普比率、历史回撤、波动率等定量指标，以及基金公司、投资经理、投资流程、风险控制等定性指标，挑选出合适的基金组成标的基金池，构建基金投资组合。</w:t>
            </w:r>
            <w:r>
              <w:rPr>
                <w:rFonts w:ascii="宋体" w:hAnsi="宋体" w:hint="eastAsia"/>
                <w:lang w:eastAsia="zh-Hans"/>
              </w:rPr>
              <w:br/>
            </w:r>
            <w:r>
              <w:rPr>
                <w:rFonts w:ascii="宋体" w:hAnsi="宋体" w:hint="eastAsia"/>
                <w:lang w:eastAsia="zh-Hans"/>
              </w:rPr>
              <w:t>目前本基金将主要投资于摩根资产管理</w:t>
            </w:r>
            <w:r>
              <w:rPr>
                <w:rFonts w:ascii="宋体" w:hAnsi="宋体" w:hint="eastAsia"/>
                <w:lang w:eastAsia="zh-Hans"/>
              </w:rPr>
              <w:t>(J.P.</w:t>
            </w:r>
            <w:r>
              <w:rPr>
                <w:rFonts w:ascii="宋体" w:hAnsi="宋体" w:hint="eastAsia"/>
                <w:lang w:eastAsia="zh-Hans"/>
              </w:rPr>
              <w:t xml:space="preserve">　</w:t>
            </w:r>
            <w:r>
              <w:rPr>
                <w:rFonts w:ascii="宋体" w:hAnsi="宋体" w:hint="eastAsia"/>
                <w:lang w:eastAsia="zh-Hans"/>
              </w:rPr>
              <w:t>Morgan</w:t>
            </w:r>
            <w:r>
              <w:rPr>
                <w:rFonts w:ascii="宋体" w:hAnsi="宋体" w:hint="eastAsia"/>
                <w:lang w:eastAsia="zh-Hans"/>
              </w:rPr>
              <w:t xml:space="preserve">　</w:t>
            </w:r>
            <w:r>
              <w:rPr>
                <w:rFonts w:ascii="宋体" w:hAnsi="宋体" w:hint="eastAsia"/>
                <w:lang w:eastAsia="zh-Hans"/>
              </w:rPr>
              <w:t>Asset</w:t>
            </w:r>
            <w:r>
              <w:rPr>
                <w:rFonts w:ascii="宋体" w:hAnsi="宋体" w:hint="eastAsia"/>
                <w:lang w:eastAsia="zh-Hans"/>
              </w:rPr>
              <w:t xml:space="preserve">　</w:t>
            </w:r>
            <w:r>
              <w:rPr>
                <w:rFonts w:ascii="宋体" w:hAnsi="宋体" w:hint="eastAsia"/>
                <w:lang w:eastAsia="zh-Hans"/>
              </w:rPr>
              <w:t>Management)</w:t>
            </w:r>
            <w:r>
              <w:rPr>
                <w:rFonts w:ascii="宋体" w:hAnsi="宋体" w:hint="eastAsia"/>
                <w:lang w:eastAsia="zh-Hans"/>
              </w:rPr>
              <w:t>旗下的公募基金，并根据定量及定性分析策略优选标的基金。摩</w:t>
            </w:r>
            <w:r>
              <w:rPr>
                <w:rFonts w:ascii="宋体" w:hAnsi="宋体" w:hint="eastAsia"/>
                <w:lang w:eastAsia="zh-Hans"/>
              </w:rPr>
              <w:t>根资产管理</w:t>
            </w:r>
            <w:r>
              <w:rPr>
                <w:rFonts w:ascii="宋体" w:hAnsi="宋体" w:hint="eastAsia"/>
                <w:lang w:eastAsia="zh-Hans"/>
              </w:rPr>
              <w:t>(J.P.</w:t>
            </w:r>
            <w:r>
              <w:rPr>
                <w:rFonts w:ascii="宋体" w:hAnsi="宋体" w:hint="eastAsia"/>
                <w:lang w:eastAsia="zh-Hans"/>
              </w:rPr>
              <w:t xml:space="preserve">　</w:t>
            </w:r>
            <w:r>
              <w:rPr>
                <w:rFonts w:ascii="宋体" w:hAnsi="宋体" w:hint="eastAsia"/>
                <w:lang w:eastAsia="zh-Hans"/>
              </w:rPr>
              <w:t>Morgan</w:t>
            </w:r>
            <w:r>
              <w:rPr>
                <w:rFonts w:ascii="宋体" w:hAnsi="宋体" w:hint="eastAsia"/>
                <w:lang w:eastAsia="zh-Hans"/>
              </w:rPr>
              <w:t xml:space="preserve">　</w:t>
            </w:r>
            <w:r>
              <w:rPr>
                <w:rFonts w:ascii="宋体" w:hAnsi="宋体" w:hint="eastAsia"/>
                <w:lang w:eastAsia="zh-Hans"/>
              </w:rPr>
              <w:t>Asset</w:t>
            </w:r>
            <w:r>
              <w:rPr>
                <w:rFonts w:ascii="宋体" w:hAnsi="宋体" w:hint="eastAsia"/>
                <w:lang w:eastAsia="zh-Hans"/>
              </w:rPr>
              <w:t xml:space="preserve">　</w:t>
            </w:r>
            <w:r>
              <w:rPr>
                <w:rFonts w:ascii="宋体" w:hAnsi="宋体" w:hint="eastAsia"/>
                <w:lang w:eastAsia="zh-Hans"/>
              </w:rPr>
              <w:t>Management)</w:t>
            </w:r>
            <w:r>
              <w:rPr>
                <w:rFonts w:ascii="宋体" w:hAnsi="宋体" w:hint="eastAsia"/>
                <w:lang w:eastAsia="zh-Hans"/>
              </w:rPr>
              <w:t>主要是指与基金管理人存在关联关系的摩根资产管理旗下的法人实体，包括但不限于</w:t>
            </w:r>
            <w:r>
              <w:rPr>
                <w:rFonts w:ascii="宋体" w:hAnsi="宋体" w:hint="eastAsia"/>
                <w:lang w:eastAsia="zh-Hans"/>
              </w:rPr>
              <w:t>JPMorgan</w:t>
            </w:r>
            <w:r>
              <w:rPr>
                <w:rFonts w:ascii="宋体" w:hAnsi="宋体" w:hint="eastAsia"/>
                <w:lang w:eastAsia="zh-Hans"/>
              </w:rPr>
              <w:t xml:space="preserve">　</w:t>
            </w:r>
            <w:r>
              <w:rPr>
                <w:rFonts w:ascii="宋体" w:hAnsi="宋体" w:hint="eastAsia"/>
                <w:lang w:eastAsia="zh-Hans"/>
              </w:rPr>
              <w:t>Funds</w:t>
            </w:r>
            <w:r>
              <w:rPr>
                <w:rFonts w:ascii="宋体" w:hAnsi="宋体" w:hint="eastAsia"/>
                <w:lang w:eastAsia="zh-Hans"/>
              </w:rPr>
              <w:t xml:space="preserve">　</w:t>
            </w:r>
            <w:r>
              <w:rPr>
                <w:rFonts w:ascii="宋体" w:hAnsi="宋体" w:hint="eastAsia"/>
                <w:lang w:eastAsia="zh-Hans"/>
              </w:rPr>
              <w:t>(Asia)</w:t>
            </w:r>
            <w:r>
              <w:rPr>
                <w:rFonts w:ascii="宋体" w:hAnsi="宋体" w:hint="eastAsia"/>
                <w:lang w:eastAsia="zh-Hans"/>
              </w:rPr>
              <w:t xml:space="preserve">　</w:t>
            </w:r>
            <w:r>
              <w:rPr>
                <w:rFonts w:ascii="宋体" w:hAnsi="宋体" w:hint="eastAsia"/>
                <w:lang w:eastAsia="zh-Hans"/>
              </w:rPr>
              <w:t>Limited</w:t>
            </w:r>
            <w:r>
              <w:rPr>
                <w:rFonts w:ascii="宋体" w:hAnsi="宋体" w:hint="eastAsia"/>
                <w:lang w:eastAsia="zh-Hans"/>
              </w:rPr>
              <w:t>、</w:t>
            </w:r>
            <w:r>
              <w:rPr>
                <w:rFonts w:ascii="宋体" w:hAnsi="宋体" w:hint="eastAsia"/>
                <w:lang w:eastAsia="zh-Hans"/>
              </w:rPr>
              <w:t>JPMorgan</w:t>
            </w:r>
            <w:r>
              <w:rPr>
                <w:rFonts w:ascii="宋体" w:hAnsi="宋体" w:hint="eastAsia"/>
                <w:lang w:eastAsia="zh-Hans"/>
              </w:rPr>
              <w:t xml:space="preserve">　</w:t>
            </w:r>
            <w:r>
              <w:rPr>
                <w:rFonts w:ascii="宋体" w:hAnsi="宋体" w:hint="eastAsia"/>
                <w:lang w:eastAsia="zh-Hans"/>
              </w:rPr>
              <w:t>Asset</w:t>
            </w:r>
            <w:r>
              <w:rPr>
                <w:rFonts w:ascii="宋体" w:hAnsi="宋体" w:hint="eastAsia"/>
                <w:lang w:eastAsia="zh-Hans"/>
              </w:rPr>
              <w:t xml:space="preserve">　</w:t>
            </w:r>
            <w:r>
              <w:rPr>
                <w:rFonts w:ascii="宋体" w:hAnsi="宋体" w:hint="eastAsia"/>
                <w:lang w:eastAsia="zh-Hans"/>
              </w:rPr>
              <w:t>Management</w:t>
            </w:r>
            <w:r>
              <w:rPr>
                <w:rFonts w:ascii="宋体" w:hAnsi="宋体" w:hint="eastAsia"/>
                <w:lang w:eastAsia="zh-Hans"/>
              </w:rPr>
              <w:t xml:space="preserve">　</w:t>
            </w:r>
            <w:r>
              <w:rPr>
                <w:rFonts w:ascii="宋体" w:hAnsi="宋体" w:hint="eastAsia"/>
                <w:lang w:eastAsia="zh-Hans"/>
              </w:rPr>
              <w:t>(UK)</w:t>
            </w:r>
            <w:r>
              <w:rPr>
                <w:rFonts w:ascii="宋体" w:hAnsi="宋体" w:hint="eastAsia"/>
                <w:lang w:eastAsia="zh-Hans"/>
              </w:rPr>
              <w:t xml:space="preserve">　</w:t>
            </w:r>
            <w:r>
              <w:rPr>
                <w:rFonts w:ascii="宋体" w:hAnsi="宋体" w:hint="eastAsia"/>
                <w:lang w:eastAsia="zh-Hans"/>
              </w:rPr>
              <w:t>Limited</w:t>
            </w:r>
            <w:r>
              <w:rPr>
                <w:rFonts w:ascii="宋体" w:hAnsi="宋体" w:hint="eastAsia"/>
                <w:lang w:eastAsia="zh-Hans"/>
              </w:rPr>
              <w:t>等。</w:t>
            </w:r>
            <w:r>
              <w:rPr>
                <w:rFonts w:ascii="宋体" w:hAnsi="宋体" w:hint="eastAsia"/>
                <w:lang w:eastAsia="zh-Hans"/>
              </w:rPr>
              <w:br/>
              <w:t>5</w:t>
            </w:r>
            <w:r>
              <w:rPr>
                <w:rFonts w:ascii="宋体" w:hAnsi="宋体" w:hint="eastAsia"/>
                <w:lang w:eastAsia="zh-Hans"/>
              </w:rPr>
              <w:t>、金融衍生品投资策略</w:t>
            </w:r>
            <w:r>
              <w:rPr>
                <w:rFonts w:ascii="宋体" w:hAnsi="宋体" w:hint="eastAsia"/>
                <w:lang w:eastAsia="zh-Hans"/>
              </w:rPr>
              <w:br/>
            </w:r>
            <w:r>
              <w:rPr>
                <w:rFonts w:ascii="宋体" w:hAnsi="宋体" w:hint="eastAsia"/>
                <w:lang w:eastAsia="zh-Hans"/>
              </w:rPr>
              <w:t>本基金可本着谨慎和风险可控的原则投资于金融衍生品，以避险和增值、管理汇率风险</w:t>
            </w:r>
            <w:r>
              <w:rPr>
                <w:rFonts w:ascii="宋体" w:hAnsi="宋体" w:hint="eastAsia"/>
                <w:lang w:eastAsia="zh-Hans"/>
              </w:rPr>
              <w:t>。</w:t>
            </w:r>
          </w:p>
        </w:tc>
      </w:tr>
      <w:tr w:rsidR="00000000">
        <w:trPr>
          <w:divId w:val="142410459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rPr>
              <w:t>业绩比较基准</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lang w:eastAsia="zh-Hans"/>
              </w:rPr>
              <w:t>MSCI</w:t>
            </w:r>
            <w:r>
              <w:rPr>
                <w:rFonts w:ascii="宋体" w:hAnsi="宋体" w:hint="eastAsia"/>
                <w:lang w:eastAsia="zh-Hans"/>
              </w:rPr>
              <w:t>全球指数（</w:t>
            </w:r>
            <w:r>
              <w:rPr>
                <w:rFonts w:ascii="宋体" w:hAnsi="宋体" w:hint="eastAsia"/>
                <w:lang w:eastAsia="zh-Hans"/>
              </w:rPr>
              <w:t>MSCI</w:t>
            </w:r>
            <w:r>
              <w:rPr>
                <w:rFonts w:ascii="宋体" w:hAnsi="宋体" w:hint="eastAsia"/>
                <w:lang w:eastAsia="zh-Hans"/>
              </w:rPr>
              <w:t xml:space="preserve">　</w:t>
            </w:r>
            <w:r>
              <w:rPr>
                <w:rFonts w:ascii="宋体" w:hAnsi="宋体" w:hint="eastAsia"/>
                <w:lang w:eastAsia="zh-Hans"/>
              </w:rPr>
              <w:t>ACWI</w:t>
            </w:r>
            <w:r>
              <w:rPr>
                <w:rFonts w:ascii="宋体" w:hAnsi="宋体" w:hint="eastAsia"/>
                <w:lang w:eastAsia="zh-Hans"/>
              </w:rPr>
              <w:t>）</w:t>
            </w:r>
            <w:r>
              <w:rPr>
                <w:rFonts w:ascii="宋体" w:hAnsi="宋体" w:hint="eastAsia"/>
                <w:lang w:eastAsia="zh-Hans"/>
              </w:rPr>
              <w:t>*80%+</w:t>
            </w:r>
            <w:r>
              <w:rPr>
                <w:rFonts w:ascii="宋体" w:hAnsi="宋体" w:hint="eastAsia"/>
                <w:lang w:eastAsia="zh-Hans"/>
              </w:rPr>
              <w:t>摩根大通全球债券指数（</w:t>
            </w:r>
            <w:r>
              <w:rPr>
                <w:rFonts w:ascii="宋体" w:hAnsi="宋体" w:hint="eastAsia"/>
                <w:lang w:eastAsia="zh-Hans"/>
              </w:rPr>
              <w:t>J.P.</w:t>
            </w:r>
            <w:r>
              <w:rPr>
                <w:rFonts w:ascii="宋体" w:hAnsi="宋体" w:hint="eastAsia"/>
                <w:lang w:eastAsia="zh-Hans"/>
              </w:rPr>
              <w:t xml:space="preserve">　</w:t>
            </w:r>
            <w:r>
              <w:rPr>
                <w:rFonts w:ascii="宋体" w:hAnsi="宋体" w:hint="eastAsia"/>
                <w:lang w:eastAsia="zh-Hans"/>
              </w:rPr>
              <w:t>Morgan</w:t>
            </w:r>
            <w:r>
              <w:rPr>
                <w:rFonts w:ascii="宋体" w:hAnsi="宋体" w:hint="eastAsia"/>
                <w:lang w:eastAsia="zh-Hans"/>
              </w:rPr>
              <w:t xml:space="preserve">　</w:t>
            </w:r>
            <w:r>
              <w:rPr>
                <w:rFonts w:ascii="宋体" w:hAnsi="宋体" w:hint="eastAsia"/>
                <w:lang w:eastAsia="zh-Hans"/>
              </w:rPr>
              <w:t>Global</w:t>
            </w:r>
            <w:r>
              <w:rPr>
                <w:rFonts w:ascii="宋体" w:hAnsi="宋体" w:hint="eastAsia"/>
                <w:lang w:eastAsia="zh-Hans"/>
              </w:rPr>
              <w:t xml:space="preserve">　</w:t>
            </w:r>
            <w:r>
              <w:rPr>
                <w:rFonts w:ascii="宋体" w:hAnsi="宋体" w:hint="eastAsia"/>
                <w:lang w:eastAsia="zh-Hans"/>
              </w:rPr>
              <w:t>Aggregate</w:t>
            </w:r>
            <w:r>
              <w:rPr>
                <w:rFonts w:ascii="宋体" w:hAnsi="宋体" w:hint="eastAsia"/>
                <w:lang w:eastAsia="zh-Hans"/>
              </w:rPr>
              <w:t xml:space="preserve">　</w:t>
            </w:r>
            <w:r>
              <w:rPr>
                <w:rFonts w:ascii="宋体" w:hAnsi="宋体" w:hint="eastAsia"/>
                <w:lang w:eastAsia="zh-Hans"/>
              </w:rPr>
              <w:t>Bond</w:t>
            </w:r>
            <w:r>
              <w:rPr>
                <w:rFonts w:ascii="宋体" w:hAnsi="宋体" w:hint="eastAsia"/>
                <w:lang w:eastAsia="zh-Hans"/>
              </w:rPr>
              <w:t xml:space="preserve">　</w:t>
            </w:r>
            <w:r>
              <w:rPr>
                <w:rFonts w:ascii="宋体" w:hAnsi="宋体" w:hint="eastAsia"/>
                <w:lang w:eastAsia="zh-Hans"/>
              </w:rPr>
              <w:t>Index</w:t>
            </w:r>
            <w:r>
              <w:rPr>
                <w:rFonts w:ascii="宋体" w:hAnsi="宋体" w:hint="eastAsia"/>
                <w:lang w:eastAsia="zh-Hans"/>
              </w:rPr>
              <w:t>）</w:t>
            </w:r>
            <w:r>
              <w:rPr>
                <w:rFonts w:ascii="宋体" w:hAnsi="宋体" w:hint="eastAsia"/>
                <w:lang w:eastAsia="zh-Hans"/>
              </w:rPr>
              <w:t>*20%</w:t>
            </w:r>
            <w:r>
              <w:rPr>
                <w:rFonts w:ascii="宋体" w:hAnsi="宋体" w:hint="eastAsia"/>
                <w:lang w:eastAsia="zh-Hans"/>
              </w:rPr>
              <w:t>。</w:t>
            </w:r>
          </w:p>
        </w:tc>
      </w:tr>
      <w:tr w:rsidR="00000000">
        <w:trPr>
          <w:divId w:val="142410459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rPr>
              <w:t>风险收益特征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lang w:eastAsia="zh-Hans"/>
              </w:rPr>
              <w:t>本基金主要投资于境外公募基金，属于中等风险收益水平的证券投资基金产品，预期风险和收益水平低于股票型基金，高于债券型基金和货币市场基金。</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424104591"/>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rPr>
              <w:t>基金管理人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424104591"/>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rPr>
              <w:t>基金托管人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lang w:eastAsia="zh-Hans"/>
              </w:rPr>
              <w:t>招商银行股份有限公</w:t>
            </w:r>
            <w:r>
              <w:rPr>
                <w:rFonts w:ascii="宋体" w:hAnsi="宋体" w:hint="eastAsia"/>
                <w:lang w:eastAsia="zh-Hans"/>
              </w:rPr>
              <w:t>司</w:t>
            </w:r>
          </w:p>
        </w:tc>
      </w:tr>
      <w:tr w:rsidR="00000000">
        <w:trPr>
          <w:divId w:val="1424104591"/>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C4503" w:rsidRDefault="001C4503">
            <w:pPr>
              <w:spacing w:line="360" w:lineRule="auto"/>
              <w:jc w:val="left"/>
            </w:pPr>
            <w:bookmarkStart w:id="38"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C4503" w:rsidRDefault="001C4503">
            <w:pPr>
              <w:spacing w:line="360" w:lineRule="auto"/>
              <w:jc w:val="center"/>
            </w:pPr>
            <w:r>
              <w:rPr>
                <w:rFonts w:ascii="宋体" w:hAnsi="宋体" w:hint="eastAsia"/>
                <w:lang w:eastAsia="zh-Hans"/>
              </w:rPr>
              <w:t>摩根全球多元配置</w:t>
            </w:r>
            <w:r>
              <w:rPr>
                <w:rFonts w:ascii="宋体" w:hAnsi="宋体" w:hint="eastAsia"/>
                <w:lang w:eastAsia="zh-Hans"/>
              </w:rPr>
              <w:t>(QDII-FOF)</w:t>
            </w:r>
            <w:r>
              <w:rPr>
                <w:rFonts w:ascii="宋体" w:hAnsi="宋体" w:hint="eastAsia"/>
                <w:lang w:eastAsia="zh-Hans"/>
              </w:rPr>
              <w:t>人民币</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C4503" w:rsidRDefault="001C4503">
            <w:pPr>
              <w:spacing w:line="360" w:lineRule="auto"/>
              <w:jc w:val="center"/>
            </w:pPr>
            <w:r>
              <w:rPr>
                <w:rFonts w:ascii="宋体" w:hAnsi="宋体" w:hint="eastAsia"/>
                <w:lang w:eastAsia="zh-Hans"/>
              </w:rPr>
              <w:t>摩根全球多元配置</w:t>
            </w:r>
            <w:r>
              <w:rPr>
                <w:rFonts w:ascii="宋体" w:hAnsi="宋体" w:hint="eastAsia"/>
                <w:lang w:eastAsia="zh-Hans"/>
              </w:rPr>
              <w:t>(QDII-FOF)</w:t>
            </w:r>
            <w:r>
              <w:rPr>
                <w:rFonts w:ascii="宋体" w:hAnsi="宋体" w:hint="eastAsia"/>
                <w:lang w:eastAsia="zh-Hans"/>
              </w:rPr>
              <w:t>人民币</w:t>
            </w:r>
            <w:r>
              <w:rPr>
                <w:rFonts w:ascii="宋体" w:hAnsi="宋体" w:hint="eastAsia"/>
                <w:lang w:eastAsia="zh-Hans"/>
              </w:rPr>
              <w:t>C</w:t>
            </w:r>
            <w:r>
              <w:rPr>
                <w:rFonts w:ascii="宋体" w:hAnsi="宋体" w:hint="eastAsia"/>
                <w:kern w:val="0"/>
                <w:sz w:val="20"/>
                <w:lang w:eastAsia="zh-Hans"/>
              </w:rPr>
              <w:t xml:space="preserve"> </w:t>
            </w:r>
          </w:p>
        </w:tc>
      </w:tr>
      <w:tr w:rsidR="00000000">
        <w:trPr>
          <w:divId w:val="1424104591"/>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C4503" w:rsidRDefault="001C4503">
            <w:pPr>
              <w:spacing w:line="360" w:lineRule="auto"/>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C4503" w:rsidRDefault="001C4503">
            <w:pPr>
              <w:spacing w:line="360" w:lineRule="auto"/>
              <w:jc w:val="center"/>
            </w:pPr>
            <w:r>
              <w:rPr>
                <w:rFonts w:ascii="宋体" w:hAnsi="宋体" w:hint="eastAsia"/>
                <w:lang w:eastAsia="zh-Hans"/>
              </w:rPr>
              <w:t>00362</w:t>
            </w:r>
            <w:r>
              <w:rPr>
                <w:rFonts w:ascii="宋体" w:hAnsi="宋体" w:hint="eastAsia"/>
                <w:lang w:eastAsia="zh-Hans"/>
              </w:rPr>
              <w:t>9</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C4503" w:rsidRDefault="001C4503">
            <w:pPr>
              <w:spacing w:line="360" w:lineRule="auto"/>
              <w:jc w:val="center"/>
            </w:pPr>
            <w:r>
              <w:rPr>
                <w:rFonts w:ascii="宋体" w:hAnsi="宋体" w:hint="eastAsia"/>
                <w:lang w:eastAsia="zh-Hans"/>
              </w:rPr>
              <w:t>01951</w:t>
            </w:r>
            <w:r>
              <w:rPr>
                <w:rFonts w:ascii="宋体" w:hAnsi="宋体" w:hint="eastAsia"/>
                <w:lang w:eastAsia="zh-Hans"/>
              </w:rPr>
              <w:t>2</w:t>
            </w:r>
            <w:r>
              <w:rPr>
                <w:rFonts w:ascii="宋体" w:hAnsi="宋体" w:hint="eastAsia"/>
                <w:kern w:val="0"/>
                <w:sz w:val="20"/>
                <w:lang w:eastAsia="zh-Hans"/>
              </w:rPr>
              <w:t xml:space="preserve"> </w:t>
            </w:r>
          </w:p>
        </w:tc>
      </w:tr>
      <w:bookmarkEnd w:id="38"/>
      <w:tr w:rsidR="00000000">
        <w:trPr>
          <w:divId w:val="1424104591"/>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C4503" w:rsidRDefault="001C4503">
            <w:pPr>
              <w:spacing w:line="360" w:lineRule="auto"/>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lang w:eastAsia="zh-Hans"/>
              </w:rPr>
              <w:t>353,562,357.5</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lang w:eastAsia="zh-Hans"/>
              </w:rPr>
              <w:t>210,387,564.5</w:t>
            </w:r>
            <w:r>
              <w:rPr>
                <w:rFonts w:ascii="宋体" w:hAnsi="宋体" w:hint="eastAsia"/>
                <w:lang w:eastAsia="zh-Hans"/>
              </w:rPr>
              <w:t>5</w:t>
            </w:r>
            <w:r>
              <w:rPr>
                <w:rFonts w:hint="eastAsia"/>
              </w:rPr>
              <w:t>份</w:t>
            </w:r>
            <w:r>
              <w:rPr>
                <w:rFonts w:ascii="宋体" w:hAnsi="宋体" w:hint="eastAsia"/>
                <w:lang w:eastAsia="zh-Hans"/>
              </w:rPr>
              <w:t xml:space="preserve"> </w:t>
            </w:r>
          </w:p>
        </w:tc>
      </w:tr>
      <w:tr w:rsidR="00000000">
        <w:trPr>
          <w:divId w:val="1424104591"/>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rPr>
              <w:t>境外投资顾问</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1C4503" w:rsidRDefault="001C4503">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JPMORGAN ASSET MANAGEMENT (ASIA PACIFIC) LIMITE</w:t>
            </w:r>
            <w:r>
              <w:rPr>
                <w:rFonts w:asciiTheme="minorEastAsia" w:eastAsiaTheme="minorEastAsia" w:hAnsiTheme="minorEastAsia" w:hint="eastAsia"/>
              </w:rPr>
              <w:t>D</w:t>
            </w:r>
          </w:p>
        </w:tc>
      </w:tr>
      <w:tr w:rsidR="00000000">
        <w:trPr>
          <w:divId w:val="1424104591"/>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4503" w:rsidRDefault="001C4503">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1C4503" w:rsidRDefault="001C4503">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摩根资产管理</w:t>
            </w:r>
            <w:r>
              <w:rPr>
                <w:rFonts w:asciiTheme="minorEastAsia" w:eastAsiaTheme="minorEastAsia" w:hAnsiTheme="minorEastAsia" w:hint="eastAsia"/>
              </w:rPr>
              <w:t>(</w:t>
            </w:r>
            <w:r>
              <w:rPr>
                <w:rFonts w:asciiTheme="minorEastAsia" w:eastAsiaTheme="minorEastAsia" w:hAnsiTheme="minorEastAsia" w:hint="eastAsia"/>
              </w:rPr>
              <w:t>亚太</w:t>
            </w:r>
            <w:r>
              <w:rPr>
                <w:rFonts w:asciiTheme="minorEastAsia" w:eastAsiaTheme="minorEastAsia" w:hAnsiTheme="minorEastAsia" w:hint="eastAsia"/>
              </w:rPr>
              <w:t>)</w:t>
            </w:r>
            <w:r>
              <w:rPr>
                <w:rFonts w:asciiTheme="minorEastAsia" w:eastAsiaTheme="minorEastAsia" w:hAnsiTheme="minorEastAsia" w:hint="eastAsia"/>
              </w:rPr>
              <w:t>有限公</w:t>
            </w:r>
            <w:r>
              <w:rPr>
                <w:rFonts w:asciiTheme="minorEastAsia" w:eastAsiaTheme="minorEastAsia" w:hAnsiTheme="minorEastAsia" w:hint="eastAsia"/>
              </w:rPr>
              <w:t>司</w:t>
            </w:r>
          </w:p>
        </w:tc>
      </w:tr>
      <w:tr w:rsidR="00000000">
        <w:trPr>
          <w:divId w:val="1424104591"/>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spacing w:line="360" w:lineRule="auto"/>
              <w:jc w:val="left"/>
            </w:pPr>
            <w:r>
              <w:rPr>
                <w:rFonts w:ascii="宋体" w:hAnsi="宋体" w:hint="eastAsia"/>
              </w:rPr>
              <w:t>境外资产托管人</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1C4503" w:rsidRDefault="001C4503">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The Hong Kong and Shanghai Banking Corporation Limite</w:t>
            </w:r>
            <w:r>
              <w:rPr>
                <w:rFonts w:asciiTheme="minorEastAsia" w:eastAsiaTheme="minorEastAsia" w:hAnsiTheme="minorEastAsia" w:hint="eastAsia"/>
              </w:rPr>
              <w:t>d</w:t>
            </w:r>
          </w:p>
        </w:tc>
      </w:tr>
      <w:tr w:rsidR="00000000">
        <w:trPr>
          <w:divId w:val="1424104591"/>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4503" w:rsidRDefault="001C4503">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1C4503" w:rsidRDefault="001C4503">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香港上海汇丰银行有限公</w:t>
            </w:r>
            <w:r>
              <w:rPr>
                <w:rFonts w:asciiTheme="minorEastAsia" w:eastAsiaTheme="minorEastAsia" w:hAnsiTheme="minorEastAsia" w:hint="eastAsia"/>
              </w:rPr>
              <w:t>司</w:t>
            </w:r>
          </w:p>
        </w:tc>
      </w:tr>
    </w:tbl>
    <w:p w:rsidR="001C4503" w:rsidRDefault="001C4503">
      <w:pPr>
        <w:pStyle w:val="XBRLTitle1"/>
        <w:spacing w:before="156"/>
        <w:ind w:left="425"/>
      </w:pPr>
      <w:bookmarkStart w:id="39" w:name="_Toc514088245"/>
      <w:bookmarkStart w:id="40" w:name="_Toc480465415"/>
      <w:bookmarkStart w:id="41" w:name="_Toc448480286"/>
      <w:bookmarkStart w:id="42" w:name="_Toc438654074"/>
      <w:bookmarkStart w:id="43" w:name="_Toc456107120"/>
      <w:bookmarkStart w:id="44" w:name="_Toc459213766"/>
      <w:bookmarkStart w:id="45" w:name="_Toc513542646"/>
      <w:bookmarkStart w:id="46" w:name="_Toc512696252"/>
      <w:bookmarkStart w:id="47" w:name="_Toc512612255"/>
      <w:bookmarkStart w:id="48" w:name="_Toc512612079"/>
      <w:bookmarkStart w:id="49" w:name="_Toc512611283"/>
      <w:bookmarkStart w:id="50" w:name="m401_tab"/>
      <w:bookmarkStart w:id="51" w:name="m401"/>
      <w:bookmarkEnd w:id="37"/>
      <w:r>
        <w:rPr>
          <w:rFonts w:hint="eastAsia"/>
        </w:rPr>
        <w:t>主要财务指标和基金净值表</w:t>
      </w:r>
      <w:r>
        <w:rPr>
          <w:rFonts w:hint="eastAsia"/>
        </w:rPr>
        <w:t>现</w:t>
      </w:r>
      <w:bookmarkEnd w:id="39"/>
      <w:bookmarkEnd w:id="40"/>
      <w:bookmarkEnd w:id="41"/>
      <w:bookmarkEnd w:id="42"/>
      <w:bookmarkEnd w:id="43"/>
      <w:bookmarkEnd w:id="44"/>
      <w:bookmarkEnd w:id="45"/>
      <w:bookmarkEnd w:id="46"/>
      <w:bookmarkEnd w:id="47"/>
      <w:bookmarkEnd w:id="48"/>
      <w:bookmarkEnd w:id="49"/>
    </w:p>
    <w:p w:rsidR="001C4503" w:rsidRDefault="001C4503">
      <w:pPr>
        <w:pStyle w:val="XBRLTitle2"/>
        <w:spacing w:before="156" w:line="360" w:lineRule="auto"/>
        <w:ind w:left="454"/>
        <w:rPr>
          <w:rFonts w:hint="eastAsia"/>
        </w:rPr>
      </w:pPr>
      <w:bookmarkStart w:id="52" w:name="_Toc514088246"/>
      <w:bookmarkStart w:id="53" w:name="_Toc480465416"/>
      <w:bookmarkStart w:id="54" w:name="_Toc448480287"/>
      <w:bookmarkStart w:id="55" w:name="_Toc438654075"/>
      <w:bookmarkStart w:id="56" w:name="_Toc456107121"/>
      <w:bookmarkStart w:id="57" w:name="_Toc459213767"/>
      <w:bookmarkStart w:id="58" w:name="_Toc513542647"/>
      <w:bookmarkStart w:id="59" w:name="_Toc512696253"/>
      <w:bookmarkStart w:id="60" w:name="_Toc512612256"/>
      <w:bookmarkStart w:id="61" w:name="_Toc512612080"/>
      <w:bookmarkStart w:id="62" w:name="_Toc512611284"/>
      <w:r>
        <w:rPr>
          <w:rFonts w:eastAsia="宋体" w:hint="eastAsia"/>
        </w:rPr>
        <w:t>主要财务指</w:t>
      </w:r>
      <w:r>
        <w:rPr>
          <w:rFonts w:eastAsia="宋体" w:hint="eastAsia"/>
        </w:rPr>
        <w:t>标</w:t>
      </w:r>
      <w:bookmarkEnd w:id="52"/>
      <w:bookmarkEnd w:id="53"/>
      <w:bookmarkEnd w:id="54"/>
      <w:bookmarkEnd w:id="55"/>
      <w:bookmarkEnd w:id="56"/>
      <w:bookmarkEnd w:id="57"/>
      <w:r>
        <w:rPr>
          <w:rFonts w:eastAsia="宋体" w:hint="eastAsia"/>
        </w:rPr>
        <w:t xml:space="preserve"> </w:t>
      </w:r>
      <w:bookmarkEnd w:id="58"/>
      <w:bookmarkEnd w:id="59"/>
      <w:bookmarkEnd w:id="60"/>
      <w:bookmarkEnd w:id="61"/>
      <w:bookmarkEnd w:id="62"/>
    </w:p>
    <w:p w:rsidR="001C4503" w:rsidRDefault="001C4503">
      <w:pPr>
        <w:jc w:val="right"/>
        <w:divId w:val="777414058"/>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3"/>
        <w:gridCol w:w="3231"/>
        <w:gridCol w:w="3231"/>
      </w:tblGrid>
      <w:tr w:rsidR="00000000">
        <w:trPr>
          <w:divId w:val="777414058"/>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1C4503" w:rsidRDefault="001C4503">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1C4503" w:rsidRDefault="001C4503">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777414058"/>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4503" w:rsidRDefault="001C4503">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1C4503" w:rsidRDefault="001C4503">
            <w:pPr>
              <w:jc w:val="center"/>
              <w:rPr>
                <w:rFonts w:hint="eastAsia"/>
              </w:rPr>
            </w:pPr>
            <w:r>
              <w:rPr>
                <w:rFonts w:ascii="宋体" w:hAnsi="宋体" w:hint="eastAsia"/>
                <w:szCs w:val="24"/>
                <w:lang w:eastAsia="zh-Hans"/>
              </w:rPr>
              <w:t>摩根全球多元配置</w:t>
            </w:r>
            <w:r>
              <w:rPr>
                <w:rFonts w:ascii="宋体" w:hAnsi="宋体" w:hint="eastAsia"/>
                <w:szCs w:val="24"/>
                <w:lang w:eastAsia="zh-Hans"/>
              </w:rPr>
              <w:t>(QDII-FOF)</w:t>
            </w:r>
            <w:r>
              <w:rPr>
                <w:rFonts w:ascii="宋体" w:hAnsi="宋体" w:hint="eastAsia"/>
                <w:szCs w:val="24"/>
                <w:lang w:eastAsia="zh-Hans"/>
              </w:rPr>
              <w:t>人民币</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1C4503" w:rsidRDefault="001C4503">
            <w:pPr>
              <w:jc w:val="center"/>
            </w:pPr>
            <w:r>
              <w:rPr>
                <w:rFonts w:ascii="宋体" w:hAnsi="宋体" w:hint="eastAsia"/>
                <w:szCs w:val="24"/>
                <w:lang w:eastAsia="zh-Hans"/>
              </w:rPr>
              <w:t>摩根全球多元配置</w:t>
            </w:r>
            <w:r>
              <w:rPr>
                <w:rFonts w:ascii="宋体" w:hAnsi="宋体" w:hint="eastAsia"/>
                <w:szCs w:val="24"/>
                <w:lang w:eastAsia="zh-Hans"/>
              </w:rPr>
              <w:t>(QDII-FOF)</w:t>
            </w:r>
            <w:r>
              <w:rPr>
                <w:rFonts w:ascii="宋体" w:hAnsi="宋体" w:hint="eastAsia"/>
                <w:szCs w:val="24"/>
                <w:lang w:eastAsia="zh-Hans"/>
              </w:rPr>
              <w:t>人民币</w:t>
            </w:r>
            <w:r>
              <w:rPr>
                <w:rFonts w:ascii="宋体" w:hAnsi="宋体" w:hint="eastAsia"/>
                <w:szCs w:val="24"/>
                <w:lang w:eastAsia="zh-Hans"/>
              </w:rPr>
              <w:t>C</w:t>
            </w:r>
          </w:p>
        </w:tc>
      </w:tr>
      <w:tr w:rsidR="00000000">
        <w:trPr>
          <w:divId w:val="77741405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C4503" w:rsidRDefault="001C4503">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C4503" w:rsidRDefault="001C4503">
            <w:pPr>
              <w:jc w:val="right"/>
              <w:rPr>
                <w:rFonts w:hint="eastAsia"/>
              </w:rPr>
            </w:pPr>
            <w:r>
              <w:rPr>
                <w:rFonts w:ascii="宋体" w:hAnsi="宋体" w:hint="eastAsia"/>
                <w:szCs w:val="24"/>
                <w:lang w:eastAsia="zh-Hans"/>
              </w:rPr>
              <w:t>-903,800.3</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C4503" w:rsidRDefault="001C4503">
            <w:pPr>
              <w:jc w:val="right"/>
            </w:pPr>
            <w:r>
              <w:rPr>
                <w:rFonts w:ascii="宋体" w:hAnsi="宋体" w:hint="eastAsia"/>
                <w:szCs w:val="24"/>
                <w:lang w:eastAsia="zh-Hans"/>
              </w:rPr>
              <w:t>-859,627.9</w:t>
            </w:r>
            <w:r>
              <w:rPr>
                <w:rFonts w:ascii="宋体" w:hAnsi="宋体" w:hint="eastAsia"/>
                <w:szCs w:val="24"/>
                <w:lang w:eastAsia="zh-Hans"/>
              </w:rPr>
              <w:t>8</w:t>
            </w:r>
          </w:p>
        </w:tc>
      </w:tr>
      <w:tr w:rsidR="00000000">
        <w:trPr>
          <w:divId w:val="77741405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C4503" w:rsidRDefault="001C4503">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C4503" w:rsidRDefault="001C4503">
            <w:pPr>
              <w:jc w:val="right"/>
              <w:rPr>
                <w:rFonts w:hint="eastAsia"/>
              </w:rPr>
            </w:pPr>
            <w:r>
              <w:rPr>
                <w:rFonts w:ascii="宋体" w:hAnsi="宋体" w:hint="eastAsia"/>
                <w:szCs w:val="24"/>
                <w:lang w:eastAsia="zh-Hans"/>
              </w:rPr>
              <w:t>50,981,739.6</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C4503" w:rsidRDefault="001C4503">
            <w:pPr>
              <w:jc w:val="right"/>
            </w:pPr>
            <w:r>
              <w:rPr>
                <w:rFonts w:ascii="宋体" w:hAnsi="宋体" w:hint="eastAsia"/>
                <w:szCs w:val="24"/>
                <w:lang w:eastAsia="zh-Hans"/>
              </w:rPr>
              <w:t>28,774,655.4</w:t>
            </w:r>
            <w:r>
              <w:rPr>
                <w:rFonts w:ascii="宋体" w:hAnsi="宋体" w:hint="eastAsia"/>
                <w:szCs w:val="24"/>
                <w:lang w:eastAsia="zh-Hans"/>
              </w:rPr>
              <w:t>4</w:t>
            </w:r>
          </w:p>
        </w:tc>
      </w:tr>
      <w:tr w:rsidR="00000000">
        <w:trPr>
          <w:divId w:val="77741405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C4503" w:rsidRDefault="001C4503">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C4503" w:rsidRDefault="001C4503">
            <w:pPr>
              <w:jc w:val="right"/>
              <w:rPr>
                <w:rFonts w:hint="eastAsia"/>
              </w:rPr>
            </w:pPr>
            <w:r>
              <w:rPr>
                <w:rFonts w:ascii="宋体" w:hAnsi="宋体" w:hint="eastAsia"/>
                <w:szCs w:val="24"/>
                <w:lang w:eastAsia="zh-Hans"/>
              </w:rPr>
              <w:t>0.144</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C4503" w:rsidRDefault="001C4503">
            <w:pPr>
              <w:jc w:val="right"/>
            </w:pPr>
            <w:r>
              <w:rPr>
                <w:rFonts w:ascii="宋体" w:hAnsi="宋体" w:hint="eastAsia"/>
                <w:szCs w:val="24"/>
                <w:lang w:eastAsia="zh-Hans"/>
              </w:rPr>
              <w:t>0.141</w:t>
            </w:r>
            <w:r>
              <w:rPr>
                <w:rFonts w:ascii="宋体" w:hAnsi="宋体" w:hint="eastAsia"/>
                <w:szCs w:val="24"/>
                <w:lang w:eastAsia="zh-Hans"/>
              </w:rPr>
              <w:t>2</w:t>
            </w:r>
          </w:p>
        </w:tc>
      </w:tr>
      <w:tr w:rsidR="00000000">
        <w:trPr>
          <w:divId w:val="77741405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C4503" w:rsidRDefault="001C4503">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C4503" w:rsidRDefault="001C4503">
            <w:pPr>
              <w:jc w:val="right"/>
              <w:rPr>
                <w:rFonts w:hint="eastAsia"/>
              </w:rPr>
            </w:pPr>
            <w:r>
              <w:rPr>
                <w:rFonts w:ascii="宋体" w:hAnsi="宋体" w:hint="eastAsia"/>
                <w:szCs w:val="24"/>
                <w:lang w:eastAsia="zh-Hans"/>
              </w:rPr>
              <w:t>668,951,224.6</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C4503" w:rsidRDefault="001C4503">
            <w:pPr>
              <w:jc w:val="right"/>
            </w:pPr>
            <w:r>
              <w:rPr>
                <w:rFonts w:ascii="宋体" w:hAnsi="宋体" w:hint="eastAsia"/>
                <w:szCs w:val="24"/>
                <w:lang w:eastAsia="zh-Hans"/>
              </w:rPr>
              <w:t>397,476,923.2</w:t>
            </w:r>
            <w:r>
              <w:rPr>
                <w:rFonts w:ascii="宋体" w:hAnsi="宋体" w:hint="eastAsia"/>
                <w:szCs w:val="24"/>
                <w:lang w:eastAsia="zh-Hans"/>
              </w:rPr>
              <w:t>0</w:t>
            </w:r>
          </w:p>
        </w:tc>
      </w:tr>
      <w:tr w:rsidR="00000000">
        <w:trPr>
          <w:divId w:val="77741405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C4503" w:rsidRDefault="001C4503">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C4503" w:rsidRDefault="001C4503">
            <w:pPr>
              <w:jc w:val="right"/>
              <w:rPr>
                <w:rFonts w:hint="eastAsia"/>
              </w:rPr>
            </w:pPr>
            <w:r>
              <w:rPr>
                <w:rFonts w:ascii="宋体" w:hAnsi="宋体" w:hint="eastAsia"/>
                <w:szCs w:val="24"/>
                <w:lang w:eastAsia="zh-Hans"/>
              </w:rPr>
              <w:t>1.892</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C4503" w:rsidRDefault="001C4503">
            <w:pPr>
              <w:jc w:val="right"/>
            </w:pPr>
            <w:r>
              <w:rPr>
                <w:rFonts w:ascii="宋体" w:hAnsi="宋体" w:hint="eastAsia"/>
                <w:szCs w:val="24"/>
                <w:lang w:eastAsia="zh-Hans"/>
              </w:rPr>
              <w:t>1.889</w:t>
            </w:r>
            <w:r>
              <w:rPr>
                <w:rFonts w:ascii="宋体" w:hAnsi="宋体" w:hint="eastAsia"/>
                <w:szCs w:val="24"/>
                <w:lang w:eastAsia="zh-Hans"/>
              </w:rPr>
              <w:t>3</w:t>
            </w:r>
          </w:p>
        </w:tc>
      </w:tr>
    </w:tbl>
    <w:p w:rsidR="001C4503" w:rsidRDefault="001C4503">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1C4503" w:rsidRDefault="001C4503">
      <w:pPr>
        <w:pStyle w:val="XBRLTitle2"/>
        <w:spacing w:before="156" w:line="360" w:lineRule="auto"/>
        <w:ind w:left="454"/>
      </w:pPr>
      <w:bookmarkStart w:id="63" w:name="_Toc514088247"/>
      <w:bookmarkStart w:id="64" w:name="_Toc480465417"/>
      <w:bookmarkStart w:id="65" w:name="_Toc448480288"/>
      <w:bookmarkStart w:id="66" w:name="_Toc438654076"/>
      <w:bookmarkStart w:id="67" w:name="_Toc456107122"/>
      <w:bookmarkStart w:id="68" w:name="_Toc459213768"/>
      <w:bookmarkStart w:id="69" w:name="_Toc513542648"/>
      <w:bookmarkStart w:id="70" w:name="_Toc512696254"/>
      <w:bookmarkStart w:id="71" w:name="_Toc512612257"/>
      <w:bookmarkStart w:id="72" w:name="_Toc512612081"/>
      <w:bookmarkStart w:id="73" w:name="_Toc512611285"/>
      <w:r>
        <w:rPr>
          <w:rFonts w:eastAsia="宋体" w:hint="eastAsia"/>
        </w:rPr>
        <w:t>基金净值表</w:t>
      </w:r>
      <w:r>
        <w:rPr>
          <w:rFonts w:eastAsia="宋体" w:hint="eastAsia"/>
        </w:rPr>
        <w:t>现</w:t>
      </w:r>
      <w:bookmarkEnd w:id="63"/>
      <w:bookmarkEnd w:id="64"/>
      <w:bookmarkEnd w:id="65"/>
      <w:bookmarkEnd w:id="66"/>
      <w:bookmarkEnd w:id="67"/>
      <w:bookmarkEnd w:id="68"/>
      <w:bookmarkEnd w:id="69"/>
      <w:bookmarkEnd w:id="70"/>
      <w:bookmarkEnd w:id="71"/>
      <w:bookmarkEnd w:id="72"/>
      <w:bookmarkEnd w:id="73"/>
      <w:r>
        <w:rPr>
          <w:rFonts w:eastAsia="宋体" w:hint="eastAsia"/>
        </w:rPr>
        <w:t xml:space="preserve"> </w:t>
      </w:r>
    </w:p>
    <w:p w:rsidR="001C4503" w:rsidRDefault="001C4503">
      <w:pPr>
        <w:pStyle w:val="XBRLTitle3"/>
        <w:spacing w:before="156" w:line="360" w:lineRule="auto"/>
        <w:ind w:left="624"/>
        <w:rPr>
          <w:rFonts w:hint="eastAsia"/>
        </w:rPr>
      </w:pPr>
      <w:bookmarkStart w:id="74" w:name="_Toc514088248"/>
      <w:bookmarkStart w:id="75" w:name="_Toc513542649"/>
      <w:bookmarkStart w:id="76" w:name="_Toc480465418"/>
      <w:r>
        <w:rPr>
          <w:rFonts w:hAnsi="宋体" w:hint="eastAsia"/>
        </w:rPr>
        <w:t>基金份额净值增长率及其与同期业绩比较基准收益率的比</w:t>
      </w:r>
      <w:r>
        <w:rPr>
          <w:rFonts w:hAnsi="宋体" w:hint="eastAsia"/>
        </w:rPr>
        <w:t>较</w:t>
      </w:r>
      <w:bookmarkEnd w:id="74"/>
      <w:bookmarkEnd w:id="75"/>
      <w:bookmarkEnd w:id="76"/>
      <w:r>
        <w:rPr>
          <w:rFonts w:hAnsi="宋体" w:hint="eastAsia"/>
        </w:rPr>
        <w:t xml:space="preserve"> </w:t>
      </w:r>
    </w:p>
    <w:p w:rsidR="001C4503" w:rsidRDefault="001C4503">
      <w:pPr>
        <w:spacing w:line="360" w:lineRule="auto"/>
        <w:jc w:val="center"/>
        <w:divId w:val="1341278386"/>
        <w:rPr>
          <w:rFonts w:hint="eastAsia"/>
        </w:rPr>
      </w:pPr>
      <w:r>
        <w:rPr>
          <w:rFonts w:ascii="宋体" w:hAnsi="宋体" w:hint="eastAsia"/>
        </w:rPr>
        <w:t>摩根全球多元配置</w:t>
      </w:r>
      <w:r>
        <w:rPr>
          <w:rFonts w:ascii="宋体" w:hAnsi="宋体" w:hint="eastAsia"/>
        </w:rPr>
        <w:t>(QDII-FOF)</w:t>
      </w:r>
      <w:r>
        <w:rPr>
          <w:rFonts w:ascii="宋体" w:hAnsi="宋体" w:hint="eastAsia"/>
        </w:rPr>
        <w:t>人民币</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34127838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C4503" w:rsidRDefault="001C4503">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②－④</w:t>
            </w:r>
            <w:r>
              <w:rPr>
                <w:rFonts w:ascii="宋体" w:hAnsi="宋体" w:hint="eastAsia"/>
              </w:rPr>
              <w:t xml:space="preserve"> </w:t>
            </w:r>
          </w:p>
        </w:tc>
      </w:tr>
      <w:tr w:rsidR="00000000">
        <w:trPr>
          <w:divId w:val="13412783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8.2</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10.0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0.7</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C4503" w:rsidRDefault="001C4503">
            <w:pPr>
              <w:spacing w:line="360" w:lineRule="auto"/>
              <w:jc w:val="right"/>
            </w:pPr>
            <w:r>
              <w:rPr>
                <w:rFonts w:ascii="宋体" w:hAnsi="宋体" w:hint="eastAsia"/>
              </w:rPr>
              <w:t>-1.7</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-0.1</w:t>
            </w:r>
            <w:r>
              <w:rPr>
                <w:rFonts w:ascii="宋体" w:hAnsi="宋体" w:hint="eastAsia"/>
              </w:rPr>
              <w:t>0</w:t>
            </w:r>
            <w:r>
              <w:rPr>
                <w:rFonts w:ascii="宋体" w:hAnsi="宋体" w:hint="eastAsia"/>
              </w:rPr>
              <w:t xml:space="preserve">% </w:t>
            </w:r>
          </w:p>
        </w:tc>
      </w:tr>
      <w:tr w:rsidR="00000000">
        <w:trPr>
          <w:divId w:val="13412783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3.5</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4.9</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C4503" w:rsidRDefault="001C4503">
            <w:pPr>
              <w:spacing w:line="360" w:lineRule="auto"/>
              <w:jc w:val="right"/>
            </w:pPr>
            <w:r>
              <w:rPr>
                <w:rFonts w:ascii="宋体" w:hAnsi="宋体" w:hint="eastAsia"/>
              </w:rPr>
              <w:t>-1.4</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r>
      <w:tr w:rsidR="00000000">
        <w:trPr>
          <w:divId w:val="13412783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8.0</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0.5</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12.1</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C4503" w:rsidRDefault="001C4503">
            <w:pPr>
              <w:spacing w:line="360" w:lineRule="auto"/>
              <w:jc w:val="right"/>
            </w:pPr>
            <w:r>
              <w:rPr>
                <w:rFonts w:ascii="宋体" w:hAnsi="宋体" w:hint="eastAsia"/>
              </w:rPr>
              <w:t>-4.1</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r>
      <w:tr w:rsidR="00000000">
        <w:trPr>
          <w:divId w:val="13412783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26.7</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0.5</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44.7</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0.6</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C4503" w:rsidRDefault="001C4503">
            <w:pPr>
              <w:spacing w:line="360" w:lineRule="auto"/>
              <w:jc w:val="right"/>
            </w:pPr>
            <w:r>
              <w:rPr>
                <w:rFonts w:ascii="宋体" w:hAnsi="宋体" w:hint="eastAsia"/>
              </w:rPr>
              <w:t>-18.0</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-0.1</w:t>
            </w:r>
            <w:r>
              <w:rPr>
                <w:rFonts w:ascii="宋体" w:hAnsi="宋体" w:hint="eastAsia"/>
              </w:rPr>
              <w:t>0</w:t>
            </w:r>
            <w:r>
              <w:rPr>
                <w:rFonts w:ascii="宋体" w:hAnsi="宋体" w:hint="eastAsia"/>
              </w:rPr>
              <w:t xml:space="preserve">% </w:t>
            </w:r>
          </w:p>
        </w:tc>
      </w:tr>
      <w:tr w:rsidR="00000000">
        <w:trPr>
          <w:divId w:val="13412783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31.1</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0.6</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51.1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0.7</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C4503" w:rsidRDefault="001C4503">
            <w:pPr>
              <w:spacing w:line="360" w:lineRule="auto"/>
              <w:jc w:val="right"/>
            </w:pPr>
            <w:r>
              <w:rPr>
                <w:rFonts w:ascii="宋体" w:hAnsi="宋体" w:hint="eastAsia"/>
              </w:rPr>
              <w:t>-20.0</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-0.1</w:t>
            </w:r>
            <w:r>
              <w:rPr>
                <w:rFonts w:ascii="宋体" w:hAnsi="宋体" w:hint="eastAsia"/>
              </w:rPr>
              <w:t>2</w:t>
            </w:r>
            <w:r>
              <w:rPr>
                <w:rFonts w:ascii="宋体" w:hAnsi="宋体" w:hint="eastAsia"/>
              </w:rPr>
              <w:t xml:space="preserve">% </w:t>
            </w:r>
          </w:p>
        </w:tc>
      </w:tr>
      <w:tr w:rsidR="00000000">
        <w:trPr>
          <w:divId w:val="13412783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56.2</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0.6</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86.5</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0.8</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C4503" w:rsidRDefault="001C4503">
            <w:pPr>
              <w:spacing w:line="360" w:lineRule="auto"/>
              <w:jc w:val="right"/>
            </w:pPr>
            <w:r>
              <w:rPr>
                <w:rFonts w:ascii="宋体" w:hAnsi="宋体" w:hint="eastAsia"/>
              </w:rPr>
              <w:t>-30.3</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-0.1</w:t>
            </w:r>
            <w:r>
              <w:rPr>
                <w:rFonts w:ascii="宋体" w:hAnsi="宋体" w:hint="eastAsia"/>
              </w:rPr>
              <w:t>8</w:t>
            </w:r>
            <w:r>
              <w:rPr>
                <w:rFonts w:ascii="宋体" w:hAnsi="宋体" w:hint="eastAsia"/>
              </w:rPr>
              <w:t xml:space="preserve">% </w:t>
            </w:r>
          </w:p>
        </w:tc>
      </w:tr>
      <w:tr w:rsidR="00000000">
        <w:trPr>
          <w:divId w:val="13412783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89.2</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0.6</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125.5</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0.8</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C4503" w:rsidRDefault="001C4503">
            <w:pPr>
              <w:spacing w:line="360" w:lineRule="auto"/>
              <w:jc w:val="right"/>
            </w:pPr>
            <w:r>
              <w:rPr>
                <w:rFonts w:ascii="宋体" w:hAnsi="宋体" w:hint="eastAsia"/>
              </w:rPr>
              <w:t>-36.3</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-0.1</w:t>
            </w:r>
            <w:r>
              <w:rPr>
                <w:rFonts w:ascii="宋体" w:hAnsi="宋体" w:hint="eastAsia"/>
              </w:rPr>
              <w:t>4</w:t>
            </w:r>
            <w:r>
              <w:rPr>
                <w:rFonts w:ascii="宋体" w:hAnsi="宋体" w:hint="eastAsia"/>
              </w:rPr>
              <w:t xml:space="preserve">% </w:t>
            </w:r>
          </w:p>
        </w:tc>
      </w:tr>
    </w:tbl>
    <w:p w:rsidR="001C4503" w:rsidRDefault="001C4503">
      <w:pPr>
        <w:spacing w:line="360" w:lineRule="auto"/>
        <w:jc w:val="center"/>
        <w:divId w:val="1626615516"/>
      </w:pPr>
      <w:r>
        <w:rPr>
          <w:rFonts w:ascii="宋体" w:hAnsi="宋体" w:hint="eastAsia"/>
        </w:rPr>
        <w:t>摩根全球多元配置</w:t>
      </w:r>
      <w:r>
        <w:rPr>
          <w:rFonts w:ascii="宋体" w:hAnsi="宋体" w:hint="eastAsia"/>
        </w:rPr>
        <w:t>(QDII-FOF)</w:t>
      </w:r>
      <w:r>
        <w:rPr>
          <w:rFonts w:ascii="宋体" w:hAnsi="宋体" w:hint="eastAsia"/>
        </w:rPr>
        <w:t>人民币</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62661551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C4503" w:rsidRDefault="001C4503">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6266155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8.1</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0.6</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10.0</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0.7</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C4503" w:rsidRDefault="001C4503">
            <w:pPr>
              <w:spacing w:line="360" w:lineRule="auto"/>
              <w:jc w:val="right"/>
            </w:pPr>
            <w:r>
              <w:rPr>
                <w:rFonts w:ascii="宋体" w:hAnsi="宋体" w:hint="eastAsia"/>
              </w:rPr>
              <w:t>-1.8</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-0.1</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6266155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3.4</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0.6</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4.9</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0.7</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C4503" w:rsidRDefault="001C4503">
            <w:pPr>
              <w:spacing w:line="360" w:lineRule="auto"/>
              <w:jc w:val="right"/>
            </w:pPr>
            <w:r>
              <w:rPr>
                <w:rFonts w:ascii="宋体" w:hAnsi="宋体" w:hint="eastAsia"/>
              </w:rPr>
              <w:t>-1.5</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r>
      <w:tr w:rsidR="00000000">
        <w:trPr>
          <w:divId w:val="16266155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7.7</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0.5</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12.1</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0.6</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C4503" w:rsidRDefault="001C4503">
            <w:pPr>
              <w:spacing w:line="360" w:lineRule="auto"/>
              <w:jc w:val="right"/>
            </w:pPr>
            <w:r>
              <w:rPr>
                <w:rFonts w:ascii="宋体" w:hAnsi="宋体" w:hint="eastAsia"/>
              </w:rPr>
              <w:t>-4.4</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6266155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27.5</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0.5</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46.3</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0.6</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C4503" w:rsidRDefault="001C4503">
            <w:pPr>
              <w:spacing w:line="360" w:lineRule="auto"/>
              <w:jc w:val="right"/>
            </w:pPr>
            <w:r>
              <w:rPr>
                <w:rFonts w:ascii="宋体" w:hAnsi="宋体" w:hint="eastAsia"/>
              </w:rPr>
              <w:t>-18.8</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spacing w:line="360" w:lineRule="auto"/>
              <w:jc w:val="right"/>
            </w:pPr>
            <w:r>
              <w:rPr>
                <w:rFonts w:ascii="宋体" w:hAnsi="宋体" w:hint="eastAsia"/>
              </w:rPr>
              <w:t>-0.1</w:t>
            </w:r>
            <w:r>
              <w:rPr>
                <w:rFonts w:ascii="宋体" w:hAnsi="宋体" w:hint="eastAsia"/>
              </w:rPr>
              <w:t>0</w:t>
            </w:r>
            <w:r>
              <w:rPr>
                <w:rFonts w:ascii="宋体" w:hAnsi="宋体" w:hint="eastAsia"/>
              </w:rPr>
              <w:t>%</w:t>
            </w:r>
            <w:r>
              <w:rPr>
                <w:rFonts w:ascii="宋体" w:hAnsi="宋体" w:hint="eastAsia"/>
              </w:rPr>
              <w:t xml:space="preserve"> </w:t>
            </w:r>
          </w:p>
        </w:tc>
      </w:tr>
    </w:tbl>
    <w:p w:rsidR="001C4503" w:rsidRDefault="001C4503">
      <w:pPr>
        <w:pStyle w:val="XBRLTitle3"/>
        <w:spacing w:before="156" w:line="360" w:lineRule="auto"/>
        <w:ind w:left="624"/>
      </w:pPr>
      <w:bookmarkStart w:id="77" w:name="_Toc514088249"/>
      <w:bookmarkStart w:id="78" w:name="_Toc480465419"/>
      <w:bookmarkStart w:id="79" w:name="_Toc513542650"/>
      <w:r>
        <w:rPr>
          <w:rFonts w:hAnsi="宋体" w:hint="eastAsia"/>
        </w:rPr>
        <w:t>自基金合同生效以</w:t>
      </w:r>
      <w:r>
        <w:rPr>
          <w:rFonts w:hAnsi="宋体" w:hint="eastAsia"/>
        </w:rPr>
        <w:t>来</w:t>
      </w:r>
      <w:r>
        <w:rPr>
          <w:rFonts w:hAnsi="宋体" w:hint="eastAsia"/>
        </w:rPr>
        <w:t>基金累计份额净值增长率变动及其与同期业绩比较基准收益率变动的比</w:t>
      </w:r>
      <w:r>
        <w:rPr>
          <w:rFonts w:hAnsi="宋体" w:hint="eastAsia"/>
        </w:rPr>
        <w:t>较</w:t>
      </w:r>
      <w:bookmarkEnd w:id="77"/>
      <w:bookmarkEnd w:id="78"/>
      <w:bookmarkEnd w:id="79"/>
      <w:r>
        <w:rPr>
          <w:rFonts w:hAnsi="宋体" w:hint="eastAsia"/>
        </w:rPr>
        <w:t xml:space="preserve"> </w:t>
      </w:r>
    </w:p>
    <w:p w:rsidR="001C4503" w:rsidRDefault="001C4503">
      <w:pPr>
        <w:spacing w:line="360" w:lineRule="auto"/>
        <w:jc w:val="left"/>
        <w:divId w:val="966855204"/>
        <w:rPr>
          <w:rFonts w:hint="eastAsia"/>
        </w:rPr>
      </w:pPr>
      <w:bookmarkStart w:id="80" w:name="m07_04_07_09_tab"/>
      <w:bookmarkStart w:id="81" w:name="m07_04_07_09"/>
      <w:bookmarkStart w:id="82" w:name="m01_01"/>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1C4503" w:rsidRDefault="001C4503">
      <w:pPr>
        <w:spacing w:line="360" w:lineRule="auto"/>
        <w:jc w:val="left"/>
        <w:divId w:val="119306993"/>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1C4503" w:rsidRDefault="001C4503">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2016</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19</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2023</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15</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bookmarkEnd w:id="80"/>
      <w:bookmarkEnd w:id="81"/>
    </w:p>
    <w:p w:rsidR="001C4503" w:rsidRDefault="001C4503">
      <w:pPr>
        <w:pStyle w:val="XBRLTitle1"/>
        <w:spacing w:before="156"/>
        <w:ind w:left="425"/>
      </w:pPr>
      <w:bookmarkStart w:id="83" w:name="_Toc514088250"/>
      <w:bookmarkStart w:id="84" w:name="_Toc480465420"/>
      <w:bookmarkStart w:id="85" w:name="_Toc448480289"/>
      <w:bookmarkStart w:id="86" w:name="_Toc438654077"/>
      <w:bookmarkStart w:id="87" w:name="_Toc456107123"/>
      <w:bookmarkStart w:id="88" w:name="_Toc459213769"/>
      <w:bookmarkStart w:id="89" w:name="_Toc513542651"/>
      <w:bookmarkStart w:id="90" w:name="_Toc512696255"/>
      <w:bookmarkStart w:id="91" w:name="_Toc512612258"/>
      <w:bookmarkStart w:id="92" w:name="_Toc512612082"/>
      <w:bookmarkStart w:id="93" w:name="_Toc512611286"/>
      <w:r>
        <w:rPr>
          <w:rFonts w:hint="eastAsia"/>
        </w:rPr>
        <w:t>管理人报</w:t>
      </w:r>
      <w:r>
        <w:rPr>
          <w:rFonts w:hint="eastAsia"/>
        </w:rPr>
        <w:t>告</w:t>
      </w:r>
      <w:bookmarkEnd w:id="83"/>
      <w:bookmarkEnd w:id="84"/>
      <w:bookmarkEnd w:id="85"/>
      <w:bookmarkEnd w:id="86"/>
      <w:bookmarkEnd w:id="87"/>
      <w:bookmarkEnd w:id="88"/>
      <w:bookmarkEnd w:id="89"/>
      <w:bookmarkEnd w:id="90"/>
      <w:bookmarkEnd w:id="91"/>
      <w:bookmarkEnd w:id="92"/>
      <w:bookmarkEnd w:id="93"/>
    </w:p>
    <w:p w:rsidR="001C4503" w:rsidRDefault="001C4503">
      <w:pPr>
        <w:pStyle w:val="XBRLTitle2"/>
        <w:spacing w:before="156" w:line="360" w:lineRule="auto"/>
        <w:ind w:left="454"/>
        <w:rPr>
          <w:rFonts w:hint="eastAsia"/>
        </w:rPr>
      </w:pPr>
      <w:bookmarkStart w:id="94" w:name="_Toc514088251"/>
      <w:bookmarkStart w:id="95" w:name="_Toc480465421"/>
      <w:bookmarkStart w:id="96" w:name="_Toc448480290"/>
      <w:bookmarkStart w:id="97" w:name="_Toc438654078"/>
      <w:bookmarkStart w:id="98" w:name="_Toc456107124"/>
      <w:bookmarkStart w:id="99" w:name="_Toc459213770"/>
      <w:bookmarkStart w:id="100" w:name="_Toc513542652"/>
      <w:bookmarkStart w:id="101" w:name="_Toc512696256"/>
      <w:bookmarkStart w:id="102" w:name="_Toc512612259"/>
      <w:bookmarkStart w:id="103" w:name="_Toc512612083"/>
      <w:bookmarkStart w:id="104" w:name="_Toc512611287"/>
      <w:r>
        <w:rPr>
          <w:rFonts w:eastAsia="宋体" w:hint="eastAsia"/>
        </w:rPr>
        <w:t>基金经理（或基金经理小组）简</w:t>
      </w:r>
      <w:r>
        <w:rPr>
          <w:rFonts w:eastAsia="宋体" w:hint="eastAsia"/>
        </w:rPr>
        <w:t>介</w:t>
      </w:r>
      <w:bookmarkEnd w:id="94"/>
      <w:bookmarkEnd w:id="95"/>
      <w:bookmarkEnd w:id="96"/>
      <w:bookmarkEnd w:id="97"/>
      <w:bookmarkEnd w:id="98"/>
      <w:bookmarkEnd w:id="99"/>
      <w:bookmarkEnd w:id="100"/>
      <w:bookmarkEnd w:id="101"/>
      <w:bookmarkEnd w:id="102"/>
      <w:bookmarkEnd w:id="103"/>
      <w:bookmarkEnd w:id="104"/>
      <w:r>
        <w:rPr>
          <w:rFonts w:eastAsia="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90507009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C4503" w:rsidRDefault="001C4503">
            <w:pPr>
              <w:snapToGrid w:val="0"/>
              <w:jc w:val="center"/>
              <w:rPr>
                <w:rFonts w:hint="eastAsia"/>
              </w:rPr>
            </w:pPr>
            <w:bookmarkStart w:id="105" w:name="m04_02"/>
            <w:bookmarkEnd w:id="105"/>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C4503" w:rsidRDefault="001C4503">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C4503" w:rsidRDefault="001C4503">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C4503" w:rsidRDefault="001C4503">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C4503" w:rsidRDefault="001C4503">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90507009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4503" w:rsidRDefault="001C450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4503" w:rsidRDefault="001C4503">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C4503" w:rsidRDefault="001C4503">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C4503" w:rsidRDefault="001C4503">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4503" w:rsidRDefault="001C450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4503" w:rsidRDefault="001C4503">
            <w:pPr>
              <w:widowControl/>
              <w:jc w:val="left"/>
            </w:pPr>
          </w:p>
        </w:tc>
      </w:tr>
      <w:tr w:rsidR="00000000">
        <w:trPr>
          <w:divId w:val="190507009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szCs w:val="24"/>
                <w:lang w:eastAsia="zh-Hans"/>
              </w:rPr>
              <w:t>张</w:t>
            </w:r>
            <w:r>
              <w:rPr>
                <w:rFonts w:ascii="宋体" w:hAnsi="宋体" w:hint="eastAsia"/>
                <w:szCs w:val="24"/>
                <w:lang w:eastAsia="zh-Hans"/>
              </w:rPr>
              <w:t>军</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szCs w:val="24"/>
                <w:lang w:eastAsia="zh-Hans"/>
              </w:rPr>
              <w:t>2016</w:t>
            </w:r>
            <w:r>
              <w:rPr>
                <w:rFonts w:ascii="宋体" w:hAnsi="宋体" w:hint="eastAsia"/>
                <w:szCs w:val="24"/>
                <w:lang w:eastAsia="zh-Hans"/>
              </w:rPr>
              <w:t>年</w:t>
            </w:r>
            <w:r>
              <w:rPr>
                <w:rFonts w:ascii="宋体" w:hAnsi="宋体" w:hint="eastAsia"/>
                <w:szCs w:val="24"/>
                <w:lang w:eastAsia="zh-Hans"/>
              </w:rPr>
              <w:t>12</w:t>
            </w:r>
            <w:r>
              <w:rPr>
                <w:rFonts w:ascii="宋体" w:hAnsi="宋体" w:hint="eastAsia"/>
                <w:szCs w:val="24"/>
                <w:lang w:eastAsia="zh-Hans"/>
              </w:rPr>
              <w:t>月</w:t>
            </w:r>
            <w:r>
              <w:rPr>
                <w:rFonts w:ascii="宋体" w:hAnsi="宋体" w:hint="eastAsia"/>
                <w:szCs w:val="24"/>
                <w:lang w:eastAsia="zh-Hans"/>
              </w:rPr>
              <w:t>19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szCs w:val="24"/>
                <w:lang w:eastAsia="zh-Hans"/>
              </w:rPr>
              <w:t>22</w:t>
            </w:r>
            <w:r>
              <w:rPr>
                <w:rFonts w:ascii="宋体" w:hAnsi="宋体" w:hint="eastAsia"/>
                <w:szCs w:val="24"/>
                <w:lang w:eastAsia="zh-Hans"/>
              </w:rPr>
              <w:t>年（金融领域从业经验</w:t>
            </w:r>
            <w:r>
              <w:rPr>
                <w:rFonts w:ascii="宋体" w:hAnsi="宋体" w:hint="eastAsia"/>
                <w:szCs w:val="24"/>
                <w:lang w:eastAsia="zh-Hans"/>
              </w:rPr>
              <w:t>33</w:t>
            </w:r>
            <w:r>
              <w:rPr>
                <w:rFonts w:ascii="宋体" w:hAnsi="宋体" w:hint="eastAsia"/>
                <w:szCs w:val="24"/>
                <w:lang w:eastAsia="zh-Hans"/>
              </w:rPr>
              <w:t>年</w:t>
            </w:r>
            <w:r>
              <w:rPr>
                <w:rFonts w:ascii="宋体" w:hAnsi="宋体" w:hint="eastAsia"/>
                <w:szCs w:val="24"/>
                <w:lang w:eastAsia="zh-Hans"/>
              </w:rPr>
              <w:t>）</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left"/>
            </w:pPr>
            <w:r>
              <w:rPr>
                <w:rFonts w:ascii="宋体" w:hAnsi="宋体" w:hint="eastAsia"/>
                <w:szCs w:val="24"/>
                <w:lang w:eastAsia="zh-Hans"/>
              </w:rPr>
              <w:t>张军先生曾任上海国际信托有限公司国际业务部经理、交易部经理。</w:t>
            </w:r>
            <w:r>
              <w:rPr>
                <w:rFonts w:ascii="宋体" w:hAnsi="宋体" w:hint="eastAsia"/>
                <w:szCs w:val="24"/>
                <w:lang w:eastAsia="zh-Hans"/>
              </w:rPr>
              <w:t>2004</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，先后担任交易部总监、基金经理、投资绩效评估总监、国际投资部总监、组合基金投资部总监，现任高级基金经理</w:t>
            </w:r>
            <w:r>
              <w:rPr>
                <w:rFonts w:ascii="宋体" w:hAnsi="宋体" w:hint="eastAsia"/>
                <w:szCs w:val="24"/>
                <w:lang w:eastAsia="zh-Hans"/>
              </w:rPr>
              <w:t>。</w:t>
            </w:r>
          </w:p>
        </w:tc>
      </w:tr>
    </w:tbl>
    <w:p w:rsidR="001C4503" w:rsidRDefault="001C4503">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1C4503" w:rsidRDefault="001C4503">
      <w:pPr>
        <w:pStyle w:val="XBRLTitle3"/>
        <w:spacing w:before="156" w:line="360" w:lineRule="auto"/>
        <w:ind w:left="624"/>
        <w:divId w:val="1589077810"/>
      </w:pPr>
      <w:bookmarkStart w:id="106" w:name="_Toc512519488"/>
      <w:bookmarkStart w:id="107" w:name="_Toc490050009"/>
      <w:bookmarkStart w:id="108" w:name="_Toc438646459"/>
      <w:bookmarkStart w:id="109" w:name="_Toc481075055"/>
      <w:bookmarkStart w:id="110" w:name="_Toc5134656621"/>
      <w:r>
        <w:rPr>
          <w:rFonts w:hAnsi="宋体" w:hint="eastAsia"/>
        </w:rPr>
        <w:t>期末兼任私募资产管理计划投资经理的基金经理同时管理的产品情</w:t>
      </w:r>
      <w:r>
        <w:rPr>
          <w:rFonts w:hAnsi="宋体" w:hint="eastAsia"/>
        </w:rPr>
        <w:t>况</w:t>
      </w:r>
      <w:bookmarkEnd w:id="106"/>
      <w:bookmarkEnd w:id="107"/>
      <w:bookmarkEnd w:id="108"/>
      <w:bookmarkEnd w:id="109"/>
      <w:bookmarkEnd w:id="110"/>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809635731"/>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1C4503" w:rsidRDefault="001C4503">
            <w:pPr>
              <w:snapToGrid w:val="0"/>
              <w:jc w:val="center"/>
              <w:rPr>
                <w:rFonts w:hint="eastAsia"/>
              </w:rPr>
            </w:pPr>
            <w:bookmarkStart w:id="111"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1C4503" w:rsidRDefault="001C4503">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1C4503" w:rsidRDefault="001C4503">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1C4503" w:rsidRDefault="001C4503">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1C4503" w:rsidRDefault="001C4503">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809635731"/>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pPr>
              <w:jc w:val="center"/>
            </w:pPr>
            <w:r>
              <w:rPr>
                <w:rFonts w:ascii="宋体" w:hAnsi="宋体" w:hint="eastAsia"/>
                <w:szCs w:val="24"/>
              </w:rPr>
              <w:t>张</w:t>
            </w:r>
            <w:r>
              <w:rPr>
                <w:rFonts w:ascii="宋体" w:hAnsi="宋体" w:hint="eastAsia"/>
                <w:szCs w:val="24"/>
              </w:rPr>
              <w:t>军</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pPr>
              <w:jc w:val="right"/>
            </w:pPr>
            <w:r>
              <w:rPr>
                <w:rFonts w:ascii="宋体" w:hAnsi="宋体" w:hint="eastAsia"/>
                <w:szCs w:val="24"/>
              </w:rPr>
              <w:t>18,195,788,909.6</w:t>
            </w:r>
            <w:r>
              <w:rPr>
                <w:rFonts w:ascii="宋体" w:hAnsi="宋体" w:hint="eastAsia"/>
                <w:szCs w:val="24"/>
              </w:rPr>
              <w:t>4</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pPr>
              <w:jc w:val="center"/>
            </w:pPr>
            <w:r>
              <w:rPr>
                <w:rFonts w:ascii="宋体" w:hAnsi="宋体" w:hint="eastAsia"/>
                <w:szCs w:val="24"/>
              </w:rPr>
              <w:t>2008-03-0</w:t>
            </w:r>
            <w:r>
              <w:rPr>
                <w:rFonts w:ascii="宋体" w:hAnsi="宋体" w:hint="eastAsia"/>
                <w:szCs w:val="24"/>
              </w:rPr>
              <w:t>8</w:t>
            </w:r>
          </w:p>
        </w:tc>
      </w:tr>
      <w:tr w:rsidR="00000000">
        <w:trPr>
          <w:divId w:val="809635731"/>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1C4503" w:rsidRDefault="001C4503">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pPr>
              <w:jc w:val="right"/>
            </w:pPr>
            <w:r>
              <w:rPr>
                <w:rFonts w:ascii="宋体" w:hAnsi="宋体" w:hint="eastAsia"/>
                <w:szCs w:val="24"/>
              </w:rPr>
              <w:t>22,123,738.7</w:t>
            </w:r>
            <w:r>
              <w:rPr>
                <w:rFonts w:ascii="宋体" w:hAnsi="宋体" w:hint="eastAsia"/>
                <w:szCs w:val="24"/>
              </w:rPr>
              <w:t>5</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pPr>
              <w:jc w:val="center"/>
            </w:pPr>
            <w:r>
              <w:rPr>
                <w:rFonts w:ascii="宋体" w:hAnsi="宋体" w:hint="eastAsia"/>
                <w:szCs w:val="24"/>
              </w:rPr>
              <w:t>2021-07-0</w:t>
            </w:r>
            <w:r>
              <w:rPr>
                <w:rFonts w:ascii="宋体" w:hAnsi="宋体" w:hint="eastAsia"/>
                <w:szCs w:val="24"/>
              </w:rPr>
              <w:t>9</w:t>
            </w:r>
          </w:p>
        </w:tc>
      </w:tr>
      <w:tr w:rsidR="00000000">
        <w:trPr>
          <w:divId w:val="809635731"/>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1C4503" w:rsidRDefault="001C4503">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pPr>
              <w:jc w:val="center"/>
            </w:pPr>
            <w:r>
              <w:rPr>
                <w:rFonts w:ascii="宋体" w:hAnsi="宋体" w:hint="eastAsia"/>
                <w:szCs w:val="24"/>
              </w:rPr>
              <w:t>-</w:t>
            </w:r>
          </w:p>
        </w:tc>
      </w:tr>
      <w:tr w:rsidR="00000000">
        <w:trPr>
          <w:divId w:val="809635731"/>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1C4503" w:rsidRDefault="001C4503">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pPr>
              <w:jc w:val="right"/>
            </w:pPr>
            <w:r>
              <w:rPr>
                <w:rFonts w:ascii="宋体" w:hAnsi="宋体" w:hint="eastAsia"/>
                <w:szCs w:val="24"/>
              </w:rPr>
              <w:t>1</w:t>
            </w:r>
            <w:r>
              <w:rPr>
                <w:rFonts w:ascii="宋体" w:hAnsi="宋体" w:hint="eastAsia"/>
                <w:szCs w:val="24"/>
              </w:rPr>
              <w:t>0</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pPr>
              <w:jc w:val="right"/>
            </w:pPr>
            <w:r>
              <w:rPr>
                <w:rFonts w:ascii="宋体" w:hAnsi="宋体" w:hint="eastAsia"/>
                <w:szCs w:val="24"/>
              </w:rPr>
              <w:t>18,217,912,648.3</w:t>
            </w:r>
            <w:r>
              <w:rPr>
                <w:rFonts w:ascii="宋体" w:hAnsi="宋体" w:hint="eastAsia"/>
                <w:szCs w:val="24"/>
              </w:rPr>
              <w:t>9</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C4503" w:rsidRDefault="001C4503">
            <w:pPr>
              <w:jc w:val="center"/>
            </w:pPr>
            <w:r>
              <w:rPr>
                <w:rFonts w:ascii="宋体" w:hAnsi="宋体" w:hint="eastAsia"/>
                <w:szCs w:val="24"/>
              </w:rPr>
              <w:t xml:space="preserve">- </w:t>
            </w:r>
          </w:p>
        </w:tc>
      </w:tr>
    </w:tbl>
    <w:p w:rsidR="001C4503" w:rsidRDefault="001C4503">
      <w:pPr>
        <w:pStyle w:val="XBRLTitle2"/>
        <w:spacing w:before="156" w:line="360" w:lineRule="auto"/>
        <w:ind w:left="454"/>
      </w:pPr>
      <w:bookmarkStart w:id="112" w:name="_Toc514088252"/>
      <w:bookmarkStart w:id="113" w:name="_Toc480465422"/>
      <w:bookmarkStart w:id="114" w:name="_Toc448480291"/>
      <w:bookmarkStart w:id="115" w:name="_Toc438654079"/>
      <w:bookmarkStart w:id="116" w:name="_Toc456107125"/>
      <w:bookmarkStart w:id="117" w:name="_Toc459213771"/>
      <w:bookmarkStart w:id="118" w:name="_Toc513542653"/>
      <w:bookmarkStart w:id="119" w:name="_Toc512696257"/>
      <w:bookmarkStart w:id="120" w:name="_Toc512612260"/>
      <w:bookmarkStart w:id="121" w:name="_Toc512612084"/>
      <w:bookmarkStart w:id="122" w:name="_Toc512611288"/>
      <w:bookmarkStart w:id="123" w:name="m402"/>
      <w:bookmarkEnd w:id="111"/>
      <w:r>
        <w:rPr>
          <w:rFonts w:eastAsia="宋体" w:hint="eastAsia"/>
        </w:rPr>
        <w:t>境外投资顾问为本基金提供投资建议的主要成员简</w:t>
      </w:r>
      <w:r>
        <w:rPr>
          <w:rFonts w:eastAsia="宋体" w:hint="eastAsia"/>
        </w:rPr>
        <w:t>介</w:t>
      </w:r>
      <w:bookmarkEnd w:id="112"/>
      <w:bookmarkEnd w:id="113"/>
      <w:bookmarkEnd w:id="114"/>
      <w:bookmarkEnd w:id="115"/>
      <w:bookmarkEnd w:id="116"/>
      <w:bookmarkEnd w:id="117"/>
      <w:r>
        <w:rPr>
          <w:rFonts w:eastAsia="宋体" w:cs="宋体" w:hint="eastAsia"/>
          <w:color w:val="000000"/>
          <w:kern w:val="0"/>
        </w:rPr>
        <w:t xml:space="preserve"> </w:t>
      </w:r>
      <w:bookmarkEnd w:id="118"/>
      <w:bookmarkEnd w:id="119"/>
      <w:bookmarkEnd w:id="120"/>
      <w:bookmarkEnd w:id="121"/>
      <w:bookmarkEnd w:id="122"/>
    </w:p>
    <w:tbl>
      <w:tblPr>
        <w:tblStyle w:val="af8"/>
        <w:tblW w:w="4900"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1632"/>
        <w:gridCol w:w="2781"/>
        <w:gridCol w:w="1903"/>
        <w:gridCol w:w="2342"/>
      </w:tblGrid>
      <w:tr w:rsidR="00000000">
        <w:trPr>
          <w:divId w:val="1975602017"/>
          <w:trHeight w:val="55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bookmarkEnd w:id="123"/>
          <w:p w:rsidR="001C4503" w:rsidRDefault="001C4503">
            <w:pPr>
              <w:jc w:val="center"/>
              <w:rPr>
                <w:rFonts w:hint="eastAsia"/>
              </w:rPr>
            </w:pPr>
            <w:r>
              <w:rPr>
                <w:rFonts w:asciiTheme="majorEastAsia" w:eastAsiaTheme="majorEastAsia" w:hAnsiTheme="majorEastAsia" w:hint="eastAsia"/>
              </w:rPr>
              <w:t>姓名</w:t>
            </w:r>
            <w:r>
              <w:rPr>
                <w:rFonts w:asciiTheme="majorEastAsia" w:eastAsiaTheme="majorEastAsia" w:hAnsiTheme="majorEastAsia" w:hint="eastAsia"/>
              </w:rPr>
              <w:t xml:space="preserve">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1C4503" w:rsidRDefault="001C4503">
            <w:pPr>
              <w:jc w:val="center"/>
            </w:pPr>
            <w:r>
              <w:rPr>
                <w:rFonts w:asciiTheme="majorEastAsia" w:eastAsiaTheme="majorEastAsia" w:hAnsiTheme="majorEastAsia" w:hint="eastAsia"/>
              </w:rPr>
              <w:t>在境外投资顾问所任职务</w:t>
            </w:r>
            <w:r>
              <w:rPr>
                <w:rFonts w:asciiTheme="majorEastAsia" w:eastAsiaTheme="majorEastAsia" w:hAnsiTheme="majorEastAsia" w:hint="eastAsia"/>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1C4503" w:rsidRDefault="001C4503">
            <w:pPr>
              <w:jc w:val="center"/>
            </w:pPr>
            <w:r>
              <w:rPr>
                <w:rFonts w:asciiTheme="majorEastAsia" w:eastAsiaTheme="majorEastAsia" w:hAnsiTheme="majorEastAsia" w:hint="eastAsia"/>
              </w:rPr>
              <w:t>证券从业年限</w:t>
            </w:r>
            <w:r>
              <w:rPr>
                <w:rFonts w:asciiTheme="majorEastAsia" w:eastAsiaTheme="majorEastAsia" w:hAnsiTheme="majorEastAsia" w:hint="eastAsia"/>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1C4503" w:rsidRDefault="001C4503">
            <w:pPr>
              <w:jc w:val="center"/>
            </w:pPr>
            <w:r>
              <w:rPr>
                <w:rFonts w:asciiTheme="majorEastAsia" w:eastAsiaTheme="majorEastAsia" w:hAnsiTheme="majorEastAsia" w:hint="eastAsia"/>
              </w:rPr>
              <w:t>说明</w:t>
            </w:r>
            <w:r>
              <w:rPr>
                <w:rFonts w:asciiTheme="majorEastAsia" w:eastAsiaTheme="majorEastAsia" w:hAnsiTheme="majorEastAsia" w:hint="eastAsia"/>
              </w:rPr>
              <w:t xml:space="preserve"> </w:t>
            </w:r>
          </w:p>
        </w:tc>
      </w:tr>
      <w:tr w:rsidR="00000000">
        <w:trPr>
          <w:divId w:val="197560201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503" w:rsidRDefault="001C4503">
            <w:r>
              <w:rPr>
                <w:rFonts w:asciiTheme="majorEastAsia" w:eastAsiaTheme="majorEastAsia" w:hAnsiTheme="majorEastAsia" w:hint="eastAsia"/>
              </w:rPr>
              <w:t>Leon Goldfel</w:t>
            </w:r>
            <w:r>
              <w:rPr>
                <w:rFonts w:asciiTheme="majorEastAsia" w:eastAsiaTheme="majorEastAsia" w:hAnsiTheme="majorEastAsia" w:hint="eastAsia"/>
              </w:rPr>
              <w:t>d</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503" w:rsidRDefault="001C4503">
            <w:r>
              <w:rPr>
                <w:rFonts w:asciiTheme="majorEastAsia" w:eastAsiaTheme="majorEastAsia" w:hAnsiTheme="majorEastAsia" w:hint="eastAsia"/>
              </w:rPr>
              <w:t>摩根资产管理</w:t>
            </w:r>
            <w:r>
              <w:rPr>
                <w:rFonts w:asciiTheme="majorEastAsia" w:eastAsiaTheme="majorEastAsia" w:hAnsiTheme="majorEastAsia" w:hint="eastAsia"/>
              </w:rPr>
              <w:t>(</w:t>
            </w:r>
            <w:r>
              <w:rPr>
                <w:rFonts w:asciiTheme="majorEastAsia" w:eastAsiaTheme="majorEastAsia" w:hAnsiTheme="majorEastAsia" w:hint="eastAsia"/>
              </w:rPr>
              <w:t>亚太</w:t>
            </w:r>
            <w:r>
              <w:rPr>
                <w:rFonts w:asciiTheme="majorEastAsia" w:eastAsiaTheme="majorEastAsia" w:hAnsiTheme="majorEastAsia" w:hint="eastAsia"/>
              </w:rPr>
              <w:t>)</w:t>
            </w:r>
            <w:r>
              <w:rPr>
                <w:rFonts w:asciiTheme="majorEastAsia" w:eastAsiaTheme="majorEastAsia" w:hAnsiTheme="majorEastAsia" w:hint="eastAsia"/>
              </w:rPr>
              <w:t>董事总经理，多资产解决方案部资深投资组合经</w:t>
            </w:r>
            <w:r>
              <w:rPr>
                <w:rFonts w:asciiTheme="majorEastAsia" w:eastAsiaTheme="majorEastAsia" w:hAnsiTheme="majorEastAsia" w:hint="eastAsia"/>
              </w:rPr>
              <w:t>理</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503" w:rsidRDefault="001C4503">
            <w:r>
              <w:rPr>
                <w:rFonts w:asciiTheme="majorEastAsia" w:eastAsiaTheme="majorEastAsia" w:hAnsiTheme="majorEastAsia" w:hint="eastAsia"/>
              </w:rPr>
              <w:t>38</w:t>
            </w:r>
            <w:r>
              <w:rPr>
                <w:rFonts w:asciiTheme="majorEastAsia" w:eastAsiaTheme="majorEastAsia" w:hAnsiTheme="majorEastAsia" w:hint="eastAsia"/>
              </w:rPr>
              <w:t>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503" w:rsidRDefault="001C4503">
            <w:r>
              <w:rPr>
                <w:rFonts w:asciiTheme="majorEastAsia" w:eastAsiaTheme="majorEastAsia" w:hAnsiTheme="majorEastAsia" w:hint="eastAsia"/>
              </w:rPr>
              <w:t>Leon </w:t>
            </w:r>
            <w:r>
              <w:rPr>
                <w:rFonts w:asciiTheme="majorEastAsia" w:eastAsiaTheme="majorEastAsia" w:hAnsiTheme="majorEastAsia" w:hint="eastAsia"/>
              </w:rPr>
              <w:t>Goldfeld</w:t>
            </w:r>
            <w:r>
              <w:rPr>
                <w:rFonts w:asciiTheme="majorEastAsia" w:eastAsiaTheme="majorEastAsia" w:hAnsiTheme="majorEastAsia" w:hint="eastAsia"/>
              </w:rPr>
              <w:t xml:space="preserve">　</w:t>
            </w:r>
            <w:r>
              <w:rPr>
                <w:rFonts w:asciiTheme="majorEastAsia" w:eastAsiaTheme="majorEastAsia" w:hAnsiTheme="majorEastAsia" w:hint="eastAsia"/>
              </w:rPr>
              <w:t>(</w:t>
            </w:r>
            <w:r>
              <w:rPr>
                <w:rFonts w:asciiTheme="majorEastAsia" w:eastAsiaTheme="majorEastAsia" w:hAnsiTheme="majorEastAsia" w:hint="eastAsia"/>
              </w:rPr>
              <w:t>高礼行</w:t>
            </w:r>
            <w:r>
              <w:rPr>
                <w:rFonts w:asciiTheme="majorEastAsia" w:eastAsiaTheme="majorEastAsia" w:hAnsiTheme="majorEastAsia" w:hint="eastAsia"/>
              </w:rPr>
              <w:t>)</w:t>
            </w:r>
            <w:r>
              <w:rPr>
                <w:rFonts w:asciiTheme="majorEastAsia" w:eastAsiaTheme="majorEastAsia" w:hAnsiTheme="majorEastAsia" w:hint="eastAsia"/>
              </w:rPr>
              <w:t>，董事总经理，摩根资产管理多资产解决方案部资深投资组合经理，常驻香港。加入摩根资产管理前，</w:t>
            </w:r>
            <w:r>
              <w:rPr>
                <w:rFonts w:asciiTheme="majorEastAsia" w:eastAsiaTheme="majorEastAsia" w:hAnsiTheme="majorEastAsia" w:hint="eastAsia"/>
              </w:rPr>
              <w:t>Leon</w:t>
            </w:r>
            <w:r>
              <w:rPr>
                <w:rFonts w:asciiTheme="majorEastAsia" w:eastAsiaTheme="majorEastAsia" w:hAnsiTheme="majorEastAsia" w:hint="eastAsia"/>
              </w:rPr>
              <w:t>曾任东方汇理</w:t>
            </w:r>
            <w:r>
              <w:rPr>
                <w:rFonts w:asciiTheme="majorEastAsia" w:eastAsiaTheme="majorEastAsia" w:hAnsiTheme="majorEastAsia" w:hint="eastAsia"/>
              </w:rPr>
              <w:t>(</w:t>
            </w:r>
            <w:r>
              <w:rPr>
                <w:rFonts w:asciiTheme="majorEastAsia" w:eastAsiaTheme="majorEastAsia" w:hAnsiTheme="majorEastAsia" w:hint="eastAsia"/>
              </w:rPr>
              <w:t>香港</w:t>
            </w:r>
            <w:r>
              <w:rPr>
                <w:rFonts w:asciiTheme="majorEastAsia" w:eastAsiaTheme="majorEastAsia" w:hAnsiTheme="majorEastAsia" w:hint="eastAsia"/>
              </w:rPr>
              <w:t>)</w:t>
            </w:r>
            <w:r>
              <w:rPr>
                <w:rFonts w:asciiTheme="majorEastAsia" w:eastAsiaTheme="majorEastAsia" w:hAnsiTheme="majorEastAsia" w:hint="eastAsia"/>
              </w:rPr>
              <w:t>副首席投资官及亚洲多资产投资部总监，高盛私人财富管理公司投资策略部董事总经理，汇丰全球资产管理</w:t>
            </w:r>
            <w:r>
              <w:rPr>
                <w:rFonts w:asciiTheme="majorEastAsia" w:eastAsiaTheme="majorEastAsia" w:hAnsiTheme="majorEastAsia" w:hint="eastAsia"/>
              </w:rPr>
              <w:t>(</w:t>
            </w:r>
            <w:r>
              <w:rPr>
                <w:rFonts w:asciiTheme="majorEastAsia" w:eastAsiaTheme="majorEastAsia" w:hAnsiTheme="majorEastAsia" w:hint="eastAsia"/>
              </w:rPr>
              <w:t>香港</w:t>
            </w:r>
            <w:r>
              <w:rPr>
                <w:rFonts w:asciiTheme="majorEastAsia" w:eastAsiaTheme="majorEastAsia" w:hAnsiTheme="majorEastAsia" w:hint="eastAsia"/>
              </w:rPr>
              <w:t>)</w:t>
            </w:r>
            <w:r>
              <w:rPr>
                <w:rFonts w:asciiTheme="majorEastAsia" w:eastAsiaTheme="majorEastAsia" w:hAnsiTheme="majorEastAsia" w:hint="eastAsia"/>
              </w:rPr>
              <w:t>首席投资官，以及安盛投资管理香港地区首席投资官。</w:t>
            </w:r>
            <w:r>
              <w:rPr>
                <w:rFonts w:asciiTheme="majorEastAsia" w:eastAsiaTheme="majorEastAsia" w:hAnsiTheme="majorEastAsia" w:hint="eastAsia"/>
              </w:rPr>
              <w:br/>
              <w:t>Leon</w:t>
            </w:r>
            <w:r>
              <w:rPr>
                <w:rFonts w:asciiTheme="majorEastAsia" w:eastAsiaTheme="majorEastAsia" w:hAnsiTheme="majorEastAsia" w:hint="eastAsia"/>
              </w:rPr>
              <w:t>拥有墨尔本莫纳什大学计算机科学、会计与经济学专业的学士学位，并为一名特许金融分析师</w:t>
            </w:r>
            <w:r>
              <w:rPr>
                <w:rFonts w:asciiTheme="majorEastAsia" w:eastAsiaTheme="majorEastAsia" w:hAnsiTheme="majorEastAsia" w:hint="eastAsia"/>
              </w:rPr>
              <w:t>。</w:t>
            </w:r>
          </w:p>
        </w:tc>
      </w:tr>
    </w:tbl>
    <w:p w:rsidR="001C4503" w:rsidRDefault="001C4503">
      <w:pPr>
        <w:pStyle w:val="XBRLTitle2"/>
        <w:spacing w:before="156" w:line="360" w:lineRule="auto"/>
        <w:ind w:left="454"/>
      </w:pPr>
      <w:bookmarkStart w:id="124" w:name="_Toc514088253"/>
      <w:bookmarkStart w:id="125" w:name="_Toc480465423"/>
      <w:bookmarkStart w:id="126" w:name="_Toc448480292"/>
      <w:bookmarkStart w:id="127" w:name="_Toc438654080"/>
      <w:bookmarkStart w:id="128" w:name="_Toc456107126"/>
      <w:bookmarkStart w:id="129" w:name="_Toc459213772"/>
      <w:bookmarkStart w:id="130" w:name="_Toc513542654"/>
      <w:bookmarkStart w:id="131" w:name="_Toc512696258"/>
      <w:bookmarkStart w:id="132" w:name="_Toc512612261"/>
      <w:bookmarkStart w:id="133" w:name="_Toc512612085"/>
      <w:bookmarkStart w:id="134" w:name="_Toc512611289"/>
      <w:bookmarkStart w:id="135" w:name="m403"/>
      <w:r>
        <w:rPr>
          <w:rFonts w:eastAsia="宋体" w:hint="eastAsia"/>
        </w:rPr>
        <w:t>报告期内本基金运作遵规守信情况说</w:t>
      </w:r>
      <w:r>
        <w:rPr>
          <w:rFonts w:eastAsia="宋体" w:hint="eastAsia"/>
        </w:rPr>
        <w:t>明</w:t>
      </w:r>
      <w:bookmarkEnd w:id="124"/>
      <w:bookmarkEnd w:id="125"/>
      <w:bookmarkEnd w:id="126"/>
      <w:bookmarkEnd w:id="127"/>
      <w:bookmarkEnd w:id="128"/>
      <w:bookmarkEnd w:id="129"/>
      <w:bookmarkEnd w:id="130"/>
      <w:bookmarkEnd w:id="131"/>
      <w:bookmarkEnd w:id="132"/>
      <w:bookmarkEnd w:id="133"/>
      <w:bookmarkEnd w:id="134"/>
      <w:r>
        <w:rPr>
          <w:rFonts w:eastAsia="宋体" w:hint="eastAsia"/>
        </w:rPr>
        <w:t xml:space="preserve"> </w:t>
      </w:r>
    </w:p>
    <w:p w:rsidR="001C4503" w:rsidRDefault="001C4503">
      <w:pPr>
        <w:spacing w:line="360" w:lineRule="auto"/>
        <w:ind w:firstLineChars="200" w:firstLine="420"/>
        <w:jc w:val="left"/>
        <w:rPr>
          <w:rFonts w:hint="eastAsia"/>
        </w:rPr>
      </w:pPr>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rsidR="001C4503" w:rsidRDefault="001C4503">
      <w:pPr>
        <w:pStyle w:val="XBRLTitle2"/>
        <w:spacing w:before="156" w:line="360" w:lineRule="auto"/>
        <w:ind w:left="454"/>
      </w:pPr>
      <w:bookmarkStart w:id="136" w:name="_Toc514088254"/>
      <w:bookmarkStart w:id="137" w:name="_Toc480465424"/>
      <w:bookmarkStart w:id="138" w:name="_Toc448480293"/>
      <w:bookmarkStart w:id="139" w:name="_Toc438654081"/>
      <w:bookmarkStart w:id="140" w:name="_Toc456107127"/>
      <w:bookmarkStart w:id="141" w:name="_Toc459213773"/>
      <w:bookmarkStart w:id="142" w:name="_Toc513542655"/>
      <w:bookmarkStart w:id="143" w:name="_Toc512696259"/>
      <w:bookmarkStart w:id="144" w:name="_Toc512612262"/>
      <w:bookmarkStart w:id="145" w:name="_Toc512612086"/>
      <w:bookmarkStart w:id="146" w:name="_Toc512611290"/>
      <w:bookmarkEnd w:id="135"/>
      <w:r>
        <w:rPr>
          <w:rFonts w:eastAsia="宋体" w:hint="eastAsia"/>
        </w:rPr>
        <w:t>公平交易专项说</w:t>
      </w:r>
      <w:r>
        <w:rPr>
          <w:rFonts w:eastAsia="宋体" w:hint="eastAsia"/>
        </w:rPr>
        <w:t>明</w:t>
      </w:r>
      <w:bookmarkEnd w:id="136"/>
      <w:bookmarkEnd w:id="137"/>
      <w:bookmarkEnd w:id="138"/>
      <w:bookmarkEnd w:id="139"/>
      <w:bookmarkEnd w:id="140"/>
      <w:bookmarkEnd w:id="141"/>
      <w:bookmarkEnd w:id="142"/>
      <w:bookmarkEnd w:id="143"/>
      <w:bookmarkEnd w:id="144"/>
      <w:bookmarkEnd w:id="145"/>
      <w:bookmarkEnd w:id="146"/>
      <w:r>
        <w:rPr>
          <w:rFonts w:eastAsia="宋体" w:hint="eastAsia"/>
        </w:rPr>
        <w:t xml:space="preserve"> </w:t>
      </w:r>
    </w:p>
    <w:p w:rsidR="001C4503" w:rsidRDefault="001C4503">
      <w:pPr>
        <w:pStyle w:val="XBRLTitle3"/>
        <w:spacing w:before="156" w:line="360" w:lineRule="auto"/>
        <w:ind w:left="624"/>
        <w:rPr>
          <w:rFonts w:hint="eastAsia"/>
        </w:rPr>
      </w:pPr>
      <w:bookmarkStart w:id="147" w:name="_Toc514088255"/>
      <w:bookmarkStart w:id="148" w:name="_Toc480465425"/>
      <w:bookmarkStart w:id="149" w:name="_Toc513542656"/>
      <w:bookmarkStart w:id="150" w:name="m404_01_0570"/>
      <w:r>
        <w:rPr>
          <w:rFonts w:hAnsi="宋体" w:hint="eastAsia"/>
        </w:rPr>
        <w:t>公平交易制度的执行情</w:t>
      </w:r>
      <w:r>
        <w:rPr>
          <w:rFonts w:hAnsi="宋体" w:hint="eastAsia"/>
        </w:rPr>
        <w:t>况</w:t>
      </w:r>
      <w:bookmarkEnd w:id="147"/>
      <w:r>
        <w:rPr>
          <w:rFonts w:hAnsi="宋体" w:hint="eastAsia"/>
        </w:rPr>
        <w:t xml:space="preserve"> </w:t>
      </w:r>
    </w:p>
    <w:p w:rsidR="001C4503" w:rsidRDefault="001C4503">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1C4503" w:rsidRDefault="001C4503">
      <w:pPr>
        <w:pStyle w:val="XBRLTitle3"/>
        <w:spacing w:before="156" w:line="360" w:lineRule="auto"/>
        <w:ind w:left="624"/>
      </w:pPr>
      <w:bookmarkStart w:id="151" w:name="_Toc514088256"/>
      <w:bookmarkStart w:id="152" w:name="_Toc480465426"/>
      <w:bookmarkStart w:id="153" w:name="_Toc513542657"/>
      <w:bookmarkStart w:id="154" w:name="m404_01_0578"/>
      <w:r>
        <w:rPr>
          <w:rFonts w:hAnsi="宋体" w:hint="eastAsia"/>
        </w:rPr>
        <w:t>异常交易行为的专项说</w:t>
      </w:r>
      <w:r>
        <w:rPr>
          <w:rFonts w:hAnsi="宋体" w:hint="eastAsia"/>
        </w:rPr>
        <w:t>明</w:t>
      </w:r>
      <w:bookmarkEnd w:id="151"/>
      <w:r>
        <w:rPr>
          <w:rFonts w:hAnsi="宋体" w:hint="eastAsia"/>
        </w:rPr>
        <w:t xml:space="preserve"> </w:t>
      </w:r>
    </w:p>
    <w:p w:rsidR="001C4503" w:rsidRDefault="001C4503">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1C4503" w:rsidRDefault="001C4503">
      <w:pPr>
        <w:pStyle w:val="XBRLTitle2"/>
        <w:spacing w:before="156" w:line="360" w:lineRule="auto"/>
        <w:ind w:left="454"/>
      </w:pPr>
      <w:bookmarkStart w:id="155" w:name="_Toc514088257"/>
      <w:bookmarkStart w:id="156" w:name="_Toc480465427"/>
      <w:bookmarkStart w:id="157" w:name="_Toc448480294"/>
      <w:bookmarkStart w:id="158" w:name="_Toc438654082"/>
      <w:bookmarkStart w:id="159" w:name="_Toc456107128"/>
      <w:bookmarkStart w:id="160" w:name="_Toc459213774"/>
      <w:bookmarkStart w:id="161" w:name="_Toc513542658"/>
      <w:bookmarkStart w:id="162" w:name="_Toc512696260"/>
      <w:bookmarkStart w:id="163" w:name="_Toc512612263"/>
      <w:bookmarkStart w:id="164" w:name="_Toc512612087"/>
      <w:bookmarkStart w:id="165" w:name="_Toc512611291"/>
      <w:r>
        <w:rPr>
          <w:rFonts w:eastAsia="宋体" w:hint="eastAsia"/>
        </w:rPr>
        <w:t>报告期内基金的投资策略和业绩表现说</w:t>
      </w:r>
      <w:r>
        <w:rPr>
          <w:rFonts w:eastAsia="宋体" w:hint="eastAsia"/>
        </w:rPr>
        <w:t>明</w:t>
      </w:r>
      <w:bookmarkEnd w:id="155"/>
      <w:bookmarkEnd w:id="156"/>
      <w:bookmarkEnd w:id="157"/>
      <w:bookmarkEnd w:id="158"/>
      <w:bookmarkEnd w:id="159"/>
      <w:bookmarkEnd w:id="160"/>
      <w:bookmarkEnd w:id="161"/>
      <w:bookmarkEnd w:id="162"/>
      <w:bookmarkEnd w:id="163"/>
      <w:bookmarkEnd w:id="164"/>
      <w:bookmarkEnd w:id="165"/>
      <w:r>
        <w:rPr>
          <w:rFonts w:eastAsia="宋体" w:hint="eastAsia"/>
        </w:rPr>
        <w:t xml:space="preserve"> </w:t>
      </w:r>
    </w:p>
    <w:p w:rsidR="001C4503" w:rsidRDefault="001C4503">
      <w:pPr>
        <w:pStyle w:val="XBRLTitle3"/>
        <w:spacing w:before="156" w:line="360" w:lineRule="auto"/>
        <w:ind w:left="624"/>
        <w:rPr>
          <w:rFonts w:hint="eastAsia"/>
        </w:rPr>
      </w:pPr>
      <w:bookmarkStart w:id="166" w:name="_Toc51408825711"/>
      <w:r>
        <w:rPr>
          <w:rFonts w:hAnsi="宋体" w:hint="eastAsia"/>
        </w:rPr>
        <w:t>报告期内基金投资策略和运作分</w:t>
      </w:r>
      <w:r>
        <w:rPr>
          <w:rFonts w:hAnsi="宋体" w:hint="eastAsia"/>
        </w:rPr>
        <w:t>析</w:t>
      </w:r>
      <w:bookmarkEnd w:id="148"/>
      <w:bookmarkEnd w:id="149"/>
      <w:bookmarkEnd w:id="166"/>
      <w:r>
        <w:rPr>
          <w:rFonts w:hAnsi="宋体" w:hint="eastAsia"/>
        </w:rPr>
        <w:t xml:space="preserve"> </w:t>
      </w:r>
    </w:p>
    <w:p w:rsidR="001C4503" w:rsidRDefault="001C4503">
      <w:pPr>
        <w:spacing w:line="360" w:lineRule="auto"/>
        <w:ind w:firstLineChars="200" w:firstLine="420"/>
        <w:divId w:val="2006397026"/>
        <w:rPr>
          <w:rFonts w:hint="eastAsia"/>
        </w:rPr>
      </w:pPr>
      <w:r>
        <w:rPr>
          <w:rFonts w:ascii="宋体" w:hAnsi="宋体" w:hint="eastAsia"/>
          <w:color w:val="000000"/>
          <w:kern w:val="0"/>
          <w:szCs w:val="21"/>
          <w:lang w:eastAsia="zh-Hans"/>
        </w:rPr>
        <w:t>报告期内，美国与伊朗谈判代表已签订备忘录。市场期待双方能够达成永久停火协议，令油价回落。随着霍尔木兹海峡的航运交通逐步恢复正常，国际油价录得自新冠疫情以来最大的季度跌幅。</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w:t>
      </w:r>
      <w:r>
        <w:rPr>
          <w:rFonts w:ascii="宋体" w:hAnsi="宋体" w:hint="eastAsia"/>
          <w:color w:val="000000"/>
          <w:kern w:val="0"/>
          <w:szCs w:val="21"/>
          <w:lang w:eastAsia="zh-Hans"/>
        </w:rPr>
        <w:t>6</w:t>
      </w:r>
      <w:r>
        <w:rPr>
          <w:rFonts w:ascii="宋体" w:hAnsi="宋体" w:hint="eastAsia"/>
          <w:color w:val="000000"/>
          <w:kern w:val="0"/>
          <w:szCs w:val="21"/>
          <w:lang w:eastAsia="zh-Hans"/>
        </w:rPr>
        <w:t>月美联储议息会议维持政策利率在</w:t>
      </w:r>
      <w:r>
        <w:rPr>
          <w:rFonts w:ascii="宋体" w:hAnsi="宋体" w:hint="eastAsia"/>
          <w:color w:val="000000"/>
          <w:kern w:val="0"/>
          <w:szCs w:val="21"/>
          <w:lang w:eastAsia="zh-Hans"/>
        </w:rPr>
        <w:t>3.5%-3.75%</w:t>
      </w:r>
      <w:r>
        <w:rPr>
          <w:rFonts w:ascii="宋体" w:hAnsi="宋体" w:hint="eastAsia"/>
          <w:color w:val="000000"/>
          <w:kern w:val="0"/>
          <w:szCs w:val="21"/>
          <w:lang w:eastAsia="zh-Hans"/>
        </w:rPr>
        <w:t>区间，符合市场预期。点阵图显示</w:t>
      </w:r>
      <w:r>
        <w:rPr>
          <w:rFonts w:ascii="宋体" w:hAnsi="宋体" w:hint="eastAsia"/>
          <w:color w:val="000000"/>
          <w:kern w:val="0"/>
          <w:szCs w:val="21"/>
          <w:lang w:eastAsia="zh-Hans"/>
        </w:rPr>
        <w:t>2026</w:t>
      </w:r>
      <w:r>
        <w:rPr>
          <w:rFonts w:ascii="宋体" w:hAnsi="宋体" w:hint="eastAsia"/>
          <w:color w:val="000000"/>
          <w:kern w:val="0"/>
          <w:szCs w:val="21"/>
          <w:lang w:eastAsia="zh-Hans"/>
        </w:rPr>
        <w:t>年美联储可能进行预防性加息，整体立场偏鹰派，市场加息预期升温，部分扭转了霍尔木兹海峡通航后市场原本的乐观预期。</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本次利率决议获得投票委员们一致通过。沃什主席在会后讲话中表达了以下观点：首先，他拒绝提供利率前瞻指引，本人也未提交美国经济预测（</w:t>
      </w:r>
      <w:r>
        <w:rPr>
          <w:rFonts w:ascii="宋体" w:hAnsi="宋体" w:hint="eastAsia"/>
          <w:color w:val="000000"/>
          <w:kern w:val="0"/>
          <w:szCs w:val="21"/>
          <w:lang w:eastAsia="zh-Hans"/>
        </w:rPr>
        <w:t>SEP</w:t>
      </w:r>
      <w:r>
        <w:rPr>
          <w:rFonts w:ascii="宋体" w:hAnsi="宋体" w:hint="eastAsia"/>
          <w:color w:val="000000"/>
          <w:kern w:val="0"/>
          <w:szCs w:val="21"/>
          <w:lang w:eastAsia="zh-Hans"/>
        </w:rPr>
        <w:t>）和点阵图的更新，且在记者会上也未提供任何关于利率路径的明确信息。其次，他下调了美国经济增长和失业率预测，同时上调了美国通胀预测。尽管霍尔木兹海峡解封预期下，能源通胀已大幅缓解，但本次会议的通胀预测仍高于市场预期。美国</w:t>
      </w:r>
      <w:r>
        <w:rPr>
          <w:rFonts w:ascii="宋体" w:hAnsi="宋体" w:hint="eastAsia"/>
          <w:color w:val="000000"/>
          <w:kern w:val="0"/>
          <w:szCs w:val="21"/>
          <w:lang w:eastAsia="zh-Hans"/>
        </w:rPr>
        <w:t>2026</w:t>
      </w:r>
      <w:r>
        <w:rPr>
          <w:rFonts w:ascii="宋体" w:hAnsi="宋体" w:hint="eastAsia"/>
          <w:color w:val="000000"/>
          <w:kern w:val="0"/>
          <w:szCs w:val="21"/>
          <w:lang w:eastAsia="zh-Hans"/>
        </w:rPr>
        <w:t>年第四季度</w:t>
      </w:r>
      <w:r>
        <w:rPr>
          <w:rFonts w:ascii="宋体" w:hAnsi="宋体" w:hint="eastAsia"/>
          <w:color w:val="000000"/>
          <w:kern w:val="0"/>
          <w:szCs w:val="21"/>
          <w:lang w:eastAsia="zh-Hans"/>
        </w:rPr>
        <w:t>PCE</w:t>
      </w:r>
      <w:r>
        <w:rPr>
          <w:rFonts w:ascii="宋体" w:hAnsi="宋体" w:hint="eastAsia"/>
          <w:color w:val="000000"/>
          <w:kern w:val="0"/>
          <w:szCs w:val="21"/>
          <w:lang w:eastAsia="zh-Hans"/>
        </w:rPr>
        <w:t>和核心</w:t>
      </w:r>
      <w:r>
        <w:rPr>
          <w:rFonts w:ascii="宋体" w:hAnsi="宋体" w:hint="eastAsia"/>
          <w:color w:val="000000"/>
          <w:kern w:val="0"/>
          <w:szCs w:val="21"/>
          <w:lang w:eastAsia="zh-Hans"/>
        </w:rPr>
        <w:t>PCE</w:t>
      </w:r>
      <w:r>
        <w:rPr>
          <w:rFonts w:ascii="宋体" w:hAnsi="宋体" w:hint="eastAsia"/>
          <w:color w:val="000000"/>
          <w:kern w:val="0"/>
          <w:szCs w:val="21"/>
          <w:lang w:eastAsia="zh-Hans"/>
        </w:rPr>
        <w:t>同比预测分别上调</w:t>
      </w:r>
      <w:r>
        <w:rPr>
          <w:rFonts w:ascii="宋体" w:hAnsi="宋体" w:hint="eastAsia"/>
          <w:color w:val="000000"/>
          <w:kern w:val="0"/>
          <w:szCs w:val="21"/>
          <w:lang w:eastAsia="zh-Hans"/>
        </w:rPr>
        <w:t>0.9</w:t>
      </w:r>
      <w:r>
        <w:rPr>
          <w:rFonts w:ascii="宋体" w:hAnsi="宋体" w:hint="eastAsia"/>
          <w:color w:val="000000"/>
          <w:kern w:val="0"/>
          <w:szCs w:val="21"/>
          <w:lang w:eastAsia="zh-Hans"/>
        </w:rPr>
        <w:t>个百分点和</w:t>
      </w:r>
      <w:r>
        <w:rPr>
          <w:rFonts w:ascii="宋体" w:hAnsi="宋体" w:hint="eastAsia"/>
          <w:color w:val="000000"/>
          <w:kern w:val="0"/>
          <w:szCs w:val="21"/>
          <w:lang w:eastAsia="zh-Hans"/>
        </w:rPr>
        <w:t>0.6</w:t>
      </w:r>
      <w:r>
        <w:rPr>
          <w:rFonts w:ascii="宋体" w:hAnsi="宋体" w:hint="eastAsia"/>
          <w:color w:val="000000"/>
          <w:kern w:val="0"/>
          <w:szCs w:val="21"/>
          <w:lang w:eastAsia="zh-Hans"/>
        </w:rPr>
        <w:t>个百分点至</w:t>
      </w:r>
      <w:r>
        <w:rPr>
          <w:rFonts w:ascii="宋体" w:hAnsi="宋体" w:hint="eastAsia"/>
          <w:color w:val="000000"/>
          <w:kern w:val="0"/>
          <w:szCs w:val="21"/>
          <w:lang w:eastAsia="zh-Hans"/>
        </w:rPr>
        <w:t>3.6%</w:t>
      </w:r>
      <w:r>
        <w:rPr>
          <w:rFonts w:ascii="宋体" w:hAnsi="宋体" w:hint="eastAsia"/>
          <w:color w:val="000000"/>
          <w:kern w:val="0"/>
          <w:szCs w:val="21"/>
          <w:lang w:eastAsia="zh-Hans"/>
        </w:rPr>
        <w:t>和</w:t>
      </w:r>
      <w:r>
        <w:rPr>
          <w:rFonts w:ascii="宋体" w:hAnsi="宋体" w:hint="eastAsia"/>
          <w:color w:val="000000"/>
          <w:kern w:val="0"/>
          <w:szCs w:val="21"/>
          <w:lang w:eastAsia="zh-Hans"/>
        </w:rPr>
        <w:t>3.3%</w:t>
      </w:r>
      <w:r>
        <w:rPr>
          <w:rFonts w:ascii="宋体" w:hAnsi="宋体" w:hint="eastAsia"/>
          <w:color w:val="000000"/>
          <w:kern w:val="0"/>
          <w:szCs w:val="21"/>
          <w:lang w:eastAsia="zh-Hans"/>
        </w:rPr>
        <w:t>，</w:t>
      </w:r>
      <w:r>
        <w:rPr>
          <w:rFonts w:ascii="宋体" w:hAnsi="宋体" w:hint="eastAsia"/>
          <w:color w:val="000000"/>
          <w:kern w:val="0"/>
          <w:szCs w:val="21"/>
          <w:lang w:eastAsia="zh-Hans"/>
        </w:rPr>
        <w:t>2027</w:t>
      </w:r>
      <w:r>
        <w:rPr>
          <w:rFonts w:ascii="宋体" w:hAnsi="宋体" w:hint="eastAsia"/>
          <w:color w:val="000000"/>
          <w:kern w:val="0"/>
          <w:szCs w:val="21"/>
          <w:lang w:eastAsia="zh-Hans"/>
        </w:rPr>
        <w:t>年第四季度也小幅上调，而</w:t>
      </w:r>
      <w:r>
        <w:rPr>
          <w:rFonts w:ascii="宋体" w:hAnsi="宋体" w:hint="eastAsia"/>
          <w:color w:val="000000"/>
          <w:kern w:val="0"/>
          <w:szCs w:val="21"/>
          <w:lang w:eastAsia="zh-Hans"/>
        </w:rPr>
        <w:t>2028</w:t>
      </w:r>
      <w:r>
        <w:rPr>
          <w:rFonts w:ascii="宋体" w:hAnsi="宋体" w:hint="eastAsia"/>
          <w:color w:val="000000"/>
          <w:kern w:val="0"/>
          <w:szCs w:val="21"/>
          <w:lang w:eastAsia="zh-Hans"/>
        </w:rPr>
        <w:t>年第四季度</w:t>
      </w:r>
      <w:r>
        <w:rPr>
          <w:rFonts w:ascii="宋体" w:hAnsi="宋体" w:hint="eastAsia"/>
          <w:color w:val="000000"/>
          <w:kern w:val="0"/>
          <w:szCs w:val="21"/>
          <w:lang w:eastAsia="zh-Hans"/>
        </w:rPr>
        <w:t>PCE</w:t>
      </w:r>
      <w:r>
        <w:rPr>
          <w:rFonts w:ascii="宋体" w:hAnsi="宋体" w:hint="eastAsia"/>
          <w:color w:val="000000"/>
          <w:kern w:val="0"/>
          <w:szCs w:val="21"/>
          <w:lang w:eastAsia="zh-Hans"/>
        </w:rPr>
        <w:t>预测回落至</w:t>
      </w:r>
      <w:r>
        <w:rPr>
          <w:rFonts w:ascii="宋体" w:hAnsi="宋体" w:hint="eastAsia"/>
          <w:color w:val="000000"/>
          <w:kern w:val="0"/>
          <w:szCs w:val="21"/>
          <w:lang w:eastAsia="zh-Hans"/>
        </w:rPr>
        <w:t>2%</w:t>
      </w:r>
      <w:r>
        <w:rPr>
          <w:rFonts w:ascii="宋体" w:hAnsi="宋体" w:hint="eastAsia"/>
          <w:color w:val="000000"/>
          <w:kern w:val="0"/>
          <w:szCs w:val="21"/>
          <w:lang w:eastAsia="zh-Hans"/>
        </w:rPr>
        <w:t>。同时，委员会对美国通胀可能对经济造成的负面影响表示担忧。</w:t>
      </w:r>
      <w:r>
        <w:rPr>
          <w:rFonts w:ascii="宋体" w:hAnsi="宋体" w:hint="eastAsia"/>
          <w:color w:val="000000"/>
          <w:kern w:val="0"/>
          <w:szCs w:val="21"/>
          <w:lang w:eastAsia="zh-Hans"/>
        </w:rPr>
        <w:t>2026</w:t>
      </w:r>
      <w:r>
        <w:rPr>
          <w:rFonts w:ascii="宋体" w:hAnsi="宋体" w:hint="eastAsia"/>
          <w:color w:val="000000"/>
          <w:kern w:val="0"/>
          <w:szCs w:val="21"/>
          <w:lang w:eastAsia="zh-Hans"/>
        </w:rPr>
        <w:t>年第四季度实际</w:t>
      </w:r>
      <w:r>
        <w:rPr>
          <w:rFonts w:ascii="宋体" w:hAnsi="宋体" w:hint="eastAsia"/>
          <w:color w:val="000000"/>
          <w:kern w:val="0"/>
          <w:szCs w:val="21"/>
          <w:lang w:eastAsia="zh-Hans"/>
        </w:rPr>
        <w:t>GDP</w:t>
      </w:r>
      <w:r>
        <w:rPr>
          <w:rFonts w:ascii="宋体" w:hAnsi="宋体" w:hint="eastAsia"/>
          <w:color w:val="000000"/>
          <w:kern w:val="0"/>
          <w:szCs w:val="21"/>
          <w:lang w:eastAsia="zh-Hans"/>
        </w:rPr>
        <w:t>同比增速下调</w:t>
      </w:r>
      <w:r>
        <w:rPr>
          <w:rFonts w:ascii="宋体" w:hAnsi="宋体" w:hint="eastAsia"/>
          <w:color w:val="000000"/>
          <w:kern w:val="0"/>
          <w:szCs w:val="21"/>
          <w:lang w:eastAsia="zh-Hans"/>
        </w:rPr>
        <w:t>0.2</w:t>
      </w:r>
      <w:r>
        <w:rPr>
          <w:rFonts w:ascii="宋体" w:hAnsi="宋体" w:hint="eastAsia"/>
          <w:color w:val="000000"/>
          <w:kern w:val="0"/>
          <w:szCs w:val="21"/>
          <w:lang w:eastAsia="zh-Hans"/>
        </w:rPr>
        <w:t>个百分点至</w:t>
      </w:r>
      <w:r>
        <w:rPr>
          <w:rFonts w:ascii="宋体" w:hAnsi="宋体" w:hint="eastAsia"/>
          <w:color w:val="000000"/>
          <w:kern w:val="0"/>
          <w:szCs w:val="21"/>
          <w:lang w:eastAsia="zh-Hans"/>
        </w:rPr>
        <w:t>2.2%</w:t>
      </w:r>
      <w:r>
        <w:rPr>
          <w:rFonts w:ascii="宋体" w:hAnsi="宋体" w:hint="eastAsia"/>
          <w:color w:val="000000"/>
          <w:kern w:val="0"/>
          <w:szCs w:val="21"/>
          <w:lang w:eastAsia="zh-Hans"/>
        </w:rPr>
        <w:t>。第三，沃什宣布成立五个工作组，分别研究货币政策的多个关键领域，包括沟通机制、资产负债表政策、数据收集、生产率与就业变化以及通胀驱动因素。这些工作组是否会成为政策变革的推动者，还是仅是旧事重提，仍有待观察。预计未来或将有更多细节披露，而</w:t>
      </w:r>
      <w:r>
        <w:rPr>
          <w:rFonts w:ascii="宋体" w:hAnsi="宋体" w:hint="eastAsia"/>
          <w:color w:val="000000"/>
          <w:kern w:val="0"/>
          <w:szCs w:val="21"/>
          <w:lang w:eastAsia="zh-Hans"/>
        </w:rPr>
        <w:t>7</w:t>
      </w:r>
      <w:r>
        <w:rPr>
          <w:rFonts w:ascii="宋体" w:hAnsi="宋体" w:hint="eastAsia"/>
          <w:color w:val="000000"/>
          <w:kern w:val="0"/>
          <w:szCs w:val="21"/>
          <w:lang w:eastAsia="zh-Hans"/>
        </w:rPr>
        <w:t>月的新闻发布会也将提供沃什进一步阐述其政策思路的机会。</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会后声明中删除了诸如“委员会将仔细评估新来的数据”等冗长表述，将美国经济增长描述为“以稳健的速度扩张”，并强调了强劲的“生产率增长和资本投资”。美国就业增长与劳动力供应保持同步，美国通胀仍被描述为“偏高”。声明中还出现了一句令人困惑的表述：“委员会重申其保持银行系统充足准备金的政策。”这可能意味着该政策尚未获得投票通过，具体细节有待会议记录进一步揭示。</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此次点阵图的变化令到市场感到意外。点阵图显示有多达</w:t>
      </w:r>
      <w:r>
        <w:rPr>
          <w:rFonts w:ascii="宋体" w:hAnsi="宋体" w:hint="eastAsia"/>
          <w:color w:val="000000"/>
          <w:kern w:val="0"/>
          <w:szCs w:val="21"/>
          <w:lang w:eastAsia="zh-Hans"/>
        </w:rPr>
        <w:t>9</w:t>
      </w:r>
      <w:r>
        <w:rPr>
          <w:rFonts w:ascii="宋体" w:hAnsi="宋体" w:hint="eastAsia"/>
          <w:color w:val="000000"/>
          <w:kern w:val="0"/>
          <w:szCs w:val="21"/>
          <w:lang w:eastAsia="zh-Hans"/>
        </w:rPr>
        <w:t>位委员倾向于美联储年内加息，其中</w:t>
      </w:r>
      <w:r>
        <w:rPr>
          <w:rFonts w:ascii="宋体" w:hAnsi="宋体" w:hint="eastAsia"/>
          <w:color w:val="000000"/>
          <w:kern w:val="0"/>
          <w:szCs w:val="21"/>
          <w:lang w:eastAsia="zh-Hans"/>
        </w:rPr>
        <w:t>5</w:t>
      </w:r>
      <w:r>
        <w:rPr>
          <w:rFonts w:ascii="宋体" w:hAnsi="宋体" w:hint="eastAsia"/>
          <w:color w:val="000000"/>
          <w:kern w:val="0"/>
          <w:szCs w:val="21"/>
          <w:lang w:eastAsia="zh-Hans"/>
        </w:rPr>
        <w:t>位支持加息两次，</w:t>
      </w:r>
      <w:r>
        <w:rPr>
          <w:rFonts w:ascii="宋体" w:hAnsi="宋体" w:hint="eastAsia"/>
          <w:color w:val="000000"/>
          <w:kern w:val="0"/>
          <w:szCs w:val="21"/>
          <w:lang w:eastAsia="zh-Hans"/>
        </w:rPr>
        <w:t>1</w:t>
      </w:r>
      <w:r>
        <w:rPr>
          <w:rFonts w:ascii="宋体" w:hAnsi="宋体" w:hint="eastAsia"/>
          <w:color w:val="000000"/>
          <w:kern w:val="0"/>
          <w:szCs w:val="21"/>
          <w:lang w:eastAsia="zh-Hans"/>
        </w:rPr>
        <w:t>位支持加息三次。另外</w:t>
      </w:r>
      <w:r>
        <w:rPr>
          <w:rFonts w:ascii="宋体" w:hAnsi="宋体" w:hint="eastAsia"/>
          <w:color w:val="000000"/>
          <w:kern w:val="0"/>
          <w:szCs w:val="21"/>
          <w:lang w:eastAsia="zh-Hans"/>
        </w:rPr>
        <w:t>8</w:t>
      </w:r>
      <w:r>
        <w:rPr>
          <w:rFonts w:ascii="宋体" w:hAnsi="宋体" w:hint="eastAsia"/>
          <w:color w:val="000000"/>
          <w:kern w:val="0"/>
          <w:szCs w:val="21"/>
          <w:lang w:eastAsia="zh-Hans"/>
        </w:rPr>
        <w:t>位委员支持维持利率不变，仅</w:t>
      </w:r>
      <w:r>
        <w:rPr>
          <w:rFonts w:ascii="宋体" w:hAnsi="宋体" w:hint="eastAsia"/>
          <w:color w:val="000000"/>
          <w:kern w:val="0"/>
          <w:szCs w:val="21"/>
          <w:lang w:eastAsia="zh-Hans"/>
        </w:rPr>
        <w:t>1</w:t>
      </w:r>
      <w:r>
        <w:rPr>
          <w:rFonts w:ascii="宋体" w:hAnsi="宋体" w:hint="eastAsia"/>
          <w:color w:val="000000"/>
          <w:kern w:val="0"/>
          <w:szCs w:val="21"/>
          <w:lang w:eastAsia="zh-Hans"/>
        </w:rPr>
        <w:t>位委员支持降息一次。明年仍有八名参与者预计加息，中位数上调至</w:t>
      </w:r>
      <w:r>
        <w:rPr>
          <w:rFonts w:ascii="宋体" w:hAnsi="宋体" w:hint="eastAsia"/>
          <w:color w:val="000000"/>
          <w:kern w:val="0"/>
          <w:szCs w:val="21"/>
          <w:lang w:eastAsia="zh-Hans"/>
        </w:rPr>
        <w:t>3.375%</w:t>
      </w:r>
      <w:r>
        <w:rPr>
          <w:rFonts w:ascii="宋体" w:hAnsi="宋体" w:hint="eastAsia"/>
          <w:color w:val="000000"/>
          <w:kern w:val="0"/>
          <w:szCs w:val="21"/>
          <w:lang w:eastAsia="zh-Hans"/>
        </w:rPr>
        <w:t>。</w:t>
      </w:r>
      <w:r>
        <w:rPr>
          <w:rFonts w:ascii="宋体" w:hAnsi="宋体" w:hint="eastAsia"/>
          <w:color w:val="000000"/>
          <w:kern w:val="0"/>
          <w:szCs w:val="21"/>
          <w:lang w:eastAsia="zh-Hans"/>
        </w:rPr>
        <w:t>2028</w:t>
      </w:r>
      <w:r>
        <w:rPr>
          <w:rFonts w:ascii="宋体" w:hAnsi="宋体" w:hint="eastAsia"/>
          <w:color w:val="000000"/>
          <w:kern w:val="0"/>
          <w:szCs w:val="21"/>
          <w:lang w:eastAsia="zh-Hans"/>
        </w:rPr>
        <w:t>年的展望也被鹰派预期上调，而长期中位数点位数小幅下降至</w:t>
      </w:r>
      <w:r>
        <w:rPr>
          <w:rFonts w:ascii="宋体" w:hAnsi="宋体" w:hint="eastAsia"/>
          <w:color w:val="000000"/>
          <w:kern w:val="0"/>
          <w:szCs w:val="21"/>
          <w:lang w:eastAsia="zh-Hans"/>
        </w:rPr>
        <w:t>3.06%</w:t>
      </w:r>
      <w:r>
        <w:rPr>
          <w:rFonts w:ascii="宋体" w:hAnsi="宋体" w:hint="eastAsia"/>
          <w:color w:val="000000"/>
          <w:kern w:val="0"/>
          <w:szCs w:val="21"/>
          <w:lang w:eastAsia="zh-Hans"/>
        </w:rPr>
        <w:t>。加息预期上调的主要原因是对美国核心</w:t>
      </w:r>
      <w:r>
        <w:rPr>
          <w:rFonts w:ascii="宋体" w:hAnsi="宋体" w:hint="eastAsia"/>
          <w:color w:val="000000"/>
          <w:kern w:val="0"/>
          <w:szCs w:val="21"/>
          <w:lang w:eastAsia="zh-Hans"/>
        </w:rPr>
        <w:t>PCE</w:t>
      </w:r>
      <w:r>
        <w:rPr>
          <w:rFonts w:ascii="宋体" w:hAnsi="宋体" w:hint="eastAsia"/>
          <w:color w:val="000000"/>
          <w:kern w:val="0"/>
          <w:szCs w:val="21"/>
          <w:lang w:eastAsia="zh-Hans"/>
        </w:rPr>
        <w:t>通胀预测的上调，今年中位数上涨</w:t>
      </w:r>
      <w:r>
        <w:rPr>
          <w:rFonts w:ascii="宋体" w:hAnsi="宋体" w:hint="eastAsia"/>
          <w:color w:val="000000"/>
          <w:kern w:val="0"/>
          <w:szCs w:val="21"/>
          <w:lang w:eastAsia="zh-Hans"/>
        </w:rPr>
        <w:t>0.6</w:t>
      </w:r>
      <w:r>
        <w:rPr>
          <w:rFonts w:ascii="宋体" w:hAnsi="宋体" w:hint="eastAsia"/>
          <w:color w:val="000000"/>
          <w:kern w:val="0"/>
          <w:szCs w:val="21"/>
          <w:lang w:eastAsia="zh-Hans"/>
        </w:rPr>
        <w:t>个百分点至</w:t>
      </w:r>
      <w:r>
        <w:rPr>
          <w:rFonts w:ascii="宋体" w:hAnsi="宋体" w:hint="eastAsia"/>
          <w:color w:val="000000"/>
          <w:kern w:val="0"/>
          <w:szCs w:val="21"/>
          <w:lang w:eastAsia="zh-Hans"/>
        </w:rPr>
        <w:t>3.3%</w:t>
      </w:r>
      <w:r>
        <w:rPr>
          <w:rFonts w:ascii="宋体" w:hAnsi="宋体" w:hint="eastAsia"/>
          <w:color w:val="000000"/>
          <w:kern w:val="0"/>
          <w:szCs w:val="21"/>
          <w:lang w:eastAsia="zh-Hans"/>
        </w:rPr>
        <w:t>，明年上涨</w:t>
      </w:r>
      <w:r>
        <w:rPr>
          <w:rFonts w:ascii="宋体" w:hAnsi="宋体" w:hint="eastAsia"/>
          <w:color w:val="000000"/>
          <w:kern w:val="0"/>
          <w:szCs w:val="21"/>
          <w:lang w:eastAsia="zh-Hans"/>
        </w:rPr>
        <w:t>0.3</w:t>
      </w:r>
      <w:r>
        <w:rPr>
          <w:rFonts w:ascii="宋体" w:hAnsi="宋体" w:hint="eastAsia"/>
          <w:color w:val="000000"/>
          <w:kern w:val="0"/>
          <w:szCs w:val="21"/>
          <w:lang w:eastAsia="zh-Hans"/>
        </w:rPr>
        <w:t>个百分点至</w:t>
      </w:r>
      <w:r>
        <w:rPr>
          <w:rFonts w:ascii="宋体" w:hAnsi="宋体" w:hint="eastAsia"/>
          <w:color w:val="000000"/>
          <w:kern w:val="0"/>
          <w:szCs w:val="21"/>
          <w:lang w:eastAsia="zh-Hans"/>
        </w:rPr>
        <w:t>2.5%</w:t>
      </w:r>
      <w:r>
        <w:rPr>
          <w:rFonts w:ascii="宋体" w:hAnsi="宋体" w:hint="eastAsia"/>
          <w:color w:val="000000"/>
          <w:kern w:val="0"/>
          <w:szCs w:val="21"/>
          <w:lang w:eastAsia="zh-Hans"/>
        </w:rPr>
        <w:t>。</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报告期内，本基金投资组合维持风险偏好，略偏好股票而非信贷。当前处于周期中后期（中期向后期过渡阶段），股票相较于信贷更具吸引力，主要因为投资者更关注资本增值。尽管股票存在集中度风险，但考虑到当前的信用利差水平，股票仍能提供更好的资本增值潜力。信贷资产仍被保留，因为高收益债的综合收益率较高，且信贷质量保持良好。</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展望后市，重开霍尔木兹海峡将有助于缓解全球经济的一项主要风险。然而，能源供应恢复仍需数周甚至数月，期间将受到保险成本上升、基础设施受损及补充库存需求的影响，能源价格预计可能仍将高于冲突前水平。</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当前经济基本面前景支持“更久更强”（</w:t>
      </w:r>
      <w:r>
        <w:rPr>
          <w:rFonts w:ascii="宋体" w:hAnsi="宋体" w:hint="eastAsia"/>
          <w:color w:val="000000"/>
          <w:kern w:val="0"/>
          <w:szCs w:val="21"/>
          <w:lang w:eastAsia="zh-Hans"/>
        </w:rPr>
        <w:t>Stronger for Longer</w:t>
      </w:r>
      <w:r>
        <w:rPr>
          <w:rFonts w:ascii="宋体" w:hAnsi="宋体" w:hint="eastAsia"/>
          <w:color w:val="000000"/>
          <w:kern w:val="0"/>
          <w:szCs w:val="21"/>
          <w:lang w:eastAsia="zh-Hans"/>
        </w:rPr>
        <w:t>）的主线叙事。</w:t>
      </w:r>
      <w:r>
        <w:rPr>
          <w:rFonts w:ascii="宋体" w:hAnsi="宋体" w:hint="eastAsia"/>
          <w:color w:val="000000"/>
          <w:kern w:val="0"/>
          <w:szCs w:val="21"/>
          <w:lang w:eastAsia="zh-Hans"/>
        </w:rPr>
        <w:t>AI</w:t>
      </w:r>
      <w:r>
        <w:rPr>
          <w:rFonts w:ascii="宋体" w:hAnsi="宋体" w:hint="eastAsia"/>
          <w:color w:val="000000"/>
          <w:kern w:val="0"/>
          <w:szCs w:val="21"/>
          <w:lang w:eastAsia="zh-Hans"/>
        </w:rPr>
        <w:t>驱动的资本支出有望延长经济周期，并可能带来趋势性或超趋势性的增长，受益市场主要集中在美国及部分新兴市场。相较伊朗冲突前的基准水平，</w:t>
      </w:r>
      <w:r>
        <w:rPr>
          <w:rFonts w:ascii="宋体" w:hAnsi="宋体" w:hint="eastAsia"/>
          <w:color w:val="000000"/>
          <w:kern w:val="0"/>
          <w:szCs w:val="21"/>
          <w:lang w:eastAsia="zh-Hans"/>
        </w:rPr>
        <w:t>2026</w:t>
      </w:r>
      <w:r>
        <w:rPr>
          <w:rFonts w:ascii="宋体" w:hAnsi="宋体" w:hint="eastAsia"/>
          <w:color w:val="000000"/>
          <w:kern w:val="0"/>
          <w:szCs w:val="21"/>
          <w:lang w:eastAsia="zh-Hans"/>
        </w:rPr>
        <w:t>年的增长预期略有下调，但预计在</w:t>
      </w:r>
      <w:r>
        <w:rPr>
          <w:rFonts w:ascii="宋体" w:hAnsi="宋体" w:hint="eastAsia"/>
          <w:color w:val="000000"/>
          <w:kern w:val="0"/>
          <w:szCs w:val="21"/>
          <w:lang w:eastAsia="zh-Hans"/>
        </w:rPr>
        <w:t>2027</w:t>
      </w:r>
      <w:r>
        <w:rPr>
          <w:rFonts w:ascii="宋体" w:hAnsi="宋体" w:hint="eastAsia"/>
          <w:color w:val="000000"/>
          <w:kern w:val="0"/>
          <w:szCs w:val="21"/>
          <w:lang w:eastAsia="zh-Hans"/>
        </w:rPr>
        <w:t>年或将出现反弹。通胀预计或将更具持续性，经济扩张也已从以消费为主逐步转向以投资为主。油价的回落（从每桶</w:t>
      </w:r>
      <w:r>
        <w:rPr>
          <w:rFonts w:ascii="宋体" w:hAnsi="宋体" w:hint="eastAsia"/>
          <w:color w:val="000000"/>
          <w:kern w:val="0"/>
          <w:szCs w:val="21"/>
          <w:lang w:eastAsia="zh-Hans"/>
        </w:rPr>
        <w:t>100</w:t>
      </w:r>
      <w:r>
        <w:rPr>
          <w:rFonts w:ascii="宋体" w:hAnsi="宋体" w:hint="eastAsia"/>
          <w:color w:val="000000"/>
          <w:kern w:val="0"/>
          <w:szCs w:val="21"/>
          <w:lang w:eastAsia="zh-Hans"/>
        </w:rPr>
        <w:t>至</w:t>
      </w:r>
      <w:r>
        <w:rPr>
          <w:rFonts w:ascii="宋体" w:hAnsi="宋体" w:hint="eastAsia"/>
          <w:color w:val="000000"/>
          <w:kern w:val="0"/>
          <w:szCs w:val="21"/>
          <w:lang w:eastAsia="zh-Hans"/>
        </w:rPr>
        <w:t>120</w:t>
      </w:r>
      <w:r>
        <w:rPr>
          <w:rFonts w:ascii="宋体" w:hAnsi="宋体" w:hint="eastAsia"/>
          <w:color w:val="000000"/>
          <w:kern w:val="0"/>
          <w:szCs w:val="21"/>
          <w:lang w:eastAsia="zh-Hans"/>
        </w:rPr>
        <w:t>美元降至</w:t>
      </w:r>
      <w:r>
        <w:rPr>
          <w:rFonts w:ascii="宋体" w:hAnsi="宋体" w:hint="eastAsia"/>
          <w:color w:val="000000"/>
          <w:kern w:val="0"/>
          <w:szCs w:val="21"/>
          <w:lang w:eastAsia="zh-Hans"/>
        </w:rPr>
        <w:t>70</w:t>
      </w:r>
      <w:r>
        <w:rPr>
          <w:rFonts w:ascii="宋体" w:hAnsi="宋体" w:hint="eastAsia"/>
          <w:color w:val="000000"/>
          <w:kern w:val="0"/>
          <w:szCs w:val="21"/>
          <w:lang w:eastAsia="zh-Hans"/>
        </w:rPr>
        <w:t>美元或略低）或将为欧洲经济带来积极影响。欧洲目前处于低配状态且市场表现相对疲软，同时油价下行也有助于为消费者带来减负。</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美元当前处于震荡区间。美国强劲的经济增长被其他地区央行的加息以及全球范围内国内资本投资增加所抵消，削弱了单向资本流动。尽管美元的增长优势依然存在，但利率方面的差异有所减弱。欧洲央行正在加息，而美联储今年是否加息仍存在不确定性。我们预期，随着美国通胀逐步缓和，美联储或将在</w:t>
      </w:r>
      <w:r>
        <w:rPr>
          <w:rFonts w:ascii="宋体" w:hAnsi="宋体" w:hint="eastAsia"/>
          <w:color w:val="000000"/>
          <w:kern w:val="0"/>
          <w:szCs w:val="21"/>
          <w:lang w:eastAsia="zh-Hans"/>
        </w:rPr>
        <w:t>2027</w:t>
      </w:r>
      <w:r>
        <w:rPr>
          <w:rFonts w:ascii="宋体" w:hAnsi="宋体" w:hint="eastAsia"/>
          <w:color w:val="000000"/>
          <w:kern w:val="0"/>
          <w:szCs w:val="21"/>
          <w:lang w:eastAsia="zh-Hans"/>
        </w:rPr>
        <w:t>年进行降息。资本流动方面，美国资产仍持续吸引外资流入，但越来越多的政府和企业正在加大对本国经济的投资，包括国防、基础设施和电气化等领域。</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从中长期来看，我们对全球经济和人工智能（</w:t>
      </w:r>
      <w:r>
        <w:rPr>
          <w:rFonts w:ascii="宋体" w:hAnsi="宋体" w:hint="eastAsia"/>
          <w:color w:val="000000"/>
          <w:kern w:val="0"/>
          <w:szCs w:val="21"/>
          <w:lang w:eastAsia="zh-Hans"/>
        </w:rPr>
        <w:t>AI</w:t>
      </w:r>
      <w:r>
        <w:rPr>
          <w:rFonts w:ascii="宋体" w:hAnsi="宋体" w:hint="eastAsia"/>
          <w:color w:val="000000"/>
          <w:kern w:val="0"/>
          <w:szCs w:val="21"/>
          <w:lang w:eastAsia="zh-Hans"/>
        </w:rPr>
        <w:t>）的发展持积极态度。基于此，我们的资产配置策略倾向于积极，更偏重于股票和企业信贷等风险资产。</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在股票配置方面，我们对美股市场保持乐观，尤其是金融、工业和医疗保健等板块，这些领域在当前增长动能下具有较强吸引力。同时，我们看好能够与</w:t>
      </w:r>
      <w:r>
        <w:rPr>
          <w:rFonts w:ascii="宋体" w:hAnsi="宋体" w:hint="eastAsia"/>
          <w:color w:val="000000"/>
          <w:kern w:val="0"/>
          <w:szCs w:val="21"/>
          <w:lang w:eastAsia="zh-Hans"/>
        </w:rPr>
        <w:t>AI</w:t>
      </w:r>
      <w:r>
        <w:rPr>
          <w:rFonts w:ascii="宋体" w:hAnsi="宋体" w:hint="eastAsia"/>
          <w:color w:val="000000"/>
          <w:kern w:val="0"/>
          <w:szCs w:val="21"/>
          <w:lang w:eastAsia="zh-Hans"/>
        </w:rPr>
        <w:t>发展同步的亚洲股票，包括中国台湾地区和韩国的组件制造商，以及受益于政府政策支持、致力于实现科技自给自足并生产战略价值产品的中国企业。</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在固定收益方面，尽管信贷利差处于较低水平，高收益企业债和美元新兴市场债券或仍能为投资者提供一定的收益机会。考虑到发达市场国家财政政策的不确定性，投资者可能倾向于对成熟市场政府债券采取较短久期管理。</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在地缘政治冲突持续的短期内，投资者可能会关注流动性，并寻找逢低布局的机会。然而，准确判断市场时机的难度依然较高。投资者可考虑保持长期投资的定力，重点关注优质信贷资产，如投资级企业债券，以及在面对能源成本上涨和供应链中断时仍能展现强大经营韧性的企业</w:t>
      </w:r>
      <w:r>
        <w:rPr>
          <w:rFonts w:ascii="宋体" w:hAnsi="宋体" w:hint="eastAsia"/>
          <w:color w:val="000000"/>
          <w:kern w:val="0"/>
          <w:szCs w:val="21"/>
          <w:lang w:eastAsia="zh-Hans"/>
        </w:rPr>
        <w:t>。</w:t>
      </w:r>
      <w:r>
        <w:rPr>
          <w:rFonts w:ascii="宋体" w:hAnsi="宋体" w:hint="eastAsia"/>
          <w:color w:val="000000"/>
          <w:kern w:val="0"/>
          <w:sz w:val="24"/>
        </w:rPr>
        <w:t xml:space="preserve"> </w:t>
      </w:r>
      <w:bookmarkEnd w:id="82"/>
    </w:p>
    <w:p w:rsidR="001C4503" w:rsidRDefault="001C4503">
      <w:pPr>
        <w:pStyle w:val="XBRLTitle3"/>
        <w:spacing w:before="156" w:line="360" w:lineRule="auto"/>
        <w:ind w:left="624"/>
      </w:pPr>
      <w:bookmarkStart w:id="167" w:name="_Toc51408825712"/>
      <w:bookmarkEnd w:id="150"/>
      <w:r>
        <w:rPr>
          <w:rFonts w:hAnsi="宋体" w:hint="eastAsia"/>
        </w:rPr>
        <w:t>报告期内基金的业绩表</w:t>
      </w:r>
      <w:r>
        <w:rPr>
          <w:rFonts w:hAnsi="宋体" w:hint="eastAsia"/>
        </w:rPr>
        <w:t>现</w:t>
      </w:r>
      <w:bookmarkEnd w:id="152"/>
      <w:bookmarkEnd w:id="153"/>
      <w:bookmarkEnd w:id="167"/>
      <w:r>
        <w:rPr>
          <w:rFonts w:hAnsi="宋体" w:hint="eastAsia"/>
        </w:rPr>
        <w:t xml:space="preserve"> </w:t>
      </w:r>
    </w:p>
    <w:p w:rsidR="001C4503" w:rsidRDefault="001C4503">
      <w:pPr>
        <w:spacing w:line="360" w:lineRule="auto"/>
        <w:ind w:firstLineChars="200" w:firstLine="420"/>
        <w:jc w:val="left"/>
        <w:rPr>
          <w:rFonts w:hint="eastAsia"/>
        </w:rPr>
      </w:pPr>
      <w:r>
        <w:rPr>
          <w:rFonts w:ascii="宋体" w:hAnsi="宋体" w:cs="宋体" w:hint="eastAsia"/>
          <w:color w:val="000000"/>
          <w:kern w:val="0"/>
        </w:rPr>
        <w:t>本报告期摩根全球多元配置</w:t>
      </w:r>
      <w:r>
        <w:rPr>
          <w:rFonts w:ascii="宋体" w:hAnsi="宋体" w:cs="宋体" w:hint="eastAsia"/>
          <w:color w:val="000000"/>
          <w:kern w:val="0"/>
        </w:rPr>
        <w:t>(QDII-FOF)</w:t>
      </w:r>
      <w:r>
        <w:rPr>
          <w:rFonts w:ascii="宋体" w:hAnsi="宋体" w:cs="宋体" w:hint="eastAsia"/>
          <w:color w:val="000000"/>
          <w:kern w:val="0"/>
        </w:rPr>
        <w:t>人民币</w:t>
      </w:r>
      <w:r>
        <w:rPr>
          <w:rFonts w:ascii="宋体" w:hAnsi="宋体" w:cs="宋体" w:hint="eastAsia"/>
          <w:color w:val="000000"/>
          <w:kern w:val="0"/>
        </w:rPr>
        <w:t>A</w:t>
      </w:r>
      <w:r>
        <w:rPr>
          <w:rFonts w:ascii="宋体" w:hAnsi="宋体" w:cs="宋体" w:hint="eastAsia"/>
          <w:color w:val="000000"/>
          <w:kern w:val="0"/>
        </w:rPr>
        <w:t>份额净值增长率为：</w:t>
      </w:r>
      <w:r>
        <w:rPr>
          <w:rFonts w:ascii="宋体" w:hAnsi="宋体" w:cs="宋体" w:hint="eastAsia"/>
          <w:color w:val="000000"/>
          <w:kern w:val="0"/>
        </w:rPr>
        <w:t>8.26%</w:t>
      </w:r>
      <w:r>
        <w:rPr>
          <w:rFonts w:ascii="宋体" w:hAnsi="宋体" w:cs="宋体" w:hint="eastAsia"/>
          <w:color w:val="000000"/>
          <w:kern w:val="0"/>
        </w:rPr>
        <w:t>，同期业绩比较基准收益率为：</w:t>
      </w:r>
      <w:r>
        <w:rPr>
          <w:rFonts w:ascii="宋体" w:hAnsi="宋体" w:cs="宋体" w:hint="eastAsia"/>
          <w:color w:val="000000"/>
          <w:kern w:val="0"/>
        </w:rPr>
        <w:t>10.00%</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摩根全球多元配置</w:t>
      </w:r>
      <w:r>
        <w:rPr>
          <w:rFonts w:ascii="宋体" w:hAnsi="宋体" w:cs="宋体" w:hint="eastAsia"/>
          <w:color w:val="000000"/>
          <w:kern w:val="0"/>
        </w:rPr>
        <w:t>(QDII-FOF)</w:t>
      </w:r>
      <w:r>
        <w:rPr>
          <w:rFonts w:ascii="宋体" w:hAnsi="宋体" w:cs="宋体" w:hint="eastAsia"/>
          <w:color w:val="000000"/>
          <w:kern w:val="0"/>
        </w:rPr>
        <w:t>人民币</w:t>
      </w:r>
      <w:r>
        <w:rPr>
          <w:rFonts w:ascii="宋体" w:hAnsi="宋体" w:cs="宋体" w:hint="eastAsia"/>
          <w:color w:val="000000"/>
          <w:kern w:val="0"/>
        </w:rPr>
        <w:t>C</w:t>
      </w:r>
      <w:r>
        <w:rPr>
          <w:rFonts w:ascii="宋体" w:hAnsi="宋体" w:cs="宋体" w:hint="eastAsia"/>
          <w:color w:val="000000"/>
          <w:kern w:val="0"/>
        </w:rPr>
        <w:t>份额净值增长率为：</w:t>
      </w:r>
      <w:r>
        <w:rPr>
          <w:rFonts w:ascii="宋体" w:hAnsi="宋体" w:cs="宋体" w:hint="eastAsia"/>
          <w:color w:val="000000"/>
          <w:kern w:val="0"/>
        </w:rPr>
        <w:t>8.17%</w:t>
      </w:r>
      <w:r>
        <w:rPr>
          <w:rFonts w:ascii="宋体" w:hAnsi="宋体" w:cs="宋体" w:hint="eastAsia"/>
          <w:color w:val="000000"/>
          <w:kern w:val="0"/>
        </w:rPr>
        <w:t>，同期业绩比较基准收益率为：</w:t>
      </w:r>
      <w:r>
        <w:rPr>
          <w:rFonts w:ascii="宋体" w:hAnsi="宋体" w:cs="宋体" w:hint="eastAsia"/>
          <w:color w:val="000000"/>
          <w:kern w:val="0"/>
        </w:rPr>
        <w:t>10.00%</w:t>
      </w:r>
      <w:r>
        <w:rPr>
          <w:rFonts w:ascii="宋体" w:hAnsi="宋体" w:cs="宋体" w:hint="eastAsia"/>
          <w:color w:val="000000"/>
          <w:kern w:val="0"/>
        </w:rPr>
        <w:t>。</w:t>
      </w:r>
      <w:bookmarkEnd w:id="154"/>
    </w:p>
    <w:p w:rsidR="001C4503" w:rsidRDefault="001C4503">
      <w:pPr>
        <w:pStyle w:val="XBRLTitle2"/>
        <w:spacing w:before="156" w:line="360" w:lineRule="auto"/>
        <w:ind w:left="454"/>
      </w:pPr>
      <w:bookmarkStart w:id="168" w:name="m405_01_2550"/>
      <w:bookmarkStart w:id="169" w:name="_Toc514088258"/>
      <w:bookmarkStart w:id="170" w:name="_Toc480465430"/>
      <w:bookmarkStart w:id="171" w:name="_Toc448480296"/>
      <w:bookmarkStart w:id="172" w:name="_Toc438654084"/>
      <w:bookmarkStart w:id="173" w:name="_Toc456107129"/>
      <w:bookmarkStart w:id="174" w:name="_Toc459213775"/>
      <w:bookmarkStart w:id="175" w:name="_Toc513542659"/>
      <w:bookmarkStart w:id="176" w:name="_Toc512696261"/>
      <w:bookmarkStart w:id="177" w:name="_Toc512612264"/>
      <w:bookmarkStart w:id="178" w:name="_Toc512612088"/>
      <w:bookmarkStart w:id="179" w:name="_Toc512611292"/>
      <w:bookmarkStart w:id="180" w:name="m407"/>
      <w:bookmarkEnd w:id="168"/>
      <w:r>
        <w:rPr>
          <w:rFonts w:eastAsia="宋体" w:hint="eastAsia"/>
        </w:rPr>
        <w:t>报告期内基金持有人数或基金资产净值预警说</w:t>
      </w:r>
      <w:r>
        <w:rPr>
          <w:rFonts w:eastAsia="宋体" w:hint="eastAsia"/>
        </w:rPr>
        <w:t>明</w:t>
      </w:r>
      <w:bookmarkEnd w:id="169"/>
      <w:bookmarkEnd w:id="170"/>
      <w:bookmarkEnd w:id="171"/>
      <w:bookmarkEnd w:id="172"/>
      <w:bookmarkEnd w:id="173"/>
      <w:bookmarkEnd w:id="174"/>
      <w:bookmarkEnd w:id="175"/>
      <w:bookmarkEnd w:id="176"/>
      <w:bookmarkEnd w:id="177"/>
      <w:bookmarkEnd w:id="178"/>
      <w:bookmarkEnd w:id="179"/>
      <w:r>
        <w:rPr>
          <w:rFonts w:eastAsia="宋体" w:hint="eastAsia"/>
        </w:rPr>
        <w:t xml:space="preserve"> </w:t>
      </w:r>
    </w:p>
    <w:p w:rsidR="001C4503" w:rsidRDefault="001C4503">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1C4503" w:rsidRDefault="001C4503">
      <w:pPr>
        <w:pStyle w:val="XBRLTitle1"/>
        <w:spacing w:before="156"/>
        <w:ind w:left="425"/>
      </w:pPr>
      <w:bookmarkStart w:id="181" w:name="_Toc514088259"/>
      <w:bookmarkStart w:id="182" w:name="_Toc480465431"/>
      <w:bookmarkStart w:id="183" w:name="_Toc448480297"/>
      <w:bookmarkStart w:id="184" w:name="_Toc438654085"/>
      <w:bookmarkStart w:id="185" w:name="_Toc445826343"/>
      <w:bookmarkStart w:id="186" w:name="_Toc456107130"/>
      <w:bookmarkStart w:id="187" w:name="_Toc459213776"/>
      <w:bookmarkStart w:id="188" w:name="_Toc513542660"/>
      <w:bookmarkStart w:id="189" w:name="_Toc512696262"/>
      <w:bookmarkStart w:id="190" w:name="_Toc512612265"/>
      <w:bookmarkStart w:id="191" w:name="_Toc512612089"/>
      <w:bookmarkStart w:id="192" w:name="_Toc512611293"/>
      <w:bookmarkEnd w:id="180"/>
      <w:r>
        <w:rPr>
          <w:rFonts w:hint="eastAsia"/>
        </w:rPr>
        <w:t>投资组合报</w:t>
      </w:r>
      <w:r>
        <w:rPr>
          <w:rFonts w:hint="eastAsia"/>
        </w:rPr>
        <w:t>告</w:t>
      </w:r>
      <w:bookmarkEnd w:id="181"/>
      <w:bookmarkEnd w:id="182"/>
      <w:bookmarkEnd w:id="183"/>
      <w:bookmarkEnd w:id="184"/>
      <w:bookmarkEnd w:id="185"/>
      <w:bookmarkEnd w:id="186"/>
      <w:bookmarkEnd w:id="187"/>
      <w:bookmarkEnd w:id="188"/>
      <w:bookmarkEnd w:id="189"/>
      <w:bookmarkEnd w:id="190"/>
      <w:bookmarkEnd w:id="191"/>
      <w:bookmarkEnd w:id="192"/>
    </w:p>
    <w:p w:rsidR="001C4503" w:rsidRDefault="001C4503">
      <w:pPr>
        <w:pStyle w:val="XBRLTitle2"/>
        <w:spacing w:before="156" w:line="360" w:lineRule="auto"/>
        <w:ind w:left="454"/>
        <w:rPr>
          <w:rFonts w:hint="eastAsia"/>
        </w:rPr>
      </w:pPr>
      <w:bookmarkStart w:id="193" w:name="_Toc514088260"/>
      <w:bookmarkStart w:id="194" w:name="_Toc480465432"/>
      <w:bookmarkStart w:id="195" w:name="_Toc448480298"/>
      <w:bookmarkStart w:id="196" w:name="_Toc438654086"/>
      <w:bookmarkStart w:id="197" w:name="_Toc456107131"/>
      <w:bookmarkStart w:id="198" w:name="_Toc459213777"/>
      <w:bookmarkStart w:id="199" w:name="_Toc513542661"/>
      <w:bookmarkStart w:id="200" w:name="_Toc512696263"/>
      <w:bookmarkStart w:id="201" w:name="_Toc512612266"/>
      <w:bookmarkStart w:id="202" w:name="_Toc512612090"/>
      <w:bookmarkStart w:id="203" w:name="_Toc512611294"/>
      <w:bookmarkStart w:id="204" w:name="m501"/>
      <w:r>
        <w:rPr>
          <w:rFonts w:eastAsia="宋体" w:hint="eastAsia"/>
        </w:rPr>
        <w:t>报告期末基金资产组合情</w:t>
      </w:r>
      <w:r>
        <w:rPr>
          <w:rFonts w:eastAsia="宋体" w:hint="eastAsia"/>
        </w:rPr>
        <w:t>况</w:t>
      </w:r>
      <w:bookmarkEnd w:id="193"/>
      <w:bookmarkEnd w:id="194"/>
      <w:bookmarkEnd w:id="195"/>
      <w:bookmarkEnd w:id="196"/>
      <w:bookmarkEnd w:id="197"/>
      <w:bookmarkEnd w:id="198"/>
      <w:r>
        <w:rPr>
          <w:rFonts w:hint="eastAsia"/>
        </w:rPr>
        <w:t xml:space="preserve"> </w:t>
      </w:r>
      <w:bookmarkEnd w:id="199"/>
      <w:bookmarkEnd w:id="200"/>
      <w:bookmarkEnd w:id="201"/>
      <w:bookmarkEnd w:id="202"/>
      <w:bookmarkEnd w:id="203"/>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02"/>
        <w:gridCol w:w="3503"/>
        <w:gridCol w:w="2375"/>
        <w:gridCol w:w="2355"/>
      </w:tblGrid>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C4503" w:rsidRDefault="001C4503">
            <w:pPr>
              <w:jc w:val="center"/>
              <w:rPr>
                <w:rFonts w:hint="eastAsia"/>
              </w:rPr>
            </w:pPr>
            <w:bookmarkStart w:id="205" w:name="m08QD_01_tab"/>
            <w:bookmarkStart w:id="206" w:name="OLE_LINK41"/>
            <w:bookmarkStart w:id="207" w:name="OLE_LINK42"/>
            <w:bookmarkStart w:id="208" w:name="OLE_LINK45"/>
            <w:bookmarkStart w:id="209" w:name="OLE_LINK46"/>
            <w:bookmarkEnd w:id="205"/>
            <w:r>
              <w:rPr>
                <w:rFonts w:ascii="宋体" w:hAnsi="宋体" w:hint="eastAsia"/>
                <w:color w:val="000000"/>
              </w:rPr>
              <w:t>序号</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shd w:val="clear" w:color="auto" w:fill="D9D9D9"/>
            <w:vAlign w:val="center"/>
            <w:hideMark/>
          </w:tcPr>
          <w:p w:rsidR="001C4503" w:rsidRDefault="001C4503">
            <w:pPr>
              <w:jc w:val="center"/>
            </w:pPr>
            <w:r>
              <w:rPr>
                <w:rFonts w:ascii="宋体" w:hAnsi="宋体" w:hint="eastAsia"/>
                <w:color w:val="000000"/>
              </w:rPr>
              <w:t>项目</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shd w:val="clear" w:color="auto" w:fill="D9D9D9"/>
            <w:vAlign w:val="center"/>
            <w:hideMark/>
          </w:tcPr>
          <w:p w:rsidR="001C4503" w:rsidRDefault="001C4503">
            <w:pPr>
              <w:jc w:val="center"/>
            </w:pPr>
            <w:r>
              <w:rPr>
                <w:rFonts w:ascii="宋体" w:hAnsi="宋体" w:hint="eastAsia"/>
                <w:color w:val="000000"/>
              </w:rPr>
              <w:t>金额（人民币元）</w:t>
            </w:r>
            <w:r>
              <w:rPr>
                <w:rFonts w:ascii="宋体" w:hAnsi="宋体" w:hint="eastAsia"/>
                <w:color w:val="000000"/>
                <w:lang w:eastAsia="zh-Hans"/>
              </w:rPr>
              <w:t xml:space="preserve"> </w:t>
            </w:r>
          </w:p>
        </w:tc>
        <w:tc>
          <w:tcPr>
            <w:tcW w:w="2373" w:type="dxa"/>
            <w:tcBorders>
              <w:top w:val="single" w:sz="4" w:space="0" w:color="auto"/>
              <w:left w:val="nil"/>
              <w:bottom w:val="single" w:sz="4" w:space="0" w:color="auto"/>
              <w:right w:val="single" w:sz="4" w:space="0" w:color="auto"/>
            </w:tcBorders>
            <w:shd w:val="clear" w:color="auto" w:fill="D9D9D9"/>
            <w:vAlign w:val="center"/>
            <w:hideMark/>
          </w:tcPr>
          <w:p w:rsidR="001C4503" w:rsidRDefault="001C4503">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pPr>
            <w:r>
              <w:rPr>
                <w:rFonts w:ascii="宋体" w:hAnsi="宋体" w:hint="eastAsia"/>
                <w:color w:val="000000"/>
                <w:lang w:eastAsia="zh-Hans"/>
              </w:rPr>
              <w:t xml:space="preserve">1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leftChars="50" w:left="105"/>
              <w:rPr>
                <w:rFonts w:hint="eastAsia"/>
              </w:rPr>
            </w:pPr>
            <w:r>
              <w:rPr>
                <w:rFonts w:ascii="宋体" w:hAnsi="宋体" w:hint="eastAsia"/>
                <w:color w:val="000000"/>
              </w:rPr>
              <w:t>其中：普通股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firstLineChars="350" w:firstLine="735"/>
              <w:rPr>
                <w:rFonts w:hint="eastAsia"/>
              </w:rPr>
            </w:pPr>
            <w:r>
              <w:rPr>
                <w:rFonts w:ascii="宋体" w:hAnsi="宋体" w:hint="eastAsia"/>
                <w:color w:val="000000"/>
              </w:rPr>
              <w:t>优先股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firstLineChars="350" w:firstLine="735"/>
              <w:rPr>
                <w:rFonts w:hint="eastAsia"/>
              </w:rPr>
            </w:pPr>
            <w:r>
              <w:rPr>
                <w:rFonts w:ascii="宋体" w:hAnsi="宋体" w:hint="eastAsia"/>
                <w:color w:val="000000"/>
              </w:rPr>
              <w:t>存托凭证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firstLineChars="350" w:firstLine="735"/>
              <w:rPr>
                <w:rFonts w:hint="eastAsia"/>
              </w:rPr>
            </w:pPr>
            <w:r>
              <w:rPr>
                <w:rFonts w:ascii="宋体" w:hAnsi="宋体" w:hint="eastAsia"/>
              </w:rPr>
              <w:t>房地产信托凭证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pPr>
            <w:r>
              <w:rPr>
                <w:rFonts w:ascii="宋体" w:hAnsi="宋体" w:hint="eastAsia"/>
                <w:color w:val="000000"/>
                <w:lang w:eastAsia="zh-Hans"/>
              </w:rPr>
              <w:t xml:space="preserve">2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976,826,420.5</w:t>
            </w:r>
            <w:r>
              <w:rPr>
                <w:rFonts w:ascii="宋体" w:hAnsi="宋体" w:hint="eastAsia"/>
                <w:szCs w:val="24"/>
                <w:lang w:eastAsia="zh-Hans"/>
              </w:rPr>
              <w:t>3</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89.4</w:t>
            </w:r>
            <w:r>
              <w:rPr>
                <w:rFonts w:ascii="宋体" w:hAnsi="宋体" w:hint="eastAsia"/>
                <w:szCs w:val="24"/>
                <w:lang w:eastAsia="zh-Hans"/>
              </w:rPr>
              <w:t>1</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pPr>
            <w:r>
              <w:rPr>
                <w:rFonts w:ascii="宋体" w:hAnsi="宋体" w:hint="eastAsia"/>
                <w:color w:val="000000"/>
                <w:lang w:eastAsia="zh-Hans"/>
              </w:rPr>
              <w:t xml:space="preserve">3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leftChars="50" w:left="105"/>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pPr>
            <w:r>
              <w:rPr>
                <w:rFonts w:ascii="宋体" w:hAnsi="宋体" w:hint="eastAsia"/>
                <w:color w:val="000000"/>
                <w:lang w:eastAsia="zh-Hans"/>
              </w:rPr>
              <w:t xml:space="preserve">4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leftChars="50" w:left="105"/>
              <w:rPr>
                <w:rFonts w:hint="eastAsia"/>
              </w:rPr>
            </w:pPr>
            <w:r>
              <w:rPr>
                <w:rFonts w:ascii="宋体" w:hAnsi="宋体" w:hint="eastAsia"/>
                <w:color w:val="000000"/>
              </w:rPr>
              <w:t>其中：远期</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firstLineChars="350" w:firstLine="735"/>
              <w:rPr>
                <w:rFonts w:hint="eastAsia"/>
              </w:rPr>
            </w:pPr>
            <w:r>
              <w:rPr>
                <w:rFonts w:ascii="宋体" w:hAnsi="宋体" w:hint="eastAsia"/>
                <w:color w:val="000000"/>
              </w:rPr>
              <w:t>期货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firstLineChars="350" w:firstLine="735"/>
              <w:rPr>
                <w:rFonts w:hint="eastAsia"/>
              </w:rPr>
            </w:pPr>
            <w:r>
              <w:rPr>
                <w:rFonts w:ascii="宋体" w:hAnsi="宋体" w:hint="eastAsia"/>
                <w:color w:val="000000"/>
              </w:rPr>
              <w:t>期权</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firstLineChars="350" w:firstLine="735"/>
              <w:rPr>
                <w:rFonts w:hint="eastAsia"/>
              </w:rPr>
            </w:pPr>
            <w:r>
              <w:rPr>
                <w:rFonts w:ascii="宋体" w:hAnsi="宋体" w:hint="eastAsia"/>
                <w:color w:val="000000"/>
              </w:rPr>
              <w:t>权证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pPr>
            <w:r>
              <w:rPr>
                <w:rFonts w:ascii="宋体" w:hAnsi="宋体" w:hint="eastAsia"/>
                <w:color w:val="000000"/>
                <w:lang w:eastAsia="zh-Hans"/>
              </w:rPr>
              <w:t xml:space="preserve">5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pPr>
            <w:r>
              <w:rPr>
                <w:rFonts w:ascii="宋体" w:hAnsi="宋体" w:hint="eastAsia"/>
                <w:color w:val="000000"/>
                <w:lang w:eastAsia="zh-Hans"/>
              </w:rPr>
              <w:t xml:space="preserve">6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leftChars="50" w:left="105"/>
            </w:pPr>
            <w:r>
              <w:rPr>
                <w:rFonts w:ascii="宋体" w:hAnsi="宋体" w:hint="eastAsia"/>
                <w:color w:val="000000"/>
              </w:rPr>
              <w:t>货币市场工具</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pPr>
            <w:r>
              <w:rPr>
                <w:rFonts w:ascii="宋体" w:hAnsi="宋体" w:hint="eastAsia"/>
                <w:color w:val="000000"/>
                <w:lang w:eastAsia="zh-Hans"/>
              </w:rPr>
              <w:t xml:space="preserve">7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108,969,703.8</w:t>
            </w:r>
            <w:r>
              <w:rPr>
                <w:rFonts w:ascii="宋体" w:hAnsi="宋体" w:hint="eastAsia"/>
                <w:szCs w:val="24"/>
                <w:lang w:eastAsia="zh-Hans"/>
              </w:rPr>
              <w:t>0</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9.9</w:t>
            </w:r>
            <w:r>
              <w:rPr>
                <w:rFonts w:ascii="宋体" w:hAnsi="宋体" w:hint="eastAsia"/>
                <w:szCs w:val="24"/>
                <w:lang w:eastAsia="zh-Hans"/>
              </w:rPr>
              <w:t>7</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pPr>
            <w:r>
              <w:rPr>
                <w:rFonts w:ascii="宋体" w:hAnsi="宋体" w:hint="eastAsia"/>
                <w:color w:val="000000"/>
                <w:lang w:eastAsia="zh-Hans"/>
              </w:rPr>
              <w:t xml:space="preserve">8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6,678,642.3</w:t>
            </w:r>
            <w:r>
              <w:rPr>
                <w:rFonts w:ascii="宋体" w:hAnsi="宋体" w:hint="eastAsia"/>
                <w:szCs w:val="24"/>
                <w:lang w:eastAsia="zh-Hans"/>
              </w:rPr>
              <w:t>8</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0.6</w:t>
            </w:r>
            <w:r>
              <w:rPr>
                <w:rFonts w:ascii="宋体" w:hAnsi="宋体" w:hint="eastAsia"/>
                <w:szCs w:val="24"/>
                <w:lang w:eastAsia="zh-Hans"/>
              </w:rPr>
              <w:t>1</w:t>
            </w:r>
          </w:p>
        </w:tc>
      </w:tr>
      <w:tr w:rsidR="00000000">
        <w:trPr>
          <w:divId w:val="212750417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C4503" w:rsidRDefault="001C4503">
            <w:pPr>
              <w:jc w:val="center"/>
            </w:pPr>
            <w:r>
              <w:rPr>
                <w:rFonts w:ascii="宋体" w:hAnsi="宋体" w:hint="eastAsia"/>
                <w:color w:val="000000"/>
                <w:lang w:eastAsia="zh-Hans"/>
              </w:rPr>
              <w:t xml:space="preserve">9 </w:t>
            </w:r>
          </w:p>
        </w:tc>
        <w:tc>
          <w:tcPr>
            <w:tcW w:w="3529" w:type="dxa"/>
            <w:tcBorders>
              <w:top w:val="single" w:sz="4" w:space="0" w:color="auto"/>
              <w:left w:val="nil"/>
              <w:bottom w:val="single" w:sz="4" w:space="0" w:color="auto"/>
              <w:right w:val="single" w:sz="4" w:space="0" w:color="auto"/>
            </w:tcBorders>
            <w:vAlign w:val="center"/>
            <w:hideMark/>
          </w:tcPr>
          <w:p w:rsidR="001C4503" w:rsidRDefault="001C4503">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1,092,474,766.7</w:t>
            </w:r>
            <w:r>
              <w:rPr>
                <w:rFonts w:ascii="宋体" w:hAnsi="宋体" w:hint="eastAsia"/>
                <w:szCs w:val="24"/>
                <w:lang w:eastAsia="zh-Hans"/>
              </w:rPr>
              <w:t>1</w:t>
            </w:r>
          </w:p>
        </w:tc>
        <w:tc>
          <w:tcPr>
            <w:tcW w:w="2373" w:type="dxa"/>
            <w:tcBorders>
              <w:top w:val="single" w:sz="4" w:space="0" w:color="auto"/>
              <w:left w:val="nil"/>
              <w:bottom w:val="single" w:sz="4" w:space="0" w:color="auto"/>
              <w:right w:val="single" w:sz="4" w:space="0" w:color="auto"/>
            </w:tcBorders>
            <w:vAlign w:val="center"/>
            <w:hideMark/>
          </w:tcPr>
          <w:p w:rsidR="001C4503" w:rsidRDefault="001C4503">
            <w:pPr>
              <w:jc w:val="right"/>
            </w:pPr>
            <w:r>
              <w:rPr>
                <w:rFonts w:ascii="宋体" w:hAnsi="宋体" w:hint="eastAsia"/>
                <w:szCs w:val="24"/>
                <w:lang w:eastAsia="zh-Hans"/>
              </w:rPr>
              <w:t>100.0</w:t>
            </w:r>
            <w:r>
              <w:rPr>
                <w:rFonts w:ascii="宋体" w:hAnsi="宋体" w:hint="eastAsia"/>
                <w:szCs w:val="24"/>
                <w:lang w:eastAsia="zh-Hans"/>
              </w:rPr>
              <w:t>0</w:t>
            </w:r>
          </w:p>
        </w:tc>
      </w:tr>
    </w:tbl>
    <w:p w:rsidR="001C4503" w:rsidRDefault="001C4503">
      <w:pPr>
        <w:pStyle w:val="XBRLTitle2"/>
        <w:spacing w:before="156" w:line="360" w:lineRule="auto"/>
        <w:ind w:left="454"/>
      </w:pPr>
      <w:bookmarkStart w:id="210" w:name="_Toc514088261"/>
      <w:bookmarkStart w:id="211" w:name="_Toc480465433"/>
      <w:bookmarkStart w:id="212" w:name="_Toc448480299"/>
      <w:bookmarkStart w:id="213" w:name="_Toc438654087"/>
      <w:bookmarkStart w:id="214" w:name="_Toc456107132"/>
      <w:bookmarkStart w:id="215" w:name="_Toc459213778"/>
      <w:bookmarkStart w:id="216" w:name="_Toc513542662"/>
      <w:bookmarkStart w:id="217" w:name="_Toc512696264"/>
      <w:bookmarkStart w:id="218" w:name="_Toc512612267"/>
      <w:bookmarkStart w:id="219" w:name="_Toc512612091"/>
      <w:bookmarkStart w:id="220" w:name="_Toc512611295"/>
      <w:bookmarkEnd w:id="204"/>
      <w:r>
        <w:rPr>
          <w:rFonts w:eastAsia="宋体" w:hint="eastAsia"/>
        </w:rPr>
        <w:t>报告期末在各个国家（地区）证券市场的股票及存托凭证投资分</w:t>
      </w:r>
      <w:r>
        <w:rPr>
          <w:rFonts w:eastAsia="宋体" w:hint="eastAsia"/>
        </w:rPr>
        <w:t>布</w:t>
      </w:r>
      <w:bookmarkEnd w:id="210"/>
      <w:bookmarkEnd w:id="211"/>
      <w:bookmarkEnd w:id="212"/>
      <w:bookmarkEnd w:id="213"/>
      <w:bookmarkEnd w:id="214"/>
      <w:bookmarkEnd w:id="215"/>
      <w:r>
        <w:rPr>
          <w:rFonts w:hint="eastAsia"/>
        </w:rPr>
        <w:t xml:space="preserve"> </w:t>
      </w:r>
      <w:bookmarkEnd w:id="216"/>
      <w:bookmarkEnd w:id="217"/>
      <w:bookmarkEnd w:id="218"/>
      <w:bookmarkEnd w:id="219"/>
      <w:bookmarkEnd w:id="220"/>
    </w:p>
    <w:p w:rsidR="001C4503" w:rsidRDefault="001C4503">
      <w:pPr>
        <w:spacing w:line="360" w:lineRule="auto"/>
        <w:ind w:firstLineChars="200" w:firstLine="420"/>
        <w:jc w:val="left"/>
        <w:rPr>
          <w:rFonts w:hint="eastAsia"/>
        </w:rPr>
      </w:pPr>
      <w:r>
        <w:rPr>
          <w:rFonts w:ascii="宋体" w:hAnsi="宋体" w:hint="eastAsia"/>
        </w:rPr>
        <w:t>本基金本报告期末未持有股票及存托凭证</w:t>
      </w:r>
      <w:r>
        <w:rPr>
          <w:rFonts w:ascii="宋体" w:hAnsi="宋体" w:hint="eastAsia"/>
        </w:rPr>
        <w:t>。</w:t>
      </w:r>
    </w:p>
    <w:p w:rsidR="001C4503" w:rsidRDefault="001C4503">
      <w:pPr>
        <w:pStyle w:val="XBRLTitle2"/>
        <w:spacing w:before="156" w:line="360" w:lineRule="auto"/>
        <w:ind w:left="454"/>
      </w:pPr>
      <w:bookmarkStart w:id="221" w:name="m502_tab"/>
      <w:bookmarkStart w:id="222" w:name="_Toc514088262"/>
      <w:bookmarkStart w:id="223" w:name="_Toc480465434"/>
      <w:bookmarkStart w:id="224" w:name="_Toc448480300"/>
      <w:bookmarkStart w:id="225" w:name="_Toc438654088"/>
      <w:bookmarkStart w:id="226" w:name="_Toc456107133"/>
      <w:bookmarkStart w:id="227" w:name="_Toc459213779"/>
      <w:bookmarkStart w:id="228" w:name="_Toc513542663"/>
      <w:bookmarkStart w:id="229" w:name="_Toc512696265"/>
      <w:bookmarkStart w:id="230" w:name="_Toc512612268"/>
      <w:bookmarkStart w:id="231" w:name="_Toc512612092"/>
      <w:bookmarkStart w:id="232" w:name="_Toc512611296"/>
      <w:bookmarkStart w:id="233" w:name="m503"/>
      <w:bookmarkEnd w:id="221"/>
      <w:r>
        <w:rPr>
          <w:rFonts w:eastAsia="宋体" w:hint="eastAsia"/>
        </w:rPr>
        <w:t>报告期末按行业分类的股票及存托凭证投资组</w:t>
      </w:r>
      <w:r>
        <w:rPr>
          <w:rFonts w:eastAsia="宋体" w:hint="eastAsia"/>
        </w:rPr>
        <w:t>合</w:t>
      </w:r>
      <w:bookmarkEnd w:id="222"/>
      <w:bookmarkEnd w:id="223"/>
      <w:bookmarkEnd w:id="224"/>
      <w:bookmarkEnd w:id="225"/>
      <w:bookmarkEnd w:id="226"/>
      <w:bookmarkEnd w:id="227"/>
      <w:r>
        <w:rPr>
          <w:rFonts w:hint="eastAsia"/>
        </w:rPr>
        <w:t xml:space="preserve"> </w:t>
      </w:r>
      <w:bookmarkEnd w:id="228"/>
      <w:bookmarkEnd w:id="229"/>
      <w:bookmarkEnd w:id="230"/>
      <w:bookmarkEnd w:id="231"/>
      <w:bookmarkEnd w:id="232"/>
    </w:p>
    <w:p w:rsidR="001C4503" w:rsidRDefault="001C4503">
      <w:pPr>
        <w:spacing w:line="360" w:lineRule="auto"/>
        <w:ind w:firstLineChars="200" w:firstLine="420"/>
        <w:jc w:val="left"/>
        <w:divId w:val="1579904290"/>
        <w:rPr>
          <w:rFonts w:hint="eastAsia"/>
        </w:rPr>
      </w:pPr>
      <w:bookmarkStart w:id="234" w:name="m08QD_03_01_tab"/>
      <w:bookmarkStart w:id="235" w:name="m08QD_03_tab"/>
      <w:bookmarkStart w:id="236" w:name="m08QD_03_01"/>
      <w:bookmarkStart w:id="237" w:name="_Toc247616244"/>
      <w:bookmarkStart w:id="238" w:name="_Toc433036708"/>
      <w:bookmarkStart w:id="239" w:name="_Toc247613259"/>
      <w:bookmarkStart w:id="240" w:name="m08QD_04_01"/>
      <w:bookmarkStart w:id="241" w:name="m07_04_07_02"/>
      <w:bookmarkEnd w:id="234"/>
      <w:bookmarkEnd w:id="235"/>
      <w:bookmarkEnd w:id="236"/>
      <w:r>
        <w:rPr>
          <w:rFonts w:ascii="宋体" w:hAnsi="宋体" w:hint="eastAsia"/>
          <w:szCs w:val="21"/>
          <w:lang w:eastAsia="zh-Hans"/>
        </w:rPr>
        <w:t>本基金本报告期末未持有股票及存托凭证</w:t>
      </w:r>
      <w:r>
        <w:rPr>
          <w:rFonts w:ascii="宋体" w:hAnsi="宋体" w:hint="eastAsia"/>
          <w:szCs w:val="21"/>
          <w:lang w:eastAsia="zh-Hans"/>
        </w:rPr>
        <w:t>。</w:t>
      </w:r>
      <w:bookmarkEnd w:id="237"/>
      <w:bookmarkEnd w:id="238"/>
      <w:bookmarkEnd w:id="239"/>
      <w:r>
        <w:rPr>
          <w:rFonts w:ascii="宋体" w:hAnsi="宋体" w:hint="eastAsia"/>
          <w:szCs w:val="21"/>
          <w:lang w:eastAsia="zh-Hans"/>
        </w:rPr>
        <w:t xml:space="preserve"> </w:t>
      </w:r>
    </w:p>
    <w:p w:rsidR="001C4503" w:rsidRDefault="001C4503">
      <w:pPr>
        <w:pStyle w:val="XBRLTitle2"/>
        <w:spacing w:before="156" w:line="360" w:lineRule="auto"/>
        <w:ind w:left="454"/>
      </w:pPr>
      <w:bookmarkStart w:id="242" w:name="_Toc5140882991"/>
      <w:bookmarkStart w:id="243" w:name="_Toc480465441"/>
      <w:bookmarkStart w:id="244" w:name="_Toc459213786"/>
      <w:bookmarkStart w:id="245" w:name="_Toc456107140"/>
      <w:bookmarkStart w:id="246" w:name="_Toc438654095"/>
      <w:bookmarkStart w:id="247" w:name="_Toc448480307"/>
      <w:bookmarkStart w:id="248" w:name="_Toc513542670"/>
      <w:bookmarkStart w:id="249" w:name="_Toc512696272"/>
      <w:bookmarkStart w:id="250" w:name="_Toc512612275"/>
      <w:bookmarkStart w:id="251" w:name="_Toc512612099"/>
      <w:bookmarkStart w:id="252" w:name="_Toc512611303"/>
      <w:bookmarkEnd w:id="233"/>
      <w:r>
        <w:rPr>
          <w:rFonts w:eastAsia="宋体" w:hint="eastAsia"/>
        </w:rPr>
        <w:t>期末按公允价值占基金资产净值比例大小排序的权益投资明</w:t>
      </w:r>
      <w:r>
        <w:rPr>
          <w:rFonts w:eastAsia="宋体" w:hint="eastAsia"/>
        </w:rPr>
        <w:t>细</w:t>
      </w:r>
      <w:bookmarkEnd w:id="242"/>
      <w:r>
        <w:rPr>
          <w:rFonts w:eastAsia="宋体" w:hint="eastAsia"/>
        </w:rPr>
        <w:t xml:space="preserve"> </w:t>
      </w:r>
    </w:p>
    <w:p w:rsidR="001C4503" w:rsidRDefault="001C4503">
      <w:pPr>
        <w:pStyle w:val="XBRLTitle3"/>
        <w:spacing w:before="156" w:line="360" w:lineRule="auto"/>
        <w:ind w:left="624"/>
        <w:rPr>
          <w:rFonts w:hint="eastAsia"/>
        </w:rPr>
      </w:pPr>
      <w:bookmarkStart w:id="253" w:name="m510_01_1597"/>
      <w:r>
        <w:rPr>
          <w:rFonts w:hAnsi="宋体" w:hint="eastAsia"/>
        </w:rPr>
        <w:t>报告期末按公允价值占基金资产净值比例大小排序的前十名股票及存托凭证投资明</w:t>
      </w:r>
      <w:r>
        <w:rPr>
          <w:rFonts w:hAnsi="宋体" w:hint="eastAsia"/>
        </w:rPr>
        <w:t>细</w:t>
      </w:r>
      <w:bookmarkStart w:id="254" w:name="_Toc5140882992"/>
      <w:bookmarkStart w:id="255" w:name="_Toc513542671"/>
      <w:bookmarkStart w:id="256" w:name="_Toc480465442"/>
      <w:bookmarkEnd w:id="254"/>
      <w:r>
        <w:rPr>
          <w:rFonts w:hAnsi="宋体" w:hint="eastAsia"/>
        </w:rPr>
        <w:t xml:space="preserve"> </w:t>
      </w:r>
    </w:p>
    <w:p w:rsidR="001C4503" w:rsidRDefault="001C4503">
      <w:pPr>
        <w:spacing w:line="360" w:lineRule="auto"/>
        <w:ind w:firstLineChars="200" w:firstLine="420"/>
        <w:rPr>
          <w:rFonts w:hint="eastAsia"/>
        </w:rPr>
      </w:pPr>
      <w:bookmarkStart w:id="257" w:name="m08QD_04_01_tab"/>
      <w:bookmarkEnd w:id="257"/>
      <w:r>
        <w:rPr>
          <w:rFonts w:ascii="宋体" w:hAnsi="宋体" w:hint="eastAsia"/>
          <w:lang w:eastAsia="zh-Hans"/>
        </w:rPr>
        <w:t>本基金本报告期末未持有股票及存托凭证</w:t>
      </w:r>
      <w:r>
        <w:rPr>
          <w:rFonts w:ascii="宋体" w:hAnsi="宋体" w:hint="eastAsia"/>
          <w:lang w:eastAsia="zh-Hans"/>
        </w:rPr>
        <w:t>。</w:t>
      </w:r>
      <w:bookmarkEnd w:id="240"/>
      <w:r>
        <w:rPr>
          <w:rFonts w:ascii="宋体" w:hAnsi="宋体" w:hint="eastAsia"/>
        </w:rPr>
        <w:t xml:space="preserve"> </w:t>
      </w:r>
    </w:p>
    <w:p w:rsidR="001C4503" w:rsidRDefault="001C4503">
      <w:pPr>
        <w:pStyle w:val="XBRLTitle2"/>
        <w:spacing w:before="156" w:line="360" w:lineRule="auto"/>
        <w:ind w:left="454"/>
      </w:pPr>
      <w:bookmarkStart w:id="258" w:name="_Toc514088264"/>
      <w:bookmarkStart w:id="259" w:name="_Toc480465436"/>
      <w:bookmarkStart w:id="260" w:name="_Toc448480302"/>
      <w:bookmarkStart w:id="261" w:name="_Toc438654090"/>
      <w:bookmarkStart w:id="262" w:name="_Toc456107135"/>
      <w:bookmarkStart w:id="263" w:name="_Toc459213781"/>
      <w:bookmarkStart w:id="264" w:name="_Toc513542665"/>
      <w:bookmarkStart w:id="265" w:name="_Toc512696267"/>
      <w:bookmarkStart w:id="266" w:name="_Toc512612270"/>
      <w:bookmarkStart w:id="267" w:name="_Toc512612094"/>
      <w:bookmarkStart w:id="268" w:name="_Toc512611298"/>
      <w:bookmarkStart w:id="269" w:name="m505"/>
      <w:r>
        <w:rPr>
          <w:rFonts w:eastAsia="宋体" w:hint="eastAsia"/>
        </w:rPr>
        <w:t>报告期末按债券信用等级分类的债券投资组</w:t>
      </w:r>
      <w:r>
        <w:rPr>
          <w:rFonts w:eastAsia="宋体" w:hint="eastAsia"/>
        </w:rPr>
        <w:t>合</w:t>
      </w:r>
      <w:bookmarkEnd w:id="258"/>
      <w:bookmarkEnd w:id="259"/>
      <w:bookmarkEnd w:id="260"/>
      <w:bookmarkEnd w:id="261"/>
      <w:bookmarkEnd w:id="262"/>
      <w:bookmarkEnd w:id="263"/>
      <w:r>
        <w:rPr>
          <w:rFonts w:hint="eastAsia"/>
        </w:rPr>
        <w:t xml:space="preserve"> </w:t>
      </w:r>
      <w:bookmarkEnd w:id="264"/>
      <w:bookmarkEnd w:id="265"/>
      <w:bookmarkEnd w:id="266"/>
      <w:bookmarkEnd w:id="267"/>
      <w:bookmarkEnd w:id="268"/>
    </w:p>
    <w:p w:rsidR="001C4503" w:rsidRDefault="001C4503">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p>
    <w:p w:rsidR="001C4503" w:rsidRDefault="001C4503">
      <w:pPr>
        <w:pStyle w:val="XBRLTitle2"/>
        <w:spacing w:before="156" w:line="360" w:lineRule="auto"/>
        <w:ind w:left="454"/>
      </w:pPr>
      <w:bookmarkStart w:id="270" w:name="_Toc514088265"/>
      <w:bookmarkStart w:id="271" w:name="_Toc480465437"/>
      <w:bookmarkStart w:id="272" w:name="_Toc448480303"/>
      <w:bookmarkStart w:id="273" w:name="_Toc438654091"/>
      <w:bookmarkStart w:id="274" w:name="_Toc456107136"/>
      <w:bookmarkStart w:id="275" w:name="_Toc459213782"/>
      <w:bookmarkStart w:id="276" w:name="_Toc513542666"/>
      <w:bookmarkStart w:id="277" w:name="_Toc512696268"/>
      <w:bookmarkStart w:id="278" w:name="_Toc512612271"/>
      <w:bookmarkStart w:id="279" w:name="_Toc512612095"/>
      <w:bookmarkStart w:id="280" w:name="_Toc512611299"/>
      <w:bookmarkStart w:id="281" w:name="m506"/>
      <w:bookmarkEnd w:id="269"/>
      <w:r>
        <w:rPr>
          <w:rFonts w:eastAsia="宋体" w:hint="eastAsia"/>
        </w:rPr>
        <w:t>报告期末按公允价值占基金资产净值比例大小排名</w:t>
      </w:r>
      <w:r>
        <w:rPr>
          <w:rFonts w:eastAsia="宋体" w:hint="eastAsia"/>
        </w:rPr>
        <w:t>的</w:t>
      </w:r>
      <w:r>
        <w:rPr>
          <w:rFonts w:eastAsia="宋体" w:hint="eastAsia"/>
        </w:rPr>
        <w:t>前五</w:t>
      </w:r>
      <w:r>
        <w:rPr>
          <w:rFonts w:eastAsia="宋体" w:hint="eastAsia"/>
        </w:rPr>
        <w:t>名</w:t>
      </w:r>
      <w:r>
        <w:rPr>
          <w:rFonts w:eastAsia="宋体" w:hint="eastAsia"/>
        </w:rPr>
        <w:t>债券投资明</w:t>
      </w:r>
      <w:r>
        <w:rPr>
          <w:rFonts w:eastAsia="宋体" w:hint="eastAsia"/>
        </w:rPr>
        <w:t>细</w:t>
      </w:r>
      <w:bookmarkEnd w:id="270"/>
      <w:bookmarkEnd w:id="271"/>
      <w:bookmarkEnd w:id="272"/>
      <w:bookmarkEnd w:id="273"/>
      <w:bookmarkEnd w:id="274"/>
      <w:bookmarkEnd w:id="275"/>
      <w:r>
        <w:rPr>
          <w:rFonts w:hint="eastAsia"/>
        </w:rPr>
        <w:t xml:space="preserve"> </w:t>
      </w:r>
      <w:bookmarkEnd w:id="276"/>
      <w:bookmarkEnd w:id="277"/>
      <w:bookmarkEnd w:id="278"/>
      <w:bookmarkEnd w:id="279"/>
      <w:bookmarkEnd w:id="280"/>
    </w:p>
    <w:p w:rsidR="001C4503" w:rsidRDefault="001C4503">
      <w:pPr>
        <w:spacing w:line="360" w:lineRule="auto"/>
        <w:ind w:firstLineChars="200" w:firstLine="420"/>
        <w:jc w:val="left"/>
        <w:divId w:val="1318075101"/>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1C4503" w:rsidRDefault="001C4503">
      <w:pPr>
        <w:pStyle w:val="XBRLTitle2"/>
        <w:spacing w:before="156" w:line="360" w:lineRule="auto"/>
        <w:ind w:left="454"/>
      </w:pPr>
      <w:bookmarkStart w:id="282" w:name="_Toc514088266"/>
      <w:bookmarkStart w:id="283" w:name="_Toc480465438"/>
      <w:bookmarkStart w:id="284" w:name="_Toc448480304"/>
      <w:bookmarkStart w:id="285" w:name="_Toc438654092"/>
      <w:bookmarkStart w:id="286" w:name="_Toc456107137"/>
      <w:bookmarkStart w:id="287" w:name="_Toc459213783"/>
      <w:bookmarkStart w:id="288" w:name="_Toc513542667"/>
      <w:bookmarkStart w:id="289" w:name="_Toc512696269"/>
      <w:bookmarkStart w:id="290" w:name="_Toc512612272"/>
      <w:bookmarkStart w:id="291" w:name="_Toc512612096"/>
      <w:bookmarkStart w:id="292" w:name="_Toc512611300"/>
      <w:bookmarkStart w:id="293" w:name="m507"/>
      <w:bookmarkEnd w:id="281"/>
      <w:r>
        <w:rPr>
          <w:rFonts w:eastAsia="宋体" w:hint="eastAsia"/>
        </w:rPr>
        <w:t>报告期末按公允价值占基金资产净值比例大小排名的前十名资产支持证券投资明</w:t>
      </w:r>
      <w:r>
        <w:rPr>
          <w:rFonts w:eastAsia="宋体" w:hint="eastAsia"/>
        </w:rPr>
        <w:t>细</w:t>
      </w:r>
      <w:bookmarkEnd w:id="282"/>
      <w:bookmarkEnd w:id="283"/>
      <w:bookmarkEnd w:id="284"/>
      <w:bookmarkEnd w:id="285"/>
      <w:bookmarkEnd w:id="286"/>
      <w:bookmarkEnd w:id="287"/>
      <w:r>
        <w:rPr>
          <w:rFonts w:hint="eastAsia"/>
        </w:rPr>
        <w:t xml:space="preserve"> </w:t>
      </w:r>
      <w:bookmarkEnd w:id="288"/>
      <w:bookmarkEnd w:id="289"/>
      <w:bookmarkEnd w:id="290"/>
      <w:bookmarkEnd w:id="291"/>
      <w:bookmarkEnd w:id="292"/>
    </w:p>
    <w:p w:rsidR="001C4503" w:rsidRDefault="001C4503">
      <w:pPr>
        <w:spacing w:line="360" w:lineRule="auto"/>
        <w:ind w:firstLineChars="200" w:firstLine="420"/>
        <w:jc w:val="left"/>
        <w:divId w:val="1251504367"/>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1C4503" w:rsidRDefault="001C4503">
      <w:pPr>
        <w:pStyle w:val="XBRLTitle2"/>
        <w:spacing w:before="156" w:line="360" w:lineRule="auto"/>
        <w:ind w:left="454"/>
      </w:pPr>
      <w:bookmarkStart w:id="294" w:name="_Toc514088267"/>
      <w:bookmarkStart w:id="295" w:name="_Toc480465439"/>
      <w:bookmarkStart w:id="296" w:name="_Toc459213784"/>
      <w:bookmarkStart w:id="297" w:name="_Toc456107138"/>
      <w:bookmarkStart w:id="298" w:name="_Toc438654093"/>
      <w:bookmarkStart w:id="299" w:name="_Toc448480305"/>
      <w:bookmarkStart w:id="300" w:name="_Toc513542668"/>
      <w:bookmarkStart w:id="301" w:name="_Toc512696270"/>
      <w:bookmarkStart w:id="302" w:name="_Toc512612273"/>
      <w:bookmarkStart w:id="303" w:name="_Toc512612097"/>
      <w:bookmarkStart w:id="304" w:name="_Toc512611301"/>
      <w:bookmarkStart w:id="305" w:name="m508"/>
      <w:bookmarkEnd w:id="293"/>
      <w:r>
        <w:rPr>
          <w:rFonts w:eastAsia="宋体" w:hint="eastAsia"/>
        </w:rPr>
        <w:t>报告期末按公允价值占基金资产净值比例大小排名的前五名金融衍生品投资明</w:t>
      </w:r>
      <w:r>
        <w:rPr>
          <w:rFonts w:eastAsia="宋体" w:hint="eastAsia"/>
        </w:rPr>
        <w:t>细</w:t>
      </w:r>
      <w:bookmarkEnd w:id="294"/>
      <w:bookmarkEnd w:id="295"/>
      <w:bookmarkEnd w:id="296"/>
      <w:bookmarkEnd w:id="297"/>
      <w:bookmarkEnd w:id="298"/>
      <w:bookmarkEnd w:id="299"/>
      <w:r>
        <w:rPr>
          <w:rFonts w:hint="eastAsia"/>
        </w:rPr>
        <w:t xml:space="preserve"> </w:t>
      </w:r>
      <w:bookmarkEnd w:id="300"/>
      <w:bookmarkEnd w:id="301"/>
      <w:bookmarkEnd w:id="302"/>
      <w:bookmarkEnd w:id="303"/>
      <w:bookmarkEnd w:id="304"/>
    </w:p>
    <w:p w:rsidR="001C4503" w:rsidRDefault="001C4503">
      <w:pPr>
        <w:spacing w:line="360" w:lineRule="auto"/>
        <w:ind w:firstLineChars="200" w:firstLine="420"/>
        <w:divId w:val="414589387"/>
        <w:rPr>
          <w:rFonts w:hint="eastAsia"/>
        </w:rPr>
      </w:pPr>
      <w:bookmarkStart w:id="306" w:name="m08QD_09"/>
      <w:bookmarkEnd w:id="241"/>
      <w:r>
        <w:rPr>
          <w:rFonts w:ascii="宋体" w:hAnsi="宋体" w:hint="eastAsia"/>
          <w:szCs w:val="24"/>
          <w:lang w:eastAsia="zh-Hans"/>
        </w:rPr>
        <w:t>本基金本报告期末未持有金融衍生品</w:t>
      </w:r>
      <w:r>
        <w:rPr>
          <w:rFonts w:ascii="宋体" w:hAnsi="宋体" w:hint="eastAsia"/>
          <w:szCs w:val="24"/>
          <w:lang w:eastAsia="zh-Hans"/>
        </w:rPr>
        <w:t>。</w:t>
      </w:r>
      <w:r>
        <w:rPr>
          <w:rFonts w:ascii="宋体" w:hAnsi="宋体" w:hint="eastAsia"/>
          <w:lang w:eastAsia="zh-Hans"/>
        </w:rPr>
        <w:t xml:space="preserve"> </w:t>
      </w:r>
      <w:r>
        <w:rPr>
          <w:rFonts w:ascii="宋体" w:hAnsi="宋体" w:hint="eastAsia"/>
          <w:szCs w:val="24"/>
          <w:lang w:eastAsia="zh-Hans"/>
        </w:rPr>
        <w:t xml:space="preserve"> </w:t>
      </w:r>
      <w:bookmarkEnd w:id="306"/>
      <w:r>
        <w:rPr>
          <w:rFonts w:ascii="宋体" w:hAnsi="宋体" w:hint="eastAsia"/>
          <w:szCs w:val="24"/>
          <w:lang w:eastAsia="zh-Hans"/>
        </w:rPr>
        <w:t xml:space="preserve"> </w:t>
      </w:r>
    </w:p>
    <w:p w:rsidR="001C4503" w:rsidRDefault="001C4503">
      <w:pPr>
        <w:pStyle w:val="XBRLTitle2"/>
        <w:spacing w:before="156" w:line="360" w:lineRule="auto"/>
        <w:ind w:left="454"/>
      </w:pPr>
      <w:bookmarkStart w:id="307" w:name="_Toc514088268"/>
      <w:bookmarkStart w:id="308" w:name="_Toc480465440"/>
      <w:bookmarkStart w:id="309" w:name="_Toc459213785"/>
      <w:bookmarkStart w:id="310" w:name="_Toc456107139"/>
      <w:bookmarkStart w:id="311" w:name="_Toc438654094"/>
      <w:bookmarkStart w:id="312" w:name="_Toc448480306"/>
      <w:bookmarkStart w:id="313" w:name="_Toc513542669"/>
      <w:bookmarkStart w:id="314" w:name="_Toc512696271"/>
      <w:bookmarkStart w:id="315" w:name="_Toc512612274"/>
      <w:bookmarkStart w:id="316" w:name="_Toc512612098"/>
      <w:bookmarkStart w:id="317" w:name="_Toc512611302"/>
      <w:bookmarkStart w:id="318" w:name="m509"/>
      <w:bookmarkEnd w:id="305"/>
      <w:r>
        <w:rPr>
          <w:rFonts w:eastAsia="宋体" w:hint="eastAsia"/>
        </w:rPr>
        <w:t>报告期末按公允价值占基金资产净值比例大小排序的前十名基金投资明</w:t>
      </w:r>
      <w:r>
        <w:rPr>
          <w:rFonts w:eastAsia="宋体" w:hint="eastAsia"/>
        </w:rPr>
        <w:t>细</w:t>
      </w:r>
      <w:bookmarkEnd w:id="307"/>
      <w:bookmarkEnd w:id="308"/>
      <w:bookmarkEnd w:id="309"/>
      <w:bookmarkEnd w:id="310"/>
      <w:bookmarkEnd w:id="311"/>
      <w:bookmarkEnd w:id="312"/>
      <w:r>
        <w:rPr>
          <w:rFonts w:hint="eastAsia"/>
        </w:rPr>
        <w:t xml:space="preserve"> </w:t>
      </w:r>
      <w:bookmarkEnd w:id="313"/>
      <w:bookmarkEnd w:id="314"/>
      <w:bookmarkEnd w:id="315"/>
      <w:bookmarkEnd w:id="316"/>
      <w:bookmarkEnd w:id="317"/>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1115"/>
        <w:gridCol w:w="1181"/>
        <w:gridCol w:w="1100"/>
        <w:gridCol w:w="1174"/>
        <w:gridCol w:w="1266"/>
        <w:gridCol w:w="1686"/>
        <w:gridCol w:w="1313"/>
      </w:tblGrid>
      <w:tr w:rsidR="00000000">
        <w:trPr>
          <w:divId w:val="1234121804"/>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C4503" w:rsidRDefault="001C4503">
            <w:pPr>
              <w:pStyle w:val="a5"/>
              <w:spacing w:before="0" w:beforeAutospacing="0" w:after="0" w:afterAutospacing="0"/>
              <w:ind w:firstLineChars="50" w:firstLine="105"/>
              <w:jc w:val="center"/>
              <w:rPr>
                <w:rFonts w:hint="eastAsia"/>
              </w:rPr>
            </w:pPr>
            <w:bookmarkStart w:id="319" w:name="m08QD_10"/>
            <w:r>
              <w:rPr>
                <w:rFonts w:hint="eastAsia"/>
                <w:kern w:val="2"/>
                <w:sz w:val="21"/>
              </w:rPr>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rPr>
              <w:t>基金类型</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24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rPr>
              <w:t>管理人</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rPr>
              <w:t>公允价值（人民币元</w:t>
            </w:r>
            <w:r>
              <w:rPr>
                <w:rFonts w:hint="eastAsia"/>
                <w:kern w:val="2"/>
                <w:sz w:val="21"/>
              </w:rPr>
              <w:t>）</w:t>
            </w:r>
            <w:r>
              <w:rPr>
                <w:rFonts w:hint="eastAsia"/>
                <w:kern w:val="2"/>
                <w:sz w:val="21"/>
                <w:lang w:eastAsia="zh-Hans"/>
              </w:rPr>
              <w:t xml:space="preserve"> </w:t>
            </w:r>
          </w:p>
        </w:tc>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rPr>
              <w:t>%</w:t>
            </w:r>
            <w:r>
              <w:rPr>
                <w:rFonts w:hint="eastAsia"/>
                <w:kern w:val="2"/>
                <w:sz w:val="21"/>
              </w:rPr>
              <w:t>）</w:t>
            </w:r>
            <w:r>
              <w:rPr>
                <w:rFonts w:hint="eastAsia"/>
                <w:kern w:val="2"/>
                <w:sz w:val="21"/>
                <w:lang w:eastAsia="zh-Hans"/>
              </w:rPr>
              <w:t xml:space="preserve"> </w:t>
            </w:r>
          </w:p>
        </w:tc>
      </w:tr>
      <w:tr w:rsidR="00000000">
        <w:trPr>
          <w:divId w:val="1234121804"/>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 US GROWTH I (ACC) - US</w:t>
            </w:r>
            <w:r>
              <w:rPr>
                <w:rFonts w:hint="eastAsia"/>
                <w:kern w:val="2"/>
                <w:sz w:val="21"/>
                <w:lang w:eastAsia="zh-Hans"/>
              </w:rPr>
              <w:t>D</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股票</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JPMorgan Asset Management (Europe) S.</w:t>
            </w:r>
            <w:r>
              <w:rPr>
                <w:rFonts w:hint="eastAsia"/>
                <w:kern w:val="2"/>
                <w:sz w:val="21"/>
                <w:lang w:eastAsia="zh-Hans"/>
              </w:rPr>
              <w:t>á</w:t>
            </w:r>
            <w:r>
              <w:rPr>
                <w:rFonts w:hint="eastAsia"/>
                <w:kern w:val="2"/>
                <w:sz w:val="21"/>
                <w:lang w:eastAsia="zh-Hans"/>
              </w:rPr>
              <w:t xml:space="preserve"> r.l</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184,810,315.3</w:t>
            </w:r>
            <w:r>
              <w:rPr>
                <w:rFonts w:hint="eastAsia"/>
                <w:kern w:val="2"/>
                <w:sz w:val="21"/>
                <w:lang w:eastAsia="zh-Hans"/>
              </w:rPr>
              <w:t>1</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17.3</w:t>
            </w:r>
            <w:r>
              <w:rPr>
                <w:rFonts w:hint="eastAsia"/>
                <w:kern w:val="2"/>
                <w:sz w:val="21"/>
                <w:lang w:eastAsia="zh-Hans"/>
              </w:rPr>
              <w:t>3</w:t>
            </w:r>
          </w:p>
        </w:tc>
      </w:tr>
      <w:tr w:rsidR="00000000">
        <w:trPr>
          <w:divId w:val="1234121804"/>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ind w:firstLineChars="50" w:firstLine="105"/>
              <w:jc w:val="center"/>
              <w:rPr>
                <w:rFonts w:hint="eastAsia"/>
              </w:rPr>
            </w:pPr>
            <w:r>
              <w:rPr>
                <w:rFonts w:hint="eastAsia"/>
                <w:kern w:val="2"/>
                <w:sz w:val="21"/>
                <w:lang w:eastAsia="zh-Hans"/>
              </w:rPr>
              <w:t>2</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 US VALUE I (ACC) - US</w:t>
            </w:r>
            <w:r>
              <w:rPr>
                <w:rFonts w:hint="eastAsia"/>
                <w:kern w:val="2"/>
                <w:sz w:val="21"/>
                <w:lang w:eastAsia="zh-Hans"/>
              </w:rPr>
              <w:t>D</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股票</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JPMorgan Asset Management (Europe) S.</w:t>
            </w:r>
            <w:r>
              <w:rPr>
                <w:rFonts w:hint="eastAsia"/>
                <w:kern w:val="2"/>
                <w:sz w:val="21"/>
                <w:lang w:eastAsia="zh-Hans"/>
              </w:rPr>
              <w:t>á</w:t>
            </w:r>
            <w:r>
              <w:rPr>
                <w:rFonts w:hint="eastAsia"/>
                <w:kern w:val="2"/>
                <w:sz w:val="21"/>
                <w:lang w:eastAsia="zh-Hans"/>
              </w:rPr>
              <w:t xml:space="preserve"> r.l</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149,970,041.4</w:t>
            </w:r>
            <w:r>
              <w:rPr>
                <w:rFonts w:hint="eastAsia"/>
                <w:kern w:val="2"/>
                <w:sz w:val="21"/>
                <w:lang w:eastAsia="zh-Hans"/>
              </w:rPr>
              <w:t>4</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14.0</w:t>
            </w:r>
            <w:r>
              <w:rPr>
                <w:rFonts w:hint="eastAsia"/>
                <w:kern w:val="2"/>
                <w:sz w:val="21"/>
                <w:lang w:eastAsia="zh-Hans"/>
              </w:rPr>
              <w:t>6</w:t>
            </w:r>
          </w:p>
        </w:tc>
      </w:tr>
      <w:tr w:rsidR="00000000">
        <w:trPr>
          <w:divId w:val="1234121804"/>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ind w:firstLineChars="50" w:firstLine="105"/>
              <w:jc w:val="center"/>
              <w:rPr>
                <w:rFonts w:hint="eastAsia"/>
              </w:rPr>
            </w:pPr>
            <w:r>
              <w:rPr>
                <w:rFonts w:hint="eastAsia"/>
                <w:kern w:val="2"/>
                <w:sz w:val="21"/>
                <w:lang w:eastAsia="zh-Hans"/>
              </w:rPr>
              <w:t>3</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JPMORGAN SAR-GLOBAL BD FD-</w:t>
            </w:r>
            <w:r>
              <w:rPr>
                <w:rFonts w:hint="eastAsia"/>
                <w:kern w:val="2"/>
                <w:sz w:val="21"/>
                <w:lang w:eastAsia="zh-Hans"/>
              </w:rPr>
              <w:t>C</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债券</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JPMorgan Asset Management (Asia Pacific) Ltd</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141,032,356.1</w:t>
            </w:r>
            <w:r>
              <w:rPr>
                <w:rFonts w:hint="eastAsia"/>
                <w:kern w:val="2"/>
                <w:sz w:val="21"/>
                <w:lang w:eastAsia="zh-Hans"/>
              </w:rPr>
              <w:t>8</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13.2</w:t>
            </w:r>
            <w:r>
              <w:rPr>
                <w:rFonts w:hint="eastAsia"/>
                <w:kern w:val="2"/>
                <w:sz w:val="21"/>
                <w:lang w:eastAsia="zh-Hans"/>
              </w:rPr>
              <w:t>2</w:t>
            </w:r>
          </w:p>
        </w:tc>
      </w:tr>
      <w:tr w:rsidR="00000000">
        <w:trPr>
          <w:divId w:val="1234121804"/>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ind w:firstLineChars="50" w:firstLine="105"/>
              <w:jc w:val="center"/>
              <w:rPr>
                <w:rFonts w:hint="eastAsia"/>
              </w:rPr>
            </w:pPr>
            <w:r>
              <w:rPr>
                <w:rFonts w:hint="eastAsia"/>
                <w:kern w:val="2"/>
                <w:sz w:val="21"/>
                <w:lang w:eastAsia="zh-Hans"/>
              </w:rPr>
              <w:t>4</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 GLOB CORP BD I (ACC) US</w:t>
            </w:r>
            <w:r>
              <w:rPr>
                <w:rFonts w:hint="eastAsia"/>
                <w:kern w:val="2"/>
                <w:sz w:val="21"/>
                <w:lang w:eastAsia="zh-Hans"/>
              </w:rPr>
              <w:t>D</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债券</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JPMorgan Asset Management (Europe) S.</w:t>
            </w:r>
            <w:r>
              <w:rPr>
                <w:rFonts w:hint="eastAsia"/>
                <w:kern w:val="2"/>
                <w:sz w:val="21"/>
                <w:lang w:eastAsia="zh-Hans"/>
              </w:rPr>
              <w:t>á</w:t>
            </w:r>
            <w:r>
              <w:rPr>
                <w:rFonts w:hint="eastAsia"/>
                <w:kern w:val="2"/>
                <w:sz w:val="21"/>
                <w:lang w:eastAsia="zh-Hans"/>
              </w:rPr>
              <w:t xml:space="preserve"> r.l</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133,449,634.7</w:t>
            </w:r>
            <w:r>
              <w:rPr>
                <w:rFonts w:hint="eastAsia"/>
                <w:kern w:val="2"/>
                <w:sz w:val="21"/>
                <w:lang w:eastAsia="zh-Hans"/>
              </w:rPr>
              <w:t>8</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12.5</w:t>
            </w:r>
            <w:r>
              <w:rPr>
                <w:rFonts w:hint="eastAsia"/>
                <w:kern w:val="2"/>
                <w:sz w:val="21"/>
                <w:lang w:eastAsia="zh-Hans"/>
              </w:rPr>
              <w:t>1</w:t>
            </w:r>
          </w:p>
        </w:tc>
      </w:tr>
      <w:tr w:rsidR="00000000">
        <w:trPr>
          <w:divId w:val="1234121804"/>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ind w:firstLineChars="50" w:firstLine="105"/>
              <w:jc w:val="center"/>
              <w:rPr>
                <w:rFonts w:hint="eastAsia"/>
              </w:rPr>
            </w:pPr>
            <w:r>
              <w:rPr>
                <w:rFonts w:hint="eastAsia"/>
                <w:kern w:val="2"/>
                <w:sz w:val="21"/>
                <w:lang w:eastAsia="zh-Hans"/>
              </w:rPr>
              <w:t>5</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 EME MKT OPPS I(ACC)-US</w:t>
            </w:r>
            <w:r>
              <w:rPr>
                <w:rFonts w:hint="eastAsia"/>
                <w:kern w:val="2"/>
                <w:sz w:val="21"/>
                <w:lang w:eastAsia="zh-Hans"/>
              </w:rPr>
              <w:t>D</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股票</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JPMorgan Asset Management (Europe) S.</w:t>
            </w:r>
            <w:r>
              <w:rPr>
                <w:rFonts w:hint="eastAsia"/>
                <w:kern w:val="2"/>
                <w:sz w:val="21"/>
                <w:lang w:eastAsia="zh-Hans"/>
              </w:rPr>
              <w:t>á</w:t>
            </w:r>
            <w:r>
              <w:rPr>
                <w:rFonts w:hint="eastAsia"/>
                <w:kern w:val="2"/>
                <w:sz w:val="21"/>
                <w:lang w:eastAsia="zh-Hans"/>
              </w:rPr>
              <w:t xml:space="preserve"> r.l</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77,554,004.2</w:t>
            </w:r>
            <w:r>
              <w:rPr>
                <w:rFonts w:hint="eastAsia"/>
                <w:kern w:val="2"/>
                <w:sz w:val="21"/>
                <w:lang w:eastAsia="zh-Hans"/>
              </w:rPr>
              <w:t>7</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7.2</w:t>
            </w:r>
            <w:r>
              <w:rPr>
                <w:rFonts w:hint="eastAsia"/>
                <w:kern w:val="2"/>
                <w:sz w:val="21"/>
                <w:lang w:eastAsia="zh-Hans"/>
              </w:rPr>
              <w:t>7</w:t>
            </w:r>
          </w:p>
        </w:tc>
      </w:tr>
      <w:tr w:rsidR="00000000">
        <w:trPr>
          <w:divId w:val="1234121804"/>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ind w:firstLineChars="50" w:firstLine="105"/>
              <w:jc w:val="center"/>
              <w:rPr>
                <w:rFonts w:hint="eastAsia"/>
              </w:rPr>
            </w:pPr>
            <w:r>
              <w:rPr>
                <w:rFonts w:hint="eastAsia"/>
                <w:kern w:val="2"/>
                <w:sz w:val="21"/>
                <w:lang w:eastAsia="zh-Hans"/>
              </w:rPr>
              <w:t>6</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 US SEL EQ I (ACC)-US</w:t>
            </w:r>
            <w:r>
              <w:rPr>
                <w:rFonts w:hint="eastAsia"/>
                <w:kern w:val="2"/>
                <w:sz w:val="21"/>
                <w:lang w:eastAsia="zh-Hans"/>
              </w:rPr>
              <w:t>D</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股票</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JPMorgan Asset Management (Europe) S.</w:t>
            </w:r>
            <w:r>
              <w:rPr>
                <w:rFonts w:hint="eastAsia"/>
                <w:kern w:val="2"/>
                <w:sz w:val="21"/>
                <w:lang w:eastAsia="zh-Hans"/>
              </w:rPr>
              <w:t>á</w:t>
            </w:r>
            <w:r>
              <w:rPr>
                <w:rFonts w:hint="eastAsia"/>
                <w:kern w:val="2"/>
                <w:sz w:val="21"/>
                <w:lang w:eastAsia="zh-Hans"/>
              </w:rPr>
              <w:t xml:space="preserve"> r.l</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63,240,375.2</w:t>
            </w:r>
            <w:r>
              <w:rPr>
                <w:rFonts w:hint="eastAsia"/>
                <w:kern w:val="2"/>
                <w:sz w:val="21"/>
                <w:lang w:eastAsia="zh-Hans"/>
              </w:rPr>
              <w:t>5</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5.9</w:t>
            </w:r>
            <w:r>
              <w:rPr>
                <w:rFonts w:hint="eastAsia"/>
                <w:kern w:val="2"/>
                <w:sz w:val="21"/>
                <w:lang w:eastAsia="zh-Hans"/>
              </w:rPr>
              <w:t>3</w:t>
            </w:r>
          </w:p>
        </w:tc>
      </w:tr>
      <w:tr w:rsidR="00000000">
        <w:trPr>
          <w:divId w:val="1234121804"/>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ind w:firstLineChars="50" w:firstLine="105"/>
              <w:jc w:val="center"/>
              <w:rPr>
                <w:rFonts w:hint="eastAsia"/>
              </w:rPr>
            </w:pPr>
            <w:r>
              <w:rPr>
                <w:rFonts w:hint="eastAsia"/>
                <w:kern w:val="2"/>
                <w:sz w:val="21"/>
                <w:lang w:eastAsia="zh-Hans"/>
              </w:rPr>
              <w:t>7</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 xml:space="preserve">JPMI GLOBAL SELECT EQ - I ACC </w:t>
            </w:r>
            <w:r>
              <w:rPr>
                <w:rFonts w:hint="eastAsia"/>
                <w:kern w:val="2"/>
                <w:sz w:val="21"/>
                <w:lang w:eastAsia="zh-Hans"/>
              </w:rPr>
              <w:t>$</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股票</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JPMorgan Asset Management (Europe) S.</w:t>
            </w:r>
            <w:r>
              <w:rPr>
                <w:rFonts w:hint="eastAsia"/>
                <w:kern w:val="2"/>
                <w:sz w:val="21"/>
                <w:lang w:eastAsia="zh-Hans"/>
              </w:rPr>
              <w:t>á</w:t>
            </w:r>
            <w:r>
              <w:rPr>
                <w:rFonts w:hint="eastAsia"/>
                <w:kern w:val="2"/>
                <w:sz w:val="21"/>
                <w:lang w:eastAsia="zh-Hans"/>
              </w:rPr>
              <w:t xml:space="preserve"> r.l</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58,652,878.2</w:t>
            </w:r>
            <w:r>
              <w:rPr>
                <w:rFonts w:hint="eastAsia"/>
                <w:kern w:val="2"/>
                <w:sz w:val="21"/>
                <w:lang w:eastAsia="zh-Hans"/>
              </w:rPr>
              <w:t>3</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5.5</w:t>
            </w:r>
            <w:r>
              <w:rPr>
                <w:rFonts w:hint="eastAsia"/>
                <w:kern w:val="2"/>
                <w:sz w:val="21"/>
                <w:lang w:eastAsia="zh-Hans"/>
              </w:rPr>
              <w:t>0</w:t>
            </w:r>
          </w:p>
        </w:tc>
      </w:tr>
      <w:tr w:rsidR="00000000">
        <w:trPr>
          <w:divId w:val="1234121804"/>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ind w:firstLineChars="50" w:firstLine="105"/>
              <w:jc w:val="center"/>
              <w:rPr>
                <w:rFonts w:hint="eastAsia"/>
              </w:rPr>
            </w:pPr>
            <w:r>
              <w:rPr>
                <w:rFonts w:hint="eastAsia"/>
                <w:kern w:val="2"/>
                <w:sz w:val="21"/>
                <w:lang w:eastAsia="zh-Hans"/>
              </w:rPr>
              <w:t>8</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 EUR DYNAMIC I (ACC) - EU</w:t>
            </w:r>
            <w:r>
              <w:rPr>
                <w:rFonts w:hint="eastAsia"/>
                <w:kern w:val="2"/>
                <w:sz w:val="21"/>
                <w:lang w:eastAsia="zh-Hans"/>
              </w:rPr>
              <w:t>R</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股票</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br/>
              <w:t>JPMorgan Asset Management (Europe) S.</w:t>
            </w:r>
            <w:r>
              <w:rPr>
                <w:rFonts w:hint="eastAsia"/>
                <w:kern w:val="2"/>
                <w:sz w:val="21"/>
                <w:lang w:eastAsia="zh-Hans"/>
              </w:rPr>
              <w:t>á</w:t>
            </w:r>
            <w:r>
              <w:rPr>
                <w:rFonts w:hint="eastAsia"/>
                <w:kern w:val="2"/>
                <w:sz w:val="21"/>
                <w:lang w:eastAsia="zh-Hans"/>
              </w:rPr>
              <w:t xml:space="preserve"> r.l</w:t>
            </w:r>
            <w:r>
              <w:rPr>
                <w:rFonts w:hint="eastAsia"/>
                <w:kern w:val="2"/>
                <w:sz w:val="21"/>
                <w:lang w:eastAsia="zh-Hans"/>
              </w:rPr>
              <w:br/>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41,222,800.6</w:t>
            </w:r>
            <w:r>
              <w:rPr>
                <w:rFonts w:hint="eastAsia"/>
                <w:kern w:val="2"/>
                <w:sz w:val="21"/>
                <w:lang w:eastAsia="zh-Hans"/>
              </w:rPr>
              <w:t>7</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3.8</w:t>
            </w:r>
            <w:r>
              <w:rPr>
                <w:rFonts w:hint="eastAsia"/>
                <w:kern w:val="2"/>
                <w:sz w:val="21"/>
                <w:lang w:eastAsia="zh-Hans"/>
              </w:rPr>
              <w:t>7</w:t>
            </w:r>
          </w:p>
        </w:tc>
      </w:tr>
      <w:tr w:rsidR="00000000">
        <w:trPr>
          <w:divId w:val="1234121804"/>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ind w:firstLineChars="50" w:firstLine="105"/>
              <w:jc w:val="center"/>
              <w:rPr>
                <w:rFonts w:hint="eastAsia"/>
              </w:rPr>
            </w:pPr>
            <w:r>
              <w:rPr>
                <w:rFonts w:hint="eastAsia"/>
                <w:kern w:val="2"/>
                <w:sz w:val="21"/>
                <w:lang w:eastAsia="zh-Hans"/>
              </w:rPr>
              <w:t>9</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 EUR SEL EQ I (ACC) - USDHE</w:t>
            </w:r>
            <w:r>
              <w:rPr>
                <w:rFonts w:hint="eastAsia"/>
                <w:kern w:val="2"/>
                <w:sz w:val="21"/>
                <w:lang w:eastAsia="zh-Hans"/>
              </w:rPr>
              <w:t>D</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股票</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JPMorgan Asset Management (Europe) S.</w:t>
            </w:r>
            <w:r>
              <w:rPr>
                <w:rFonts w:hint="eastAsia"/>
                <w:kern w:val="2"/>
                <w:sz w:val="21"/>
                <w:lang w:eastAsia="zh-Hans"/>
              </w:rPr>
              <w:t>á</w:t>
            </w:r>
            <w:r>
              <w:rPr>
                <w:rFonts w:hint="eastAsia"/>
                <w:kern w:val="2"/>
                <w:sz w:val="21"/>
                <w:lang w:eastAsia="zh-Hans"/>
              </w:rPr>
              <w:t xml:space="preserve"> r.l</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40,338,209.1</w:t>
            </w:r>
            <w:r>
              <w:rPr>
                <w:rFonts w:hint="eastAsia"/>
                <w:kern w:val="2"/>
                <w:sz w:val="21"/>
                <w:lang w:eastAsia="zh-Hans"/>
              </w:rPr>
              <w:t>0</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3.7</w:t>
            </w:r>
            <w:r>
              <w:rPr>
                <w:rFonts w:hint="eastAsia"/>
                <w:kern w:val="2"/>
                <w:sz w:val="21"/>
                <w:lang w:eastAsia="zh-Hans"/>
              </w:rPr>
              <w:t>8</w:t>
            </w:r>
          </w:p>
        </w:tc>
      </w:tr>
      <w:tr w:rsidR="00000000">
        <w:trPr>
          <w:divId w:val="1234121804"/>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ind w:firstLineChars="50" w:firstLine="105"/>
              <w:jc w:val="center"/>
              <w:rPr>
                <w:rFonts w:hint="eastAsia"/>
              </w:rPr>
            </w:pPr>
            <w:r>
              <w:rPr>
                <w:rFonts w:hint="eastAsia"/>
                <w:kern w:val="2"/>
                <w:sz w:val="21"/>
                <w:lang w:eastAsia="zh-Hans"/>
              </w:rPr>
              <w:t>1</w:t>
            </w:r>
            <w:r>
              <w:rPr>
                <w:rFonts w:hint="eastAsia"/>
                <w:kern w:val="2"/>
                <w:sz w:val="21"/>
                <w:lang w:eastAsia="zh-Hans"/>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 ASIA PAC EQ I(ACC)-US</w:t>
            </w:r>
            <w:r>
              <w:rPr>
                <w:rFonts w:hint="eastAsia"/>
                <w:kern w:val="2"/>
                <w:sz w:val="21"/>
                <w:lang w:eastAsia="zh-Hans"/>
              </w:rPr>
              <w:t>D</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股票</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center"/>
              <w:rPr>
                <w:rFonts w:hint="eastAsia"/>
              </w:rPr>
            </w:pPr>
            <w:r>
              <w:rPr>
                <w:rFonts w:hint="eastAsia"/>
                <w:kern w:val="2"/>
                <w:sz w:val="21"/>
                <w:lang w:eastAsia="zh-Hans"/>
              </w:rPr>
              <w:t>JPMorgan Asset Management (Europe) S.</w:t>
            </w:r>
            <w:r>
              <w:rPr>
                <w:rFonts w:hint="eastAsia"/>
                <w:kern w:val="2"/>
                <w:sz w:val="21"/>
                <w:lang w:eastAsia="zh-Hans"/>
              </w:rPr>
              <w:t>á</w:t>
            </w:r>
            <w:r>
              <w:rPr>
                <w:rFonts w:hint="eastAsia"/>
                <w:kern w:val="2"/>
                <w:sz w:val="21"/>
                <w:lang w:eastAsia="zh-Hans"/>
              </w:rPr>
              <w:t xml:space="preserve"> r.l</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33,346,075.8</w:t>
            </w:r>
            <w:r>
              <w:rPr>
                <w:rFonts w:hint="eastAsia"/>
                <w:kern w:val="2"/>
                <w:sz w:val="21"/>
                <w:lang w:eastAsia="zh-Hans"/>
              </w:rPr>
              <w:t>2</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4503" w:rsidRDefault="001C4503">
            <w:pPr>
              <w:pStyle w:val="a5"/>
              <w:spacing w:before="0" w:beforeAutospacing="0" w:after="0" w:afterAutospacing="0"/>
              <w:jc w:val="right"/>
              <w:rPr>
                <w:rFonts w:hint="eastAsia"/>
              </w:rPr>
            </w:pPr>
            <w:r>
              <w:rPr>
                <w:rFonts w:hint="eastAsia"/>
                <w:kern w:val="2"/>
                <w:sz w:val="21"/>
                <w:lang w:eastAsia="zh-Hans"/>
              </w:rPr>
              <w:t>3.1</w:t>
            </w:r>
            <w:r>
              <w:rPr>
                <w:rFonts w:hint="eastAsia"/>
                <w:kern w:val="2"/>
                <w:sz w:val="21"/>
                <w:lang w:eastAsia="zh-Hans"/>
              </w:rPr>
              <w:t>3</w:t>
            </w:r>
            <w:bookmarkEnd w:id="206"/>
            <w:bookmarkEnd w:id="207"/>
            <w:bookmarkEnd w:id="208"/>
            <w:bookmarkEnd w:id="209"/>
            <w:bookmarkEnd w:id="319"/>
          </w:p>
        </w:tc>
      </w:tr>
    </w:tbl>
    <w:p w:rsidR="001C4503" w:rsidRDefault="001C4503">
      <w:pPr>
        <w:pStyle w:val="XBRLTitle2"/>
        <w:spacing w:before="156" w:line="360" w:lineRule="auto"/>
        <w:ind w:left="454"/>
        <w:rPr>
          <w:rFonts w:hint="eastAsia"/>
        </w:rPr>
      </w:pPr>
      <w:bookmarkStart w:id="320" w:name="_Toc514088269"/>
      <w:bookmarkEnd w:id="318"/>
      <w:r>
        <w:rPr>
          <w:rFonts w:eastAsia="宋体" w:hint="eastAsia"/>
        </w:rPr>
        <w:t>投资组合报告附</w:t>
      </w:r>
      <w:r>
        <w:rPr>
          <w:rFonts w:eastAsia="宋体" w:hint="eastAsia"/>
        </w:rPr>
        <w:t>注</w:t>
      </w:r>
      <w:bookmarkEnd w:id="243"/>
      <w:bookmarkEnd w:id="244"/>
      <w:bookmarkEnd w:id="245"/>
      <w:bookmarkEnd w:id="246"/>
      <w:bookmarkEnd w:id="247"/>
      <w:bookmarkEnd w:id="248"/>
      <w:bookmarkEnd w:id="249"/>
      <w:bookmarkEnd w:id="250"/>
      <w:bookmarkEnd w:id="251"/>
      <w:bookmarkEnd w:id="252"/>
      <w:bookmarkEnd w:id="320"/>
      <w:r>
        <w:rPr>
          <w:rFonts w:eastAsia="宋体" w:hint="eastAsia"/>
        </w:rPr>
        <w:t xml:space="preserve"> </w:t>
      </w:r>
    </w:p>
    <w:p w:rsidR="001C4503" w:rsidRDefault="001C4503">
      <w:pPr>
        <w:pStyle w:val="XBRLTitle3"/>
        <w:spacing w:before="156" w:line="360" w:lineRule="auto"/>
        <w:ind w:left="624"/>
        <w:rPr>
          <w:rFonts w:hint="eastAsia"/>
        </w:rPr>
      </w:pPr>
      <w:r>
        <w:rPr>
          <w:rFonts w:hAnsi="宋体" w:hint="eastAsia"/>
        </w:rPr>
        <w:t> </w:t>
      </w:r>
      <w:r>
        <w:rPr>
          <w:rFonts w:hAnsi="宋体" w:hint="eastAsia"/>
          <w:lang w:eastAsia="zh-CN"/>
        </w:rPr>
        <w:t xml:space="preserve"> </w:t>
      </w:r>
      <w:bookmarkStart w:id="321" w:name="_Toc514088270"/>
      <w:bookmarkEnd w:id="255"/>
      <w:bookmarkEnd w:id="256"/>
      <w:bookmarkEnd w:id="321"/>
      <w:r>
        <w:rPr>
          <w:rFonts w:hAnsi="宋体" w:hint="eastAsia"/>
        </w:rPr>
        <w:t xml:space="preserve"> </w:t>
      </w:r>
    </w:p>
    <w:p w:rsidR="001C4503" w:rsidRDefault="001C4503">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1C4503" w:rsidRDefault="001C4503">
      <w:pPr>
        <w:pStyle w:val="XBRLTitle3"/>
        <w:spacing w:before="156" w:line="360" w:lineRule="auto"/>
        <w:ind w:left="624"/>
      </w:pPr>
      <w:bookmarkStart w:id="322" w:name="m510_01_1598"/>
      <w:bookmarkEnd w:id="253"/>
      <w:r>
        <w:rPr>
          <w:rFonts w:hAnsi="宋体" w:hint="eastAsia"/>
        </w:rPr>
        <w:t> </w:t>
      </w:r>
      <w:r>
        <w:rPr>
          <w:rFonts w:hAnsi="宋体" w:hint="eastAsia"/>
          <w:lang w:eastAsia="zh-CN"/>
        </w:rPr>
        <w:t xml:space="preserve"> </w:t>
      </w:r>
      <w:bookmarkStart w:id="323" w:name="_Toc514088271"/>
      <w:bookmarkStart w:id="324" w:name="_Toc513542672"/>
      <w:bookmarkStart w:id="325" w:name="_Toc480465443"/>
      <w:bookmarkEnd w:id="323"/>
      <w:bookmarkEnd w:id="324"/>
      <w:bookmarkEnd w:id="325"/>
      <w:r>
        <w:rPr>
          <w:rFonts w:hAnsi="宋体" w:hint="eastAsia"/>
        </w:rPr>
        <w:t xml:space="preserve"> </w:t>
      </w:r>
    </w:p>
    <w:p w:rsidR="001C4503" w:rsidRDefault="001C4503">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1C4503" w:rsidRDefault="001C4503">
      <w:pPr>
        <w:pStyle w:val="XBRLTitle3"/>
        <w:spacing w:before="156" w:line="360" w:lineRule="auto"/>
        <w:ind w:left="624"/>
      </w:pPr>
      <w:bookmarkStart w:id="326" w:name="_Toc514088272"/>
      <w:bookmarkStart w:id="327" w:name="_Toc480465444"/>
      <w:bookmarkStart w:id="328" w:name="_Toc513542673"/>
      <w:bookmarkStart w:id="329" w:name="m510_02"/>
      <w:bookmarkEnd w:id="322"/>
      <w:r>
        <w:rPr>
          <w:rFonts w:hAnsi="宋体" w:hint="eastAsia"/>
        </w:rPr>
        <w:t>其他资产构</w:t>
      </w:r>
      <w:r>
        <w:rPr>
          <w:rFonts w:hAnsi="宋体" w:hint="eastAsia"/>
        </w:rPr>
        <w:t>成</w:t>
      </w:r>
      <w:bookmarkEnd w:id="326"/>
      <w:bookmarkEnd w:id="327"/>
      <w:r>
        <w:rPr>
          <w:rFonts w:hint="eastAsia"/>
        </w:rPr>
        <w:t xml:space="preserve"> </w:t>
      </w:r>
      <w:bookmarkEnd w:id="3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73224046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C4503" w:rsidRDefault="001C4503">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C4503" w:rsidRDefault="001C4503">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C4503" w:rsidRDefault="001C4503">
            <w:pPr>
              <w:jc w:val="center"/>
            </w:pPr>
            <w:r>
              <w:rPr>
                <w:rFonts w:ascii="宋体" w:hAnsi="宋体" w:hint="eastAsia"/>
              </w:rPr>
              <w:t>金额（人民币元</w:t>
            </w:r>
            <w:r>
              <w:rPr>
                <w:rFonts w:ascii="宋体" w:hAnsi="宋体" w:hint="eastAsia"/>
              </w:rPr>
              <w:t>）</w:t>
            </w:r>
            <w:r>
              <w:t xml:space="preserve"> </w:t>
            </w:r>
          </w:p>
        </w:tc>
      </w:tr>
      <w:tr w:rsidR="00000000">
        <w:trPr>
          <w:divId w:val="73224046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w:t>
            </w:r>
          </w:p>
        </w:tc>
      </w:tr>
      <w:tr w:rsidR="00000000">
        <w:trPr>
          <w:divId w:val="73224046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w:t>
            </w:r>
          </w:p>
        </w:tc>
      </w:tr>
      <w:tr w:rsidR="00000000">
        <w:trPr>
          <w:divId w:val="73224046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w:t>
            </w:r>
          </w:p>
        </w:tc>
      </w:tr>
      <w:tr w:rsidR="00000000">
        <w:trPr>
          <w:divId w:val="73224046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w:t>
            </w:r>
          </w:p>
        </w:tc>
      </w:tr>
      <w:tr w:rsidR="00000000">
        <w:trPr>
          <w:divId w:val="73224046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6,678,642.3</w:t>
            </w:r>
            <w:r>
              <w:rPr>
                <w:rFonts w:ascii="宋体" w:hAnsi="宋体" w:hint="eastAsia"/>
              </w:rPr>
              <w:t>8</w:t>
            </w:r>
          </w:p>
        </w:tc>
      </w:tr>
      <w:tr w:rsidR="00000000">
        <w:trPr>
          <w:divId w:val="73224046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w:t>
            </w:r>
          </w:p>
        </w:tc>
      </w:tr>
      <w:tr w:rsidR="00000000">
        <w:trPr>
          <w:divId w:val="73224046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w:t>
            </w:r>
          </w:p>
        </w:tc>
      </w:tr>
      <w:tr w:rsidR="00000000">
        <w:trPr>
          <w:divId w:val="73224046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6,678,642.3</w:t>
            </w:r>
            <w:r>
              <w:rPr>
                <w:rFonts w:ascii="宋体" w:hAnsi="宋体" w:hint="eastAsia"/>
              </w:rPr>
              <w:t>8</w:t>
            </w:r>
          </w:p>
        </w:tc>
      </w:tr>
    </w:tbl>
    <w:p w:rsidR="001C4503" w:rsidRDefault="001C4503">
      <w:pPr>
        <w:pStyle w:val="XBRLTitle3"/>
        <w:spacing w:before="156" w:line="360" w:lineRule="auto"/>
        <w:ind w:left="624"/>
      </w:pPr>
      <w:bookmarkStart w:id="330" w:name="_Toc514088273"/>
      <w:bookmarkStart w:id="331" w:name="_Toc480465445"/>
      <w:bookmarkStart w:id="332" w:name="_Toc513542674"/>
      <w:bookmarkStart w:id="333" w:name="m510_03"/>
      <w:bookmarkEnd w:id="329"/>
      <w:r>
        <w:rPr>
          <w:rFonts w:hAnsi="宋体" w:hint="eastAsia"/>
        </w:rPr>
        <w:t>报告期末持有的处于转股期的可转换债券明</w:t>
      </w:r>
      <w:r>
        <w:rPr>
          <w:rFonts w:hAnsi="宋体" w:hint="eastAsia"/>
        </w:rPr>
        <w:t>细</w:t>
      </w:r>
      <w:bookmarkEnd w:id="330"/>
      <w:bookmarkEnd w:id="331"/>
      <w:r>
        <w:rPr>
          <w:rFonts w:hint="eastAsia"/>
        </w:rPr>
        <w:t xml:space="preserve"> </w:t>
      </w:r>
      <w:bookmarkEnd w:id="332"/>
    </w:p>
    <w:p w:rsidR="001C4503" w:rsidRDefault="001C4503">
      <w:pPr>
        <w:spacing w:line="360" w:lineRule="auto"/>
        <w:ind w:firstLineChars="200" w:firstLine="420"/>
        <w:jc w:val="left"/>
        <w:divId w:val="1430811961"/>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1C4503" w:rsidRDefault="001C4503">
      <w:pPr>
        <w:pStyle w:val="XBRLTitle3"/>
        <w:spacing w:before="156" w:line="360" w:lineRule="auto"/>
        <w:ind w:left="624"/>
      </w:pPr>
      <w:bookmarkStart w:id="334" w:name="_Toc514088274"/>
      <w:bookmarkStart w:id="335" w:name="_Toc480465446"/>
      <w:bookmarkStart w:id="336" w:name="_Toc513542675"/>
      <w:bookmarkStart w:id="337" w:name="m510_04"/>
      <w:bookmarkEnd w:id="333"/>
      <w:r>
        <w:rPr>
          <w:rFonts w:hAnsi="宋体" w:hint="eastAsia"/>
        </w:rPr>
        <w:t>报告期末前十名股票中存在流通受限情况的说</w:t>
      </w:r>
      <w:r>
        <w:rPr>
          <w:rFonts w:hAnsi="宋体" w:hint="eastAsia"/>
        </w:rPr>
        <w:t>明</w:t>
      </w:r>
      <w:bookmarkEnd w:id="334"/>
      <w:bookmarkEnd w:id="335"/>
      <w:r>
        <w:rPr>
          <w:rFonts w:hint="eastAsia"/>
        </w:rPr>
        <w:t xml:space="preserve"> </w:t>
      </w:r>
      <w:bookmarkEnd w:id="336"/>
    </w:p>
    <w:p w:rsidR="001C4503" w:rsidRDefault="001C4503">
      <w:pPr>
        <w:spacing w:line="360" w:lineRule="auto"/>
        <w:ind w:firstLineChars="200" w:firstLine="420"/>
        <w:jc w:val="left"/>
        <w:rPr>
          <w:rFonts w:hint="eastAsia"/>
        </w:rPr>
      </w:pPr>
      <w:r>
        <w:rPr>
          <w:rFonts w:ascii="宋体" w:hAnsi="宋体" w:hint="eastAsia"/>
        </w:rPr>
        <w:t>本基金本报告期末前十名股票中不存在流通受限情况</w:t>
      </w:r>
      <w:r>
        <w:rPr>
          <w:rFonts w:ascii="宋体" w:hAnsi="宋体" w:hint="eastAsia"/>
        </w:rPr>
        <w:t>。</w:t>
      </w:r>
      <w:bookmarkEnd w:id="19"/>
      <w:bookmarkEnd w:id="20"/>
      <w:bookmarkEnd w:id="21"/>
      <w:bookmarkEnd w:id="22"/>
      <w:bookmarkEnd w:id="23"/>
    </w:p>
    <w:p w:rsidR="001C4503" w:rsidRDefault="001C4503">
      <w:pPr>
        <w:pStyle w:val="XBRLTitle3"/>
        <w:spacing w:before="156" w:line="360" w:lineRule="auto"/>
        <w:ind w:left="624"/>
      </w:pPr>
      <w:bookmarkStart w:id="338" w:name="_Toc514088275"/>
      <w:bookmarkStart w:id="339" w:name="_Toc480465447"/>
      <w:bookmarkStart w:id="340" w:name="_Toc513542676"/>
      <w:bookmarkStart w:id="341" w:name="m510_05_1678"/>
      <w:bookmarkEnd w:id="337"/>
      <w:r>
        <w:rPr>
          <w:rFonts w:hAnsi="宋体" w:hint="eastAsia"/>
        </w:rPr>
        <w:t>投资组合报告附注的其他文字描述部</w:t>
      </w:r>
      <w:r>
        <w:rPr>
          <w:rFonts w:hAnsi="宋体" w:hint="eastAsia"/>
        </w:rPr>
        <w:t>分</w:t>
      </w:r>
      <w:bookmarkEnd w:id="338"/>
      <w:bookmarkEnd w:id="339"/>
      <w:bookmarkEnd w:id="340"/>
      <w:r>
        <w:rPr>
          <w:rFonts w:hAnsi="宋体" w:hint="eastAsia"/>
        </w:rPr>
        <w:t xml:space="preserve"> </w:t>
      </w:r>
    </w:p>
    <w:p w:rsidR="001C4503" w:rsidRDefault="001C4503">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1C4503" w:rsidRDefault="001C4503">
      <w:pPr>
        <w:pStyle w:val="XBRLTitle1"/>
        <w:spacing w:before="156"/>
        <w:ind w:left="425"/>
      </w:pPr>
      <w:bookmarkStart w:id="342" w:name="_Toc514088276"/>
      <w:bookmarkStart w:id="343" w:name="_Toc480465448"/>
      <w:bookmarkStart w:id="344" w:name="_Toc448480308"/>
      <w:bookmarkStart w:id="345" w:name="_Toc438654096"/>
      <w:bookmarkStart w:id="346" w:name="_Toc456107141"/>
      <w:bookmarkStart w:id="347" w:name="_Toc459213787"/>
      <w:bookmarkStart w:id="348" w:name="_Toc513542677"/>
      <w:bookmarkStart w:id="349" w:name="_Toc512696273"/>
      <w:bookmarkStart w:id="350" w:name="_Toc512612276"/>
      <w:bookmarkStart w:id="351" w:name="_Toc512612100"/>
      <w:bookmarkStart w:id="352" w:name="_Toc512611304"/>
      <w:bookmarkStart w:id="353" w:name="m601"/>
      <w:r>
        <w:rPr>
          <w:rFonts w:hint="eastAsia"/>
        </w:rPr>
        <w:t>开放式基金份额变</w:t>
      </w:r>
      <w:r>
        <w:rPr>
          <w:rFonts w:hint="eastAsia"/>
        </w:rPr>
        <w:t>动</w:t>
      </w:r>
      <w:bookmarkEnd w:id="342"/>
      <w:bookmarkEnd w:id="343"/>
      <w:bookmarkEnd w:id="344"/>
      <w:bookmarkEnd w:id="345"/>
      <w:bookmarkEnd w:id="346"/>
      <w:bookmarkEnd w:id="347"/>
      <w:bookmarkEnd w:id="348"/>
      <w:bookmarkEnd w:id="349"/>
      <w:bookmarkEnd w:id="350"/>
      <w:bookmarkEnd w:id="351"/>
      <w:bookmarkEnd w:id="352"/>
    </w:p>
    <w:p w:rsidR="001C4503" w:rsidRDefault="001C4503">
      <w:pPr>
        <w:wordWrap w:val="0"/>
        <w:spacing w:line="360" w:lineRule="auto"/>
        <w:jc w:val="right"/>
        <w:rPr>
          <w:rFonts w:hint="eastAsia"/>
        </w:rPr>
      </w:pPr>
      <w:bookmarkStart w:id="35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1C4503" w:rsidRDefault="001C4503">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bookmarkStart w:id="355" w:name="m10_01" w:colFirst="1" w:colLast="2"/>
            <w:bookmarkStart w:id="356" w:name="m601_tab"/>
            <w:bookmarkEnd w:id="354"/>
            <w:r>
              <w:rPr>
                <w:rFonts w:ascii="宋体" w:hAnsi="宋体" w:cs="Times New Roman" w:hint="eastAsia"/>
                <w:kern w:val="2"/>
                <w:sz w:val="21"/>
              </w:rPr>
              <w:t>项目</w:t>
            </w:r>
            <w:r>
              <w:rPr>
                <w:rFonts w:ascii="宋体" w:hAnsi="宋体" w:cs="Times New Roman"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C4503" w:rsidRDefault="001C4503">
            <w:pPr>
              <w:ind w:right="3"/>
              <w:jc w:val="center"/>
            </w:pPr>
            <w:r>
              <w:rPr>
                <w:rFonts w:ascii="宋体" w:hAnsi="宋体" w:hint="eastAsia"/>
                <w:lang w:eastAsia="zh-Hans"/>
              </w:rPr>
              <w:t>摩根全球多元配置</w:t>
            </w:r>
            <w:r>
              <w:rPr>
                <w:rFonts w:ascii="宋体" w:hAnsi="宋体" w:hint="eastAsia"/>
                <w:lang w:eastAsia="zh-Hans"/>
              </w:rPr>
              <w:t>(QDII-FOF)</w:t>
            </w:r>
            <w:r>
              <w:rPr>
                <w:rFonts w:ascii="宋体" w:hAnsi="宋体" w:hint="eastAsia"/>
                <w:lang w:eastAsia="zh-Hans"/>
              </w:rPr>
              <w:t>人民币</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C4503" w:rsidRDefault="001C4503">
            <w:pPr>
              <w:ind w:right="3"/>
              <w:jc w:val="center"/>
            </w:pPr>
            <w:r>
              <w:rPr>
                <w:rFonts w:ascii="宋体" w:hAnsi="宋体" w:hint="eastAsia"/>
                <w:lang w:eastAsia="zh-Hans"/>
              </w:rPr>
              <w:t>摩根全球多元配置</w:t>
            </w:r>
            <w:r>
              <w:rPr>
                <w:rFonts w:ascii="宋体" w:hAnsi="宋体" w:hint="eastAsia"/>
                <w:lang w:eastAsia="zh-Hans"/>
              </w:rPr>
              <w:t>(QDII-FOF)</w:t>
            </w:r>
            <w:r>
              <w:rPr>
                <w:rFonts w:ascii="宋体" w:hAnsi="宋体" w:hint="eastAsia"/>
                <w:lang w:eastAsia="zh-Hans"/>
              </w:rPr>
              <w:t>人民币</w:t>
            </w:r>
            <w:r>
              <w:rPr>
                <w:rFonts w:ascii="宋体" w:hAnsi="宋体" w:hint="eastAsia"/>
                <w:lang w:eastAsia="zh-Hans"/>
              </w:rPr>
              <w:t>C</w:t>
            </w:r>
            <w:r>
              <w:rPr>
                <w:rFonts w:ascii="宋体" w:hAnsi="宋体" w:hint="eastAsia"/>
                <w:kern w:val="0"/>
                <w:szCs w:val="24"/>
                <w:lang w:eastAsia="zh-Hans"/>
              </w:rPr>
              <w:t xml:space="preserve"> </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C4503" w:rsidRDefault="001C4503">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初</w:t>
            </w:r>
            <w:r>
              <w:rPr>
                <w:rStyle w:val="grame"/>
                <w:rFonts w:ascii="宋体" w:hAnsi="宋体" w:cs="Times New Roman" w:hint="eastAsia"/>
                <w:kern w:val="2"/>
                <w:sz w:val="21"/>
              </w:rPr>
              <w:t>基金</w:t>
            </w:r>
            <w:r>
              <w:rPr>
                <w:rFonts w:ascii="宋体" w:hAnsi="宋体" w:cs="Times New Roman" w:hint="eastAsia"/>
                <w:kern w:val="2"/>
                <w:sz w:val="21"/>
              </w:rPr>
              <w:t>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C4503" w:rsidRDefault="001C4503">
            <w:pPr>
              <w:jc w:val="right"/>
            </w:pPr>
            <w:r>
              <w:rPr>
                <w:rFonts w:ascii="宋体" w:hAnsi="宋体" w:hint="eastAsia"/>
              </w:rPr>
              <w:t>353,029,969.6</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C4503" w:rsidRDefault="001C4503">
            <w:pPr>
              <w:jc w:val="right"/>
            </w:pPr>
            <w:r>
              <w:rPr>
                <w:rFonts w:ascii="宋体" w:hAnsi="宋体" w:hint="eastAsia"/>
              </w:rPr>
              <w:t>201,893,157.4</w:t>
            </w:r>
            <w:r>
              <w:rPr>
                <w:rFonts w:ascii="宋体" w:hAnsi="宋体" w:hint="eastAsia"/>
              </w:rPr>
              <w:t>8</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C4503" w:rsidRDefault="001C4503">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基金总申购份额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C4503" w:rsidRDefault="001C4503">
            <w:pPr>
              <w:jc w:val="right"/>
            </w:pPr>
            <w:r>
              <w:rPr>
                <w:rFonts w:ascii="宋体" w:hAnsi="宋体" w:hint="eastAsia"/>
              </w:rPr>
              <w:t>41,433,115.0</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C4503" w:rsidRDefault="001C4503">
            <w:pPr>
              <w:jc w:val="right"/>
            </w:pPr>
            <w:r>
              <w:rPr>
                <w:rFonts w:ascii="宋体" w:hAnsi="宋体" w:hint="eastAsia"/>
              </w:rPr>
              <w:t>77,574,510.3</w:t>
            </w:r>
            <w:r>
              <w:rPr>
                <w:rFonts w:ascii="宋体" w:hAnsi="宋体" w:hint="eastAsia"/>
              </w:rPr>
              <w:t>4</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C4503" w:rsidRDefault="001C4503">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减</w:t>
            </w:r>
            <w:r>
              <w:rPr>
                <w:rFonts w:ascii="宋体" w:hAnsi="宋体" w:cs="Times New Roman" w:hint="eastAsia"/>
                <w:kern w:val="2"/>
                <w:sz w:val="21"/>
              </w:rPr>
              <w:t>:</w:t>
            </w: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基金总赎回份额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C4503" w:rsidRDefault="001C4503">
            <w:pPr>
              <w:jc w:val="right"/>
            </w:pPr>
            <w:r>
              <w:rPr>
                <w:rFonts w:ascii="宋体" w:hAnsi="宋体" w:hint="eastAsia"/>
              </w:rPr>
              <w:t>40,900,727.2</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C4503" w:rsidRDefault="001C4503">
            <w:pPr>
              <w:jc w:val="right"/>
            </w:pPr>
            <w:r>
              <w:rPr>
                <w:rFonts w:ascii="宋体" w:hAnsi="宋体" w:hint="eastAsia"/>
              </w:rPr>
              <w:t>69,080,103.2</w:t>
            </w:r>
            <w:r>
              <w:rPr>
                <w:rFonts w:ascii="宋体" w:hAnsi="宋体" w:hint="eastAsia"/>
              </w:rPr>
              <w:t>7</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C4503" w:rsidRDefault="001C4503">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基金拆分变动份额（份额减少以“</w:t>
            </w:r>
            <w:r>
              <w:rPr>
                <w:rFonts w:ascii="宋体" w:hAnsi="宋体" w:cs="Times New Roman" w:hint="eastAsia"/>
                <w:kern w:val="2"/>
                <w:sz w:val="21"/>
              </w:rPr>
              <w:t>-</w:t>
            </w:r>
            <w:r>
              <w:rPr>
                <w:rFonts w:ascii="宋体" w:hAnsi="宋体" w:cs="Times New Roman" w:hint="eastAsia"/>
                <w:kern w:val="2"/>
                <w:sz w:val="21"/>
              </w:rPr>
              <w:t>”填列）</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C4503" w:rsidRDefault="001C4503">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C4503" w:rsidRDefault="001C4503">
            <w:pPr>
              <w:jc w:val="right"/>
            </w:pPr>
            <w:r>
              <w:rPr>
                <w:rFonts w:ascii="宋体" w:hAnsi="宋体" w:hint="eastAsia"/>
              </w:rPr>
              <w:t>-</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C4503" w:rsidRDefault="001C4503">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报告期期末基金份额总额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C4503" w:rsidRDefault="001C4503">
            <w:pPr>
              <w:jc w:val="right"/>
            </w:pPr>
            <w:r>
              <w:rPr>
                <w:rFonts w:ascii="宋体" w:hAnsi="宋体" w:hint="eastAsia"/>
              </w:rPr>
              <w:t>353,562,357.5</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C4503" w:rsidRDefault="001C4503">
            <w:pPr>
              <w:jc w:val="right"/>
            </w:pPr>
            <w:r>
              <w:rPr>
                <w:rFonts w:ascii="宋体" w:hAnsi="宋体" w:hint="eastAsia"/>
              </w:rPr>
              <w:t>210,387,564.5</w:t>
            </w:r>
            <w:r>
              <w:rPr>
                <w:rFonts w:ascii="宋体" w:hAnsi="宋体" w:hint="eastAsia"/>
              </w:rPr>
              <w:t>5</w:t>
            </w:r>
          </w:p>
        </w:tc>
      </w:tr>
    </w:tbl>
    <w:p w:rsidR="001C4503" w:rsidRDefault="001C4503">
      <w:pPr>
        <w:spacing w:line="360" w:lineRule="auto"/>
        <w:jc w:val="left"/>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55"/>
      <w:r>
        <w:rPr>
          <w:rFonts w:ascii="宋体" w:hAnsi="宋体" w:hint="eastAsia"/>
        </w:rPr>
        <w:t xml:space="preserve"> </w:t>
      </w:r>
    </w:p>
    <w:p w:rsidR="001C4503" w:rsidRDefault="001C4503">
      <w:pPr>
        <w:pStyle w:val="XBRLTitle1"/>
        <w:spacing w:before="156"/>
        <w:ind w:left="425"/>
      </w:pPr>
      <w:bookmarkStart w:id="357" w:name="_Toc514088277"/>
      <w:bookmarkStart w:id="358" w:name="_Toc480465449"/>
      <w:bookmarkStart w:id="359" w:name="_Toc448480309"/>
      <w:bookmarkStart w:id="360" w:name="_Toc438654097"/>
      <w:bookmarkStart w:id="361" w:name="_Toc456107142"/>
      <w:bookmarkStart w:id="362" w:name="_Toc459213788"/>
      <w:bookmarkStart w:id="363" w:name="_Toc513542678"/>
      <w:bookmarkStart w:id="364" w:name="_Toc512696274"/>
      <w:bookmarkStart w:id="365" w:name="_Toc512612277"/>
      <w:bookmarkStart w:id="366" w:name="_Toc512612101"/>
      <w:bookmarkStart w:id="367" w:name="_Toc512611305"/>
      <w:bookmarkStart w:id="368" w:name="m7manage01"/>
      <w:bookmarkEnd w:id="353"/>
      <w:bookmarkEnd w:id="356"/>
      <w:r>
        <w:rPr>
          <w:rFonts w:hint="eastAsia"/>
        </w:rPr>
        <w:t>基金管理人运用固有资金投资本基金交易明</w:t>
      </w:r>
      <w:r>
        <w:rPr>
          <w:rFonts w:hint="eastAsia"/>
        </w:rPr>
        <w:t>细</w:t>
      </w:r>
      <w:bookmarkEnd w:id="341"/>
      <w:bookmarkEnd w:id="357"/>
      <w:bookmarkEnd w:id="358"/>
      <w:bookmarkEnd w:id="359"/>
      <w:bookmarkEnd w:id="360"/>
      <w:bookmarkEnd w:id="361"/>
      <w:bookmarkEnd w:id="362"/>
      <w:bookmarkEnd w:id="363"/>
      <w:bookmarkEnd w:id="364"/>
      <w:bookmarkEnd w:id="365"/>
      <w:bookmarkEnd w:id="366"/>
      <w:bookmarkEnd w:id="367"/>
      <w:bookmarkEnd w:id="3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2085101203"/>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C4503" w:rsidRDefault="001C4503">
            <w:pPr>
              <w:jc w:val="center"/>
            </w:pPr>
            <w:r>
              <w:rPr>
                <w:rFonts w:ascii="宋体" w:hAnsi="宋体" w:hint="eastAsia"/>
              </w:rPr>
              <w:t>适用费率</w:t>
            </w:r>
            <w:r>
              <w:rPr>
                <w:rFonts w:ascii="宋体" w:hAnsi="宋体" w:hint="eastAsia"/>
              </w:rPr>
              <w:t xml:space="preserve"> </w:t>
            </w:r>
          </w:p>
        </w:tc>
      </w:tr>
      <w:tr w:rsidR="00000000">
        <w:trPr>
          <w:divId w:val="2085101203"/>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rPr>
              <w:t>2026-04-2</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-41,102.4</w:t>
            </w:r>
            <w:r>
              <w:rPr>
                <w:rFonts w:ascii="宋体" w:hAnsi="宋体" w:hint="eastAsia"/>
              </w:rPr>
              <w:t>0</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-75,445.6</w:t>
            </w:r>
            <w:r>
              <w:rPr>
                <w:rFonts w:ascii="宋体" w:hAnsi="宋体" w:hint="eastAsia"/>
              </w:rPr>
              <w:t>3</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0.3</w:t>
            </w:r>
            <w:r>
              <w:rPr>
                <w:rFonts w:ascii="宋体" w:hAnsi="宋体" w:hint="eastAsia"/>
              </w:rPr>
              <w:t>5</w:t>
            </w:r>
            <w:r>
              <w:t xml:space="preserve">% </w:t>
            </w:r>
          </w:p>
        </w:tc>
      </w:tr>
      <w:tr w:rsidR="00000000">
        <w:trPr>
          <w:divId w:val="2085101203"/>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rPr>
              <w:t>2026-05-1</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-120,541.9</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-223,158.1</w:t>
            </w:r>
            <w:r>
              <w:rPr>
                <w:rFonts w:ascii="宋体" w:hAnsi="宋体" w:hint="eastAsia"/>
              </w:rPr>
              <w:t>6</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0.2</w:t>
            </w:r>
            <w:r>
              <w:rPr>
                <w:rFonts w:ascii="宋体" w:hAnsi="宋体" w:hint="eastAsia"/>
              </w:rPr>
              <w:t>0</w:t>
            </w:r>
            <w:r>
              <w:t xml:space="preserve">% </w:t>
            </w:r>
          </w:p>
        </w:tc>
      </w:tr>
      <w:tr w:rsidR="00000000">
        <w:trPr>
          <w:divId w:val="2085101203"/>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-161,644.3</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pPr>
              <w:jc w:val="right"/>
            </w:pPr>
            <w:r>
              <w:rPr>
                <w:rFonts w:ascii="宋体" w:hAnsi="宋体" w:hint="eastAsia"/>
              </w:rPr>
              <w:t>-298,603.7</w:t>
            </w:r>
            <w:r>
              <w:rPr>
                <w:rFonts w:ascii="宋体" w:hAnsi="宋体" w:hint="eastAsia"/>
              </w:rPr>
              <w:t>9</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C4503" w:rsidRDefault="001C4503"/>
        </w:tc>
      </w:tr>
    </w:tbl>
    <w:p w:rsidR="001C4503" w:rsidRDefault="001C4503">
      <w:pPr>
        <w:spacing w:line="360" w:lineRule="auto"/>
        <w:jc w:val="left"/>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1C4503" w:rsidRDefault="001C4503">
      <w:pPr>
        <w:pStyle w:val="XBRLTitle1"/>
        <w:spacing w:before="156"/>
        <w:ind w:left="425"/>
      </w:pPr>
      <w:bookmarkStart w:id="369" w:name="_Toc17881714"/>
      <w:bookmarkStart w:id="370" w:name="_Toc479856294"/>
      <w:bookmarkStart w:id="371" w:name="_Toc492299909"/>
      <w:bookmarkStart w:id="372" w:name="_Toc512627244"/>
      <w:bookmarkStart w:id="373" w:name="_Toc512694324"/>
      <w:bookmarkStart w:id="374" w:name="m701"/>
      <w:r>
        <w:rPr>
          <w:rFonts w:hint="eastAsia"/>
        </w:rPr>
        <w:t>影响投资者决策的其他重要信</w:t>
      </w:r>
      <w:r>
        <w:rPr>
          <w:rFonts w:hint="eastAsia"/>
        </w:rPr>
        <w:t>息</w:t>
      </w:r>
      <w:bookmarkEnd w:id="369"/>
      <w:bookmarkEnd w:id="370"/>
      <w:bookmarkEnd w:id="371"/>
      <w:bookmarkEnd w:id="372"/>
      <w:bookmarkEnd w:id="373"/>
      <w:r>
        <w:rPr>
          <w:rFonts w:hint="eastAsia"/>
          <w:lang w:eastAsia="zh-CN"/>
        </w:rPr>
        <w:t xml:space="preserve"> </w:t>
      </w:r>
    </w:p>
    <w:p w:rsidR="001C4503" w:rsidRDefault="001C4503">
      <w:pPr>
        <w:pStyle w:val="XBRLTitle2"/>
        <w:spacing w:before="156"/>
        <w:ind w:left="454"/>
        <w:rPr>
          <w:rFonts w:hint="eastAsia"/>
        </w:rPr>
      </w:pPr>
      <w:bookmarkStart w:id="375" w:name="_Toc17881715"/>
      <w:bookmarkStart w:id="376" w:name="_Toc492299910"/>
      <w:bookmarkStart w:id="377" w:name="_Toc512627245"/>
      <w:bookmarkStart w:id="378" w:name="_Toc512694325"/>
      <w:r>
        <w:rPr>
          <w:rFonts w:eastAsia="宋体" w:cs="宋体" w:hint="eastAsia"/>
          <w:kern w:val="0"/>
        </w:rPr>
        <w:t>报告期内单一投资者持有基金份额比例达到或超过</w:t>
      </w:r>
      <w:r>
        <w:rPr>
          <w:rFonts w:hint="eastAsia"/>
          <w:kern w:val="0"/>
        </w:rPr>
        <w:t>20%</w:t>
      </w:r>
      <w:r>
        <w:rPr>
          <w:rFonts w:eastAsia="宋体" w:cs="宋体" w:hint="eastAsia"/>
          <w:kern w:val="0"/>
        </w:rPr>
        <w:t>的情</w:t>
      </w:r>
      <w:r>
        <w:rPr>
          <w:rFonts w:eastAsia="宋体" w:cs="宋体" w:hint="eastAsia"/>
          <w:kern w:val="0"/>
        </w:rPr>
        <w:t>况</w:t>
      </w:r>
      <w:bookmarkEnd w:id="375"/>
      <w:bookmarkEnd w:id="376"/>
      <w:bookmarkEnd w:id="377"/>
      <w:bookmarkEnd w:id="378"/>
      <w:r>
        <w:rPr>
          <w:rFonts w:hint="eastAsia"/>
          <w:kern w:val="0"/>
          <w:lang w:eastAsia="zh-CN"/>
        </w:rPr>
        <w:t xml:space="preserve"> </w:t>
      </w:r>
    </w:p>
    <w:bookmarkEnd w:id="24"/>
    <w:bookmarkEnd w:id="50"/>
    <w:bookmarkEnd w:id="51"/>
    <w:p w:rsidR="001C4503" w:rsidRDefault="001C4503">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1C4503" w:rsidRDefault="001C4503">
      <w:pPr>
        <w:pStyle w:val="XBRLTitle1"/>
        <w:spacing w:before="156"/>
        <w:ind w:left="425"/>
        <w:rPr>
          <w:rFonts w:hint="eastAsia"/>
        </w:rPr>
      </w:pPr>
      <w:bookmarkStart w:id="379" w:name="_Toc514088283"/>
      <w:bookmarkStart w:id="380" w:name="_Toc466644495"/>
      <w:bookmarkStart w:id="381" w:name="_Toc480465455"/>
      <w:bookmarkStart w:id="382" w:name="_Toc513542684"/>
      <w:bookmarkStart w:id="383" w:name="_Toc512696280"/>
      <w:bookmarkStart w:id="384" w:name="_Toc512612283"/>
      <w:bookmarkStart w:id="385" w:name="_Toc512612107"/>
      <w:bookmarkStart w:id="386" w:name="_Toc512611311"/>
      <w:bookmarkEnd w:id="374"/>
      <w:r>
        <w:rPr>
          <w:rFonts w:hint="eastAsia"/>
        </w:rPr>
        <w:t>备查文件目</w:t>
      </w:r>
      <w:r>
        <w:rPr>
          <w:rFonts w:hint="eastAsia"/>
        </w:rPr>
        <w:t>录</w:t>
      </w:r>
      <w:bookmarkEnd w:id="379"/>
      <w:bookmarkEnd w:id="380"/>
      <w:bookmarkEnd w:id="381"/>
      <w:bookmarkEnd w:id="382"/>
      <w:bookmarkEnd w:id="383"/>
      <w:bookmarkEnd w:id="384"/>
      <w:bookmarkEnd w:id="385"/>
      <w:bookmarkEnd w:id="386"/>
    </w:p>
    <w:p w:rsidR="001C4503" w:rsidRDefault="001C4503">
      <w:pPr>
        <w:pStyle w:val="XBRLTitle2"/>
        <w:spacing w:before="156" w:line="360" w:lineRule="auto"/>
        <w:ind w:left="454"/>
        <w:rPr>
          <w:rFonts w:hint="eastAsia"/>
        </w:rPr>
      </w:pPr>
      <w:bookmarkStart w:id="387" w:name="_Toc514088284"/>
      <w:bookmarkStart w:id="388" w:name="_Toc480465456"/>
      <w:bookmarkStart w:id="389" w:name="_Toc448480313"/>
      <w:bookmarkStart w:id="390" w:name="_Toc438654101"/>
      <w:bookmarkStart w:id="391" w:name="_Toc456107145"/>
      <w:bookmarkStart w:id="392" w:name="_Toc459213792"/>
      <w:bookmarkStart w:id="393" w:name="_Toc513542685"/>
      <w:bookmarkStart w:id="394" w:name="_Toc512696281"/>
      <w:bookmarkStart w:id="395" w:name="_Toc512612284"/>
      <w:bookmarkStart w:id="396" w:name="_Toc512612108"/>
      <w:bookmarkStart w:id="397" w:name="_Toc512611312"/>
      <w:bookmarkStart w:id="398" w:name="m801_01_1733"/>
      <w:r>
        <w:rPr>
          <w:rFonts w:eastAsia="宋体" w:hint="eastAsia"/>
        </w:rPr>
        <w:t>备查文件目</w:t>
      </w:r>
      <w:r>
        <w:rPr>
          <w:rFonts w:eastAsia="宋体" w:hint="eastAsia"/>
        </w:rPr>
        <w:t>录</w:t>
      </w:r>
      <w:bookmarkEnd w:id="387"/>
      <w:bookmarkEnd w:id="388"/>
      <w:bookmarkEnd w:id="389"/>
      <w:bookmarkEnd w:id="390"/>
      <w:bookmarkEnd w:id="391"/>
      <w:bookmarkEnd w:id="392"/>
      <w:bookmarkEnd w:id="393"/>
      <w:bookmarkEnd w:id="394"/>
      <w:bookmarkEnd w:id="395"/>
      <w:bookmarkEnd w:id="396"/>
      <w:bookmarkEnd w:id="397"/>
      <w:r>
        <w:rPr>
          <w:rFonts w:eastAsia="宋体" w:hint="eastAsia"/>
        </w:rPr>
        <w:t xml:space="preserve"> </w:t>
      </w:r>
    </w:p>
    <w:p w:rsidR="001C4503" w:rsidRDefault="001C4503">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、《摩根全球多元配置证券投资基金</w:t>
      </w:r>
      <w:r>
        <w:rPr>
          <w:rFonts w:ascii="宋体" w:hAnsi="宋体" w:cs="宋体" w:hint="eastAsia"/>
          <w:color w:val="000000"/>
          <w:kern w:val="0"/>
        </w:rPr>
        <w:t>(QDII-FOF)</w:t>
      </w:r>
      <w:r>
        <w:rPr>
          <w:rFonts w:ascii="宋体" w:hAnsi="宋体" w:cs="宋体" w:hint="eastAsia"/>
          <w:color w:val="000000"/>
          <w:kern w:val="0"/>
        </w:rPr>
        <w:t>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、《摩根全球多元配置证券投资基金</w:t>
      </w:r>
      <w:r>
        <w:rPr>
          <w:rFonts w:ascii="宋体" w:hAnsi="宋体" w:cs="宋体" w:hint="eastAsia"/>
          <w:color w:val="000000"/>
          <w:kern w:val="0"/>
        </w:rPr>
        <w:t>(QDII-FOF)</w:t>
      </w:r>
      <w:r>
        <w:rPr>
          <w:rFonts w:ascii="宋体" w:hAnsi="宋体" w:cs="宋体" w:hint="eastAsia"/>
          <w:color w:val="000000"/>
          <w:kern w:val="0"/>
        </w:rPr>
        <w:t>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、中国证监会要求的其他文件</w:t>
      </w:r>
      <w:r>
        <w:rPr>
          <w:rFonts w:ascii="宋体" w:hAnsi="宋体" w:cs="宋体" w:hint="eastAsia"/>
          <w:color w:val="000000"/>
          <w:kern w:val="0"/>
        </w:rPr>
        <w:t>。</w:t>
      </w:r>
    </w:p>
    <w:p w:rsidR="001C4503" w:rsidRDefault="001C4503">
      <w:pPr>
        <w:pStyle w:val="XBRLTitle2"/>
        <w:spacing w:before="156" w:line="360" w:lineRule="auto"/>
        <w:ind w:left="454"/>
      </w:pPr>
      <w:bookmarkStart w:id="399" w:name="_Toc514088285"/>
      <w:bookmarkStart w:id="400" w:name="_Toc480465457"/>
      <w:bookmarkStart w:id="401" w:name="_Toc448480314"/>
      <w:bookmarkStart w:id="402" w:name="_Toc438654102"/>
      <w:bookmarkStart w:id="403" w:name="_Toc456107146"/>
      <w:bookmarkStart w:id="404" w:name="_Toc459213793"/>
      <w:bookmarkStart w:id="405" w:name="_Toc513542686"/>
      <w:bookmarkStart w:id="406" w:name="_Toc512696282"/>
      <w:bookmarkStart w:id="407" w:name="_Toc512612285"/>
      <w:bookmarkStart w:id="408" w:name="_Toc512612109"/>
      <w:bookmarkStart w:id="409" w:name="_Toc512611313"/>
      <w:bookmarkStart w:id="410" w:name="m801_01_1734"/>
      <w:bookmarkEnd w:id="398"/>
      <w:r>
        <w:rPr>
          <w:rFonts w:eastAsia="宋体" w:hint="eastAsia"/>
        </w:rPr>
        <w:t>存放地</w:t>
      </w:r>
      <w:r>
        <w:rPr>
          <w:rFonts w:eastAsia="宋体" w:hint="eastAsia"/>
        </w:rPr>
        <w:t>点</w:t>
      </w:r>
      <w:bookmarkEnd w:id="399"/>
      <w:bookmarkEnd w:id="400"/>
      <w:bookmarkEnd w:id="401"/>
      <w:bookmarkEnd w:id="402"/>
      <w:bookmarkEnd w:id="403"/>
      <w:bookmarkEnd w:id="404"/>
      <w:bookmarkEnd w:id="405"/>
      <w:bookmarkEnd w:id="406"/>
      <w:bookmarkEnd w:id="407"/>
      <w:bookmarkEnd w:id="408"/>
      <w:bookmarkEnd w:id="409"/>
      <w:r>
        <w:rPr>
          <w:rFonts w:eastAsia="宋体" w:hint="eastAsia"/>
        </w:rPr>
        <w:t xml:space="preserve"> </w:t>
      </w:r>
    </w:p>
    <w:p w:rsidR="001C4503" w:rsidRDefault="001C4503">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1C4503" w:rsidRDefault="001C4503">
      <w:pPr>
        <w:pStyle w:val="XBRLTitle2"/>
        <w:spacing w:before="156" w:line="360" w:lineRule="auto"/>
        <w:ind w:left="454"/>
      </w:pPr>
      <w:bookmarkStart w:id="411" w:name="_Toc514088286"/>
      <w:bookmarkStart w:id="412" w:name="_Toc480465458"/>
      <w:bookmarkStart w:id="413" w:name="_Toc448480315"/>
      <w:bookmarkStart w:id="414" w:name="_Toc438654103"/>
      <w:bookmarkStart w:id="415" w:name="_Toc456107147"/>
      <w:bookmarkStart w:id="416" w:name="_Toc459213794"/>
      <w:bookmarkStart w:id="417" w:name="_Toc513542687"/>
      <w:bookmarkStart w:id="418" w:name="_Toc512696283"/>
      <w:bookmarkStart w:id="419" w:name="_Toc512612286"/>
      <w:bookmarkStart w:id="420" w:name="_Toc512612110"/>
      <w:bookmarkStart w:id="421" w:name="_Toc512611314"/>
      <w:bookmarkStart w:id="422" w:name="m801_01_1735"/>
      <w:bookmarkEnd w:id="410"/>
      <w:r>
        <w:rPr>
          <w:rFonts w:eastAsia="宋体" w:hint="eastAsia"/>
        </w:rPr>
        <w:t>查阅方</w:t>
      </w:r>
      <w:r>
        <w:rPr>
          <w:rFonts w:eastAsia="宋体" w:hint="eastAsia"/>
        </w:rPr>
        <w:t>式</w:t>
      </w:r>
      <w:bookmarkEnd w:id="411"/>
      <w:bookmarkEnd w:id="412"/>
      <w:bookmarkEnd w:id="413"/>
      <w:bookmarkEnd w:id="414"/>
      <w:bookmarkEnd w:id="415"/>
      <w:bookmarkEnd w:id="416"/>
      <w:bookmarkEnd w:id="417"/>
      <w:bookmarkEnd w:id="418"/>
      <w:bookmarkEnd w:id="419"/>
      <w:bookmarkEnd w:id="420"/>
      <w:bookmarkEnd w:id="421"/>
      <w:r>
        <w:rPr>
          <w:rFonts w:eastAsia="宋体" w:hint="eastAsia"/>
        </w:rPr>
        <w:t xml:space="preserve"> </w:t>
      </w:r>
    </w:p>
    <w:p w:rsidR="001C4503" w:rsidRDefault="001C4503">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bookmarkEnd w:id="25"/>
      <w:r>
        <w:rPr>
          <w:rFonts w:ascii="宋体" w:hAnsi="宋体" w:cs="宋体" w:hint="eastAsia"/>
          <w:color w:val="000000"/>
          <w:kern w:val="0"/>
        </w:rPr>
        <w:t xml:space="preserve"> </w:t>
      </w:r>
    </w:p>
    <w:bookmarkEnd w:id="422"/>
    <w:p w:rsidR="001C4503" w:rsidRDefault="001C4503">
      <w:pPr>
        <w:spacing w:line="360" w:lineRule="auto"/>
        <w:jc w:val="left"/>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1C4503" w:rsidRDefault="001C4503">
      <w:pPr>
        <w:spacing w:line="360" w:lineRule="auto"/>
        <w:jc w:val="left"/>
        <w:rPr>
          <w:rFonts w:ascii="宋体" w:hAnsi="宋体" w:hint="eastAsia"/>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1C4503" w:rsidRDefault="001C4503">
      <w:pPr>
        <w:spacing w:line="360" w:lineRule="auto"/>
        <w:ind w:firstLineChars="600" w:firstLine="1446"/>
        <w:jc w:val="right"/>
        <w:rPr>
          <w:rFonts w:hint="eastAsia"/>
        </w:rPr>
      </w:pPr>
      <w:r>
        <w:rPr>
          <w:rFonts w:ascii="宋体" w:hAnsi="宋体" w:hint="eastAsia"/>
          <w:b/>
          <w:bCs/>
          <w:sz w:val="24"/>
          <w:szCs w:val="24"/>
        </w:rPr>
        <w:t>摩根基金管理（中国）有限公</w:t>
      </w:r>
      <w:r>
        <w:rPr>
          <w:rFonts w:ascii="宋体" w:hAnsi="宋体" w:hint="eastAsia"/>
          <w:b/>
          <w:bCs/>
          <w:sz w:val="24"/>
          <w:szCs w:val="24"/>
        </w:rPr>
        <w:t>司</w:t>
      </w:r>
    </w:p>
    <w:p w:rsidR="001C4503" w:rsidRDefault="001C4503">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p>
    <w:sectPr w:rsidR="001C4503">
      <w:headerReference w:type="default" r:id="rId10"/>
      <w:footerReference w:type="even" r:id="rId11"/>
      <w:footerReference w:type="default" r:id="rId12"/>
      <w:headerReference w:type="first" r:id="rId13"/>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4503" w:rsidRDefault="001C4503">
      <w:pPr>
        <w:rPr>
          <w:szCs w:val="21"/>
        </w:rPr>
      </w:pPr>
      <w:r>
        <w:rPr>
          <w:szCs w:val="21"/>
        </w:rPr>
        <w:separator/>
      </w:r>
      <w:r>
        <w:rPr>
          <w:szCs w:val="21"/>
        </w:rPr>
        <w:t xml:space="preserve"> </w:t>
      </w:r>
    </w:p>
  </w:endnote>
  <w:endnote w:type="continuationSeparator" w:id="0">
    <w:p w:rsidR="001C4503" w:rsidRDefault="001C4503">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503" w:rsidRDefault="001C4503">
    <w:pPr>
      <w:pStyle w:val="aa"/>
      <w:framePr w:wrap="around" w:vAnchor="text" w:hAnchor="margin" w:xAlign="right" w:y="1"/>
      <w:rPr>
        <w:rStyle w:val="af9"/>
      </w:rPr>
    </w:pPr>
    <w:r>
      <w:fldChar w:fldCharType="begin"/>
    </w:r>
    <w:r>
      <w:rPr>
        <w:rStyle w:val="af9"/>
      </w:rPr>
      <w:instrText xml:space="preserve">PAGE  </w:instrText>
    </w:r>
    <w:r>
      <w:fldChar w:fldCharType="separate"/>
    </w:r>
    <w:r>
      <w:fldChar w:fldCharType="end"/>
    </w:r>
  </w:p>
  <w:p w:rsidR="001C4503" w:rsidRDefault="001C4503">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503" w:rsidRDefault="001C4503">
    <w:pPr>
      <w:pStyle w:val="aa"/>
      <w:framePr w:wrap="around" w:vAnchor="text" w:hAnchor="margin" w:xAlign="right" w:y="1"/>
      <w:rPr>
        <w:rStyle w:val="af9"/>
      </w:rPr>
    </w:pPr>
    <w:r>
      <w:rPr>
        <w:rStyle w:val="af9"/>
      </w:rPr>
      <w:t xml:space="preserve">  </w:t>
    </w:r>
  </w:p>
  <w:p w:rsidR="001C4503" w:rsidRDefault="001C4503">
    <w:pPr>
      <w:jc w:val="center"/>
      <w:rPr>
        <w:rFonts w:ascii="宋体" w:hAnsi="宋体"/>
        <w:sz w:val="18"/>
        <w:szCs w:val="18"/>
      </w:rPr>
    </w:pPr>
    <w:r>
      <w:rPr>
        <w:rFonts w:ascii="宋体" w:hAnsi="宋体" w:hint="eastAsia"/>
        <w:sz w:val="18"/>
        <w:szCs w:val="18"/>
      </w:rPr>
      <w:t>第</w:t>
    </w:r>
    <w:r>
      <w:rPr>
        <w:rFonts w:ascii="宋体" w:hAnsi="宋体" w:hint="eastAsia"/>
        <w:sz w:val="18"/>
        <w:szCs w:val="18"/>
      </w:rP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instrText xml:space="preserve">\* MERGEFORMAT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rPr>
        <w:rFonts w:ascii="宋体" w:hAnsi="宋体" w:hint="eastAsia"/>
        <w:sz w:val="18"/>
        <w:szCs w:val="18"/>
      </w:rPr>
      <w:t xml:space="preserve"> </w:t>
    </w:r>
    <w:r>
      <w:rPr>
        <w:rFonts w:ascii="宋体" w:hAnsi="宋体" w:hint="eastAsia"/>
        <w:sz w:val="18"/>
        <w:szCs w:val="18"/>
      </w:rPr>
      <w:t>共</w:t>
    </w:r>
    <w:r>
      <w:rPr>
        <w:rFonts w:ascii="宋体" w:hAnsi="宋体" w:hint="eastAsia"/>
        <w:sz w:val="18"/>
        <w:szCs w:val="18"/>
      </w:rPr>
      <w:fldChar w:fldCharType="begin"/>
    </w:r>
    <w:r>
      <w:rPr>
        <w:rFonts w:ascii="宋体" w:hAnsi="宋体" w:hint="eastAsia"/>
        <w:sz w:val="18"/>
        <w:szCs w:val="18"/>
      </w:rPr>
      <w:instrText xml:space="preserve"> NUMPAGES   \* MERGEFORMAT </w:instrText>
    </w:r>
    <w:r>
      <w:rPr>
        <w:rFonts w:ascii="宋体" w:hAnsi="宋体" w:hint="eastAsia"/>
        <w:sz w:val="18"/>
        <w:szCs w:val="18"/>
      </w:rPr>
      <w:fldChar w:fldCharType="separate"/>
    </w:r>
    <w:r>
      <w:rPr>
        <w:rFonts w:ascii="宋体" w:hAnsi="宋体" w:hint="eastAsia"/>
        <w:noProof/>
        <w:sz w:val="18"/>
        <w:szCs w:val="18"/>
      </w:rPr>
      <w:t>7</w:t>
    </w:r>
    <w:r>
      <w:rPr>
        <w:rFonts w:ascii="宋体" w:hAnsi="宋体" w:hint="eastAsia"/>
        <w:sz w:val="18"/>
        <w:szCs w:val="18"/>
      </w:rPr>
      <w:fldChar w:fldCharType="end"/>
    </w:r>
    <w:r>
      <w:rPr>
        <w:rFonts w:ascii="宋体" w:hAnsi="宋体" w:hint="eastAsia"/>
        <w:sz w:val="18"/>
        <w:szCs w:val="18"/>
      </w:rPr>
      <w:t xml:space="preserve"> </w:t>
    </w:r>
    <w:r>
      <w:rPr>
        <w:rFonts w:ascii="宋体" w:hAnsi="宋体" w:hint="eastAsia"/>
        <w:sz w:val="18"/>
        <w:szCs w:val="18"/>
      </w:rPr>
      <w:t>页</w:t>
    </w:r>
    <w:r>
      <w:rPr>
        <w:rFonts w:ascii="宋体" w:hAnsi="宋体" w:hint="eastAsi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4503" w:rsidRDefault="001C4503">
      <w:pPr>
        <w:rPr>
          <w:szCs w:val="21"/>
        </w:rPr>
      </w:pPr>
      <w:r>
        <w:rPr>
          <w:szCs w:val="21"/>
        </w:rPr>
        <w:separator/>
      </w:r>
      <w:r>
        <w:rPr>
          <w:szCs w:val="21"/>
        </w:rPr>
        <w:t xml:space="preserve"> </w:t>
      </w:r>
    </w:p>
  </w:footnote>
  <w:footnote w:type="continuationSeparator" w:id="0">
    <w:p w:rsidR="001C4503" w:rsidRDefault="001C4503">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503" w:rsidRDefault="001C4503">
    <w:pPr>
      <w:pStyle w:val="a8"/>
      <w:pBdr>
        <w:between w:val="single" w:sz="4" w:space="1" w:color="4F81BD"/>
      </w:pBdr>
      <w:spacing w:line="276" w:lineRule="auto"/>
      <w:jc w:val="right"/>
    </w:pPr>
    <w:r>
      <w:rPr>
        <w:rFonts w:ascii="宋体" w:hAnsi="宋体" w:hint="eastAsia"/>
        <w:bCs/>
      </w:rPr>
      <w:t>摩根全球多元配置证券投资基金</w:t>
    </w:r>
    <w:r>
      <w:rPr>
        <w:rFonts w:ascii="宋体" w:hAnsi="宋体" w:hint="eastAsia"/>
        <w:bCs/>
      </w:rPr>
      <w:t>(QDII-FOF)2026</w:t>
    </w:r>
    <w:r>
      <w:rPr>
        <w:rFonts w:ascii="宋体" w:hAnsi="宋体" w:hint="eastAsia"/>
        <w:bCs/>
      </w:rPr>
      <w:t>年第</w:t>
    </w:r>
    <w:r>
      <w:rPr>
        <w:rFonts w:ascii="宋体" w:hAnsi="宋体" w:hint="eastAsia"/>
        <w:bCs/>
      </w:rPr>
      <w:t>2</w:t>
    </w:r>
    <w:r>
      <w:rPr>
        <w:rFonts w:ascii="宋体" w:hAnsi="宋体" w:hint="eastAsia"/>
        <w:bCs/>
      </w:rPr>
      <w:t>季度报</w:t>
    </w:r>
    <w:r>
      <w:rPr>
        <w:rFonts w:ascii="宋体" w:hAnsi="宋体" w:hint="eastAsia"/>
        <w:bCs/>
      </w:rPr>
      <w:t>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503" w:rsidRDefault="001C4503">
    <w:pPr>
      <w:pStyle w:val="a8"/>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70D4EB84"/>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624" w:hanging="624"/>
      </w:pPr>
      <w:rPr>
        <w:rFonts w:ascii="宋体" w:eastAsia="宋体" w:hAnsi="宋体"/>
      </w:rPr>
    </w:lvl>
    <w:lvl w:ilvl="3">
      <w:start w:val="1"/>
      <w:numFmt w:val="decimal"/>
      <w:pStyle w:val="XBRLTitle4"/>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437607745">
    <w:abstractNumId w:val="0"/>
  </w:num>
  <w:num w:numId="2" w16cid:durableId="15813289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A5D63"/>
    <w:rsid w:val="001C4503"/>
    <w:rsid w:val="009E3E39"/>
    <w:rsid w:val="00AA5D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CBD95647-E985-43B7-A47D-CD25BD98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标题 1 字符"/>
    <w:basedOn w:val="a0"/>
    <w:link w:val="1"/>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link w:val="2"/>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link w:val="3"/>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link w:val="4"/>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qFormat/>
    <w:pPr>
      <w:snapToGrid w:val="0"/>
      <w:jc w:val="left"/>
    </w:pPr>
    <w:rPr>
      <w:sz w:val="18"/>
      <w:szCs w:val="18"/>
    </w:rPr>
  </w:style>
  <w:style w:type="character" w:customStyle="1" w:styleId="a7">
    <w:name w:val="脚注文本 字符"/>
    <w:basedOn w:val="a0"/>
    <w:link w:val="a6"/>
    <w:rPr>
      <w:kern w:val="2"/>
      <w:sz w:val="18"/>
      <w:szCs w:val="18"/>
    </w:rPr>
  </w:style>
  <w:style w:type="paragraph" w:styleId="a8">
    <w:name w:val="header"/>
    <w:basedOn w:val="a"/>
    <w:link w:val="13"/>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Pr>
      <w:kern w:val="2"/>
      <w:sz w:val="18"/>
      <w:szCs w:val="18"/>
    </w:rPr>
  </w:style>
  <w:style w:type="paragraph" w:styleId="aa">
    <w:name w:val="footer"/>
    <w:basedOn w:val="a"/>
    <w:link w:val="14"/>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rPr>
      <w:kern w:val="2"/>
      <w:sz w:val="18"/>
      <w:szCs w:val="18"/>
    </w:rPr>
  </w:style>
  <w:style w:type="paragraph" w:styleId="ac">
    <w:name w:val="Title"/>
    <w:basedOn w:val="1"/>
    <w:next w:val="2"/>
    <w:link w:val="15"/>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rPr>
      <w:rFonts w:asciiTheme="majorHAnsi" w:eastAsiaTheme="majorEastAsia" w:hAnsiTheme="majorHAnsi" w:cstheme="majorBidi"/>
      <w:spacing w:val="-10"/>
      <w:kern w:val="28"/>
      <w:sz w:val="56"/>
      <w:szCs w:val="56"/>
    </w:rPr>
  </w:style>
  <w:style w:type="paragraph" w:styleId="ae">
    <w:name w:val="Subtitle"/>
    <w:basedOn w:val="2"/>
    <w:next w:val="3"/>
    <w:link w:val="16"/>
    <w:qFormat/>
    <w:pPr>
      <w:spacing w:before="240" w:after="60" w:line="312" w:lineRule="auto"/>
      <w:jc w:val="left"/>
    </w:pPr>
    <w:rPr>
      <w:rFonts w:cs="Times New Roman"/>
      <w:bCs w:val="0"/>
      <w:kern w:val="28"/>
      <w:sz w:val="24"/>
    </w:rPr>
  </w:style>
  <w:style w:type="character" w:customStyle="1" w:styleId="af">
    <w:name w:val="副标题 字符"/>
    <w:basedOn w:val="a0"/>
    <w:link w:val="ae"/>
    <w:rPr>
      <w:rFonts w:asciiTheme="majorHAnsi" w:eastAsiaTheme="majorEastAsia" w:hAnsiTheme="majorHAnsi" w:cstheme="majorBidi"/>
      <w:color w:val="595959" w:themeColor="text1" w:themeTint="A6"/>
      <w:spacing w:val="15"/>
      <w:kern w:val="2"/>
      <w:sz w:val="28"/>
      <w:szCs w:val="28"/>
    </w:rPr>
  </w:style>
  <w:style w:type="paragraph" w:styleId="af0">
    <w:name w:val="Date"/>
    <w:basedOn w:val="a"/>
    <w:next w:val="a"/>
    <w:link w:val="17"/>
    <w:rPr>
      <w:rFonts w:ascii="宋体" w:hAnsi="宋体"/>
      <w:sz w:val="32"/>
      <w:lang w:val="x-none" w:eastAsia="x-none"/>
    </w:rPr>
  </w:style>
  <w:style w:type="character" w:customStyle="1" w:styleId="af1">
    <w:name w:val="日期 字符"/>
    <w:basedOn w:val="a0"/>
    <w:link w:val="af0"/>
    <w:rPr>
      <w:kern w:val="2"/>
      <w:sz w:val="21"/>
    </w:rPr>
  </w:style>
  <w:style w:type="paragraph" w:styleId="af2">
    <w:name w:val="Document Map"/>
    <w:basedOn w:val="a"/>
    <w:link w:val="18"/>
    <w:pPr>
      <w:shd w:val="clear" w:color="auto" w:fill="000080"/>
    </w:pPr>
  </w:style>
  <w:style w:type="character" w:customStyle="1" w:styleId="af3">
    <w:name w:val="文档结构图 字符"/>
    <w:basedOn w:val="a0"/>
    <w:link w:val="af2"/>
    <w:rPr>
      <w:rFonts w:ascii="Microsoft YaHei UI" w:eastAsia="Microsoft YaHei UI"/>
      <w:kern w:val="2"/>
      <w:sz w:val="18"/>
      <w:szCs w:val="18"/>
    </w:rPr>
  </w:style>
  <w:style w:type="paragraph" w:styleId="af4">
    <w:name w:val="Balloon Text"/>
    <w:basedOn w:val="a"/>
    <w:link w:val="19"/>
    <w:uiPriority w:val="99"/>
    <w:semiHidden/>
    <w:unhideWhenUsed/>
    <w:rPr>
      <w:sz w:val="18"/>
      <w:szCs w:val="18"/>
    </w:rPr>
  </w:style>
  <w:style w:type="character" w:customStyle="1" w:styleId="af5">
    <w:name w:val="批注框文本 字符"/>
    <w:basedOn w:val="a0"/>
    <w:link w:val="af4"/>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autoRedefine/>
    <w:qFormat/>
    <w:pPr>
      <w:keepNext w:val="0"/>
      <w:keepLines w:val="0"/>
      <w:numPr>
        <w:numId w:val="2"/>
      </w:numPr>
      <w:spacing w:beforeLines="50" w:before="0" w:after="0" w:line="360" w:lineRule="auto"/>
      <w:ind w:left="850"/>
      <w:jc w:val="center"/>
    </w:pPr>
    <w:rPr>
      <w:rFonts w:ascii="宋体" w:hAnsi="宋体"/>
      <w:sz w:val="28"/>
    </w:rPr>
  </w:style>
  <w:style w:type="paragraph" w:customStyle="1" w:styleId="XBRLTitle2">
    <w:name w:val="XBRLTitle2"/>
    <w:basedOn w:val="ae"/>
    <w:next w:val="4"/>
    <w:autoRedefine/>
    <w:qFormat/>
    <w:pPr>
      <w:keepNext w:val="0"/>
      <w:keepLines w:val="0"/>
      <w:numPr>
        <w:ilvl w:val="1"/>
        <w:numId w:val="2"/>
      </w:numPr>
      <w:spacing w:beforeLines="50" w:before="0" w:after="0" w:line="240" w:lineRule="auto"/>
      <w:ind w:left="908"/>
    </w:pPr>
    <w:rPr>
      <w:rFonts w:ascii="宋体" w:eastAsia="Cambria" w:hAns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rFonts w:ascii="宋体" w:eastAsia="Cambria" w:hAns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240" w:lineRule="auto"/>
      <w:ind w:left="1248"/>
      <w:outlineLvl w:val="9"/>
    </w:pPr>
    <w:rPr>
      <w:rFonts w:ascii="宋体"/>
      <w:bCs/>
    </w:rPr>
  </w:style>
  <w:style w:type="character" w:styleId="af7">
    <w:name w:val="footnote reference"/>
    <w:qFormat/>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页眉 字符1"/>
    <w:basedOn w:val="a0"/>
    <w:link w:val="a8"/>
    <w:uiPriority w:val="99"/>
    <w:locked/>
    <w:rPr>
      <w:kern w:val="2"/>
      <w:sz w:val="18"/>
      <w:szCs w:val="18"/>
    </w:rPr>
  </w:style>
  <w:style w:type="character" w:customStyle="1" w:styleId="14">
    <w:name w:val="页脚 字符1"/>
    <w:basedOn w:val="a0"/>
    <w:link w:val="aa"/>
    <w:uiPriority w:val="99"/>
    <w:locked/>
    <w:rPr>
      <w:kern w:val="2"/>
      <w:sz w:val="18"/>
      <w:szCs w:val="18"/>
    </w:rPr>
  </w:style>
  <w:style w:type="character" w:customStyle="1" w:styleId="15">
    <w:name w:val="标题 字符1"/>
    <w:link w:val="ac"/>
    <w:uiPriority w:val="10"/>
    <w:locked/>
    <w:rPr>
      <w:rFonts w:ascii="Cambria" w:hAnsi="Cambria" w:cs="Times New Roman" w:hint="default"/>
      <w:b/>
      <w:bCs/>
      <w:sz w:val="32"/>
      <w:szCs w:val="32"/>
    </w:rPr>
  </w:style>
  <w:style w:type="character" w:customStyle="1" w:styleId="16">
    <w:name w:val="副标题 字符1"/>
    <w:link w:val="ae"/>
    <w:locked/>
    <w:rPr>
      <w:rFonts w:ascii="Cambria" w:eastAsia="宋体" w:hAnsi="Cambria" w:cs="Times New Roman" w:hint="default"/>
      <w:b/>
      <w:bCs w:val="0"/>
      <w:kern w:val="28"/>
      <w:sz w:val="24"/>
      <w:szCs w:val="32"/>
    </w:rPr>
  </w:style>
  <w:style w:type="character" w:customStyle="1" w:styleId="17">
    <w:name w:val="日期 字符1"/>
    <w:link w:val="af0"/>
    <w:locked/>
    <w:rPr>
      <w:rFonts w:ascii="宋体" w:eastAsia="宋体" w:hAnsi="宋体" w:hint="eastAsia"/>
      <w:kern w:val="2"/>
      <w:sz w:val="32"/>
    </w:rPr>
  </w:style>
  <w:style w:type="character" w:customStyle="1" w:styleId="18">
    <w:name w:val="文档结构图 字符1"/>
    <w:basedOn w:val="a0"/>
    <w:link w:val="af2"/>
    <w:locked/>
    <w:rPr>
      <w:rFonts w:ascii="宋体" w:eastAsia="宋体" w:hAnsi="宋体" w:hint="eastAsia"/>
      <w:kern w:val="2"/>
      <w:sz w:val="18"/>
      <w:szCs w:val="18"/>
    </w:rPr>
  </w:style>
  <w:style w:type="character" w:customStyle="1" w:styleId="19">
    <w:name w:val="批注框文本 字符1"/>
    <w:basedOn w:val="a0"/>
    <w:link w:val="af4"/>
    <w:uiPriority w:val="99"/>
    <w:semiHidden/>
    <w:locked/>
    <w:rPr>
      <w:kern w:val="2"/>
      <w:sz w:val="18"/>
      <w:szCs w:val="18"/>
    </w:rPr>
  </w:style>
  <w:style w:type="character" w:customStyle="1" w:styleId="Char1">
    <w:name w:val="脚注文本 Char1"/>
    <w:basedOn w:val="a0"/>
    <w:uiPriority w:val="99"/>
    <w:semiHidden/>
    <w:qFormat/>
    <w:rPr>
      <w:sz w:val="18"/>
      <w:szCs w:val="18"/>
    </w:rPr>
  </w:style>
  <w:style w:type="table" w:styleId="af8">
    <w:name w:val="Table Grid"/>
    <w:basedOn w:val="a1"/>
    <w:uiPriority w:val="59"/>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0">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styleId="af9">
    <w:name w:val="page number"/>
    <w:basedOn w:val="a0"/>
    <w:uiPriority w:val="99"/>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06993">
      <w:marLeft w:val="0"/>
      <w:marRight w:val="0"/>
      <w:marTop w:val="0"/>
      <w:marBottom w:val="0"/>
      <w:divBdr>
        <w:top w:val="none" w:sz="0" w:space="0" w:color="auto"/>
        <w:left w:val="none" w:sz="0" w:space="0" w:color="auto"/>
        <w:bottom w:val="none" w:sz="0" w:space="0" w:color="auto"/>
        <w:right w:val="none" w:sz="0" w:space="0" w:color="auto"/>
      </w:divBdr>
    </w:div>
    <w:div w:id="414589387">
      <w:marLeft w:val="0"/>
      <w:marRight w:val="0"/>
      <w:marTop w:val="0"/>
      <w:marBottom w:val="0"/>
      <w:divBdr>
        <w:top w:val="none" w:sz="0" w:space="0" w:color="auto"/>
        <w:left w:val="none" w:sz="0" w:space="0" w:color="auto"/>
        <w:bottom w:val="none" w:sz="0" w:space="0" w:color="auto"/>
        <w:right w:val="none" w:sz="0" w:space="0" w:color="auto"/>
      </w:divBdr>
    </w:div>
    <w:div w:id="631791972">
      <w:marLeft w:val="0"/>
      <w:marRight w:val="0"/>
      <w:marTop w:val="0"/>
      <w:marBottom w:val="0"/>
      <w:divBdr>
        <w:top w:val="none" w:sz="0" w:space="0" w:color="auto"/>
        <w:left w:val="none" w:sz="0" w:space="0" w:color="auto"/>
        <w:bottom w:val="none" w:sz="0" w:space="0" w:color="auto"/>
        <w:right w:val="none" w:sz="0" w:space="0" w:color="auto"/>
      </w:divBdr>
      <w:divsChild>
        <w:div w:id="1424104591">
          <w:marLeft w:val="0"/>
          <w:marRight w:val="0"/>
          <w:marTop w:val="0"/>
          <w:marBottom w:val="0"/>
          <w:divBdr>
            <w:top w:val="none" w:sz="0" w:space="0" w:color="auto"/>
            <w:left w:val="none" w:sz="0" w:space="0" w:color="auto"/>
            <w:bottom w:val="none" w:sz="0" w:space="0" w:color="auto"/>
            <w:right w:val="none" w:sz="0" w:space="0" w:color="auto"/>
          </w:divBdr>
        </w:div>
      </w:divsChild>
    </w:div>
    <w:div w:id="732240463">
      <w:marLeft w:val="0"/>
      <w:marRight w:val="0"/>
      <w:marTop w:val="0"/>
      <w:marBottom w:val="0"/>
      <w:divBdr>
        <w:top w:val="none" w:sz="0" w:space="0" w:color="auto"/>
        <w:left w:val="none" w:sz="0" w:space="0" w:color="auto"/>
        <w:bottom w:val="none" w:sz="0" w:space="0" w:color="auto"/>
        <w:right w:val="none" w:sz="0" w:space="0" w:color="auto"/>
      </w:divBdr>
    </w:div>
    <w:div w:id="777414058">
      <w:marLeft w:val="0"/>
      <w:marRight w:val="0"/>
      <w:marTop w:val="0"/>
      <w:marBottom w:val="0"/>
      <w:divBdr>
        <w:top w:val="none" w:sz="0" w:space="0" w:color="auto"/>
        <w:left w:val="none" w:sz="0" w:space="0" w:color="auto"/>
        <w:bottom w:val="none" w:sz="0" w:space="0" w:color="auto"/>
        <w:right w:val="none" w:sz="0" w:space="0" w:color="auto"/>
      </w:divBdr>
    </w:div>
    <w:div w:id="966855204">
      <w:marLeft w:val="0"/>
      <w:marRight w:val="0"/>
      <w:marTop w:val="0"/>
      <w:marBottom w:val="0"/>
      <w:divBdr>
        <w:top w:val="none" w:sz="0" w:space="0" w:color="auto"/>
        <w:left w:val="none" w:sz="0" w:space="0" w:color="auto"/>
        <w:bottom w:val="none" w:sz="0" w:space="0" w:color="auto"/>
        <w:right w:val="none" w:sz="0" w:space="0" w:color="auto"/>
      </w:divBdr>
    </w:div>
    <w:div w:id="1234121804">
      <w:marLeft w:val="0"/>
      <w:marRight w:val="0"/>
      <w:marTop w:val="0"/>
      <w:marBottom w:val="0"/>
      <w:divBdr>
        <w:top w:val="none" w:sz="0" w:space="0" w:color="auto"/>
        <w:left w:val="none" w:sz="0" w:space="0" w:color="auto"/>
        <w:bottom w:val="none" w:sz="0" w:space="0" w:color="auto"/>
        <w:right w:val="none" w:sz="0" w:space="0" w:color="auto"/>
      </w:divBdr>
    </w:div>
    <w:div w:id="1251504367">
      <w:marLeft w:val="0"/>
      <w:marRight w:val="0"/>
      <w:marTop w:val="0"/>
      <w:marBottom w:val="0"/>
      <w:divBdr>
        <w:top w:val="none" w:sz="0" w:space="0" w:color="auto"/>
        <w:left w:val="none" w:sz="0" w:space="0" w:color="auto"/>
        <w:bottom w:val="none" w:sz="0" w:space="0" w:color="auto"/>
        <w:right w:val="none" w:sz="0" w:space="0" w:color="auto"/>
      </w:divBdr>
    </w:div>
    <w:div w:id="1318075101">
      <w:marLeft w:val="0"/>
      <w:marRight w:val="0"/>
      <w:marTop w:val="0"/>
      <w:marBottom w:val="0"/>
      <w:divBdr>
        <w:top w:val="none" w:sz="0" w:space="0" w:color="auto"/>
        <w:left w:val="none" w:sz="0" w:space="0" w:color="auto"/>
        <w:bottom w:val="none" w:sz="0" w:space="0" w:color="auto"/>
        <w:right w:val="none" w:sz="0" w:space="0" w:color="auto"/>
      </w:divBdr>
    </w:div>
    <w:div w:id="1334454500">
      <w:marLeft w:val="0"/>
      <w:marRight w:val="0"/>
      <w:marTop w:val="0"/>
      <w:marBottom w:val="0"/>
      <w:divBdr>
        <w:top w:val="none" w:sz="0" w:space="0" w:color="auto"/>
        <w:left w:val="none" w:sz="0" w:space="0" w:color="auto"/>
        <w:bottom w:val="none" w:sz="0" w:space="0" w:color="auto"/>
        <w:right w:val="none" w:sz="0" w:space="0" w:color="auto"/>
      </w:divBdr>
    </w:div>
    <w:div w:id="1341278386">
      <w:marLeft w:val="0"/>
      <w:marRight w:val="0"/>
      <w:marTop w:val="0"/>
      <w:marBottom w:val="0"/>
      <w:divBdr>
        <w:top w:val="none" w:sz="0" w:space="0" w:color="auto"/>
        <w:left w:val="none" w:sz="0" w:space="0" w:color="auto"/>
        <w:bottom w:val="none" w:sz="0" w:space="0" w:color="auto"/>
        <w:right w:val="none" w:sz="0" w:space="0" w:color="auto"/>
      </w:divBdr>
    </w:div>
    <w:div w:id="1430811961">
      <w:marLeft w:val="0"/>
      <w:marRight w:val="0"/>
      <w:marTop w:val="0"/>
      <w:marBottom w:val="0"/>
      <w:divBdr>
        <w:top w:val="none" w:sz="0" w:space="0" w:color="auto"/>
        <w:left w:val="none" w:sz="0" w:space="0" w:color="auto"/>
        <w:bottom w:val="none" w:sz="0" w:space="0" w:color="auto"/>
        <w:right w:val="none" w:sz="0" w:space="0" w:color="auto"/>
      </w:divBdr>
    </w:div>
    <w:div w:id="1579904290">
      <w:marLeft w:val="0"/>
      <w:marRight w:val="0"/>
      <w:marTop w:val="0"/>
      <w:marBottom w:val="0"/>
      <w:divBdr>
        <w:top w:val="none" w:sz="0" w:space="0" w:color="auto"/>
        <w:left w:val="none" w:sz="0" w:space="0" w:color="auto"/>
        <w:bottom w:val="none" w:sz="0" w:space="0" w:color="auto"/>
        <w:right w:val="none" w:sz="0" w:space="0" w:color="auto"/>
      </w:divBdr>
    </w:div>
    <w:div w:id="1589077810">
      <w:marLeft w:val="0"/>
      <w:marRight w:val="0"/>
      <w:marTop w:val="0"/>
      <w:marBottom w:val="0"/>
      <w:divBdr>
        <w:top w:val="none" w:sz="0" w:space="0" w:color="auto"/>
        <w:left w:val="none" w:sz="0" w:space="0" w:color="auto"/>
        <w:bottom w:val="none" w:sz="0" w:space="0" w:color="auto"/>
        <w:right w:val="none" w:sz="0" w:space="0" w:color="auto"/>
      </w:divBdr>
      <w:divsChild>
        <w:div w:id="335694552">
          <w:marLeft w:val="0"/>
          <w:marRight w:val="0"/>
          <w:marTop w:val="0"/>
          <w:marBottom w:val="0"/>
          <w:divBdr>
            <w:top w:val="none" w:sz="0" w:space="0" w:color="auto"/>
            <w:left w:val="none" w:sz="0" w:space="0" w:color="auto"/>
            <w:bottom w:val="none" w:sz="0" w:space="0" w:color="auto"/>
            <w:right w:val="none" w:sz="0" w:space="0" w:color="auto"/>
          </w:divBdr>
          <w:divsChild>
            <w:div w:id="80963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15516">
      <w:marLeft w:val="0"/>
      <w:marRight w:val="0"/>
      <w:marTop w:val="0"/>
      <w:marBottom w:val="0"/>
      <w:divBdr>
        <w:top w:val="none" w:sz="0" w:space="0" w:color="auto"/>
        <w:left w:val="none" w:sz="0" w:space="0" w:color="auto"/>
        <w:bottom w:val="none" w:sz="0" w:space="0" w:color="auto"/>
        <w:right w:val="none" w:sz="0" w:space="0" w:color="auto"/>
      </w:divBdr>
    </w:div>
    <w:div w:id="1905070099">
      <w:marLeft w:val="0"/>
      <w:marRight w:val="0"/>
      <w:marTop w:val="0"/>
      <w:marBottom w:val="0"/>
      <w:divBdr>
        <w:top w:val="none" w:sz="0" w:space="0" w:color="auto"/>
        <w:left w:val="none" w:sz="0" w:space="0" w:color="auto"/>
        <w:bottom w:val="none" w:sz="0" w:space="0" w:color="auto"/>
        <w:right w:val="none" w:sz="0" w:space="0" w:color="auto"/>
      </w:divBdr>
    </w:div>
    <w:div w:id="1975602017">
      <w:marLeft w:val="0"/>
      <w:marRight w:val="0"/>
      <w:marTop w:val="0"/>
      <w:marBottom w:val="0"/>
      <w:divBdr>
        <w:top w:val="none" w:sz="0" w:space="0" w:color="auto"/>
        <w:left w:val="none" w:sz="0" w:space="0" w:color="auto"/>
        <w:bottom w:val="none" w:sz="0" w:space="0" w:color="auto"/>
        <w:right w:val="none" w:sz="0" w:space="0" w:color="auto"/>
      </w:divBdr>
    </w:div>
    <w:div w:id="2006397026">
      <w:marLeft w:val="0"/>
      <w:marRight w:val="0"/>
      <w:marTop w:val="0"/>
      <w:marBottom w:val="0"/>
      <w:divBdr>
        <w:top w:val="none" w:sz="0" w:space="0" w:color="auto"/>
        <w:left w:val="none" w:sz="0" w:space="0" w:color="auto"/>
        <w:bottom w:val="none" w:sz="0" w:space="0" w:color="auto"/>
        <w:right w:val="none" w:sz="0" w:space="0" w:color="auto"/>
      </w:divBdr>
    </w:div>
    <w:div w:id="2085101203">
      <w:marLeft w:val="0"/>
      <w:marRight w:val="0"/>
      <w:marTop w:val="0"/>
      <w:marBottom w:val="0"/>
      <w:divBdr>
        <w:top w:val="none" w:sz="0" w:space="0" w:color="auto"/>
        <w:left w:val="none" w:sz="0" w:space="0" w:color="auto"/>
        <w:bottom w:val="none" w:sz="0" w:space="0" w:color="auto"/>
        <w:right w:val="none" w:sz="0" w:space="0" w:color="auto"/>
      </w:divBdr>
    </w:div>
    <w:div w:id="212750417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2123F-EEC0-4322-A92B-997051105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1604</Words>
  <Characters>9145</Characters>
  <Application>Microsoft Office Word</Application>
  <DocSecurity>4</DocSecurity>
  <Lines>76</Lines>
  <Paragraphs>21</Paragraphs>
  <ScaleCrop>false</ScaleCrop>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2026-07-13T13:34:00Z</dcterms:created>
  <dcterms:modified xsi:type="dcterms:W3CDTF">2026-07-13T13:34:00Z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