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上投摩根全球多元配置证券投资基金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二〇二一年十月二十七日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上投摩根全球多元配置</w:t>
            </w:r>
            <w:r w:rsidRPr="00A76A42">
              <w:rPr>
                <w:rFonts w:eastAsiaTheme="minorEastAsia"/>
                <w:color w:val="000000" w:themeColor="text1"/>
                <w:kern w:val="0"/>
                <w:szCs w:val="21"/>
              </w:rPr>
              <w:t>(QDII-FOF)</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003629</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003629</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2016</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19</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339,102,669.85</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、行业资产配置策略</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、标的基金投资策略</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）主要是指与上投摩根存在关联关系的摩根资产管理旗下的法人实体，包括但不限于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、金融衍生品投资策略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本基金可本着谨慎和风险可控的原则投资于金融衍生品，以避险和增值、管理汇率风险。</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MSCI</w:t>
            </w:r>
            <w:r w:rsidRPr="00A76A42">
              <w:rPr>
                <w:rFonts w:eastAsiaTheme="minorEastAsia"/>
                <w:color w:val="000000" w:themeColor="text1"/>
                <w:kern w:val="0"/>
                <w:szCs w:val="21"/>
              </w:rPr>
              <w:t>全球指数（</w:t>
            </w:r>
            <w:r w:rsidRPr="00A76A42">
              <w:rPr>
                <w:rFonts w:eastAsiaTheme="minorEastAsia"/>
                <w:color w:val="000000" w:themeColor="text1"/>
                <w:kern w:val="0"/>
                <w:szCs w:val="21"/>
              </w:rPr>
              <w:t>MSCI ACWI</w:t>
            </w:r>
            <w:r w:rsidRPr="00A76A42">
              <w:rPr>
                <w:rFonts w:eastAsiaTheme="minorEastAsia"/>
                <w:color w:val="000000" w:themeColor="text1"/>
                <w:kern w:val="0"/>
                <w:szCs w:val="21"/>
              </w:rPr>
              <w:t>）</w:t>
            </w:r>
            <w:r w:rsidRPr="00A76A42">
              <w:rPr>
                <w:rFonts w:eastAsiaTheme="minorEastAsia"/>
                <w:color w:val="000000" w:themeColor="text1"/>
                <w:kern w:val="0"/>
                <w:szCs w:val="21"/>
              </w:rPr>
              <w:t>*80%+</w:t>
            </w:r>
            <w:r w:rsidRPr="00A76A42">
              <w:rPr>
                <w:rFonts w:eastAsiaTheme="minorEastAsia"/>
                <w:color w:val="000000" w:themeColor="text1"/>
                <w:kern w:val="0"/>
                <w:szCs w:val="21"/>
              </w:rPr>
              <w:t>摩根大通全球债券指数（</w:t>
            </w:r>
            <w:r w:rsidRPr="00A76A42">
              <w:rPr>
                <w:rFonts w:eastAsiaTheme="minorEastAsia"/>
                <w:color w:val="000000" w:themeColor="text1"/>
                <w:kern w:val="0"/>
                <w:szCs w:val="21"/>
              </w:rPr>
              <w:t>J.P. Morgan Global Aggregate Bond Index</w:t>
            </w:r>
            <w:r w:rsidRPr="00A76A42">
              <w:rPr>
                <w:rFonts w:eastAsiaTheme="minorEastAsia"/>
                <w:color w:val="000000" w:themeColor="text1"/>
                <w:kern w:val="0"/>
                <w:szCs w:val="21"/>
              </w:rPr>
              <w:t>）</w:t>
            </w:r>
            <w:r w:rsidRPr="00A76A42">
              <w:rPr>
                <w:rFonts w:eastAsiaTheme="minorEastAsia"/>
                <w:color w:val="000000" w:themeColor="text1"/>
                <w:kern w:val="0"/>
                <w:szCs w:val="21"/>
              </w:rPr>
              <w:t>*20%</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F837BB" w:rsidRDefault="004921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w:t>
            </w:r>
            <w:r w:rsidRPr="00A76A42">
              <w:rPr>
                <w:rFonts w:eastAsiaTheme="minorEastAsia"/>
                <w:color w:val="000000" w:themeColor="text1"/>
                <w:kern w:val="0"/>
                <w:szCs w:val="21"/>
              </w:rPr>
              <w:t>(</w:t>
            </w:r>
            <w:r w:rsidRPr="00A76A42">
              <w:rPr>
                <w:rFonts w:eastAsiaTheme="minorEastAsia"/>
                <w:color w:val="000000" w:themeColor="text1"/>
                <w:kern w:val="0"/>
                <w:szCs w:val="21"/>
              </w:rPr>
              <w:t>亚太</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92192" w:rsidRPr="00A76A42" w:rsidTr="00492192">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492192" w:rsidRPr="00A76A42" w:rsidTr="004921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1,152,412.57</w:t>
            </w:r>
          </w:p>
        </w:tc>
      </w:tr>
      <w:tr w:rsidR="00492192" w:rsidRPr="00A76A42" w:rsidTr="004921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412,802.09</w:t>
            </w:r>
          </w:p>
        </w:tc>
      </w:tr>
      <w:tr w:rsidR="00492192" w:rsidRPr="00A76A42" w:rsidTr="004921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0.0013</w:t>
            </w:r>
          </w:p>
        </w:tc>
      </w:tr>
      <w:tr w:rsidR="00492192" w:rsidRPr="00A76A42" w:rsidTr="004921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490,407,320.49</w:t>
            </w:r>
          </w:p>
        </w:tc>
      </w:tr>
      <w:tr w:rsidR="00492192" w:rsidRPr="00A76A42" w:rsidTr="00492192">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1.4462</w:t>
            </w:r>
          </w:p>
        </w:tc>
      </w:tr>
    </w:tbl>
    <w:p w:rsidR="00F837BB" w:rsidRDefault="004921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492192">
        <w:tc>
          <w:tcPr>
            <w:tcW w:w="1395" w:type="dxa"/>
            <w:vAlign w:val="center"/>
          </w:tcPr>
          <w:p w:rsidR="00492192" w:rsidRDefault="00492192" w:rsidP="00492192">
            <w:pPr>
              <w:jc w:val="left"/>
            </w:pPr>
            <w:r>
              <w:rPr>
                <w:rFonts w:eastAsiaTheme="minorEastAsia"/>
                <w:color w:val="000000" w:themeColor="text1"/>
                <w:szCs w:val="21"/>
              </w:rPr>
              <w:t>过去三个月</w:t>
            </w:r>
          </w:p>
        </w:tc>
        <w:tc>
          <w:tcPr>
            <w:tcW w:w="1092" w:type="dxa"/>
            <w:vAlign w:val="center"/>
          </w:tcPr>
          <w:p w:rsidR="00492192" w:rsidRDefault="00492192" w:rsidP="00492192">
            <w:pPr>
              <w:jc w:val="right"/>
            </w:pPr>
            <w:r>
              <w:rPr>
                <w:rFonts w:eastAsiaTheme="minorEastAsia"/>
                <w:color w:val="000000" w:themeColor="text1"/>
                <w:szCs w:val="21"/>
              </w:rPr>
              <w:t>0.22%</w:t>
            </w:r>
          </w:p>
        </w:tc>
        <w:tc>
          <w:tcPr>
            <w:tcW w:w="1161" w:type="dxa"/>
            <w:vAlign w:val="center"/>
          </w:tcPr>
          <w:p w:rsidR="00492192" w:rsidRDefault="00492192" w:rsidP="00492192">
            <w:pPr>
              <w:jc w:val="right"/>
            </w:pPr>
            <w:r>
              <w:rPr>
                <w:rFonts w:eastAsiaTheme="minorEastAsia"/>
                <w:color w:val="000000" w:themeColor="text1"/>
                <w:szCs w:val="21"/>
              </w:rPr>
              <w:t>0.47%</w:t>
            </w:r>
          </w:p>
        </w:tc>
        <w:tc>
          <w:tcPr>
            <w:tcW w:w="1181" w:type="dxa"/>
            <w:vAlign w:val="center"/>
          </w:tcPr>
          <w:p w:rsidR="00492192" w:rsidRDefault="00492192" w:rsidP="00492192">
            <w:pPr>
              <w:jc w:val="right"/>
            </w:pPr>
            <w:r>
              <w:rPr>
                <w:rFonts w:eastAsiaTheme="minorEastAsia"/>
                <w:color w:val="000000" w:themeColor="text1"/>
                <w:szCs w:val="21"/>
              </w:rPr>
              <w:t>-0.94%</w:t>
            </w:r>
          </w:p>
        </w:tc>
        <w:tc>
          <w:tcPr>
            <w:tcW w:w="1188" w:type="dxa"/>
            <w:vAlign w:val="center"/>
          </w:tcPr>
          <w:p w:rsidR="00492192" w:rsidRDefault="00492192" w:rsidP="00492192">
            <w:pPr>
              <w:jc w:val="right"/>
            </w:pPr>
            <w:r>
              <w:rPr>
                <w:rFonts w:eastAsiaTheme="minorEastAsia"/>
                <w:color w:val="000000" w:themeColor="text1"/>
                <w:szCs w:val="21"/>
              </w:rPr>
              <w:t>0.51%</w:t>
            </w:r>
          </w:p>
        </w:tc>
        <w:tc>
          <w:tcPr>
            <w:tcW w:w="1199" w:type="dxa"/>
            <w:vAlign w:val="center"/>
          </w:tcPr>
          <w:p w:rsidR="00492192" w:rsidRDefault="00492192" w:rsidP="00492192">
            <w:pPr>
              <w:jc w:val="right"/>
            </w:pPr>
            <w:r>
              <w:rPr>
                <w:rFonts w:eastAsiaTheme="minorEastAsia"/>
                <w:color w:val="000000" w:themeColor="text1"/>
                <w:szCs w:val="21"/>
              </w:rPr>
              <w:t>1.16%</w:t>
            </w:r>
          </w:p>
        </w:tc>
        <w:tc>
          <w:tcPr>
            <w:tcW w:w="1204" w:type="dxa"/>
            <w:vAlign w:val="center"/>
          </w:tcPr>
          <w:p w:rsidR="00492192" w:rsidRDefault="00492192" w:rsidP="00492192">
            <w:pPr>
              <w:jc w:val="right"/>
            </w:pPr>
            <w:r>
              <w:rPr>
                <w:rFonts w:eastAsiaTheme="minorEastAsia"/>
                <w:color w:val="000000" w:themeColor="text1"/>
                <w:szCs w:val="21"/>
              </w:rPr>
              <w:t>-0.04%</w:t>
            </w:r>
          </w:p>
        </w:tc>
      </w:tr>
      <w:tr w:rsidR="00492192">
        <w:tc>
          <w:tcPr>
            <w:tcW w:w="1395" w:type="dxa"/>
            <w:vAlign w:val="center"/>
          </w:tcPr>
          <w:p w:rsidR="00492192" w:rsidRDefault="00492192" w:rsidP="00492192">
            <w:pPr>
              <w:jc w:val="left"/>
            </w:pPr>
            <w:r>
              <w:rPr>
                <w:rFonts w:eastAsiaTheme="minorEastAsia"/>
                <w:color w:val="000000" w:themeColor="text1"/>
                <w:szCs w:val="21"/>
              </w:rPr>
              <w:t>过去六个月</w:t>
            </w:r>
          </w:p>
        </w:tc>
        <w:tc>
          <w:tcPr>
            <w:tcW w:w="1092" w:type="dxa"/>
            <w:vAlign w:val="center"/>
          </w:tcPr>
          <w:p w:rsidR="00492192" w:rsidRDefault="00492192" w:rsidP="00492192">
            <w:pPr>
              <w:jc w:val="right"/>
            </w:pPr>
            <w:r>
              <w:rPr>
                <w:rFonts w:eastAsiaTheme="minorEastAsia"/>
                <w:color w:val="000000" w:themeColor="text1"/>
                <w:szCs w:val="21"/>
              </w:rPr>
              <w:t>2.20%</w:t>
            </w:r>
          </w:p>
        </w:tc>
        <w:tc>
          <w:tcPr>
            <w:tcW w:w="1161" w:type="dxa"/>
            <w:vAlign w:val="center"/>
          </w:tcPr>
          <w:p w:rsidR="00492192" w:rsidRDefault="00492192" w:rsidP="00492192">
            <w:pPr>
              <w:jc w:val="right"/>
            </w:pPr>
            <w:r>
              <w:rPr>
                <w:rFonts w:eastAsiaTheme="minorEastAsia"/>
                <w:color w:val="000000" w:themeColor="text1"/>
                <w:szCs w:val="21"/>
              </w:rPr>
              <w:t>0.46%</w:t>
            </w:r>
          </w:p>
        </w:tc>
        <w:tc>
          <w:tcPr>
            <w:tcW w:w="1181" w:type="dxa"/>
            <w:vAlign w:val="center"/>
          </w:tcPr>
          <w:p w:rsidR="00492192" w:rsidRDefault="00492192" w:rsidP="00492192">
            <w:pPr>
              <w:jc w:val="right"/>
            </w:pPr>
            <w:r>
              <w:rPr>
                <w:rFonts w:eastAsiaTheme="minorEastAsia"/>
                <w:color w:val="000000" w:themeColor="text1"/>
                <w:szCs w:val="21"/>
              </w:rPr>
              <w:t>3.04%</w:t>
            </w:r>
          </w:p>
        </w:tc>
        <w:tc>
          <w:tcPr>
            <w:tcW w:w="1188" w:type="dxa"/>
            <w:vAlign w:val="center"/>
          </w:tcPr>
          <w:p w:rsidR="00492192" w:rsidRDefault="00492192" w:rsidP="00492192">
            <w:pPr>
              <w:jc w:val="right"/>
            </w:pPr>
            <w:r>
              <w:rPr>
                <w:rFonts w:eastAsiaTheme="minorEastAsia"/>
                <w:color w:val="000000" w:themeColor="text1"/>
                <w:szCs w:val="21"/>
              </w:rPr>
              <w:t>0.53%</w:t>
            </w:r>
          </w:p>
        </w:tc>
        <w:tc>
          <w:tcPr>
            <w:tcW w:w="1199" w:type="dxa"/>
            <w:vAlign w:val="center"/>
          </w:tcPr>
          <w:p w:rsidR="00492192" w:rsidRDefault="00492192" w:rsidP="00492192">
            <w:pPr>
              <w:jc w:val="right"/>
            </w:pPr>
            <w:r>
              <w:rPr>
                <w:rFonts w:eastAsiaTheme="minorEastAsia"/>
                <w:color w:val="000000" w:themeColor="text1"/>
                <w:szCs w:val="21"/>
              </w:rPr>
              <w:t>-0.84%</w:t>
            </w:r>
          </w:p>
        </w:tc>
        <w:tc>
          <w:tcPr>
            <w:tcW w:w="1204" w:type="dxa"/>
            <w:vAlign w:val="center"/>
          </w:tcPr>
          <w:p w:rsidR="00492192" w:rsidRDefault="00492192" w:rsidP="00492192">
            <w:pPr>
              <w:jc w:val="right"/>
            </w:pPr>
            <w:r>
              <w:rPr>
                <w:rFonts w:eastAsiaTheme="minorEastAsia"/>
                <w:color w:val="000000" w:themeColor="text1"/>
                <w:szCs w:val="21"/>
              </w:rPr>
              <w:t>-0.07%</w:t>
            </w:r>
          </w:p>
        </w:tc>
      </w:tr>
      <w:tr w:rsidR="00492192">
        <w:tc>
          <w:tcPr>
            <w:tcW w:w="1395" w:type="dxa"/>
            <w:vAlign w:val="center"/>
          </w:tcPr>
          <w:p w:rsidR="00492192" w:rsidRDefault="00492192" w:rsidP="00492192">
            <w:pPr>
              <w:jc w:val="left"/>
            </w:pPr>
            <w:r>
              <w:rPr>
                <w:rFonts w:eastAsiaTheme="minorEastAsia"/>
                <w:color w:val="000000" w:themeColor="text1"/>
                <w:szCs w:val="21"/>
              </w:rPr>
              <w:t>过去一年</w:t>
            </w:r>
          </w:p>
        </w:tc>
        <w:tc>
          <w:tcPr>
            <w:tcW w:w="1092" w:type="dxa"/>
            <w:vAlign w:val="center"/>
          </w:tcPr>
          <w:p w:rsidR="00492192" w:rsidRDefault="00492192" w:rsidP="00492192">
            <w:pPr>
              <w:jc w:val="right"/>
            </w:pPr>
            <w:r>
              <w:rPr>
                <w:rFonts w:eastAsiaTheme="minorEastAsia"/>
                <w:color w:val="000000" w:themeColor="text1"/>
                <w:szCs w:val="21"/>
              </w:rPr>
              <w:t>11.93%</w:t>
            </w:r>
          </w:p>
        </w:tc>
        <w:tc>
          <w:tcPr>
            <w:tcW w:w="1161" w:type="dxa"/>
            <w:vAlign w:val="center"/>
          </w:tcPr>
          <w:p w:rsidR="00492192" w:rsidRDefault="00492192" w:rsidP="00492192">
            <w:pPr>
              <w:jc w:val="right"/>
            </w:pPr>
            <w:r>
              <w:rPr>
                <w:rFonts w:eastAsiaTheme="minorEastAsia"/>
                <w:color w:val="000000" w:themeColor="text1"/>
                <w:szCs w:val="21"/>
              </w:rPr>
              <w:t>0.59%</w:t>
            </w:r>
          </w:p>
        </w:tc>
        <w:tc>
          <w:tcPr>
            <w:tcW w:w="1181" w:type="dxa"/>
            <w:vAlign w:val="center"/>
          </w:tcPr>
          <w:p w:rsidR="00492192" w:rsidRDefault="00492192" w:rsidP="00492192">
            <w:pPr>
              <w:jc w:val="right"/>
            </w:pPr>
            <w:r>
              <w:rPr>
                <w:rFonts w:eastAsiaTheme="minorEastAsia"/>
                <w:color w:val="000000" w:themeColor="text1"/>
                <w:szCs w:val="21"/>
              </w:rPr>
              <w:t>14.34%</w:t>
            </w:r>
          </w:p>
        </w:tc>
        <w:tc>
          <w:tcPr>
            <w:tcW w:w="1188" w:type="dxa"/>
            <w:vAlign w:val="center"/>
          </w:tcPr>
          <w:p w:rsidR="00492192" w:rsidRDefault="00492192" w:rsidP="00492192">
            <w:pPr>
              <w:jc w:val="right"/>
            </w:pPr>
            <w:r>
              <w:rPr>
                <w:rFonts w:eastAsiaTheme="minorEastAsia"/>
                <w:color w:val="000000" w:themeColor="text1"/>
                <w:szCs w:val="21"/>
              </w:rPr>
              <w:t>0.65%</w:t>
            </w:r>
          </w:p>
        </w:tc>
        <w:tc>
          <w:tcPr>
            <w:tcW w:w="1199" w:type="dxa"/>
            <w:vAlign w:val="center"/>
          </w:tcPr>
          <w:p w:rsidR="00492192" w:rsidRDefault="00492192" w:rsidP="00492192">
            <w:pPr>
              <w:jc w:val="right"/>
            </w:pPr>
            <w:r>
              <w:rPr>
                <w:rFonts w:eastAsiaTheme="minorEastAsia"/>
                <w:color w:val="000000" w:themeColor="text1"/>
                <w:szCs w:val="21"/>
              </w:rPr>
              <w:t>-2.41%</w:t>
            </w:r>
          </w:p>
        </w:tc>
        <w:tc>
          <w:tcPr>
            <w:tcW w:w="1204" w:type="dxa"/>
            <w:vAlign w:val="center"/>
          </w:tcPr>
          <w:p w:rsidR="00492192" w:rsidRDefault="00492192" w:rsidP="00492192">
            <w:pPr>
              <w:jc w:val="right"/>
            </w:pPr>
            <w:r>
              <w:rPr>
                <w:rFonts w:eastAsiaTheme="minorEastAsia"/>
                <w:color w:val="000000" w:themeColor="text1"/>
                <w:szCs w:val="21"/>
              </w:rPr>
              <w:t>-0.06%</w:t>
            </w:r>
          </w:p>
        </w:tc>
      </w:tr>
      <w:tr w:rsidR="00492192">
        <w:tc>
          <w:tcPr>
            <w:tcW w:w="1395" w:type="dxa"/>
            <w:vAlign w:val="center"/>
          </w:tcPr>
          <w:p w:rsidR="00492192" w:rsidRDefault="00492192" w:rsidP="00492192">
            <w:pPr>
              <w:jc w:val="left"/>
            </w:pPr>
            <w:r>
              <w:rPr>
                <w:rFonts w:eastAsiaTheme="minorEastAsia"/>
                <w:color w:val="000000" w:themeColor="text1"/>
                <w:szCs w:val="21"/>
              </w:rPr>
              <w:t>过去三年</w:t>
            </w:r>
          </w:p>
        </w:tc>
        <w:tc>
          <w:tcPr>
            <w:tcW w:w="1092" w:type="dxa"/>
            <w:vAlign w:val="center"/>
          </w:tcPr>
          <w:p w:rsidR="00492192" w:rsidRDefault="00492192" w:rsidP="00492192">
            <w:pPr>
              <w:jc w:val="right"/>
            </w:pPr>
            <w:r>
              <w:rPr>
                <w:rFonts w:eastAsiaTheme="minorEastAsia"/>
                <w:color w:val="000000" w:themeColor="text1"/>
                <w:szCs w:val="21"/>
              </w:rPr>
              <w:t>18.74%</w:t>
            </w:r>
          </w:p>
        </w:tc>
        <w:tc>
          <w:tcPr>
            <w:tcW w:w="1161" w:type="dxa"/>
            <w:vAlign w:val="center"/>
          </w:tcPr>
          <w:p w:rsidR="00492192" w:rsidRDefault="00492192" w:rsidP="00492192">
            <w:pPr>
              <w:jc w:val="right"/>
            </w:pPr>
            <w:r>
              <w:rPr>
                <w:rFonts w:eastAsiaTheme="minorEastAsia"/>
                <w:color w:val="000000" w:themeColor="text1"/>
                <w:szCs w:val="21"/>
              </w:rPr>
              <w:t>0.77%</w:t>
            </w:r>
          </w:p>
        </w:tc>
        <w:tc>
          <w:tcPr>
            <w:tcW w:w="1181" w:type="dxa"/>
            <w:vAlign w:val="center"/>
          </w:tcPr>
          <w:p w:rsidR="00492192" w:rsidRDefault="00492192" w:rsidP="00492192">
            <w:pPr>
              <w:jc w:val="right"/>
            </w:pPr>
            <w:r>
              <w:rPr>
                <w:rFonts w:eastAsiaTheme="minorEastAsia"/>
                <w:color w:val="000000" w:themeColor="text1"/>
                <w:szCs w:val="21"/>
              </w:rPr>
              <w:t>23.47%</w:t>
            </w:r>
          </w:p>
        </w:tc>
        <w:tc>
          <w:tcPr>
            <w:tcW w:w="1188" w:type="dxa"/>
            <w:vAlign w:val="center"/>
          </w:tcPr>
          <w:p w:rsidR="00492192" w:rsidRDefault="00492192" w:rsidP="00492192">
            <w:pPr>
              <w:jc w:val="right"/>
            </w:pPr>
            <w:r>
              <w:rPr>
                <w:rFonts w:eastAsiaTheme="minorEastAsia"/>
                <w:color w:val="000000" w:themeColor="text1"/>
                <w:szCs w:val="21"/>
              </w:rPr>
              <w:t>0.99%</w:t>
            </w:r>
          </w:p>
        </w:tc>
        <w:tc>
          <w:tcPr>
            <w:tcW w:w="1199" w:type="dxa"/>
            <w:vAlign w:val="center"/>
          </w:tcPr>
          <w:p w:rsidR="00492192" w:rsidRDefault="00492192" w:rsidP="00492192">
            <w:pPr>
              <w:jc w:val="right"/>
            </w:pPr>
            <w:r>
              <w:rPr>
                <w:rFonts w:eastAsiaTheme="minorEastAsia"/>
                <w:color w:val="000000" w:themeColor="text1"/>
                <w:szCs w:val="21"/>
              </w:rPr>
              <w:t>-4.73%</w:t>
            </w:r>
          </w:p>
        </w:tc>
        <w:tc>
          <w:tcPr>
            <w:tcW w:w="1204" w:type="dxa"/>
            <w:vAlign w:val="center"/>
          </w:tcPr>
          <w:p w:rsidR="00492192" w:rsidRDefault="00492192" w:rsidP="00492192">
            <w:pPr>
              <w:jc w:val="right"/>
            </w:pPr>
            <w:r>
              <w:rPr>
                <w:rFonts w:eastAsiaTheme="minorEastAsia"/>
                <w:color w:val="000000" w:themeColor="text1"/>
                <w:szCs w:val="21"/>
              </w:rPr>
              <w:t>-0.22%</w:t>
            </w:r>
          </w:p>
        </w:tc>
      </w:tr>
      <w:tr w:rsidR="00F837BB">
        <w:tc>
          <w:tcPr>
            <w:tcW w:w="1395" w:type="dxa"/>
            <w:vAlign w:val="center"/>
          </w:tcPr>
          <w:p w:rsidR="00F837BB" w:rsidRDefault="00492192">
            <w:pPr>
              <w:jc w:val="left"/>
            </w:pPr>
            <w:r>
              <w:rPr>
                <w:rFonts w:eastAsiaTheme="minorEastAsia"/>
                <w:color w:val="000000" w:themeColor="text1"/>
                <w:szCs w:val="21"/>
              </w:rPr>
              <w:t>过去五年</w:t>
            </w:r>
          </w:p>
        </w:tc>
        <w:tc>
          <w:tcPr>
            <w:tcW w:w="1092" w:type="dxa"/>
            <w:vAlign w:val="center"/>
          </w:tcPr>
          <w:p w:rsidR="00F837BB" w:rsidRDefault="00492192">
            <w:pPr>
              <w:jc w:val="right"/>
            </w:pPr>
            <w:r>
              <w:rPr>
                <w:rFonts w:eastAsiaTheme="minorEastAsia"/>
                <w:color w:val="000000" w:themeColor="text1"/>
                <w:szCs w:val="21"/>
              </w:rPr>
              <w:t>-</w:t>
            </w:r>
          </w:p>
        </w:tc>
        <w:tc>
          <w:tcPr>
            <w:tcW w:w="1161" w:type="dxa"/>
            <w:vAlign w:val="center"/>
          </w:tcPr>
          <w:p w:rsidR="00F837BB" w:rsidRDefault="00492192">
            <w:pPr>
              <w:jc w:val="right"/>
            </w:pPr>
            <w:r>
              <w:rPr>
                <w:rFonts w:eastAsiaTheme="minorEastAsia"/>
                <w:color w:val="000000" w:themeColor="text1"/>
                <w:szCs w:val="21"/>
              </w:rPr>
              <w:t>-</w:t>
            </w:r>
          </w:p>
        </w:tc>
        <w:tc>
          <w:tcPr>
            <w:tcW w:w="1181" w:type="dxa"/>
            <w:vAlign w:val="center"/>
          </w:tcPr>
          <w:p w:rsidR="00F837BB" w:rsidRDefault="00492192">
            <w:pPr>
              <w:jc w:val="right"/>
            </w:pPr>
            <w:r>
              <w:rPr>
                <w:rFonts w:eastAsiaTheme="minorEastAsia"/>
                <w:color w:val="000000" w:themeColor="text1"/>
                <w:szCs w:val="21"/>
              </w:rPr>
              <w:t>-</w:t>
            </w:r>
          </w:p>
        </w:tc>
        <w:tc>
          <w:tcPr>
            <w:tcW w:w="1188" w:type="dxa"/>
            <w:vAlign w:val="center"/>
          </w:tcPr>
          <w:p w:rsidR="00F837BB" w:rsidRDefault="00492192">
            <w:pPr>
              <w:jc w:val="right"/>
            </w:pPr>
            <w:r>
              <w:rPr>
                <w:rFonts w:eastAsiaTheme="minorEastAsia"/>
                <w:color w:val="000000" w:themeColor="text1"/>
                <w:szCs w:val="21"/>
              </w:rPr>
              <w:t>-</w:t>
            </w:r>
          </w:p>
        </w:tc>
        <w:tc>
          <w:tcPr>
            <w:tcW w:w="1199" w:type="dxa"/>
            <w:vAlign w:val="center"/>
          </w:tcPr>
          <w:p w:rsidR="00F837BB" w:rsidRDefault="00492192">
            <w:pPr>
              <w:jc w:val="right"/>
            </w:pPr>
            <w:r>
              <w:rPr>
                <w:rFonts w:eastAsiaTheme="minorEastAsia"/>
                <w:color w:val="000000" w:themeColor="text1"/>
                <w:szCs w:val="21"/>
              </w:rPr>
              <w:t>-</w:t>
            </w:r>
          </w:p>
        </w:tc>
        <w:tc>
          <w:tcPr>
            <w:tcW w:w="1204" w:type="dxa"/>
            <w:vAlign w:val="center"/>
          </w:tcPr>
          <w:p w:rsidR="00F837BB" w:rsidRDefault="00492192">
            <w:pPr>
              <w:jc w:val="right"/>
            </w:pPr>
            <w:r>
              <w:rPr>
                <w:rFonts w:eastAsiaTheme="minorEastAsia"/>
                <w:color w:val="000000" w:themeColor="text1"/>
                <w:szCs w:val="21"/>
              </w:rPr>
              <w:t>-</w:t>
            </w:r>
          </w:p>
        </w:tc>
      </w:tr>
      <w:tr w:rsidR="00F837BB">
        <w:tc>
          <w:tcPr>
            <w:tcW w:w="1395" w:type="dxa"/>
            <w:vAlign w:val="center"/>
          </w:tcPr>
          <w:p w:rsidR="00F837BB" w:rsidRDefault="00492192">
            <w:pPr>
              <w:jc w:val="left"/>
            </w:pPr>
            <w:r>
              <w:rPr>
                <w:rFonts w:eastAsiaTheme="minorEastAsia"/>
                <w:color w:val="000000" w:themeColor="text1"/>
                <w:szCs w:val="21"/>
              </w:rPr>
              <w:t>自基金合同生效起至今</w:t>
            </w:r>
          </w:p>
        </w:tc>
        <w:tc>
          <w:tcPr>
            <w:tcW w:w="1092" w:type="dxa"/>
            <w:vAlign w:val="center"/>
          </w:tcPr>
          <w:p w:rsidR="00F837BB" w:rsidRDefault="00492192">
            <w:pPr>
              <w:jc w:val="right"/>
            </w:pPr>
            <w:r>
              <w:rPr>
                <w:rFonts w:eastAsiaTheme="minorEastAsia"/>
                <w:color w:val="000000" w:themeColor="text1"/>
                <w:szCs w:val="21"/>
              </w:rPr>
              <w:t>44.62%</w:t>
            </w:r>
          </w:p>
        </w:tc>
        <w:tc>
          <w:tcPr>
            <w:tcW w:w="1161" w:type="dxa"/>
            <w:vAlign w:val="center"/>
          </w:tcPr>
          <w:p w:rsidR="00F837BB" w:rsidRDefault="00492192">
            <w:pPr>
              <w:jc w:val="right"/>
            </w:pPr>
            <w:r>
              <w:rPr>
                <w:rFonts w:eastAsiaTheme="minorEastAsia"/>
                <w:color w:val="000000" w:themeColor="text1"/>
                <w:szCs w:val="21"/>
              </w:rPr>
              <w:t>0.69%</w:t>
            </w:r>
          </w:p>
        </w:tc>
        <w:tc>
          <w:tcPr>
            <w:tcW w:w="1181" w:type="dxa"/>
            <w:vAlign w:val="center"/>
          </w:tcPr>
          <w:p w:rsidR="00F837BB" w:rsidRDefault="00492192">
            <w:pPr>
              <w:jc w:val="right"/>
            </w:pPr>
            <w:r>
              <w:rPr>
                <w:rFonts w:eastAsiaTheme="minorEastAsia"/>
                <w:color w:val="000000" w:themeColor="text1"/>
                <w:szCs w:val="21"/>
              </w:rPr>
              <w:t>47.85%</w:t>
            </w:r>
          </w:p>
        </w:tc>
        <w:tc>
          <w:tcPr>
            <w:tcW w:w="1188" w:type="dxa"/>
            <w:vAlign w:val="center"/>
          </w:tcPr>
          <w:p w:rsidR="00F837BB" w:rsidRDefault="00492192">
            <w:pPr>
              <w:jc w:val="right"/>
            </w:pPr>
            <w:r>
              <w:rPr>
                <w:rFonts w:eastAsiaTheme="minorEastAsia"/>
                <w:color w:val="000000" w:themeColor="text1"/>
                <w:szCs w:val="21"/>
              </w:rPr>
              <w:t>0.83%</w:t>
            </w:r>
          </w:p>
        </w:tc>
        <w:tc>
          <w:tcPr>
            <w:tcW w:w="1199" w:type="dxa"/>
            <w:vAlign w:val="center"/>
          </w:tcPr>
          <w:p w:rsidR="00F837BB" w:rsidRDefault="00492192">
            <w:pPr>
              <w:jc w:val="right"/>
            </w:pPr>
            <w:r>
              <w:rPr>
                <w:rFonts w:eastAsiaTheme="minorEastAsia"/>
                <w:color w:val="000000" w:themeColor="text1"/>
                <w:szCs w:val="21"/>
              </w:rPr>
              <w:t>-3.23%</w:t>
            </w:r>
          </w:p>
        </w:tc>
        <w:tc>
          <w:tcPr>
            <w:tcW w:w="1204" w:type="dxa"/>
            <w:vAlign w:val="center"/>
          </w:tcPr>
          <w:p w:rsidR="00F837BB" w:rsidRDefault="00492192">
            <w:pPr>
              <w:jc w:val="right"/>
            </w:pPr>
            <w:r>
              <w:rPr>
                <w:rFonts w:eastAsiaTheme="minorEastAsia"/>
                <w:color w:val="000000" w:themeColor="text1"/>
                <w:szCs w:val="21"/>
              </w:rPr>
              <w:t>-0.14%</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上投摩根全球多元配置证券投资基金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2016</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12</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19</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lastRenderedPageBreak/>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837BB" w:rsidRDefault="004921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F837BB">
        <w:tc>
          <w:tcPr>
            <w:tcW w:w="851" w:type="dxa"/>
            <w:vAlign w:val="center"/>
          </w:tcPr>
          <w:p w:rsidR="00F837BB" w:rsidRDefault="00492192">
            <w:pPr>
              <w:jc w:val="center"/>
            </w:pPr>
            <w:r>
              <w:rPr>
                <w:rFonts w:eastAsiaTheme="minorEastAsia"/>
                <w:color w:val="000000" w:themeColor="text1"/>
                <w:szCs w:val="21"/>
              </w:rPr>
              <w:t>张军</w:t>
            </w:r>
          </w:p>
        </w:tc>
        <w:tc>
          <w:tcPr>
            <w:tcW w:w="850" w:type="dxa"/>
            <w:vAlign w:val="center"/>
          </w:tcPr>
          <w:p w:rsidR="00F837BB" w:rsidRDefault="00492192">
            <w:pPr>
              <w:jc w:val="center"/>
            </w:pPr>
            <w:r>
              <w:rPr>
                <w:rFonts w:eastAsiaTheme="minorEastAsia"/>
                <w:color w:val="000000" w:themeColor="text1"/>
                <w:szCs w:val="21"/>
              </w:rPr>
              <w:t>本基金基金经理、投资董事</w:t>
            </w:r>
          </w:p>
        </w:tc>
        <w:tc>
          <w:tcPr>
            <w:tcW w:w="1560" w:type="dxa"/>
            <w:vAlign w:val="center"/>
          </w:tcPr>
          <w:p w:rsidR="00F837BB" w:rsidRDefault="00492192">
            <w:pPr>
              <w:jc w:val="center"/>
            </w:pPr>
            <w:r>
              <w:rPr>
                <w:rFonts w:eastAsiaTheme="minorEastAsia"/>
                <w:color w:val="000000" w:themeColor="text1"/>
                <w:szCs w:val="21"/>
              </w:rPr>
              <w:t>2016-12-19</w:t>
            </w:r>
          </w:p>
        </w:tc>
        <w:tc>
          <w:tcPr>
            <w:tcW w:w="1559" w:type="dxa"/>
            <w:vAlign w:val="center"/>
          </w:tcPr>
          <w:p w:rsidR="00F837BB" w:rsidRDefault="00492192">
            <w:pPr>
              <w:jc w:val="center"/>
            </w:pPr>
            <w:r>
              <w:rPr>
                <w:rFonts w:eastAsiaTheme="minorEastAsia"/>
                <w:color w:val="000000" w:themeColor="text1"/>
                <w:szCs w:val="21"/>
              </w:rPr>
              <w:t>-</w:t>
            </w:r>
          </w:p>
        </w:tc>
        <w:tc>
          <w:tcPr>
            <w:tcW w:w="1417" w:type="dxa"/>
            <w:vAlign w:val="center"/>
          </w:tcPr>
          <w:p w:rsidR="00F837BB" w:rsidRDefault="00492192">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F837BB" w:rsidRDefault="00492192">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lastRenderedPageBreak/>
              <w:t>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F837BB" w:rsidRDefault="004921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837BB" w:rsidRDefault="004921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张军先生为本基金首任基金经理，其任职日期指本基金基金合同生效之日。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3.</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0"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8</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4,708,798,556.58</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155,287,767.00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4,864,086,323.58</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F837BB">
        <w:tc>
          <w:tcPr>
            <w:tcW w:w="0" w:type="auto"/>
            <w:vAlign w:val="center"/>
          </w:tcPr>
          <w:p w:rsidR="00F837BB" w:rsidRDefault="00492192">
            <w:pPr>
              <w:jc w:val="center"/>
            </w:pPr>
            <w:r>
              <w:rPr>
                <w:rFonts w:eastAsiaTheme="minorEastAsia"/>
                <w:color w:val="000000" w:themeColor="text1"/>
                <w:szCs w:val="21"/>
              </w:rPr>
              <w:t>Leon Goldfeld</w:t>
            </w:r>
          </w:p>
        </w:tc>
        <w:tc>
          <w:tcPr>
            <w:tcW w:w="0" w:type="auto"/>
            <w:vAlign w:val="center"/>
          </w:tcPr>
          <w:p w:rsidR="00F837BB" w:rsidRDefault="0049219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w:t>
            </w:r>
            <w:r>
              <w:rPr>
                <w:rFonts w:eastAsiaTheme="minorEastAsia"/>
                <w:color w:val="000000" w:themeColor="text1"/>
                <w:szCs w:val="21"/>
              </w:rPr>
              <w:lastRenderedPageBreak/>
              <w:t>经理，多资产解决方案部资深投资组合经理</w:t>
            </w:r>
          </w:p>
        </w:tc>
        <w:tc>
          <w:tcPr>
            <w:tcW w:w="0" w:type="auto"/>
            <w:vAlign w:val="center"/>
          </w:tcPr>
          <w:p w:rsidR="00F837BB" w:rsidRDefault="00492192">
            <w:pPr>
              <w:jc w:val="center"/>
            </w:pPr>
            <w:r>
              <w:rPr>
                <w:rFonts w:eastAsiaTheme="minorEastAsia"/>
                <w:color w:val="000000" w:themeColor="text1"/>
                <w:szCs w:val="21"/>
              </w:rPr>
              <w:lastRenderedPageBreak/>
              <w:t>33</w:t>
            </w:r>
            <w:r>
              <w:rPr>
                <w:rFonts w:eastAsiaTheme="minorEastAsia"/>
                <w:color w:val="000000" w:themeColor="text1"/>
                <w:szCs w:val="21"/>
              </w:rPr>
              <w:t>年</w:t>
            </w:r>
          </w:p>
        </w:tc>
        <w:tc>
          <w:tcPr>
            <w:tcW w:w="0" w:type="auto"/>
            <w:vAlign w:val="center"/>
          </w:tcPr>
          <w:p w:rsidR="00F837BB" w:rsidRDefault="00492192">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w:t>
            </w:r>
            <w:r>
              <w:rPr>
                <w:rFonts w:eastAsiaTheme="minorEastAsia"/>
                <w:color w:val="000000" w:themeColor="text1"/>
                <w:szCs w:val="21"/>
              </w:rPr>
              <w:lastRenderedPageBreak/>
              <w:t>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F837BB" w:rsidRDefault="00492192">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在本报告期内，基金管理人不存在损害基金份额持有人利益的行为，勤勉尽责地为基金份额持有人谋求利益。基金管理人遵守了《证券投资基金法》及其他有关法律法规、《上投摩根全球多元配置证券投资基金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w:t>
      </w:r>
      <w:r w:rsidRPr="00A76A42">
        <w:rPr>
          <w:rFonts w:eastAsiaTheme="minorEastAsia"/>
          <w:color w:val="000000" w:themeColor="text1"/>
          <w:szCs w:val="21"/>
        </w:rPr>
        <w:lastRenderedPageBreak/>
        <w:t>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在货币政策不确定性、中国监管变化和新冠疫情确诊数据潮起潮落的背景下，本报告期内标准普尔</w:t>
      </w:r>
      <w:r>
        <w:rPr>
          <w:rFonts w:eastAsiaTheme="minorEastAsia"/>
          <w:color w:val="000000" w:themeColor="text1"/>
          <w:szCs w:val="21"/>
        </w:rPr>
        <w:t>500</w:t>
      </w:r>
      <w:r>
        <w:rPr>
          <w:rFonts w:eastAsiaTheme="minorEastAsia"/>
          <w:color w:val="000000" w:themeColor="text1"/>
          <w:szCs w:val="21"/>
        </w:rPr>
        <w:t>指数屡创历史新高。我们继续预计，随着全球经济的全面复苏和被压抑的需求的出现，到</w:t>
      </w:r>
      <w:r>
        <w:rPr>
          <w:rFonts w:eastAsiaTheme="minorEastAsia"/>
          <w:color w:val="000000" w:themeColor="text1"/>
          <w:szCs w:val="21"/>
        </w:rPr>
        <w:t>2022</w:t>
      </w:r>
      <w:r>
        <w:rPr>
          <w:rFonts w:eastAsiaTheme="minorEastAsia"/>
          <w:color w:val="000000" w:themeColor="text1"/>
          <w:szCs w:val="21"/>
        </w:rPr>
        <w:t>年底，股市仍将保持高于趋势水平的增长。同时，我们注意到经济增长的动力正在减弱，经济意外指数从高位回落。尽管经济增长放缓给股市带来了阻力，尤其是打击了市场人气，但一个有利的背景依然存在：即充足的流动性、强劲的家庭资产负债表和强劲的资本支出周期。同样重要的是，并不是所有股票的价格都已经反映了盈利增长的复苏，这一点为进一步上涨提供了基础。当然新冠肺炎以外的风险仍在继续，都令新兴市场的环境变得更为复杂。但美国和其他发达股市仍然保持了合理的平衡。增长动力和宽松政策的潜在组合可能仍然超过潜在的尾部风险。我们的多资产投资组合，股票和信贷的持续超配，以及久期的低配，反映了我们的经济乐观情绪。股票资产中，相较于新兴市场，我们继续看好发达市场，在美国，欧洲和日本之间维持合理平衡配置。在信用方面我们倾向于持有信用债，但是在经济增长的中期阶段，主要是把信用债资产作为一个生息资产来持有。</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我们的首选资产配置与</w:t>
      </w:r>
      <w:r>
        <w:rPr>
          <w:rFonts w:eastAsiaTheme="minorEastAsia"/>
          <w:color w:val="000000" w:themeColor="text1"/>
          <w:szCs w:val="21"/>
        </w:rPr>
        <w:t>6</w:t>
      </w:r>
      <w:r>
        <w:rPr>
          <w:rFonts w:eastAsiaTheme="minorEastAsia"/>
          <w:color w:val="000000" w:themeColor="text1"/>
          <w:szCs w:val="21"/>
        </w:rPr>
        <w:t>月份的策略相比几乎没有什么变化。然而，在表面之下，我们继续在投资组合内部做出微妙但重要的改变。例如，我们对久期的态度发生了转变。今年年初，我们预计收益率将快速上升，曾经有一段时间，股票与债券的相关性逐渐上升到正值区域，进而对投资组合的构建提出了挑战。随着投资者的担忧从通胀转向增长，股票和债券的负相关关系重新出现，尽管当前收益率较低，债券再次在投资组合中发挥了有价值的作用，抵消了在股票上的风险敞口。虽然我们继续预期收益率将从现在开始上升，但我们预计收益率上升的幅度和速度都将是温和的。对于持有股票的投资者来说，在投资组合中加入债券的整体收益可能会超过只持有债券。总之，我们的投资组合主要是通过持有股票来维持一种偏好风险的布局。我们的投资组合面临的最大风险是经济增长不及预期，而不是过度的通胀。但与此同时，我们注意到，全球的政策制定仍致力于支持名义增长，而这一点，为风险资产提供了一个支持性的背景。</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展望后市，指导本基金在四季度乃至明年的基础观点如下：</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一、全球经济增长高于趋势；美国现在处于中期周期；其他发达市场处于早期周期；二、通货膨胀暂时上升，但将在</w:t>
      </w:r>
      <w:r>
        <w:rPr>
          <w:rFonts w:eastAsiaTheme="minorEastAsia"/>
          <w:color w:val="000000" w:themeColor="text1"/>
          <w:szCs w:val="21"/>
        </w:rPr>
        <w:t>2022</w:t>
      </w:r>
      <w:r>
        <w:rPr>
          <w:rFonts w:eastAsiaTheme="minorEastAsia"/>
          <w:color w:val="000000" w:themeColor="text1"/>
          <w:szCs w:val="21"/>
        </w:rPr>
        <w:t>年恢复到目标水平；三、全球财政和货币政策宽松，但已超过最长期限；四、低配债券久期，尤其在美国，由于收益率有望在下半年稳步上升；五、</w:t>
      </w:r>
      <w:r>
        <w:rPr>
          <w:rFonts w:eastAsiaTheme="minorEastAsia"/>
          <w:color w:val="000000" w:themeColor="text1"/>
          <w:szCs w:val="21"/>
        </w:rPr>
        <w:lastRenderedPageBreak/>
        <w:t>美元短期受到利率的支撑，但长期趋势仍是下行；六、强劲的每股收益增长支撑股市，使美股的估值得到缓解；七、保持超配股票，偏好周期，价值和非美市场；八、重新关注长期增长主题；九、关键风险：持续通胀、新的病毒株、政策紧缩。</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本报告期全球多元配置份额净值增长率为</w:t>
      </w:r>
      <w:r w:rsidRPr="00A76A42">
        <w:rPr>
          <w:rFonts w:eastAsiaTheme="minorEastAsia"/>
          <w:color w:val="000000" w:themeColor="text1"/>
          <w:szCs w:val="21"/>
        </w:rPr>
        <w:t>:0.22%</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:-0.94%</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437,452,714.42</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88.64</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lastRenderedPageBreak/>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50,024,986.99</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10.14</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6,011,076.35</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1.22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493,488,777.76</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本报告期末本基金未持有股票和存托凭证。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本报告期末本基金未持有股票和存托凭证。</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本报告期末本基金未持有股票和存托凭证。</w:t>
      </w:r>
    </w:p>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w:t>
      </w:r>
      <w:r w:rsidR="0076518F" w:rsidRPr="00A76A42">
        <w:rPr>
          <w:rFonts w:eastAsiaTheme="minorEastAsia"/>
          <w:b/>
          <w:color w:val="000000" w:themeColor="text1"/>
          <w:kern w:val="0"/>
          <w:sz w:val="24"/>
        </w:rPr>
        <w:lastRenderedPageBreak/>
        <w:t>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76"/>
        <w:gridCol w:w="2051"/>
        <w:gridCol w:w="577"/>
        <w:gridCol w:w="577"/>
        <w:gridCol w:w="2518"/>
        <w:gridCol w:w="1424"/>
        <w:gridCol w:w="790"/>
      </w:tblGrid>
      <w:tr w:rsidR="008277FF" w:rsidRPr="00A76A42" w:rsidTr="00797DD2">
        <w:tc>
          <w:tcPr>
            <w:tcW w:w="1215"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序号</w:t>
            </w:r>
          </w:p>
        </w:tc>
        <w:tc>
          <w:tcPr>
            <w:tcW w:w="1216"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基金名称</w:t>
            </w:r>
          </w:p>
        </w:tc>
        <w:tc>
          <w:tcPr>
            <w:tcW w:w="1216" w:type="dxa"/>
            <w:vAlign w:val="center"/>
          </w:tcPr>
          <w:p w:rsidR="00017739" w:rsidRPr="00A76A42" w:rsidRDefault="00017739" w:rsidP="00797DD2">
            <w:pPr>
              <w:spacing w:line="360" w:lineRule="auto"/>
              <w:rPr>
                <w:rFonts w:eastAsiaTheme="minorEastAsia"/>
                <w:color w:val="000000" w:themeColor="text1"/>
                <w:szCs w:val="21"/>
              </w:rPr>
            </w:pPr>
            <w:r w:rsidRPr="00A76A42">
              <w:rPr>
                <w:rFonts w:eastAsiaTheme="minorEastAsia"/>
                <w:color w:val="000000" w:themeColor="text1"/>
                <w:szCs w:val="21"/>
              </w:rPr>
              <w:t>基金类型</w:t>
            </w:r>
          </w:p>
        </w:tc>
        <w:tc>
          <w:tcPr>
            <w:tcW w:w="1216"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运作方式</w:t>
            </w:r>
          </w:p>
        </w:tc>
        <w:tc>
          <w:tcPr>
            <w:tcW w:w="1216"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管理人</w:t>
            </w:r>
          </w:p>
        </w:tc>
        <w:tc>
          <w:tcPr>
            <w:tcW w:w="1217"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公允价值</w:t>
            </w:r>
          </w:p>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（人民币元）</w:t>
            </w:r>
          </w:p>
        </w:tc>
        <w:tc>
          <w:tcPr>
            <w:tcW w:w="1217" w:type="dxa"/>
            <w:vAlign w:val="center"/>
          </w:tcPr>
          <w:p w:rsidR="00017739" w:rsidRPr="00A76A42" w:rsidRDefault="00017739" w:rsidP="00797DD2">
            <w:pPr>
              <w:spacing w:line="360" w:lineRule="auto"/>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p>
        </w:tc>
      </w:tr>
      <w:tr w:rsidR="00F837BB">
        <w:tc>
          <w:tcPr>
            <w:tcW w:w="0" w:type="auto"/>
            <w:vAlign w:val="center"/>
          </w:tcPr>
          <w:p w:rsidR="00F837BB" w:rsidRDefault="00492192">
            <w:pPr>
              <w:jc w:val="center"/>
            </w:pPr>
            <w:r>
              <w:rPr>
                <w:rFonts w:eastAsiaTheme="minorEastAsia"/>
                <w:color w:val="000000" w:themeColor="text1"/>
                <w:szCs w:val="21"/>
              </w:rPr>
              <w:t>1</w:t>
            </w:r>
          </w:p>
        </w:tc>
        <w:tc>
          <w:tcPr>
            <w:tcW w:w="0" w:type="auto"/>
            <w:vAlign w:val="center"/>
          </w:tcPr>
          <w:p w:rsidR="00F837BB" w:rsidRDefault="00492192">
            <w:pPr>
              <w:jc w:val="center"/>
            </w:pPr>
            <w:r>
              <w:rPr>
                <w:rFonts w:eastAsiaTheme="minorEastAsia"/>
                <w:color w:val="000000" w:themeColor="text1"/>
                <w:szCs w:val="21"/>
              </w:rPr>
              <w:t>JPMorgan Funds-JPM US Equity All Cap Fund</w:t>
            </w:r>
          </w:p>
        </w:tc>
        <w:tc>
          <w:tcPr>
            <w:tcW w:w="0" w:type="auto"/>
            <w:vAlign w:val="center"/>
          </w:tcPr>
          <w:p w:rsidR="00F837BB" w:rsidRDefault="00492192">
            <w:pPr>
              <w:jc w:val="center"/>
            </w:pPr>
            <w:r>
              <w:rPr>
                <w:rFonts w:eastAsiaTheme="minorEastAsia"/>
                <w:color w:val="000000" w:themeColor="text1"/>
                <w:szCs w:val="21"/>
              </w:rPr>
              <w:t>股票型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83,574,003.33</w:t>
            </w:r>
          </w:p>
        </w:tc>
        <w:tc>
          <w:tcPr>
            <w:tcW w:w="0" w:type="auto"/>
            <w:vAlign w:val="center"/>
          </w:tcPr>
          <w:p w:rsidR="00F837BB" w:rsidRDefault="00492192">
            <w:pPr>
              <w:jc w:val="right"/>
            </w:pPr>
            <w:r>
              <w:rPr>
                <w:rFonts w:eastAsiaTheme="minorEastAsia"/>
                <w:color w:val="000000" w:themeColor="text1"/>
                <w:szCs w:val="21"/>
              </w:rPr>
              <w:t>17.04</w:t>
            </w:r>
          </w:p>
        </w:tc>
      </w:tr>
      <w:tr w:rsidR="00F837BB">
        <w:tc>
          <w:tcPr>
            <w:tcW w:w="0" w:type="auto"/>
            <w:vAlign w:val="center"/>
          </w:tcPr>
          <w:p w:rsidR="00F837BB" w:rsidRDefault="00492192">
            <w:pPr>
              <w:jc w:val="center"/>
            </w:pPr>
            <w:r>
              <w:rPr>
                <w:rFonts w:eastAsiaTheme="minorEastAsia"/>
                <w:color w:val="000000" w:themeColor="text1"/>
                <w:szCs w:val="21"/>
              </w:rPr>
              <w:t>2</w:t>
            </w:r>
          </w:p>
        </w:tc>
        <w:tc>
          <w:tcPr>
            <w:tcW w:w="0" w:type="auto"/>
            <w:vAlign w:val="center"/>
          </w:tcPr>
          <w:p w:rsidR="00F837BB" w:rsidRDefault="00492192">
            <w:pPr>
              <w:jc w:val="center"/>
            </w:pPr>
            <w:r>
              <w:rPr>
                <w:rFonts w:eastAsiaTheme="minorEastAsia"/>
                <w:color w:val="000000" w:themeColor="text1"/>
                <w:szCs w:val="21"/>
              </w:rPr>
              <w:t>JPMorgan Funds-JPM US Growth Fund</w:t>
            </w:r>
          </w:p>
        </w:tc>
        <w:tc>
          <w:tcPr>
            <w:tcW w:w="0" w:type="auto"/>
            <w:vAlign w:val="center"/>
          </w:tcPr>
          <w:p w:rsidR="00F837BB" w:rsidRDefault="00492192">
            <w:pPr>
              <w:jc w:val="center"/>
            </w:pPr>
            <w:r>
              <w:rPr>
                <w:rFonts w:eastAsiaTheme="minorEastAsia"/>
                <w:color w:val="000000" w:themeColor="text1"/>
                <w:szCs w:val="21"/>
              </w:rPr>
              <w:t>股票型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51,275,982.37</w:t>
            </w:r>
          </w:p>
        </w:tc>
        <w:tc>
          <w:tcPr>
            <w:tcW w:w="0" w:type="auto"/>
            <w:vAlign w:val="center"/>
          </w:tcPr>
          <w:p w:rsidR="00F837BB" w:rsidRDefault="00492192">
            <w:pPr>
              <w:jc w:val="right"/>
            </w:pPr>
            <w:r>
              <w:rPr>
                <w:rFonts w:eastAsiaTheme="minorEastAsia"/>
                <w:color w:val="000000" w:themeColor="text1"/>
                <w:szCs w:val="21"/>
              </w:rPr>
              <w:t>10.46</w:t>
            </w:r>
          </w:p>
        </w:tc>
      </w:tr>
      <w:tr w:rsidR="00F837BB">
        <w:tc>
          <w:tcPr>
            <w:tcW w:w="0" w:type="auto"/>
            <w:vAlign w:val="center"/>
          </w:tcPr>
          <w:p w:rsidR="00F837BB" w:rsidRDefault="00492192">
            <w:pPr>
              <w:jc w:val="center"/>
            </w:pPr>
            <w:r>
              <w:rPr>
                <w:rFonts w:eastAsiaTheme="minorEastAsia"/>
                <w:color w:val="000000" w:themeColor="text1"/>
                <w:szCs w:val="21"/>
              </w:rPr>
              <w:t>3</w:t>
            </w:r>
          </w:p>
        </w:tc>
        <w:tc>
          <w:tcPr>
            <w:tcW w:w="0" w:type="auto"/>
            <w:vAlign w:val="center"/>
          </w:tcPr>
          <w:p w:rsidR="00F837BB" w:rsidRDefault="00492192">
            <w:pPr>
              <w:jc w:val="center"/>
            </w:pPr>
            <w:r>
              <w:rPr>
                <w:rFonts w:eastAsiaTheme="minorEastAsia"/>
                <w:color w:val="000000" w:themeColor="text1"/>
                <w:szCs w:val="21"/>
              </w:rPr>
              <w:t>JPMorgan Funds-JPM US Value Fund</w:t>
            </w:r>
          </w:p>
        </w:tc>
        <w:tc>
          <w:tcPr>
            <w:tcW w:w="0" w:type="auto"/>
            <w:vAlign w:val="center"/>
          </w:tcPr>
          <w:p w:rsidR="00F837BB" w:rsidRDefault="00492192">
            <w:pPr>
              <w:jc w:val="center"/>
            </w:pPr>
            <w:r>
              <w:rPr>
                <w:rFonts w:eastAsiaTheme="minorEastAsia"/>
                <w:color w:val="000000" w:themeColor="text1"/>
                <w:szCs w:val="21"/>
              </w:rPr>
              <w:t>股票型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50,742,256.01</w:t>
            </w:r>
          </w:p>
        </w:tc>
        <w:tc>
          <w:tcPr>
            <w:tcW w:w="0" w:type="auto"/>
            <w:vAlign w:val="center"/>
          </w:tcPr>
          <w:p w:rsidR="00F837BB" w:rsidRDefault="00492192">
            <w:pPr>
              <w:jc w:val="right"/>
            </w:pPr>
            <w:r>
              <w:rPr>
                <w:rFonts w:eastAsiaTheme="minorEastAsia"/>
                <w:color w:val="000000" w:themeColor="text1"/>
                <w:szCs w:val="21"/>
              </w:rPr>
              <w:t>10.35</w:t>
            </w:r>
          </w:p>
        </w:tc>
      </w:tr>
      <w:tr w:rsidR="00F837BB">
        <w:tc>
          <w:tcPr>
            <w:tcW w:w="0" w:type="auto"/>
            <w:vAlign w:val="center"/>
          </w:tcPr>
          <w:p w:rsidR="00F837BB" w:rsidRDefault="00492192">
            <w:pPr>
              <w:jc w:val="center"/>
            </w:pPr>
            <w:r>
              <w:rPr>
                <w:rFonts w:eastAsiaTheme="minorEastAsia"/>
                <w:color w:val="000000" w:themeColor="text1"/>
                <w:szCs w:val="21"/>
              </w:rPr>
              <w:t>4</w:t>
            </w:r>
          </w:p>
        </w:tc>
        <w:tc>
          <w:tcPr>
            <w:tcW w:w="0" w:type="auto"/>
            <w:vAlign w:val="center"/>
          </w:tcPr>
          <w:p w:rsidR="00F837BB" w:rsidRDefault="00492192">
            <w:pPr>
              <w:jc w:val="center"/>
            </w:pPr>
            <w:r>
              <w:rPr>
                <w:rFonts w:eastAsiaTheme="minorEastAsia"/>
                <w:color w:val="000000" w:themeColor="text1"/>
                <w:szCs w:val="21"/>
              </w:rPr>
              <w:t>JPMorgan Investment Funds-JPM Global High Yield Bond Fund</w:t>
            </w:r>
          </w:p>
        </w:tc>
        <w:tc>
          <w:tcPr>
            <w:tcW w:w="0" w:type="auto"/>
            <w:vAlign w:val="center"/>
          </w:tcPr>
          <w:p w:rsidR="00F837BB" w:rsidRDefault="00492192">
            <w:pPr>
              <w:jc w:val="center"/>
            </w:pPr>
            <w:r>
              <w:rPr>
                <w:rFonts w:eastAsiaTheme="minorEastAsia"/>
                <w:color w:val="000000" w:themeColor="text1"/>
                <w:szCs w:val="21"/>
              </w:rPr>
              <w:t>债券型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41,446,095.32</w:t>
            </w:r>
          </w:p>
        </w:tc>
        <w:tc>
          <w:tcPr>
            <w:tcW w:w="0" w:type="auto"/>
            <w:vAlign w:val="center"/>
          </w:tcPr>
          <w:p w:rsidR="00F837BB" w:rsidRDefault="00492192">
            <w:pPr>
              <w:jc w:val="right"/>
            </w:pPr>
            <w:r>
              <w:rPr>
                <w:rFonts w:eastAsiaTheme="minorEastAsia"/>
                <w:color w:val="000000" w:themeColor="text1"/>
                <w:szCs w:val="21"/>
              </w:rPr>
              <w:t>8.45</w:t>
            </w:r>
          </w:p>
        </w:tc>
      </w:tr>
      <w:tr w:rsidR="00F837BB">
        <w:tc>
          <w:tcPr>
            <w:tcW w:w="0" w:type="auto"/>
            <w:vAlign w:val="center"/>
          </w:tcPr>
          <w:p w:rsidR="00F837BB" w:rsidRDefault="00492192">
            <w:pPr>
              <w:jc w:val="center"/>
            </w:pPr>
            <w:r>
              <w:rPr>
                <w:rFonts w:eastAsiaTheme="minorEastAsia"/>
                <w:color w:val="000000" w:themeColor="text1"/>
                <w:szCs w:val="21"/>
              </w:rPr>
              <w:t>5</w:t>
            </w:r>
          </w:p>
        </w:tc>
        <w:tc>
          <w:tcPr>
            <w:tcW w:w="0" w:type="auto"/>
            <w:vAlign w:val="center"/>
          </w:tcPr>
          <w:p w:rsidR="00F837BB" w:rsidRDefault="00492192">
            <w:pPr>
              <w:jc w:val="center"/>
            </w:pPr>
            <w:r>
              <w:rPr>
                <w:rFonts w:eastAsiaTheme="minorEastAsia"/>
                <w:color w:val="000000" w:themeColor="text1"/>
                <w:szCs w:val="21"/>
              </w:rPr>
              <w:t>JPMorgan SAR Global Bond Fund</w:t>
            </w:r>
          </w:p>
        </w:tc>
        <w:tc>
          <w:tcPr>
            <w:tcW w:w="0" w:type="auto"/>
            <w:vAlign w:val="center"/>
          </w:tcPr>
          <w:p w:rsidR="00F837BB" w:rsidRDefault="00492192">
            <w:pPr>
              <w:jc w:val="center"/>
            </w:pPr>
            <w:r>
              <w:rPr>
                <w:rFonts w:eastAsiaTheme="minorEastAsia"/>
                <w:color w:val="000000" w:themeColor="text1"/>
                <w:szCs w:val="21"/>
              </w:rPr>
              <w:t>债券型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JF Asset Management Limited (Part of the JPMorgan Chase &amp; Co, group of companies)</w:t>
            </w:r>
          </w:p>
        </w:tc>
        <w:tc>
          <w:tcPr>
            <w:tcW w:w="0" w:type="auto"/>
            <w:vAlign w:val="center"/>
          </w:tcPr>
          <w:p w:rsidR="00F837BB" w:rsidRDefault="00492192">
            <w:pPr>
              <w:jc w:val="right"/>
            </w:pPr>
            <w:r>
              <w:rPr>
                <w:rFonts w:eastAsiaTheme="minorEastAsia"/>
                <w:color w:val="000000" w:themeColor="text1"/>
                <w:szCs w:val="21"/>
              </w:rPr>
              <w:t>41,122,572.44</w:t>
            </w:r>
          </w:p>
        </w:tc>
        <w:tc>
          <w:tcPr>
            <w:tcW w:w="0" w:type="auto"/>
            <w:vAlign w:val="center"/>
          </w:tcPr>
          <w:p w:rsidR="00F837BB" w:rsidRDefault="00492192">
            <w:pPr>
              <w:jc w:val="right"/>
            </w:pPr>
            <w:r>
              <w:rPr>
                <w:rFonts w:eastAsiaTheme="minorEastAsia"/>
                <w:color w:val="000000" w:themeColor="text1"/>
                <w:szCs w:val="21"/>
              </w:rPr>
              <w:t>8.39</w:t>
            </w:r>
          </w:p>
        </w:tc>
      </w:tr>
      <w:tr w:rsidR="00F837BB">
        <w:tc>
          <w:tcPr>
            <w:tcW w:w="0" w:type="auto"/>
            <w:vAlign w:val="center"/>
          </w:tcPr>
          <w:p w:rsidR="00F837BB" w:rsidRDefault="00492192">
            <w:pPr>
              <w:jc w:val="center"/>
            </w:pPr>
            <w:r>
              <w:rPr>
                <w:rFonts w:eastAsiaTheme="minorEastAsia"/>
                <w:color w:val="000000" w:themeColor="text1"/>
                <w:szCs w:val="21"/>
              </w:rPr>
              <w:t>6</w:t>
            </w:r>
          </w:p>
        </w:tc>
        <w:tc>
          <w:tcPr>
            <w:tcW w:w="0" w:type="auto"/>
            <w:vAlign w:val="center"/>
          </w:tcPr>
          <w:p w:rsidR="00F837BB" w:rsidRDefault="00492192">
            <w:pPr>
              <w:jc w:val="center"/>
            </w:pPr>
            <w:r>
              <w:rPr>
                <w:rFonts w:eastAsiaTheme="minorEastAsia"/>
                <w:color w:val="000000" w:themeColor="text1"/>
                <w:szCs w:val="21"/>
              </w:rPr>
              <w:t>JPMorgan Funds-US Aggregate Bond Fund</w:t>
            </w:r>
          </w:p>
        </w:tc>
        <w:tc>
          <w:tcPr>
            <w:tcW w:w="0" w:type="auto"/>
            <w:vAlign w:val="center"/>
          </w:tcPr>
          <w:p w:rsidR="00F837BB" w:rsidRDefault="00492192">
            <w:pPr>
              <w:jc w:val="center"/>
            </w:pPr>
            <w:r>
              <w:rPr>
                <w:rFonts w:eastAsiaTheme="minorEastAsia"/>
                <w:color w:val="000000" w:themeColor="text1"/>
                <w:szCs w:val="21"/>
              </w:rPr>
              <w:t>债券型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26,589,809.24</w:t>
            </w:r>
          </w:p>
        </w:tc>
        <w:tc>
          <w:tcPr>
            <w:tcW w:w="0" w:type="auto"/>
            <w:vAlign w:val="center"/>
          </w:tcPr>
          <w:p w:rsidR="00F837BB" w:rsidRDefault="00492192">
            <w:pPr>
              <w:jc w:val="right"/>
            </w:pPr>
            <w:r>
              <w:rPr>
                <w:rFonts w:eastAsiaTheme="minorEastAsia"/>
                <w:color w:val="000000" w:themeColor="text1"/>
                <w:szCs w:val="21"/>
              </w:rPr>
              <w:t>5.42</w:t>
            </w:r>
          </w:p>
        </w:tc>
      </w:tr>
      <w:tr w:rsidR="00F837BB">
        <w:tc>
          <w:tcPr>
            <w:tcW w:w="0" w:type="auto"/>
            <w:vAlign w:val="center"/>
          </w:tcPr>
          <w:p w:rsidR="00F837BB" w:rsidRDefault="00492192">
            <w:pPr>
              <w:jc w:val="center"/>
            </w:pPr>
            <w:r>
              <w:rPr>
                <w:rFonts w:eastAsiaTheme="minorEastAsia"/>
                <w:color w:val="000000" w:themeColor="text1"/>
                <w:szCs w:val="21"/>
              </w:rPr>
              <w:t>7</w:t>
            </w:r>
          </w:p>
        </w:tc>
        <w:tc>
          <w:tcPr>
            <w:tcW w:w="0" w:type="auto"/>
            <w:vAlign w:val="center"/>
          </w:tcPr>
          <w:p w:rsidR="00F837BB" w:rsidRDefault="00492192">
            <w:pPr>
              <w:jc w:val="center"/>
            </w:pPr>
            <w:r>
              <w:rPr>
                <w:rFonts w:eastAsiaTheme="minorEastAsia"/>
                <w:color w:val="000000" w:themeColor="text1"/>
                <w:szCs w:val="21"/>
              </w:rPr>
              <w:t>JPMorgan Investment Fund-Japan Select Equity Fund</w:t>
            </w:r>
          </w:p>
        </w:tc>
        <w:tc>
          <w:tcPr>
            <w:tcW w:w="0" w:type="auto"/>
            <w:vAlign w:val="center"/>
          </w:tcPr>
          <w:p w:rsidR="00F837BB" w:rsidRDefault="00492192">
            <w:pPr>
              <w:jc w:val="center"/>
            </w:pPr>
            <w:r>
              <w:rPr>
                <w:rFonts w:eastAsiaTheme="minorEastAsia"/>
                <w:color w:val="000000" w:themeColor="text1"/>
                <w:szCs w:val="21"/>
              </w:rPr>
              <w:t>股票型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23,450,843.80</w:t>
            </w:r>
          </w:p>
        </w:tc>
        <w:tc>
          <w:tcPr>
            <w:tcW w:w="0" w:type="auto"/>
            <w:vAlign w:val="center"/>
          </w:tcPr>
          <w:p w:rsidR="00F837BB" w:rsidRDefault="00492192">
            <w:pPr>
              <w:jc w:val="right"/>
            </w:pPr>
            <w:r>
              <w:rPr>
                <w:rFonts w:eastAsiaTheme="minorEastAsia"/>
                <w:color w:val="000000" w:themeColor="text1"/>
                <w:szCs w:val="21"/>
              </w:rPr>
              <w:t>4.78</w:t>
            </w:r>
          </w:p>
        </w:tc>
      </w:tr>
      <w:tr w:rsidR="00F837BB">
        <w:tc>
          <w:tcPr>
            <w:tcW w:w="0" w:type="auto"/>
            <w:vAlign w:val="center"/>
          </w:tcPr>
          <w:p w:rsidR="00F837BB" w:rsidRDefault="00492192">
            <w:pPr>
              <w:jc w:val="center"/>
            </w:pPr>
            <w:r>
              <w:rPr>
                <w:rFonts w:eastAsiaTheme="minorEastAsia"/>
                <w:color w:val="000000" w:themeColor="text1"/>
                <w:szCs w:val="21"/>
              </w:rPr>
              <w:t>8</w:t>
            </w:r>
          </w:p>
        </w:tc>
        <w:tc>
          <w:tcPr>
            <w:tcW w:w="0" w:type="auto"/>
            <w:vAlign w:val="center"/>
          </w:tcPr>
          <w:p w:rsidR="00F837BB" w:rsidRDefault="00492192">
            <w:pPr>
              <w:jc w:val="center"/>
            </w:pPr>
            <w:r>
              <w:rPr>
                <w:rFonts w:eastAsiaTheme="minorEastAsia"/>
                <w:color w:val="000000" w:themeColor="text1"/>
                <w:szCs w:val="21"/>
              </w:rPr>
              <w:t>JPMorgan Funds-JPM Global Corporate Bond Fund</w:t>
            </w:r>
          </w:p>
        </w:tc>
        <w:tc>
          <w:tcPr>
            <w:tcW w:w="0" w:type="auto"/>
            <w:vAlign w:val="center"/>
          </w:tcPr>
          <w:p w:rsidR="00F837BB" w:rsidRDefault="00492192">
            <w:pPr>
              <w:jc w:val="center"/>
            </w:pPr>
            <w:r>
              <w:rPr>
                <w:rFonts w:eastAsiaTheme="minorEastAsia"/>
                <w:color w:val="000000" w:themeColor="text1"/>
                <w:szCs w:val="21"/>
              </w:rPr>
              <w:t>债券型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22,572,014.45</w:t>
            </w:r>
          </w:p>
        </w:tc>
        <w:tc>
          <w:tcPr>
            <w:tcW w:w="0" w:type="auto"/>
            <w:vAlign w:val="center"/>
          </w:tcPr>
          <w:p w:rsidR="00F837BB" w:rsidRDefault="00492192">
            <w:pPr>
              <w:jc w:val="right"/>
            </w:pPr>
            <w:r>
              <w:rPr>
                <w:rFonts w:eastAsiaTheme="minorEastAsia"/>
                <w:color w:val="000000" w:themeColor="text1"/>
                <w:szCs w:val="21"/>
              </w:rPr>
              <w:t>4.60</w:t>
            </w:r>
          </w:p>
        </w:tc>
      </w:tr>
      <w:tr w:rsidR="00F837BB">
        <w:tc>
          <w:tcPr>
            <w:tcW w:w="0" w:type="auto"/>
            <w:vAlign w:val="center"/>
          </w:tcPr>
          <w:p w:rsidR="00F837BB" w:rsidRDefault="00492192">
            <w:pPr>
              <w:jc w:val="center"/>
            </w:pPr>
            <w:r>
              <w:rPr>
                <w:rFonts w:eastAsiaTheme="minorEastAsia"/>
                <w:color w:val="000000" w:themeColor="text1"/>
                <w:szCs w:val="21"/>
              </w:rPr>
              <w:t>9</w:t>
            </w:r>
          </w:p>
        </w:tc>
        <w:tc>
          <w:tcPr>
            <w:tcW w:w="0" w:type="auto"/>
            <w:vAlign w:val="center"/>
          </w:tcPr>
          <w:p w:rsidR="00F837BB" w:rsidRDefault="00492192">
            <w:pPr>
              <w:jc w:val="center"/>
            </w:pPr>
            <w:r>
              <w:rPr>
                <w:rFonts w:eastAsiaTheme="minorEastAsia"/>
                <w:color w:val="000000" w:themeColor="text1"/>
                <w:szCs w:val="21"/>
              </w:rPr>
              <w:t xml:space="preserve">JPMorgan Funds-JPM Europe </w:t>
            </w:r>
            <w:r>
              <w:rPr>
                <w:rFonts w:eastAsiaTheme="minorEastAsia"/>
                <w:color w:val="000000" w:themeColor="text1"/>
                <w:szCs w:val="21"/>
              </w:rPr>
              <w:lastRenderedPageBreak/>
              <w:t>Dynamic Fund</w:t>
            </w:r>
          </w:p>
        </w:tc>
        <w:tc>
          <w:tcPr>
            <w:tcW w:w="0" w:type="auto"/>
            <w:vAlign w:val="center"/>
          </w:tcPr>
          <w:p w:rsidR="00F837BB" w:rsidRDefault="00492192">
            <w:pPr>
              <w:jc w:val="center"/>
            </w:pPr>
            <w:r>
              <w:rPr>
                <w:rFonts w:eastAsiaTheme="minorEastAsia"/>
                <w:color w:val="000000" w:themeColor="text1"/>
                <w:szCs w:val="21"/>
              </w:rPr>
              <w:lastRenderedPageBreak/>
              <w:t>股票</w:t>
            </w:r>
            <w:r>
              <w:rPr>
                <w:rFonts w:eastAsiaTheme="minorEastAsia"/>
                <w:color w:val="000000" w:themeColor="text1"/>
                <w:szCs w:val="21"/>
              </w:rPr>
              <w:lastRenderedPageBreak/>
              <w:t>型</w:t>
            </w:r>
          </w:p>
        </w:tc>
        <w:tc>
          <w:tcPr>
            <w:tcW w:w="0" w:type="auto"/>
            <w:vAlign w:val="center"/>
          </w:tcPr>
          <w:p w:rsidR="00F837BB" w:rsidRDefault="00492192">
            <w:pPr>
              <w:jc w:val="center"/>
            </w:pPr>
            <w:r>
              <w:rPr>
                <w:rFonts w:eastAsiaTheme="minorEastAsia"/>
                <w:color w:val="000000" w:themeColor="text1"/>
                <w:szCs w:val="21"/>
              </w:rPr>
              <w:lastRenderedPageBreak/>
              <w:t>开放</w:t>
            </w:r>
            <w:r>
              <w:rPr>
                <w:rFonts w:eastAsiaTheme="minorEastAsia"/>
                <w:color w:val="000000" w:themeColor="text1"/>
                <w:szCs w:val="21"/>
              </w:rPr>
              <w:lastRenderedPageBreak/>
              <w:t>式</w:t>
            </w:r>
          </w:p>
        </w:tc>
        <w:tc>
          <w:tcPr>
            <w:tcW w:w="0" w:type="auto"/>
            <w:vAlign w:val="center"/>
          </w:tcPr>
          <w:p w:rsidR="00F837BB" w:rsidRDefault="00492192">
            <w:pPr>
              <w:jc w:val="center"/>
            </w:pPr>
            <w:r>
              <w:rPr>
                <w:rFonts w:eastAsiaTheme="minorEastAsia"/>
                <w:color w:val="000000" w:themeColor="text1"/>
                <w:szCs w:val="21"/>
              </w:rPr>
              <w:lastRenderedPageBreak/>
              <w:t xml:space="preserve">JPMorgan Asset Management (Europe) S.á </w:t>
            </w:r>
            <w:r>
              <w:rPr>
                <w:rFonts w:eastAsiaTheme="minorEastAsia"/>
                <w:color w:val="000000" w:themeColor="text1"/>
                <w:szCs w:val="21"/>
              </w:rPr>
              <w:lastRenderedPageBreak/>
              <w:t>r.l.</w:t>
            </w:r>
          </w:p>
        </w:tc>
        <w:tc>
          <w:tcPr>
            <w:tcW w:w="0" w:type="auto"/>
            <w:vAlign w:val="center"/>
          </w:tcPr>
          <w:p w:rsidR="00F837BB" w:rsidRDefault="00492192">
            <w:pPr>
              <w:jc w:val="right"/>
            </w:pPr>
            <w:r>
              <w:rPr>
                <w:rFonts w:eastAsiaTheme="minorEastAsia"/>
                <w:color w:val="000000" w:themeColor="text1"/>
                <w:szCs w:val="21"/>
              </w:rPr>
              <w:lastRenderedPageBreak/>
              <w:t>20,946,817.31</w:t>
            </w:r>
          </w:p>
        </w:tc>
        <w:tc>
          <w:tcPr>
            <w:tcW w:w="0" w:type="auto"/>
            <w:vAlign w:val="center"/>
          </w:tcPr>
          <w:p w:rsidR="00F837BB" w:rsidRDefault="00492192">
            <w:pPr>
              <w:jc w:val="right"/>
            </w:pPr>
            <w:r>
              <w:rPr>
                <w:rFonts w:eastAsiaTheme="minorEastAsia"/>
                <w:color w:val="000000" w:themeColor="text1"/>
                <w:szCs w:val="21"/>
              </w:rPr>
              <w:t>4.27</w:t>
            </w:r>
          </w:p>
        </w:tc>
      </w:tr>
      <w:tr w:rsidR="00F837BB">
        <w:tc>
          <w:tcPr>
            <w:tcW w:w="0" w:type="auto"/>
            <w:vAlign w:val="center"/>
          </w:tcPr>
          <w:p w:rsidR="00F837BB" w:rsidRDefault="00492192">
            <w:pPr>
              <w:jc w:val="center"/>
            </w:pPr>
            <w:r>
              <w:rPr>
                <w:rFonts w:eastAsiaTheme="minorEastAsia"/>
                <w:color w:val="000000" w:themeColor="text1"/>
                <w:szCs w:val="21"/>
              </w:rPr>
              <w:t>10</w:t>
            </w:r>
          </w:p>
        </w:tc>
        <w:tc>
          <w:tcPr>
            <w:tcW w:w="0" w:type="auto"/>
            <w:vAlign w:val="center"/>
          </w:tcPr>
          <w:p w:rsidR="00F837BB" w:rsidRDefault="00492192">
            <w:pPr>
              <w:jc w:val="center"/>
            </w:pPr>
            <w:r>
              <w:rPr>
                <w:rFonts w:eastAsiaTheme="minorEastAsia"/>
                <w:color w:val="000000" w:themeColor="text1"/>
                <w:szCs w:val="21"/>
              </w:rPr>
              <w:t>JPMorgan Inv Funds-JPM Europe Select Equity Fund</w:t>
            </w:r>
          </w:p>
        </w:tc>
        <w:tc>
          <w:tcPr>
            <w:tcW w:w="0" w:type="auto"/>
            <w:vAlign w:val="center"/>
          </w:tcPr>
          <w:p w:rsidR="00F837BB" w:rsidRDefault="00492192">
            <w:pPr>
              <w:jc w:val="center"/>
            </w:pPr>
            <w:r>
              <w:rPr>
                <w:rFonts w:eastAsiaTheme="minorEastAsia"/>
                <w:color w:val="000000" w:themeColor="text1"/>
                <w:szCs w:val="21"/>
              </w:rPr>
              <w:t>股票型</w:t>
            </w:r>
          </w:p>
        </w:tc>
        <w:tc>
          <w:tcPr>
            <w:tcW w:w="0" w:type="auto"/>
            <w:vAlign w:val="center"/>
          </w:tcPr>
          <w:p w:rsidR="00F837BB" w:rsidRDefault="00492192">
            <w:pPr>
              <w:jc w:val="center"/>
            </w:pPr>
            <w:r>
              <w:rPr>
                <w:rFonts w:eastAsiaTheme="minorEastAsia"/>
                <w:color w:val="000000" w:themeColor="text1"/>
                <w:szCs w:val="21"/>
              </w:rPr>
              <w:t>开放式</w:t>
            </w:r>
          </w:p>
        </w:tc>
        <w:tc>
          <w:tcPr>
            <w:tcW w:w="0" w:type="auto"/>
            <w:vAlign w:val="center"/>
          </w:tcPr>
          <w:p w:rsidR="00F837BB" w:rsidRDefault="00492192">
            <w:pPr>
              <w:jc w:val="center"/>
            </w:pPr>
            <w:r>
              <w:rPr>
                <w:rFonts w:eastAsiaTheme="minorEastAsia"/>
                <w:color w:val="000000" w:themeColor="text1"/>
                <w:szCs w:val="21"/>
              </w:rPr>
              <w:t>JPMorgan Asset Management (Europe) S.á r.l.</w:t>
            </w:r>
          </w:p>
        </w:tc>
        <w:tc>
          <w:tcPr>
            <w:tcW w:w="0" w:type="auto"/>
            <w:vAlign w:val="center"/>
          </w:tcPr>
          <w:p w:rsidR="00F837BB" w:rsidRDefault="00492192">
            <w:pPr>
              <w:jc w:val="right"/>
            </w:pPr>
            <w:r>
              <w:rPr>
                <w:rFonts w:eastAsiaTheme="minorEastAsia"/>
                <w:color w:val="000000" w:themeColor="text1"/>
                <w:szCs w:val="21"/>
              </w:rPr>
              <w:t>19,628,653.92</w:t>
            </w:r>
          </w:p>
        </w:tc>
        <w:tc>
          <w:tcPr>
            <w:tcW w:w="0" w:type="auto"/>
            <w:vAlign w:val="center"/>
          </w:tcPr>
          <w:p w:rsidR="00F837BB" w:rsidRDefault="00492192">
            <w:pPr>
              <w:jc w:val="right"/>
            </w:pPr>
            <w:r>
              <w:rPr>
                <w:rFonts w:eastAsiaTheme="minorEastAsia"/>
                <w:color w:val="000000" w:themeColor="text1"/>
                <w:szCs w:val="21"/>
              </w:rPr>
              <w:t>4.00</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1,034.68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6,010,041.67</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6,011,076.35</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E3B88" w:rsidRPr="0069755E" w:rsidRDefault="0069755E" w:rsidP="002236BC">
      <w:pPr>
        <w:autoSpaceDE w:val="0"/>
        <w:autoSpaceDN w:val="0"/>
        <w:adjustRightInd w:val="0"/>
        <w:spacing w:line="360" w:lineRule="auto"/>
        <w:jc w:val="left"/>
        <w:rPr>
          <w:rFonts w:eastAsiaTheme="minorEastAsia"/>
          <w:color w:val="000000" w:themeColor="text1"/>
          <w:szCs w:val="21"/>
        </w:rPr>
      </w:pPr>
      <w:r w:rsidRPr="0069755E">
        <w:rPr>
          <w:rFonts w:eastAsiaTheme="minorEastAsia" w:hint="eastAsia"/>
          <w:color w:val="000000" w:themeColor="text1"/>
          <w:szCs w:val="21"/>
        </w:rPr>
        <w:t>本基金本报告期末前十名股票中不存在流通受限情况。</w:t>
      </w:r>
      <w:bookmarkStart w:id="1" w:name="_GoBack"/>
      <w:bookmarkEnd w:id="1"/>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309,092,600.19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44,578,791.75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14,568,722.09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339,102,669.85</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中国证监会准予上投摩根全球多元配置证券投资基金（</w:t>
      </w:r>
      <w:r>
        <w:rPr>
          <w:rFonts w:eastAsiaTheme="minorEastAsia"/>
          <w:color w:val="000000" w:themeColor="text1"/>
          <w:szCs w:val="21"/>
        </w:rPr>
        <w:t>QDII</w:t>
      </w:r>
      <w:r>
        <w:rPr>
          <w:rFonts w:eastAsiaTheme="minorEastAsia"/>
          <w:color w:val="000000" w:themeColor="text1"/>
          <w:szCs w:val="21"/>
        </w:rPr>
        <w:t>）募集注册的文件；</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《上投摩根全球多元配置证券投资基金基金合同》；</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《上投摩根全球多元配置证券投资基金托管协议》；</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F837BB" w:rsidRDefault="004921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6.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二〇二一年十月二十七日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69755E">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69755E">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69755E">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上投摩根全球多元配置证券投资基金</w:t>
    </w:r>
    <w:r w:rsidRPr="006669C9">
      <w:t>(QDII)2021</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64039"/>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192"/>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9755E"/>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837B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50C"/>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38</TotalTime>
  <Pages>15</Pages>
  <Words>1344</Words>
  <Characters>7665</Characters>
  <Application>Microsoft Office Word</Application>
  <DocSecurity>0</DocSecurity>
  <Lines>63</Lines>
  <Paragraphs>17</Paragraphs>
  <ScaleCrop>false</ScaleCrop>
  <Company>TRT. Ltd. Co.</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cp:revision>
  <cp:lastPrinted>2007-07-19T00:46:00Z</cp:lastPrinted>
  <dcterms:created xsi:type="dcterms:W3CDTF">2014-12-16T02:40:00Z</dcterms:created>
  <dcterms:modified xsi:type="dcterms:W3CDTF">2021-10-26T08:30:00Z</dcterms:modified>
</cp:coreProperties>
</file>