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上投摩根全球多元配置证券投资基金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2</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6</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基金托管人：招商银行股份有限公司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二〇二一年七月二十一日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上投摩根全球多元配置</w:t>
            </w:r>
            <w:r w:rsidRPr="00A76A42">
              <w:rPr>
                <w:rFonts w:eastAsiaTheme="minorEastAsia"/>
                <w:color w:val="000000" w:themeColor="text1"/>
                <w:kern w:val="0"/>
                <w:szCs w:val="21"/>
              </w:rPr>
              <w:t>(QDII-FOF)</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003629</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003629</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2016</w:t>
            </w:r>
            <w:r w:rsidRPr="00A76A42">
              <w:rPr>
                <w:rFonts w:eastAsiaTheme="minorEastAsia"/>
                <w:color w:val="000000" w:themeColor="text1"/>
                <w:kern w:val="0"/>
                <w:szCs w:val="21"/>
              </w:rPr>
              <w:t>年</w:t>
            </w:r>
            <w:r w:rsidRPr="00A76A42">
              <w:rPr>
                <w:rFonts w:eastAsiaTheme="minorEastAsia"/>
                <w:color w:val="000000" w:themeColor="text1"/>
                <w:kern w:val="0"/>
                <w:szCs w:val="21"/>
              </w:rPr>
              <w:t>12</w:t>
            </w:r>
            <w:r w:rsidRPr="00A76A42">
              <w:rPr>
                <w:rFonts w:eastAsiaTheme="minorEastAsia"/>
                <w:color w:val="000000" w:themeColor="text1"/>
                <w:kern w:val="0"/>
                <w:szCs w:val="21"/>
              </w:rPr>
              <w:t>月</w:t>
            </w:r>
            <w:r w:rsidRPr="00A76A42">
              <w:rPr>
                <w:rFonts w:eastAsiaTheme="minorEastAsia"/>
                <w:color w:val="000000" w:themeColor="text1"/>
                <w:kern w:val="0"/>
                <w:szCs w:val="21"/>
              </w:rPr>
              <w:t>19</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309,092,600.19</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、行业资产配置策略</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、标的基金投资策略</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）主要是指与上投摩根存在关联关系的摩根资产管理旗下的法人实体，包括但不限于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、金融衍生品投资策略</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本基金可本着谨慎和风险可控的原则投资于金融衍生品，以避险和增值、管理汇率风险。</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MSCI</w:t>
            </w:r>
            <w:r w:rsidRPr="00A76A42">
              <w:rPr>
                <w:rFonts w:eastAsiaTheme="minorEastAsia"/>
                <w:color w:val="000000" w:themeColor="text1"/>
                <w:kern w:val="0"/>
                <w:szCs w:val="21"/>
              </w:rPr>
              <w:t>全球指数（</w:t>
            </w:r>
            <w:r w:rsidRPr="00A76A42">
              <w:rPr>
                <w:rFonts w:eastAsiaTheme="minorEastAsia"/>
                <w:color w:val="000000" w:themeColor="text1"/>
                <w:kern w:val="0"/>
                <w:szCs w:val="21"/>
              </w:rPr>
              <w:t>MSCI ACWI</w:t>
            </w:r>
            <w:r w:rsidRPr="00A76A42">
              <w:rPr>
                <w:rFonts w:eastAsiaTheme="minorEastAsia"/>
                <w:color w:val="000000" w:themeColor="text1"/>
                <w:kern w:val="0"/>
                <w:szCs w:val="21"/>
              </w:rPr>
              <w:t>）</w:t>
            </w:r>
            <w:r w:rsidRPr="00A76A42">
              <w:rPr>
                <w:rFonts w:eastAsiaTheme="minorEastAsia"/>
                <w:color w:val="000000" w:themeColor="text1"/>
                <w:kern w:val="0"/>
                <w:szCs w:val="21"/>
              </w:rPr>
              <w:t>*80%+</w:t>
            </w:r>
            <w:r w:rsidRPr="00A76A42">
              <w:rPr>
                <w:rFonts w:eastAsiaTheme="minorEastAsia"/>
                <w:color w:val="000000" w:themeColor="text1"/>
                <w:kern w:val="0"/>
                <w:szCs w:val="21"/>
              </w:rPr>
              <w:t>摩根大通全球债券指数（</w:t>
            </w:r>
            <w:r w:rsidRPr="00A76A42">
              <w:rPr>
                <w:rFonts w:eastAsiaTheme="minorEastAsia"/>
                <w:color w:val="000000" w:themeColor="text1"/>
                <w:kern w:val="0"/>
                <w:szCs w:val="21"/>
              </w:rPr>
              <w:t>J.P. Morgan Global Aggregate Bond Index</w:t>
            </w:r>
            <w:r w:rsidRPr="00A76A42">
              <w:rPr>
                <w:rFonts w:eastAsiaTheme="minorEastAsia"/>
                <w:color w:val="000000" w:themeColor="text1"/>
                <w:kern w:val="0"/>
                <w:szCs w:val="21"/>
              </w:rPr>
              <w:t>）</w:t>
            </w:r>
            <w:r w:rsidRPr="00A76A42">
              <w:rPr>
                <w:rFonts w:eastAsiaTheme="minorEastAsia"/>
                <w:color w:val="000000" w:themeColor="text1"/>
                <w:kern w:val="0"/>
                <w:szCs w:val="21"/>
              </w:rPr>
              <w:t>*20%</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FC65E6" w:rsidRDefault="004412A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本基金主要投资于境外公募基金，属于中等风险收益水平的证券投资基金产品，预期风险和收益水平低于股票型基金，高于债券型基金和货币市场基金。</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招商银行股份有限公司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w:t>
            </w:r>
            <w:r w:rsidRPr="00A76A42">
              <w:rPr>
                <w:rFonts w:eastAsiaTheme="minorEastAsia"/>
                <w:color w:val="000000" w:themeColor="text1"/>
                <w:kern w:val="0"/>
                <w:szCs w:val="21"/>
              </w:rPr>
              <w:t>(</w:t>
            </w:r>
            <w:r w:rsidRPr="00A76A42">
              <w:rPr>
                <w:rFonts w:eastAsiaTheme="minorEastAsia"/>
                <w:color w:val="000000" w:themeColor="text1"/>
                <w:kern w:val="0"/>
                <w:szCs w:val="21"/>
              </w:rPr>
              <w:t>亚太</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The Hong Kong and Shanghai Banking Corporation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香港上海汇丰银行有限公司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412AB" w:rsidRPr="00A76A42" w:rsidTr="004412AB">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4412AB" w:rsidRPr="00A76A42" w:rsidTr="004412A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4,356,860.34</w:t>
            </w:r>
          </w:p>
        </w:tc>
      </w:tr>
      <w:tr w:rsidR="004412AB" w:rsidRPr="00A76A42" w:rsidTr="004412A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8,670,167.73</w:t>
            </w:r>
          </w:p>
        </w:tc>
      </w:tr>
      <w:tr w:rsidR="004412AB" w:rsidRPr="00A76A42" w:rsidTr="004412A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0.0284</w:t>
            </w:r>
          </w:p>
        </w:tc>
      </w:tr>
      <w:tr w:rsidR="004412AB" w:rsidRPr="00A76A42" w:rsidTr="004412A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446,122,463.08</w:t>
            </w:r>
          </w:p>
        </w:tc>
      </w:tr>
      <w:tr w:rsidR="004412AB" w:rsidRPr="00A76A42" w:rsidTr="004412AB">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9A6C8D">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1.443</w:t>
            </w:r>
          </w:p>
        </w:tc>
      </w:tr>
    </w:tbl>
    <w:p w:rsidR="00FC65E6" w:rsidRDefault="004412A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FC65E6">
        <w:tc>
          <w:tcPr>
            <w:tcW w:w="1395" w:type="dxa"/>
            <w:vAlign w:val="center"/>
          </w:tcPr>
          <w:p w:rsidR="00FC65E6" w:rsidRDefault="004412AB">
            <w:pPr>
              <w:jc w:val="left"/>
            </w:pPr>
            <w:r>
              <w:rPr>
                <w:rFonts w:eastAsiaTheme="minorEastAsia"/>
                <w:color w:val="000000" w:themeColor="text1"/>
                <w:szCs w:val="21"/>
              </w:rPr>
              <w:t>过去三个月</w:t>
            </w:r>
          </w:p>
        </w:tc>
        <w:tc>
          <w:tcPr>
            <w:tcW w:w="1092" w:type="dxa"/>
            <w:vAlign w:val="center"/>
          </w:tcPr>
          <w:p w:rsidR="00FC65E6" w:rsidRDefault="004412AB">
            <w:pPr>
              <w:jc w:val="right"/>
            </w:pPr>
            <w:r>
              <w:rPr>
                <w:rFonts w:eastAsiaTheme="minorEastAsia"/>
                <w:color w:val="000000" w:themeColor="text1"/>
                <w:szCs w:val="21"/>
              </w:rPr>
              <w:t>1.98%</w:t>
            </w:r>
          </w:p>
        </w:tc>
        <w:tc>
          <w:tcPr>
            <w:tcW w:w="1161" w:type="dxa"/>
            <w:vAlign w:val="center"/>
          </w:tcPr>
          <w:p w:rsidR="00FC65E6" w:rsidRDefault="004412AB">
            <w:pPr>
              <w:jc w:val="right"/>
            </w:pPr>
            <w:r>
              <w:rPr>
                <w:rFonts w:eastAsiaTheme="minorEastAsia"/>
                <w:color w:val="000000" w:themeColor="text1"/>
                <w:szCs w:val="21"/>
              </w:rPr>
              <w:t>0.46%</w:t>
            </w:r>
          </w:p>
        </w:tc>
        <w:tc>
          <w:tcPr>
            <w:tcW w:w="1181" w:type="dxa"/>
            <w:vAlign w:val="center"/>
          </w:tcPr>
          <w:p w:rsidR="00FC65E6" w:rsidRDefault="004412AB">
            <w:pPr>
              <w:jc w:val="right"/>
            </w:pPr>
            <w:r>
              <w:rPr>
                <w:rFonts w:eastAsiaTheme="minorEastAsia"/>
                <w:color w:val="000000" w:themeColor="text1"/>
                <w:szCs w:val="21"/>
              </w:rPr>
              <w:t>4.02%</w:t>
            </w:r>
          </w:p>
        </w:tc>
        <w:tc>
          <w:tcPr>
            <w:tcW w:w="1188" w:type="dxa"/>
            <w:vAlign w:val="center"/>
          </w:tcPr>
          <w:p w:rsidR="00FC65E6" w:rsidRDefault="004412AB">
            <w:pPr>
              <w:jc w:val="right"/>
            </w:pPr>
            <w:r>
              <w:rPr>
                <w:rFonts w:eastAsiaTheme="minorEastAsia"/>
                <w:color w:val="000000" w:themeColor="text1"/>
                <w:szCs w:val="21"/>
              </w:rPr>
              <w:t>0.56%</w:t>
            </w:r>
          </w:p>
        </w:tc>
        <w:tc>
          <w:tcPr>
            <w:tcW w:w="1199" w:type="dxa"/>
            <w:vAlign w:val="center"/>
          </w:tcPr>
          <w:p w:rsidR="00FC65E6" w:rsidRDefault="004412AB">
            <w:pPr>
              <w:jc w:val="right"/>
            </w:pPr>
            <w:r>
              <w:rPr>
                <w:rFonts w:eastAsiaTheme="minorEastAsia"/>
                <w:color w:val="000000" w:themeColor="text1"/>
                <w:szCs w:val="21"/>
              </w:rPr>
              <w:t>-2.04%</w:t>
            </w:r>
          </w:p>
        </w:tc>
        <w:tc>
          <w:tcPr>
            <w:tcW w:w="1204" w:type="dxa"/>
            <w:vAlign w:val="center"/>
          </w:tcPr>
          <w:p w:rsidR="00FC65E6" w:rsidRDefault="004412AB">
            <w:pPr>
              <w:jc w:val="right"/>
            </w:pPr>
            <w:r>
              <w:rPr>
                <w:rFonts w:eastAsiaTheme="minorEastAsia"/>
                <w:color w:val="000000" w:themeColor="text1"/>
                <w:szCs w:val="21"/>
              </w:rPr>
              <w:t>-0.10%</w:t>
            </w:r>
          </w:p>
        </w:tc>
      </w:tr>
      <w:tr w:rsidR="00FC65E6">
        <w:tc>
          <w:tcPr>
            <w:tcW w:w="1395" w:type="dxa"/>
            <w:vAlign w:val="center"/>
          </w:tcPr>
          <w:p w:rsidR="00FC65E6" w:rsidRDefault="004412AB">
            <w:pPr>
              <w:jc w:val="left"/>
            </w:pPr>
            <w:r>
              <w:rPr>
                <w:rFonts w:eastAsiaTheme="minorEastAsia"/>
                <w:color w:val="000000" w:themeColor="text1"/>
                <w:szCs w:val="21"/>
              </w:rPr>
              <w:t>过去六个月</w:t>
            </w:r>
          </w:p>
        </w:tc>
        <w:tc>
          <w:tcPr>
            <w:tcW w:w="1092" w:type="dxa"/>
            <w:vAlign w:val="center"/>
          </w:tcPr>
          <w:p w:rsidR="00FC65E6" w:rsidRDefault="004412AB">
            <w:pPr>
              <w:jc w:val="right"/>
            </w:pPr>
            <w:r>
              <w:rPr>
                <w:rFonts w:eastAsiaTheme="minorEastAsia"/>
                <w:color w:val="000000" w:themeColor="text1"/>
                <w:szCs w:val="21"/>
              </w:rPr>
              <w:t>6.10%</w:t>
            </w:r>
          </w:p>
        </w:tc>
        <w:tc>
          <w:tcPr>
            <w:tcW w:w="1161" w:type="dxa"/>
            <w:vAlign w:val="center"/>
          </w:tcPr>
          <w:p w:rsidR="00FC65E6" w:rsidRDefault="004412AB">
            <w:pPr>
              <w:jc w:val="right"/>
            </w:pPr>
            <w:r>
              <w:rPr>
                <w:rFonts w:eastAsiaTheme="minorEastAsia"/>
                <w:color w:val="000000" w:themeColor="text1"/>
                <w:szCs w:val="21"/>
              </w:rPr>
              <w:t>0.58%</w:t>
            </w:r>
          </w:p>
        </w:tc>
        <w:tc>
          <w:tcPr>
            <w:tcW w:w="1181" w:type="dxa"/>
            <w:vAlign w:val="center"/>
          </w:tcPr>
          <w:p w:rsidR="00FC65E6" w:rsidRDefault="004412AB">
            <w:pPr>
              <w:jc w:val="right"/>
            </w:pPr>
            <w:r>
              <w:rPr>
                <w:rFonts w:eastAsiaTheme="minorEastAsia"/>
                <w:color w:val="000000" w:themeColor="text1"/>
                <w:szCs w:val="21"/>
              </w:rPr>
              <w:t>7.34%</w:t>
            </w:r>
          </w:p>
        </w:tc>
        <w:tc>
          <w:tcPr>
            <w:tcW w:w="1188" w:type="dxa"/>
            <w:vAlign w:val="center"/>
          </w:tcPr>
          <w:p w:rsidR="00FC65E6" w:rsidRDefault="004412AB">
            <w:pPr>
              <w:jc w:val="right"/>
            </w:pPr>
            <w:r>
              <w:rPr>
                <w:rFonts w:eastAsiaTheme="minorEastAsia"/>
                <w:color w:val="000000" w:themeColor="text1"/>
                <w:szCs w:val="21"/>
              </w:rPr>
              <w:t>0.66%</w:t>
            </w:r>
          </w:p>
        </w:tc>
        <w:tc>
          <w:tcPr>
            <w:tcW w:w="1199" w:type="dxa"/>
            <w:vAlign w:val="center"/>
          </w:tcPr>
          <w:p w:rsidR="00FC65E6" w:rsidRDefault="004412AB">
            <w:pPr>
              <w:jc w:val="right"/>
            </w:pPr>
            <w:r>
              <w:rPr>
                <w:rFonts w:eastAsiaTheme="minorEastAsia"/>
                <w:color w:val="000000" w:themeColor="text1"/>
                <w:szCs w:val="21"/>
              </w:rPr>
              <w:t>-1.24%</w:t>
            </w:r>
          </w:p>
        </w:tc>
        <w:tc>
          <w:tcPr>
            <w:tcW w:w="1204" w:type="dxa"/>
            <w:vAlign w:val="center"/>
          </w:tcPr>
          <w:p w:rsidR="00FC65E6" w:rsidRDefault="004412AB">
            <w:pPr>
              <w:jc w:val="right"/>
            </w:pPr>
            <w:r>
              <w:rPr>
                <w:rFonts w:eastAsiaTheme="minorEastAsia"/>
                <w:color w:val="000000" w:themeColor="text1"/>
                <w:szCs w:val="21"/>
              </w:rPr>
              <w:t>-0.08%</w:t>
            </w:r>
          </w:p>
        </w:tc>
      </w:tr>
      <w:tr w:rsidR="00FC65E6">
        <w:tc>
          <w:tcPr>
            <w:tcW w:w="1395" w:type="dxa"/>
            <w:vAlign w:val="center"/>
          </w:tcPr>
          <w:p w:rsidR="00FC65E6" w:rsidRDefault="004412AB">
            <w:pPr>
              <w:jc w:val="left"/>
            </w:pPr>
            <w:r>
              <w:rPr>
                <w:rFonts w:eastAsiaTheme="minorEastAsia"/>
                <w:color w:val="000000" w:themeColor="text1"/>
                <w:szCs w:val="21"/>
              </w:rPr>
              <w:t>过去一年</w:t>
            </w:r>
          </w:p>
        </w:tc>
        <w:tc>
          <w:tcPr>
            <w:tcW w:w="1092" w:type="dxa"/>
            <w:vAlign w:val="center"/>
          </w:tcPr>
          <w:p w:rsidR="00FC65E6" w:rsidRDefault="004412AB">
            <w:pPr>
              <w:jc w:val="right"/>
            </w:pPr>
            <w:r>
              <w:rPr>
                <w:rFonts w:eastAsiaTheme="minorEastAsia"/>
                <w:color w:val="000000" w:themeColor="text1"/>
                <w:szCs w:val="21"/>
              </w:rPr>
              <w:t>13.71%</w:t>
            </w:r>
          </w:p>
        </w:tc>
        <w:tc>
          <w:tcPr>
            <w:tcW w:w="1161" w:type="dxa"/>
            <w:vAlign w:val="center"/>
          </w:tcPr>
          <w:p w:rsidR="00FC65E6" w:rsidRDefault="004412AB">
            <w:pPr>
              <w:jc w:val="right"/>
            </w:pPr>
            <w:r>
              <w:rPr>
                <w:rFonts w:eastAsiaTheme="minorEastAsia"/>
                <w:color w:val="000000" w:themeColor="text1"/>
                <w:szCs w:val="21"/>
              </w:rPr>
              <w:t>0.64%</w:t>
            </w:r>
          </w:p>
        </w:tc>
        <w:tc>
          <w:tcPr>
            <w:tcW w:w="1181" w:type="dxa"/>
            <w:vAlign w:val="center"/>
          </w:tcPr>
          <w:p w:rsidR="00FC65E6" w:rsidRDefault="004412AB">
            <w:pPr>
              <w:jc w:val="right"/>
            </w:pPr>
            <w:r>
              <w:rPr>
                <w:rFonts w:eastAsiaTheme="minorEastAsia"/>
                <w:color w:val="000000" w:themeColor="text1"/>
                <w:szCs w:val="21"/>
              </w:rPr>
              <w:t>18.60%</w:t>
            </w:r>
          </w:p>
        </w:tc>
        <w:tc>
          <w:tcPr>
            <w:tcW w:w="1188" w:type="dxa"/>
            <w:vAlign w:val="center"/>
          </w:tcPr>
          <w:p w:rsidR="00FC65E6" w:rsidRDefault="004412AB">
            <w:pPr>
              <w:jc w:val="right"/>
            </w:pPr>
            <w:r>
              <w:rPr>
                <w:rFonts w:eastAsiaTheme="minorEastAsia"/>
                <w:color w:val="000000" w:themeColor="text1"/>
                <w:szCs w:val="21"/>
              </w:rPr>
              <w:t>0.70%</w:t>
            </w:r>
          </w:p>
        </w:tc>
        <w:tc>
          <w:tcPr>
            <w:tcW w:w="1199" w:type="dxa"/>
            <w:vAlign w:val="center"/>
          </w:tcPr>
          <w:p w:rsidR="00FC65E6" w:rsidRDefault="004412AB">
            <w:pPr>
              <w:jc w:val="right"/>
            </w:pPr>
            <w:r>
              <w:rPr>
                <w:rFonts w:eastAsiaTheme="minorEastAsia"/>
                <w:color w:val="000000" w:themeColor="text1"/>
                <w:szCs w:val="21"/>
              </w:rPr>
              <w:t>-4.89%</w:t>
            </w:r>
          </w:p>
        </w:tc>
        <w:tc>
          <w:tcPr>
            <w:tcW w:w="1204" w:type="dxa"/>
            <w:vAlign w:val="center"/>
          </w:tcPr>
          <w:p w:rsidR="00FC65E6" w:rsidRDefault="004412AB">
            <w:pPr>
              <w:jc w:val="right"/>
            </w:pPr>
            <w:r>
              <w:rPr>
                <w:rFonts w:eastAsiaTheme="minorEastAsia"/>
                <w:color w:val="000000" w:themeColor="text1"/>
                <w:szCs w:val="21"/>
              </w:rPr>
              <w:t>-0.06%</w:t>
            </w:r>
          </w:p>
        </w:tc>
      </w:tr>
      <w:tr w:rsidR="00FC65E6">
        <w:tc>
          <w:tcPr>
            <w:tcW w:w="1395" w:type="dxa"/>
            <w:vAlign w:val="center"/>
          </w:tcPr>
          <w:p w:rsidR="00FC65E6" w:rsidRDefault="004412AB">
            <w:pPr>
              <w:jc w:val="left"/>
            </w:pPr>
            <w:r>
              <w:rPr>
                <w:rFonts w:eastAsiaTheme="minorEastAsia"/>
                <w:color w:val="000000" w:themeColor="text1"/>
                <w:szCs w:val="21"/>
              </w:rPr>
              <w:t>过去三年</w:t>
            </w:r>
          </w:p>
        </w:tc>
        <w:tc>
          <w:tcPr>
            <w:tcW w:w="1092" w:type="dxa"/>
            <w:vAlign w:val="center"/>
          </w:tcPr>
          <w:p w:rsidR="00FC65E6" w:rsidRDefault="004412AB">
            <w:pPr>
              <w:jc w:val="right"/>
            </w:pPr>
            <w:r>
              <w:rPr>
                <w:rFonts w:eastAsiaTheme="minorEastAsia"/>
                <w:color w:val="000000" w:themeColor="text1"/>
                <w:szCs w:val="21"/>
              </w:rPr>
              <w:t>26.36%</w:t>
            </w:r>
          </w:p>
        </w:tc>
        <w:tc>
          <w:tcPr>
            <w:tcW w:w="1161" w:type="dxa"/>
            <w:vAlign w:val="center"/>
          </w:tcPr>
          <w:p w:rsidR="00FC65E6" w:rsidRDefault="004412AB">
            <w:pPr>
              <w:jc w:val="right"/>
            </w:pPr>
            <w:r>
              <w:rPr>
                <w:rFonts w:eastAsiaTheme="minorEastAsia"/>
                <w:color w:val="000000" w:themeColor="text1"/>
                <w:szCs w:val="21"/>
              </w:rPr>
              <w:t>0.77%</w:t>
            </w:r>
          </w:p>
        </w:tc>
        <w:tc>
          <w:tcPr>
            <w:tcW w:w="1181" w:type="dxa"/>
            <w:vAlign w:val="center"/>
          </w:tcPr>
          <w:p w:rsidR="00FC65E6" w:rsidRDefault="004412AB">
            <w:pPr>
              <w:jc w:val="right"/>
            </w:pPr>
            <w:r>
              <w:rPr>
                <w:rFonts w:eastAsiaTheme="minorEastAsia"/>
                <w:color w:val="000000" w:themeColor="text1"/>
                <w:szCs w:val="21"/>
              </w:rPr>
              <w:t>33.47%</w:t>
            </w:r>
          </w:p>
        </w:tc>
        <w:tc>
          <w:tcPr>
            <w:tcW w:w="1188" w:type="dxa"/>
            <w:vAlign w:val="center"/>
          </w:tcPr>
          <w:p w:rsidR="00FC65E6" w:rsidRDefault="004412AB">
            <w:pPr>
              <w:jc w:val="right"/>
            </w:pPr>
            <w:r>
              <w:rPr>
                <w:rFonts w:eastAsiaTheme="minorEastAsia"/>
                <w:color w:val="000000" w:themeColor="text1"/>
                <w:szCs w:val="21"/>
              </w:rPr>
              <w:t>0.99%</w:t>
            </w:r>
          </w:p>
        </w:tc>
        <w:tc>
          <w:tcPr>
            <w:tcW w:w="1199" w:type="dxa"/>
            <w:vAlign w:val="center"/>
          </w:tcPr>
          <w:p w:rsidR="00FC65E6" w:rsidRDefault="004412AB">
            <w:pPr>
              <w:jc w:val="right"/>
            </w:pPr>
            <w:r>
              <w:rPr>
                <w:rFonts w:eastAsiaTheme="minorEastAsia"/>
                <w:color w:val="000000" w:themeColor="text1"/>
                <w:szCs w:val="21"/>
              </w:rPr>
              <w:t>-7.11%</w:t>
            </w:r>
          </w:p>
        </w:tc>
        <w:tc>
          <w:tcPr>
            <w:tcW w:w="1204" w:type="dxa"/>
            <w:vAlign w:val="center"/>
          </w:tcPr>
          <w:p w:rsidR="00FC65E6" w:rsidRDefault="004412AB">
            <w:pPr>
              <w:jc w:val="right"/>
            </w:pPr>
            <w:r>
              <w:rPr>
                <w:rFonts w:eastAsiaTheme="minorEastAsia"/>
                <w:color w:val="000000" w:themeColor="text1"/>
                <w:szCs w:val="21"/>
              </w:rPr>
              <w:t>-0.22%</w:t>
            </w:r>
          </w:p>
        </w:tc>
      </w:tr>
      <w:tr w:rsidR="00FC65E6">
        <w:tc>
          <w:tcPr>
            <w:tcW w:w="1395" w:type="dxa"/>
            <w:vAlign w:val="center"/>
          </w:tcPr>
          <w:p w:rsidR="00FC65E6" w:rsidRDefault="004412AB">
            <w:pPr>
              <w:jc w:val="left"/>
            </w:pPr>
            <w:r>
              <w:rPr>
                <w:rFonts w:eastAsiaTheme="minorEastAsia"/>
                <w:color w:val="000000" w:themeColor="text1"/>
                <w:szCs w:val="21"/>
              </w:rPr>
              <w:t>过去五年</w:t>
            </w:r>
          </w:p>
        </w:tc>
        <w:tc>
          <w:tcPr>
            <w:tcW w:w="1092" w:type="dxa"/>
            <w:vAlign w:val="center"/>
          </w:tcPr>
          <w:p w:rsidR="00FC65E6" w:rsidRDefault="004412AB">
            <w:pPr>
              <w:jc w:val="right"/>
            </w:pPr>
            <w:r>
              <w:rPr>
                <w:rFonts w:eastAsiaTheme="minorEastAsia"/>
                <w:color w:val="000000" w:themeColor="text1"/>
                <w:szCs w:val="21"/>
              </w:rPr>
              <w:t>-</w:t>
            </w:r>
          </w:p>
        </w:tc>
        <w:tc>
          <w:tcPr>
            <w:tcW w:w="1161" w:type="dxa"/>
            <w:vAlign w:val="center"/>
          </w:tcPr>
          <w:p w:rsidR="00FC65E6" w:rsidRDefault="004412AB">
            <w:pPr>
              <w:jc w:val="right"/>
            </w:pPr>
            <w:r>
              <w:rPr>
                <w:rFonts w:eastAsiaTheme="minorEastAsia"/>
                <w:color w:val="000000" w:themeColor="text1"/>
                <w:szCs w:val="21"/>
              </w:rPr>
              <w:t>-</w:t>
            </w:r>
          </w:p>
        </w:tc>
        <w:tc>
          <w:tcPr>
            <w:tcW w:w="1181" w:type="dxa"/>
            <w:vAlign w:val="center"/>
          </w:tcPr>
          <w:p w:rsidR="00FC65E6" w:rsidRDefault="004412AB">
            <w:pPr>
              <w:jc w:val="right"/>
            </w:pPr>
            <w:r>
              <w:rPr>
                <w:rFonts w:eastAsiaTheme="minorEastAsia"/>
                <w:color w:val="000000" w:themeColor="text1"/>
                <w:szCs w:val="21"/>
              </w:rPr>
              <w:t>-</w:t>
            </w:r>
          </w:p>
        </w:tc>
        <w:tc>
          <w:tcPr>
            <w:tcW w:w="1188" w:type="dxa"/>
            <w:vAlign w:val="center"/>
          </w:tcPr>
          <w:p w:rsidR="00FC65E6" w:rsidRDefault="004412AB">
            <w:pPr>
              <w:jc w:val="right"/>
            </w:pPr>
            <w:r>
              <w:rPr>
                <w:rFonts w:eastAsiaTheme="minorEastAsia"/>
                <w:color w:val="000000" w:themeColor="text1"/>
                <w:szCs w:val="21"/>
              </w:rPr>
              <w:t>-</w:t>
            </w:r>
          </w:p>
        </w:tc>
        <w:tc>
          <w:tcPr>
            <w:tcW w:w="1199" w:type="dxa"/>
            <w:vAlign w:val="center"/>
          </w:tcPr>
          <w:p w:rsidR="00FC65E6" w:rsidRDefault="004412AB">
            <w:pPr>
              <w:jc w:val="right"/>
            </w:pPr>
            <w:r>
              <w:rPr>
                <w:rFonts w:eastAsiaTheme="minorEastAsia"/>
                <w:color w:val="000000" w:themeColor="text1"/>
                <w:szCs w:val="21"/>
              </w:rPr>
              <w:t>-</w:t>
            </w:r>
          </w:p>
        </w:tc>
        <w:tc>
          <w:tcPr>
            <w:tcW w:w="1204" w:type="dxa"/>
            <w:vAlign w:val="center"/>
          </w:tcPr>
          <w:p w:rsidR="00FC65E6" w:rsidRDefault="004412AB">
            <w:pPr>
              <w:jc w:val="right"/>
            </w:pPr>
            <w:r>
              <w:rPr>
                <w:rFonts w:eastAsiaTheme="minorEastAsia"/>
                <w:color w:val="000000" w:themeColor="text1"/>
                <w:szCs w:val="21"/>
              </w:rPr>
              <w:t>-</w:t>
            </w:r>
          </w:p>
        </w:tc>
      </w:tr>
      <w:tr w:rsidR="00FC65E6">
        <w:tc>
          <w:tcPr>
            <w:tcW w:w="1395" w:type="dxa"/>
            <w:vAlign w:val="center"/>
          </w:tcPr>
          <w:p w:rsidR="00FC65E6" w:rsidRDefault="004412AB">
            <w:pPr>
              <w:jc w:val="left"/>
            </w:pPr>
            <w:r>
              <w:rPr>
                <w:rFonts w:eastAsiaTheme="minorEastAsia"/>
                <w:color w:val="000000" w:themeColor="text1"/>
                <w:szCs w:val="21"/>
              </w:rPr>
              <w:t>自基金合同生效起至今</w:t>
            </w:r>
          </w:p>
        </w:tc>
        <w:tc>
          <w:tcPr>
            <w:tcW w:w="1092" w:type="dxa"/>
            <w:vAlign w:val="center"/>
          </w:tcPr>
          <w:p w:rsidR="00FC65E6" w:rsidRDefault="004412AB">
            <w:pPr>
              <w:jc w:val="right"/>
            </w:pPr>
            <w:r>
              <w:rPr>
                <w:rFonts w:eastAsiaTheme="minorEastAsia"/>
                <w:color w:val="000000" w:themeColor="text1"/>
                <w:szCs w:val="21"/>
              </w:rPr>
              <w:t>44.30%</w:t>
            </w:r>
          </w:p>
        </w:tc>
        <w:tc>
          <w:tcPr>
            <w:tcW w:w="1161" w:type="dxa"/>
            <w:vAlign w:val="center"/>
          </w:tcPr>
          <w:p w:rsidR="00FC65E6" w:rsidRDefault="004412AB">
            <w:pPr>
              <w:jc w:val="right"/>
            </w:pPr>
            <w:r>
              <w:rPr>
                <w:rFonts w:eastAsiaTheme="minorEastAsia"/>
                <w:color w:val="000000" w:themeColor="text1"/>
                <w:szCs w:val="21"/>
              </w:rPr>
              <w:t>0.70%</w:t>
            </w:r>
          </w:p>
        </w:tc>
        <w:tc>
          <w:tcPr>
            <w:tcW w:w="1181" w:type="dxa"/>
            <w:vAlign w:val="center"/>
          </w:tcPr>
          <w:p w:rsidR="00FC65E6" w:rsidRDefault="004412AB">
            <w:pPr>
              <w:jc w:val="right"/>
            </w:pPr>
            <w:r>
              <w:rPr>
                <w:rFonts w:eastAsiaTheme="minorEastAsia"/>
                <w:color w:val="000000" w:themeColor="text1"/>
                <w:szCs w:val="21"/>
              </w:rPr>
              <w:t>49.29%</w:t>
            </w:r>
          </w:p>
        </w:tc>
        <w:tc>
          <w:tcPr>
            <w:tcW w:w="1188" w:type="dxa"/>
            <w:vAlign w:val="center"/>
          </w:tcPr>
          <w:p w:rsidR="00FC65E6" w:rsidRDefault="004412AB">
            <w:pPr>
              <w:jc w:val="right"/>
            </w:pPr>
            <w:r>
              <w:rPr>
                <w:rFonts w:eastAsiaTheme="minorEastAsia"/>
                <w:color w:val="000000" w:themeColor="text1"/>
                <w:szCs w:val="21"/>
              </w:rPr>
              <w:t>0.85%</w:t>
            </w:r>
          </w:p>
        </w:tc>
        <w:tc>
          <w:tcPr>
            <w:tcW w:w="1199" w:type="dxa"/>
            <w:vAlign w:val="center"/>
          </w:tcPr>
          <w:p w:rsidR="00FC65E6" w:rsidRDefault="004412AB">
            <w:pPr>
              <w:jc w:val="right"/>
            </w:pPr>
            <w:r>
              <w:rPr>
                <w:rFonts w:eastAsiaTheme="minorEastAsia"/>
                <w:color w:val="000000" w:themeColor="text1"/>
                <w:szCs w:val="21"/>
              </w:rPr>
              <w:t>-4.99%</w:t>
            </w:r>
          </w:p>
        </w:tc>
        <w:tc>
          <w:tcPr>
            <w:tcW w:w="1204" w:type="dxa"/>
            <w:vAlign w:val="center"/>
          </w:tcPr>
          <w:p w:rsidR="00FC65E6" w:rsidRDefault="004412AB">
            <w:pPr>
              <w:jc w:val="right"/>
            </w:pPr>
            <w:r>
              <w:rPr>
                <w:rFonts w:eastAsiaTheme="minorEastAsia"/>
                <w:color w:val="000000" w:themeColor="text1"/>
                <w:szCs w:val="21"/>
              </w:rPr>
              <w:t>-0.15%</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上投摩根全球多元配置证券投资基金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2016</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12</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19</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6</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lastRenderedPageBreak/>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FC65E6" w:rsidRDefault="004412A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FC65E6">
        <w:tc>
          <w:tcPr>
            <w:tcW w:w="851" w:type="dxa"/>
            <w:vAlign w:val="center"/>
          </w:tcPr>
          <w:p w:rsidR="00FC65E6" w:rsidRDefault="004412AB">
            <w:pPr>
              <w:jc w:val="center"/>
            </w:pPr>
            <w:r>
              <w:rPr>
                <w:rFonts w:eastAsiaTheme="minorEastAsia"/>
                <w:color w:val="000000" w:themeColor="text1"/>
                <w:szCs w:val="21"/>
              </w:rPr>
              <w:t>张军</w:t>
            </w:r>
          </w:p>
        </w:tc>
        <w:tc>
          <w:tcPr>
            <w:tcW w:w="850" w:type="dxa"/>
            <w:vAlign w:val="center"/>
          </w:tcPr>
          <w:p w:rsidR="00FC65E6" w:rsidRDefault="004412AB">
            <w:pPr>
              <w:jc w:val="center"/>
            </w:pPr>
            <w:r>
              <w:rPr>
                <w:rFonts w:eastAsiaTheme="minorEastAsia"/>
                <w:color w:val="000000" w:themeColor="text1"/>
                <w:szCs w:val="21"/>
              </w:rPr>
              <w:t>本基金基金经理、投资董事</w:t>
            </w:r>
          </w:p>
        </w:tc>
        <w:tc>
          <w:tcPr>
            <w:tcW w:w="1560" w:type="dxa"/>
            <w:vAlign w:val="center"/>
          </w:tcPr>
          <w:p w:rsidR="00FC65E6" w:rsidRDefault="004412AB">
            <w:pPr>
              <w:jc w:val="center"/>
            </w:pPr>
            <w:r>
              <w:rPr>
                <w:rFonts w:eastAsiaTheme="minorEastAsia"/>
                <w:color w:val="000000" w:themeColor="text1"/>
                <w:szCs w:val="21"/>
              </w:rPr>
              <w:t>2016-12-19</w:t>
            </w:r>
          </w:p>
        </w:tc>
        <w:tc>
          <w:tcPr>
            <w:tcW w:w="1559" w:type="dxa"/>
            <w:vAlign w:val="center"/>
          </w:tcPr>
          <w:p w:rsidR="00FC65E6" w:rsidRDefault="004412AB">
            <w:pPr>
              <w:jc w:val="center"/>
            </w:pPr>
            <w:r>
              <w:rPr>
                <w:rFonts w:eastAsiaTheme="minorEastAsia"/>
                <w:color w:val="000000" w:themeColor="text1"/>
                <w:szCs w:val="21"/>
              </w:rPr>
              <w:t>-</w:t>
            </w:r>
          </w:p>
        </w:tc>
        <w:tc>
          <w:tcPr>
            <w:tcW w:w="1417" w:type="dxa"/>
            <w:vAlign w:val="center"/>
          </w:tcPr>
          <w:p w:rsidR="00FC65E6" w:rsidRDefault="004412AB">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2694" w:type="dxa"/>
            <w:vAlign w:val="center"/>
          </w:tcPr>
          <w:p w:rsidR="00FC65E6" w:rsidRDefault="004412AB">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lastRenderedPageBreak/>
              <w:t>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FC65E6" w:rsidRDefault="004412A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C65E6" w:rsidRDefault="004412A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张军先生为本基金首任基金经理，其任职日期指本基金基金合同生效之日。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3.</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FC65E6">
        <w:tc>
          <w:tcPr>
            <w:tcW w:w="0" w:type="auto"/>
            <w:vAlign w:val="center"/>
          </w:tcPr>
          <w:p w:rsidR="00FC65E6" w:rsidRDefault="004412AB">
            <w:pPr>
              <w:jc w:val="center"/>
            </w:pPr>
            <w:r>
              <w:rPr>
                <w:rFonts w:eastAsiaTheme="minorEastAsia"/>
                <w:color w:val="000000" w:themeColor="text1"/>
                <w:szCs w:val="21"/>
              </w:rPr>
              <w:t>Leon Goldfeld</w:t>
            </w:r>
          </w:p>
        </w:tc>
        <w:tc>
          <w:tcPr>
            <w:tcW w:w="0" w:type="auto"/>
            <w:vAlign w:val="center"/>
          </w:tcPr>
          <w:p w:rsidR="00FC65E6" w:rsidRDefault="004412AB">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0" w:type="auto"/>
            <w:vAlign w:val="center"/>
          </w:tcPr>
          <w:p w:rsidR="00FC65E6" w:rsidRDefault="004412AB">
            <w:pPr>
              <w:jc w:val="center"/>
            </w:pPr>
            <w:r>
              <w:rPr>
                <w:rFonts w:eastAsiaTheme="minorEastAsia"/>
                <w:color w:val="000000" w:themeColor="text1"/>
                <w:szCs w:val="21"/>
              </w:rPr>
              <w:t>33</w:t>
            </w:r>
            <w:r>
              <w:rPr>
                <w:rFonts w:eastAsiaTheme="minorEastAsia"/>
                <w:color w:val="000000" w:themeColor="text1"/>
                <w:szCs w:val="21"/>
              </w:rPr>
              <w:t>年</w:t>
            </w:r>
          </w:p>
        </w:tc>
        <w:tc>
          <w:tcPr>
            <w:tcW w:w="0" w:type="auto"/>
            <w:vAlign w:val="center"/>
          </w:tcPr>
          <w:p w:rsidR="00FC65E6" w:rsidRDefault="004412AB">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FC65E6" w:rsidRDefault="004412AB">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在本报告期内，基金管理人不存在损害基金份额持有人利益的行为，勤勉尽责地为基金份额持有人谋求利益。基金管理人遵守了《证券投资基金法》及其他有关法律法规、《上投摩根全球多元配置证券投资基金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大宗商品今年的表现非常出色。除了油价上涨外，大宗商品价格上涨对消费者层面的短期通胀的影响很可能有限。大宗商品相关的整体通胀波动不太可能改变发达市场央行政策的走向，但可能导致一些新兴市场央行提前收紧货币政策。大宗商品股票仍是英国、加拿大和</w:t>
      </w:r>
      <w:r>
        <w:rPr>
          <w:rFonts w:eastAsiaTheme="minorEastAsia"/>
          <w:color w:val="000000" w:themeColor="text1"/>
          <w:szCs w:val="21"/>
        </w:rPr>
        <w:lastRenderedPageBreak/>
        <w:t>澳大利亚股市指数的重要组成部分。随着商品价格上涨，这些股票市场表现良好。大宗商品的正面前景，主要体现在我们对英国股市的敞口有所增加，对利率久期适度低配，以及对美国高收益债的适度超配。投资组合继续偏好并持有风险资产。</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展望后市，大宗商品的积极前景有助于我们在多资产投资组合中的布局，尤其是通过我们在英国股市的敞口。</w:t>
      </w:r>
      <w:r>
        <w:rPr>
          <w:rFonts w:eastAsiaTheme="minorEastAsia"/>
          <w:color w:val="000000" w:themeColor="text1"/>
          <w:szCs w:val="21"/>
        </w:rPr>
        <w:t>2020</w:t>
      </w:r>
      <w:r>
        <w:rPr>
          <w:rFonts w:eastAsiaTheme="minorEastAsia"/>
          <w:color w:val="000000" w:themeColor="text1"/>
          <w:szCs w:val="21"/>
        </w:rPr>
        <w:t>年能源行业的高收益债占美国高收益债市场违约量的</w:t>
      </w:r>
      <w:r>
        <w:rPr>
          <w:rFonts w:eastAsiaTheme="minorEastAsia"/>
          <w:color w:val="000000" w:themeColor="text1"/>
          <w:szCs w:val="21"/>
        </w:rPr>
        <w:t>44</w:t>
      </w:r>
      <w:r>
        <w:rPr>
          <w:rFonts w:eastAsiaTheme="minorEastAsia"/>
          <w:color w:val="000000" w:themeColor="text1"/>
          <w:szCs w:val="21"/>
        </w:rPr>
        <w:t>％，油价上涨是我们信用债部位的基本支撑，尽管我们会注意到利差已经很窄。更广泛地说，我们的投资组合继续反映了看好风险资产的观点。随着美国经济重新开放，疫苗在关键地区的推广速度加快，我们有信心期待全球经济强劲增长。在我们的股票敞口中，我们更倾向于价值风格而非成长风格，更倾向于周期类股而非防御类股。</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年的主基调是经济以高于长期趋势的速度复苏，由美国领头，其他地区预计在年中时迎头赶上。通胀前景和预期将变得越发波动，但是不至于导致货币环境的收紧。</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由于股市连续几年的上涨所导致的高估值的担忧，股市有可能出现行业和风格切换，今年主导上涨的因素将可能是盈利增长而非估值。在区域上，欧股和日股的上升潜力相对美股较高，顺周期板块和价值风格值得关注。</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因长期债券收益率回升过程中，存在对债券价格的压力，在固收市场上，本基金相对偏好高收益债。</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本基金倾向于维持持有风险资产的配置，如股票和信用债，并且保持一定的风险承受度和容忍较高的波动率，同时持续关注疫情、估值以及地缘政治事件。</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本报告期全球多元配置份额净值增长率为</w:t>
      </w:r>
      <w:r w:rsidRPr="00A76A42">
        <w:rPr>
          <w:rFonts w:eastAsiaTheme="minorEastAsia"/>
          <w:color w:val="000000" w:themeColor="text1"/>
          <w:szCs w:val="21"/>
        </w:rPr>
        <w:t>:1.98%</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:4.02%</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412,418,308.68</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90.75</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40,517,777.48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8.92</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1,497,285.40</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0.33</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454,433,371.56</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本报告期末本基金未持有股票和存托凭证。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本报告期末本基金未持有股票和存托凭证。</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1D51F6" w:rsidRDefault="004D1766" w:rsidP="001D51F6">
      <w:pPr>
        <w:autoSpaceDE w:val="0"/>
        <w:autoSpaceDN w:val="0"/>
        <w:adjustRightInd w:val="0"/>
        <w:spacing w:line="360" w:lineRule="auto"/>
        <w:jc w:val="left"/>
        <w:rPr>
          <w:rFonts w:eastAsiaTheme="minorEastAsia"/>
          <w:color w:val="000000" w:themeColor="text1"/>
          <w:kern w:val="0"/>
          <w:sz w:val="24"/>
        </w:rPr>
      </w:pPr>
      <w:r w:rsidRPr="001D51F6">
        <w:rPr>
          <w:rFonts w:eastAsiaTheme="minorEastAsia"/>
          <w:b/>
          <w:color w:val="000000" w:themeColor="text1"/>
          <w:kern w:val="0"/>
          <w:sz w:val="24"/>
        </w:rPr>
        <w:t xml:space="preserve">5.4 </w:t>
      </w:r>
      <w:r w:rsidRPr="001D51F6">
        <w:rPr>
          <w:rFonts w:eastAsiaTheme="minorEastAsia" w:hint="eastAsia"/>
          <w:b/>
          <w:color w:val="000000" w:themeColor="text1"/>
          <w:kern w:val="0"/>
          <w:sz w:val="24"/>
        </w:rPr>
        <w:t>期末按公允价值占基金资产净值比例大小排序的股票投资明细</w:t>
      </w:r>
      <w:r w:rsidRPr="001D51F6">
        <w:rPr>
          <w:rFonts w:eastAsiaTheme="minorEastAsia" w:hint="eastAsia"/>
          <w:b/>
          <w:color w:val="000000" w:themeColor="text1"/>
          <w:kern w:val="0"/>
          <w:sz w:val="24"/>
        </w:rPr>
        <w:cr/>
      </w:r>
      <w:r w:rsidRPr="001D51F6">
        <w:rPr>
          <w:rFonts w:eastAsiaTheme="minorEastAsia"/>
          <w:color w:val="000000" w:themeColor="text1"/>
          <w:kern w:val="0"/>
          <w:sz w:val="24"/>
        </w:rPr>
        <w:t>本报告期末本基金未持有股票和存托凭证。</w:t>
      </w: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568"/>
        <w:gridCol w:w="2147"/>
        <w:gridCol w:w="569"/>
        <w:gridCol w:w="569"/>
        <w:gridCol w:w="2452"/>
        <w:gridCol w:w="1424"/>
        <w:gridCol w:w="784"/>
      </w:tblGrid>
      <w:tr w:rsidR="008277FF" w:rsidRPr="00A76A42" w:rsidTr="00797DD2">
        <w:tc>
          <w:tcPr>
            <w:tcW w:w="1215"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序号</w:t>
            </w:r>
          </w:p>
        </w:tc>
        <w:tc>
          <w:tcPr>
            <w:tcW w:w="1216" w:type="dxa"/>
            <w:vAlign w:val="center"/>
          </w:tcPr>
          <w:p w:rsidR="00017739" w:rsidRPr="00A76A42" w:rsidRDefault="00017739" w:rsidP="00797DD2">
            <w:pPr>
              <w:spacing w:line="360" w:lineRule="auto"/>
              <w:rPr>
                <w:rFonts w:eastAsiaTheme="minorEastAsia"/>
                <w:color w:val="000000" w:themeColor="text1"/>
                <w:szCs w:val="21"/>
              </w:rPr>
            </w:pPr>
            <w:r w:rsidRPr="00A76A42">
              <w:rPr>
                <w:rFonts w:eastAsiaTheme="minorEastAsia"/>
                <w:color w:val="000000" w:themeColor="text1"/>
                <w:szCs w:val="21"/>
              </w:rPr>
              <w:t>基金名称</w:t>
            </w:r>
          </w:p>
        </w:tc>
        <w:tc>
          <w:tcPr>
            <w:tcW w:w="1216" w:type="dxa"/>
            <w:vAlign w:val="center"/>
          </w:tcPr>
          <w:p w:rsidR="00017739" w:rsidRPr="00A76A42" w:rsidRDefault="00017739" w:rsidP="00797DD2">
            <w:pPr>
              <w:spacing w:line="360" w:lineRule="auto"/>
              <w:rPr>
                <w:rFonts w:eastAsiaTheme="minorEastAsia"/>
                <w:color w:val="000000" w:themeColor="text1"/>
                <w:szCs w:val="21"/>
              </w:rPr>
            </w:pPr>
            <w:r w:rsidRPr="00A76A42">
              <w:rPr>
                <w:rFonts w:eastAsiaTheme="minorEastAsia"/>
                <w:color w:val="000000" w:themeColor="text1"/>
                <w:szCs w:val="21"/>
              </w:rPr>
              <w:t>基金类型</w:t>
            </w:r>
          </w:p>
        </w:tc>
        <w:tc>
          <w:tcPr>
            <w:tcW w:w="1216"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运作方式</w:t>
            </w:r>
          </w:p>
        </w:tc>
        <w:tc>
          <w:tcPr>
            <w:tcW w:w="1216"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管理人</w:t>
            </w:r>
          </w:p>
        </w:tc>
        <w:tc>
          <w:tcPr>
            <w:tcW w:w="1217"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公允价值</w:t>
            </w:r>
          </w:p>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（人民币元）</w:t>
            </w:r>
          </w:p>
        </w:tc>
        <w:tc>
          <w:tcPr>
            <w:tcW w:w="1217"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占基金资产净值比例</w:t>
            </w:r>
            <w:r w:rsidRPr="00A76A42">
              <w:rPr>
                <w:rFonts w:eastAsiaTheme="minorEastAsia"/>
                <w:color w:val="000000" w:themeColor="text1"/>
                <w:szCs w:val="21"/>
              </w:rPr>
              <w:t>(%)</w:t>
            </w:r>
          </w:p>
        </w:tc>
      </w:tr>
      <w:tr w:rsidR="00FC65E6">
        <w:tc>
          <w:tcPr>
            <w:tcW w:w="0" w:type="auto"/>
            <w:vAlign w:val="center"/>
          </w:tcPr>
          <w:p w:rsidR="00FC65E6" w:rsidRDefault="004412AB">
            <w:pPr>
              <w:jc w:val="center"/>
            </w:pPr>
            <w:r>
              <w:rPr>
                <w:rFonts w:eastAsiaTheme="minorEastAsia"/>
                <w:color w:val="000000" w:themeColor="text1"/>
                <w:szCs w:val="21"/>
              </w:rPr>
              <w:t>1</w:t>
            </w:r>
          </w:p>
        </w:tc>
        <w:tc>
          <w:tcPr>
            <w:tcW w:w="0" w:type="auto"/>
            <w:vAlign w:val="center"/>
          </w:tcPr>
          <w:p w:rsidR="00FC65E6" w:rsidRDefault="004412AB">
            <w:pPr>
              <w:jc w:val="center"/>
            </w:pPr>
            <w:r>
              <w:rPr>
                <w:rFonts w:eastAsiaTheme="minorEastAsia"/>
                <w:color w:val="000000" w:themeColor="text1"/>
                <w:szCs w:val="21"/>
              </w:rPr>
              <w:t>JPMorgan Funds-JPM US Equity All Cap Fund</w:t>
            </w:r>
          </w:p>
        </w:tc>
        <w:tc>
          <w:tcPr>
            <w:tcW w:w="0" w:type="auto"/>
            <w:vAlign w:val="center"/>
          </w:tcPr>
          <w:p w:rsidR="00FC65E6" w:rsidRDefault="004412AB">
            <w:pPr>
              <w:jc w:val="center"/>
            </w:pPr>
            <w:r>
              <w:rPr>
                <w:rFonts w:eastAsiaTheme="minorEastAsia"/>
                <w:color w:val="000000" w:themeColor="text1"/>
                <w:szCs w:val="21"/>
              </w:rPr>
              <w:t>股票型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77,237,635.20</w:t>
            </w:r>
          </w:p>
        </w:tc>
        <w:tc>
          <w:tcPr>
            <w:tcW w:w="0" w:type="auto"/>
            <w:vAlign w:val="center"/>
          </w:tcPr>
          <w:p w:rsidR="00FC65E6" w:rsidRDefault="004412AB">
            <w:pPr>
              <w:jc w:val="right"/>
            </w:pPr>
            <w:r>
              <w:rPr>
                <w:rFonts w:eastAsiaTheme="minorEastAsia"/>
                <w:color w:val="000000" w:themeColor="text1"/>
                <w:szCs w:val="21"/>
              </w:rPr>
              <w:t>17.31</w:t>
            </w:r>
          </w:p>
        </w:tc>
      </w:tr>
      <w:tr w:rsidR="00FC65E6">
        <w:tc>
          <w:tcPr>
            <w:tcW w:w="0" w:type="auto"/>
            <w:vAlign w:val="center"/>
          </w:tcPr>
          <w:p w:rsidR="00FC65E6" w:rsidRDefault="004412AB">
            <w:pPr>
              <w:jc w:val="center"/>
            </w:pPr>
            <w:r>
              <w:rPr>
                <w:rFonts w:eastAsiaTheme="minorEastAsia"/>
                <w:color w:val="000000" w:themeColor="text1"/>
                <w:szCs w:val="21"/>
              </w:rPr>
              <w:t>2</w:t>
            </w:r>
          </w:p>
        </w:tc>
        <w:tc>
          <w:tcPr>
            <w:tcW w:w="0" w:type="auto"/>
            <w:vAlign w:val="center"/>
          </w:tcPr>
          <w:p w:rsidR="00FC65E6" w:rsidRDefault="004412AB">
            <w:pPr>
              <w:jc w:val="center"/>
            </w:pPr>
            <w:r>
              <w:rPr>
                <w:rFonts w:eastAsiaTheme="minorEastAsia"/>
                <w:color w:val="000000" w:themeColor="text1"/>
                <w:szCs w:val="21"/>
              </w:rPr>
              <w:t>JPMorgan Funds-JPM US Value Fund</w:t>
            </w:r>
          </w:p>
        </w:tc>
        <w:tc>
          <w:tcPr>
            <w:tcW w:w="0" w:type="auto"/>
            <w:vAlign w:val="center"/>
          </w:tcPr>
          <w:p w:rsidR="00FC65E6" w:rsidRDefault="004412AB">
            <w:pPr>
              <w:jc w:val="center"/>
            </w:pPr>
            <w:r>
              <w:rPr>
                <w:rFonts w:eastAsiaTheme="minorEastAsia"/>
                <w:color w:val="000000" w:themeColor="text1"/>
                <w:szCs w:val="21"/>
              </w:rPr>
              <w:t>股票型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55,511,515.91</w:t>
            </w:r>
          </w:p>
        </w:tc>
        <w:tc>
          <w:tcPr>
            <w:tcW w:w="0" w:type="auto"/>
            <w:vAlign w:val="center"/>
          </w:tcPr>
          <w:p w:rsidR="00FC65E6" w:rsidRDefault="004412AB">
            <w:pPr>
              <w:jc w:val="right"/>
            </w:pPr>
            <w:r>
              <w:rPr>
                <w:rFonts w:eastAsiaTheme="minorEastAsia"/>
                <w:color w:val="000000" w:themeColor="text1"/>
                <w:szCs w:val="21"/>
              </w:rPr>
              <w:t>12.44</w:t>
            </w:r>
          </w:p>
        </w:tc>
      </w:tr>
      <w:tr w:rsidR="00FC65E6">
        <w:tc>
          <w:tcPr>
            <w:tcW w:w="0" w:type="auto"/>
            <w:vAlign w:val="center"/>
          </w:tcPr>
          <w:p w:rsidR="00FC65E6" w:rsidRDefault="004412AB">
            <w:pPr>
              <w:jc w:val="center"/>
            </w:pPr>
            <w:r>
              <w:rPr>
                <w:rFonts w:eastAsiaTheme="minorEastAsia"/>
                <w:color w:val="000000" w:themeColor="text1"/>
                <w:szCs w:val="21"/>
              </w:rPr>
              <w:t>3</w:t>
            </w:r>
          </w:p>
        </w:tc>
        <w:tc>
          <w:tcPr>
            <w:tcW w:w="0" w:type="auto"/>
            <w:vAlign w:val="center"/>
          </w:tcPr>
          <w:p w:rsidR="00FC65E6" w:rsidRDefault="004412AB">
            <w:pPr>
              <w:jc w:val="center"/>
            </w:pPr>
            <w:r>
              <w:rPr>
                <w:rFonts w:eastAsiaTheme="minorEastAsia"/>
                <w:color w:val="000000" w:themeColor="text1"/>
                <w:szCs w:val="21"/>
              </w:rPr>
              <w:t>JPMorgan Funds-JPM US Growth Fund</w:t>
            </w:r>
          </w:p>
        </w:tc>
        <w:tc>
          <w:tcPr>
            <w:tcW w:w="0" w:type="auto"/>
            <w:vAlign w:val="center"/>
          </w:tcPr>
          <w:p w:rsidR="00FC65E6" w:rsidRDefault="004412AB">
            <w:pPr>
              <w:jc w:val="center"/>
            </w:pPr>
            <w:r>
              <w:rPr>
                <w:rFonts w:eastAsiaTheme="minorEastAsia"/>
                <w:color w:val="000000" w:themeColor="text1"/>
                <w:szCs w:val="21"/>
              </w:rPr>
              <w:t>股票型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39,680,517.59</w:t>
            </w:r>
          </w:p>
        </w:tc>
        <w:tc>
          <w:tcPr>
            <w:tcW w:w="0" w:type="auto"/>
            <w:vAlign w:val="center"/>
          </w:tcPr>
          <w:p w:rsidR="00FC65E6" w:rsidRDefault="004412AB">
            <w:pPr>
              <w:jc w:val="right"/>
            </w:pPr>
            <w:r>
              <w:rPr>
                <w:rFonts w:eastAsiaTheme="minorEastAsia"/>
                <w:color w:val="000000" w:themeColor="text1"/>
                <w:szCs w:val="21"/>
              </w:rPr>
              <w:t>8.89</w:t>
            </w:r>
          </w:p>
        </w:tc>
      </w:tr>
      <w:tr w:rsidR="00FC65E6">
        <w:tc>
          <w:tcPr>
            <w:tcW w:w="0" w:type="auto"/>
            <w:vAlign w:val="center"/>
          </w:tcPr>
          <w:p w:rsidR="00FC65E6" w:rsidRDefault="004412AB">
            <w:pPr>
              <w:jc w:val="center"/>
            </w:pPr>
            <w:r>
              <w:rPr>
                <w:rFonts w:eastAsiaTheme="minorEastAsia"/>
                <w:color w:val="000000" w:themeColor="text1"/>
                <w:szCs w:val="21"/>
              </w:rPr>
              <w:t>4</w:t>
            </w:r>
          </w:p>
        </w:tc>
        <w:tc>
          <w:tcPr>
            <w:tcW w:w="0" w:type="auto"/>
            <w:vAlign w:val="center"/>
          </w:tcPr>
          <w:p w:rsidR="00FC65E6" w:rsidRDefault="004412AB">
            <w:pPr>
              <w:jc w:val="center"/>
            </w:pPr>
            <w:r>
              <w:rPr>
                <w:rFonts w:eastAsiaTheme="minorEastAsia"/>
                <w:color w:val="000000" w:themeColor="text1"/>
                <w:szCs w:val="21"/>
              </w:rPr>
              <w:t>JPMorgan Investment Funds-JPM Global High Yield Bond Fund</w:t>
            </w:r>
          </w:p>
        </w:tc>
        <w:tc>
          <w:tcPr>
            <w:tcW w:w="0" w:type="auto"/>
            <w:vAlign w:val="center"/>
          </w:tcPr>
          <w:p w:rsidR="00FC65E6" w:rsidRDefault="004412AB">
            <w:pPr>
              <w:jc w:val="center"/>
            </w:pPr>
            <w:r>
              <w:rPr>
                <w:rFonts w:eastAsiaTheme="minorEastAsia"/>
                <w:color w:val="000000" w:themeColor="text1"/>
                <w:szCs w:val="21"/>
              </w:rPr>
              <w:t>债券型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38,202,185.08</w:t>
            </w:r>
          </w:p>
        </w:tc>
        <w:tc>
          <w:tcPr>
            <w:tcW w:w="0" w:type="auto"/>
            <w:vAlign w:val="center"/>
          </w:tcPr>
          <w:p w:rsidR="00FC65E6" w:rsidRDefault="004412AB">
            <w:pPr>
              <w:jc w:val="right"/>
            </w:pPr>
            <w:r>
              <w:rPr>
                <w:rFonts w:eastAsiaTheme="minorEastAsia"/>
                <w:color w:val="000000" w:themeColor="text1"/>
                <w:szCs w:val="21"/>
              </w:rPr>
              <w:t>8.56</w:t>
            </w:r>
          </w:p>
        </w:tc>
      </w:tr>
      <w:tr w:rsidR="00FC65E6">
        <w:tc>
          <w:tcPr>
            <w:tcW w:w="0" w:type="auto"/>
            <w:vAlign w:val="center"/>
          </w:tcPr>
          <w:p w:rsidR="00FC65E6" w:rsidRDefault="004412AB">
            <w:pPr>
              <w:jc w:val="center"/>
            </w:pPr>
            <w:r>
              <w:rPr>
                <w:rFonts w:eastAsiaTheme="minorEastAsia"/>
                <w:color w:val="000000" w:themeColor="text1"/>
                <w:szCs w:val="21"/>
              </w:rPr>
              <w:t>5</w:t>
            </w:r>
          </w:p>
        </w:tc>
        <w:tc>
          <w:tcPr>
            <w:tcW w:w="0" w:type="auto"/>
            <w:vAlign w:val="center"/>
          </w:tcPr>
          <w:p w:rsidR="00FC65E6" w:rsidRDefault="004412AB">
            <w:pPr>
              <w:jc w:val="center"/>
            </w:pPr>
            <w:r>
              <w:rPr>
                <w:rFonts w:eastAsiaTheme="minorEastAsia"/>
                <w:color w:val="000000" w:themeColor="text1"/>
                <w:szCs w:val="21"/>
              </w:rPr>
              <w:t>JPMorgan SAR Global Bond Fund</w:t>
            </w:r>
          </w:p>
        </w:tc>
        <w:tc>
          <w:tcPr>
            <w:tcW w:w="0" w:type="auto"/>
            <w:vAlign w:val="center"/>
          </w:tcPr>
          <w:p w:rsidR="00FC65E6" w:rsidRDefault="004412AB">
            <w:pPr>
              <w:jc w:val="center"/>
            </w:pPr>
            <w:r>
              <w:rPr>
                <w:rFonts w:eastAsiaTheme="minorEastAsia"/>
                <w:color w:val="000000" w:themeColor="text1"/>
                <w:szCs w:val="21"/>
              </w:rPr>
              <w:t>债券型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 xml:space="preserve">JF Asset Management Limited (Part of the JPMorgan Chase &amp; Co, </w:t>
            </w:r>
            <w:r>
              <w:rPr>
                <w:rFonts w:eastAsiaTheme="minorEastAsia"/>
                <w:color w:val="000000" w:themeColor="text1"/>
                <w:szCs w:val="21"/>
              </w:rPr>
              <w:lastRenderedPageBreak/>
              <w:t>group of companies)</w:t>
            </w:r>
          </w:p>
        </w:tc>
        <w:tc>
          <w:tcPr>
            <w:tcW w:w="0" w:type="auto"/>
            <w:vAlign w:val="center"/>
          </w:tcPr>
          <w:p w:rsidR="00FC65E6" w:rsidRDefault="004412AB">
            <w:pPr>
              <w:jc w:val="right"/>
            </w:pPr>
            <w:r>
              <w:rPr>
                <w:rFonts w:eastAsiaTheme="minorEastAsia"/>
                <w:color w:val="000000" w:themeColor="text1"/>
                <w:szCs w:val="21"/>
              </w:rPr>
              <w:lastRenderedPageBreak/>
              <w:t>30,105,532.44</w:t>
            </w:r>
          </w:p>
        </w:tc>
        <w:tc>
          <w:tcPr>
            <w:tcW w:w="0" w:type="auto"/>
            <w:vAlign w:val="center"/>
          </w:tcPr>
          <w:p w:rsidR="00FC65E6" w:rsidRDefault="004412AB">
            <w:pPr>
              <w:jc w:val="right"/>
            </w:pPr>
            <w:r>
              <w:rPr>
                <w:rFonts w:eastAsiaTheme="minorEastAsia"/>
                <w:color w:val="000000" w:themeColor="text1"/>
                <w:szCs w:val="21"/>
              </w:rPr>
              <w:t>6.75</w:t>
            </w:r>
          </w:p>
        </w:tc>
      </w:tr>
      <w:tr w:rsidR="00FC65E6">
        <w:tc>
          <w:tcPr>
            <w:tcW w:w="0" w:type="auto"/>
            <w:vAlign w:val="center"/>
          </w:tcPr>
          <w:p w:rsidR="00FC65E6" w:rsidRDefault="004412AB">
            <w:pPr>
              <w:jc w:val="center"/>
            </w:pPr>
            <w:r>
              <w:rPr>
                <w:rFonts w:eastAsiaTheme="minorEastAsia"/>
                <w:color w:val="000000" w:themeColor="text1"/>
                <w:szCs w:val="21"/>
              </w:rPr>
              <w:t>6</w:t>
            </w:r>
          </w:p>
        </w:tc>
        <w:tc>
          <w:tcPr>
            <w:tcW w:w="0" w:type="auto"/>
            <w:vAlign w:val="center"/>
          </w:tcPr>
          <w:p w:rsidR="00FC65E6" w:rsidRDefault="004412AB">
            <w:pPr>
              <w:jc w:val="center"/>
            </w:pPr>
            <w:r>
              <w:rPr>
                <w:rFonts w:eastAsiaTheme="minorEastAsia"/>
                <w:color w:val="000000" w:themeColor="text1"/>
                <w:szCs w:val="21"/>
              </w:rPr>
              <w:t>JPMorgan Funds-US Aggregate Bond Fund</w:t>
            </w:r>
          </w:p>
        </w:tc>
        <w:tc>
          <w:tcPr>
            <w:tcW w:w="0" w:type="auto"/>
            <w:vAlign w:val="center"/>
          </w:tcPr>
          <w:p w:rsidR="00FC65E6" w:rsidRDefault="004412AB">
            <w:pPr>
              <w:jc w:val="center"/>
            </w:pPr>
            <w:r>
              <w:rPr>
                <w:rFonts w:eastAsiaTheme="minorEastAsia"/>
                <w:color w:val="000000" w:themeColor="text1"/>
                <w:szCs w:val="21"/>
              </w:rPr>
              <w:t>债券型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26,523,936.72</w:t>
            </w:r>
          </w:p>
        </w:tc>
        <w:tc>
          <w:tcPr>
            <w:tcW w:w="0" w:type="auto"/>
            <w:vAlign w:val="center"/>
          </w:tcPr>
          <w:p w:rsidR="00FC65E6" w:rsidRDefault="004412AB">
            <w:pPr>
              <w:jc w:val="right"/>
            </w:pPr>
            <w:r>
              <w:rPr>
                <w:rFonts w:eastAsiaTheme="minorEastAsia"/>
                <w:color w:val="000000" w:themeColor="text1"/>
                <w:szCs w:val="21"/>
              </w:rPr>
              <w:t>5.95</w:t>
            </w:r>
          </w:p>
        </w:tc>
      </w:tr>
      <w:tr w:rsidR="00FC65E6">
        <w:tc>
          <w:tcPr>
            <w:tcW w:w="0" w:type="auto"/>
            <w:vAlign w:val="center"/>
          </w:tcPr>
          <w:p w:rsidR="00FC65E6" w:rsidRDefault="004412AB">
            <w:pPr>
              <w:jc w:val="center"/>
            </w:pPr>
            <w:r>
              <w:rPr>
                <w:rFonts w:eastAsiaTheme="minorEastAsia"/>
                <w:color w:val="000000" w:themeColor="text1"/>
                <w:szCs w:val="21"/>
              </w:rPr>
              <w:t>7</w:t>
            </w:r>
          </w:p>
        </w:tc>
        <w:tc>
          <w:tcPr>
            <w:tcW w:w="0" w:type="auto"/>
            <w:vAlign w:val="center"/>
          </w:tcPr>
          <w:p w:rsidR="00FC65E6" w:rsidRDefault="004412AB">
            <w:pPr>
              <w:jc w:val="center"/>
            </w:pPr>
            <w:r>
              <w:rPr>
                <w:rFonts w:eastAsiaTheme="minorEastAsia"/>
                <w:color w:val="000000" w:themeColor="text1"/>
                <w:szCs w:val="21"/>
              </w:rPr>
              <w:t>JPMorgan Investment Fund-Japan Sustainable Equity Fund</w:t>
            </w:r>
          </w:p>
        </w:tc>
        <w:tc>
          <w:tcPr>
            <w:tcW w:w="0" w:type="auto"/>
            <w:vAlign w:val="center"/>
          </w:tcPr>
          <w:p w:rsidR="00FC65E6" w:rsidRDefault="004412AB">
            <w:pPr>
              <w:jc w:val="center"/>
            </w:pPr>
            <w:r>
              <w:rPr>
                <w:rFonts w:eastAsiaTheme="minorEastAsia"/>
                <w:color w:val="000000" w:themeColor="text1"/>
                <w:szCs w:val="21"/>
              </w:rPr>
              <w:t>股票型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23,403,601.44</w:t>
            </w:r>
          </w:p>
        </w:tc>
        <w:tc>
          <w:tcPr>
            <w:tcW w:w="0" w:type="auto"/>
            <w:vAlign w:val="center"/>
          </w:tcPr>
          <w:p w:rsidR="00FC65E6" w:rsidRDefault="004412AB">
            <w:pPr>
              <w:jc w:val="right"/>
            </w:pPr>
            <w:r>
              <w:rPr>
                <w:rFonts w:eastAsiaTheme="minorEastAsia"/>
                <w:color w:val="000000" w:themeColor="text1"/>
                <w:szCs w:val="21"/>
              </w:rPr>
              <w:t>5.25</w:t>
            </w:r>
          </w:p>
        </w:tc>
      </w:tr>
      <w:tr w:rsidR="00FC65E6">
        <w:tc>
          <w:tcPr>
            <w:tcW w:w="0" w:type="auto"/>
            <w:vAlign w:val="center"/>
          </w:tcPr>
          <w:p w:rsidR="00FC65E6" w:rsidRDefault="004412AB">
            <w:pPr>
              <w:jc w:val="center"/>
            </w:pPr>
            <w:r>
              <w:rPr>
                <w:rFonts w:eastAsiaTheme="minorEastAsia"/>
                <w:color w:val="000000" w:themeColor="text1"/>
                <w:szCs w:val="21"/>
              </w:rPr>
              <w:t>8</w:t>
            </w:r>
          </w:p>
        </w:tc>
        <w:tc>
          <w:tcPr>
            <w:tcW w:w="0" w:type="auto"/>
            <w:vAlign w:val="center"/>
          </w:tcPr>
          <w:p w:rsidR="00FC65E6" w:rsidRDefault="004412AB">
            <w:pPr>
              <w:jc w:val="center"/>
            </w:pPr>
            <w:r>
              <w:rPr>
                <w:rFonts w:eastAsiaTheme="minorEastAsia"/>
                <w:color w:val="000000" w:themeColor="text1"/>
                <w:szCs w:val="21"/>
              </w:rPr>
              <w:t>JPMorgan Funds-JPM Global Corporate Bond Fund</w:t>
            </w:r>
          </w:p>
        </w:tc>
        <w:tc>
          <w:tcPr>
            <w:tcW w:w="0" w:type="auto"/>
            <w:vAlign w:val="center"/>
          </w:tcPr>
          <w:p w:rsidR="00FC65E6" w:rsidRDefault="004412AB">
            <w:pPr>
              <w:jc w:val="center"/>
            </w:pPr>
            <w:r>
              <w:rPr>
                <w:rFonts w:eastAsiaTheme="minorEastAsia"/>
                <w:color w:val="000000" w:themeColor="text1"/>
                <w:szCs w:val="21"/>
              </w:rPr>
              <w:t>债券型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22,472,961.76</w:t>
            </w:r>
          </w:p>
        </w:tc>
        <w:tc>
          <w:tcPr>
            <w:tcW w:w="0" w:type="auto"/>
            <w:vAlign w:val="center"/>
          </w:tcPr>
          <w:p w:rsidR="00FC65E6" w:rsidRDefault="004412AB">
            <w:pPr>
              <w:jc w:val="right"/>
            </w:pPr>
            <w:r>
              <w:rPr>
                <w:rFonts w:eastAsiaTheme="minorEastAsia"/>
                <w:color w:val="000000" w:themeColor="text1"/>
                <w:szCs w:val="21"/>
              </w:rPr>
              <w:t>5.04</w:t>
            </w:r>
          </w:p>
        </w:tc>
      </w:tr>
      <w:tr w:rsidR="00FC65E6">
        <w:tc>
          <w:tcPr>
            <w:tcW w:w="0" w:type="auto"/>
            <w:vAlign w:val="center"/>
          </w:tcPr>
          <w:p w:rsidR="00FC65E6" w:rsidRDefault="004412AB">
            <w:pPr>
              <w:jc w:val="center"/>
            </w:pPr>
            <w:r>
              <w:rPr>
                <w:rFonts w:eastAsiaTheme="minorEastAsia"/>
                <w:color w:val="000000" w:themeColor="text1"/>
                <w:szCs w:val="21"/>
              </w:rPr>
              <w:t>9</w:t>
            </w:r>
          </w:p>
        </w:tc>
        <w:tc>
          <w:tcPr>
            <w:tcW w:w="0" w:type="auto"/>
            <w:vAlign w:val="center"/>
          </w:tcPr>
          <w:p w:rsidR="00FC65E6" w:rsidRDefault="004412AB">
            <w:pPr>
              <w:jc w:val="center"/>
            </w:pPr>
            <w:r>
              <w:rPr>
                <w:rFonts w:eastAsiaTheme="minorEastAsia"/>
                <w:color w:val="000000" w:themeColor="text1"/>
                <w:szCs w:val="21"/>
              </w:rPr>
              <w:t>JPMorgan Funds-JPM Emerging Markets Opportunities Fund</w:t>
            </w:r>
          </w:p>
        </w:tc>
        <w:tc>
          <w:tcPr>
            <w:tcW w:w="0" w:type="auto"/>
            <w:vAlign w:val="center"/>
          </w:tcPr>
          <w:p w:rsidR="00FC65E6" w:rsidRDefault="004412AB">
            <w:pPr>
              <w:jc w:val="center"/>
            </w:pPr>
            <w:r>
              <w:rPr>
                <w:rFonts w:eastAsiaTheme="minorEastAsia"/>
                <w:color w:val="000000" w:themeColor="text1"/>
                <w:szCs w:val="21"/>
              </w:rPr>
              <w:t>股票型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22,137,179.98</w:t>
            </w:r>
          </w:p>
        </w:tc>
        <w:tc>
          <w:tcPr>
            <w:tcW w:w="0" w:type="auto"/>
            <w:vAlign w:val="center"/>
          </w:tcPr>
          <w:p w:rsidR="00FC65E6" w:rsidRDefault="004412AB">
            <w:pPr>
              <w:jc w:val="right"/>
            </w:pPr>
            <w:r>
              <w:rPr>
                <w:rFonts w:eastAsiaTheme="minorEastAsia"/>
                <w:color w:val="000000" w:themeColor="text1"/>
                <w:szCs w:val="21"/>
              </w:rPr>
              <w:t>4.96</w:t>
            </w:r>
          </w:p>
        </w:tc>
      </w:tr>
      <w:tr w:rsidR="00FC65E6">
        <w:tc>
          <w:tcPr>
            <w:tcW w:w="0" w:type="auto"/>
            <w:vAlign w:val="center"/>
          </w:tcPr>
          <w:p w:rsidR="00FC65E6" w:rsidRDefault="004412AB">
            <w:pPr>
              <w:jc w:val="center"/>
            </w:pPr>
            <w:r>
              <w:rPr>
                <w:rFonts w:eastAsiaTheme="minorEastAsia"/>
                <w:color w:val="000000" w:themeColor="text1"/>
                <w:szCs w:val="21"/>
              </w:rPr>
              <w:t>10</w:t>
            </w:r>
          </w:p>
        </w:tc>
        <w:tc>
          <w:tcPr>
            <w:tcW w:w="0" w:type="auto"/>
            <w:vAlign w:val="center"/>
          </w:tcPr>
          <w:p w:rsidR="00FC65E6" w:rsidRDefault="004412AB">
            <w:pPr>
              <w:jc w:val="center"/>
            </w:pPr>
            <w:r>
              <w:rPr>
                <w:rFonts w:eastAsiaTheme="minorEastAsia"/>
                <w:color w:val="000000" w:themeColor="text1"/>
                <w:szCs w:val="21"/>
              </w:rPr>
              <w:t>JPMorgan Funds-JPM Europe Dynamic Fund</w:t>
            </w:r>
          </w:p>
        </w:tc>
        <w:tc>
          <w:tcPr>
            <w:tcW w:w="0" w:type="auto"/>
            <w:vAlign w:val="center"/>
          </w:tcPr>
          <w:p w:rsidR="00FC65E6" w:rsidRDefault="004412AB">
            <w:pPr>
              <w:jc w:val="center"/>
            </w:pPr>
            <w:r>
              <w:rPr>
                <w:rFonts w:eastAsiaTheme="minorEastAsia"/>
                <w:color w:val="000000" w:themeColor="text1"/>
                <w:szCs w:val="21"/>
              </w:rPr>
              <w:t>股票型</w:t>
            </w:r>
          </w:p>
        </w:tc>
        <w:tc>
          <w:tcPr>
            <w:tcW w:w="0" w:type="auto"/>
            <w:vAlign w:val="center"/>
          </w:tcPr>
          <w:p w:rsidR="00FC65E6" w:rsidRDefault="004412AB">
            <w:pPr>
              <w:jc w:val="center"/>
            </w:pPr>
            <w:r>
              <w:rPr>
                <w:rFonts w:eastAsiaTheme="minorEastAsia"/>
                <w:color w:val="000000" w:themeColor="text1"/>
                <w:szCs w:val="21"/>
              </w:rPr>
              <w:t>开放式</w:t>
            </w:r>
          </w:p>
        </w:tc>
        <w:tc>
          <w:tcPr>
            <w:tcW w:w="0" w:type="auto"/>
            <w:vAlign w:val="center"/>
          </w:tcPr>
          <w:p w:rsidR="00FC65E6" w:rsidRDefault="004412AB">
            <w:pPr>
              <w:jc w:val="center"/>
            </w:pPr>
            <w:r>
              <w:rPr>
                <w:rFonts w:eastAsiaTheme="minorEastAsia"/>
                <w:color w:val="000000" w:themeColor="text1"/>
                <w:szCs w:val="21"/>
              </w:rPr>
              <w:t>JPMorgan Asset Management (Europe) S.á r.l.</w:t>
            </w:r>
          </w:p>
        </w:tc>
        <w:tc>
          <w:tcPr>
            <w:tcW w:w="0" w:type="auto"/>
            <w:vAlign w:val="center"/>
          </w:tcPr>
          <w:p w:rsidR="00FC65E6" w:rsidRDefault="004412AB">
            <w:pPr>
              <w:jc w:val="right"/>
            </w:pPr>
            <w:r>
              <w:rPr>
                <w:rFonts w:eastAsiaTheme="minorEastAsia"/>
                <w:color w:val="000000" w:themeColor="text1"/>
                <w:szCs w:val="21"/>
              </w:rPr>
              <w:t>19,519,528.08</w:t>
            </w:r>
          </w:p>
        </w:tc>
        <w:tc>
          <w:tcPr>
            <w:tcW w:w="0" w:type="auto"/>
            <w:vAlign w:val="center"/>
          </w:tcPr>
          <w:p w:rsidR="00FC65E6" w:rsidRDefault="004412AB">
            <w:pPr>
              <w:jc w:val="right"/>
            </w:pPr>
            <w:r>
              <w:rPr>
                <w:rFonts w:eastAsiaTheme="minorEastAsia"/>
                <w:color w:val="000000" w:themeColor="text1"/>
                <w:szCs w:val="21"/>
              </w:rPr>
              <w:t>4.38</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607.47</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1,496,677.93</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1,497,285.40</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w:t>
      </w:r>
      <w:r w:rsidRPr="00A76A42">
        <w:rPr>
          <w:rFonts w:eastAsiaTheme="minorEastAsia"/>
          <w:color w:val="000000" w:themeColor="text1"/>
          <w:szCs w:val="21"/>
        </w:rPr>
        <w:t>,</w:t>
      </w:r>
      <w:r w:rsidRPr="00A76A42">
        <w:rPr>
          <w:rFonts w:eastAsiaTheme="minorEastAsia"/>
          <w:color w:val="000000" w:themeColor="text1"/>
          <w:szCs w:val="21"/>
        </w:rPr>
        <w:t>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296,644,128.80</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36,950,810.65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24,502,339.26</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309,092,600.19</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中国证监会准予上投摩根全球多元配置证券投资基金（</w:t>
      </w:r>
      <w:r>
        <w:rPr>
          <w:rFonts w:eastAsiaTheme="minorEastAsia"/>
          <w:color w:val="000000" w:themeColor="text1"/>
          <w:szCs w:val="21"/>
        </w:rPr>
        <w:t>QDII</w:t>
      </w:r>
      <w:r>
        <w:rPr>
          <w:rFonts w:eastAsiaTheme="minorEastAsia"/>
          <w:color w:val="000000" w:themeColor="text1"/>
          <w:szCs w:val="21"/>
        </w:rPr>
        <w:t>）募集注册的文件；</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《上投摩根全球多元配置证券投资基金基金合同》；</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《上投摩根全球多元配置证券投资基金托管协议》；</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FC65E6" w:rsidRDefault="004412A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 xml:space="preserve">6. </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二〇二一年七月二十一日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223901">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223901">
      <w:rPr>
        <w:noProof/>
        <w:kern w:val="0"/>
        <w:szCs w:val="21"/>
      </w:rPr>
      <w:t>14</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223901">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上投摩根全球多元配置证券投资基金</w:t>
    </w:r>
    <w:r w:rsidRPr="006669C9">
      <w:t>(QDII)2021</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979DC"/>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1F6"/>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901"/>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2AB"/>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6C8D"/>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C65E6"/>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38</TotalTime>
  <Pages>14</Pages>
  <Words>1251</Words>
  <Characters>7134</Characters>
  <Application>Microsoft Office Word</Application>
  <DocSecurity>0</DocSecurity>
  <Lines>59</Lines>
  <Paragraphs>16</Paragraphs>
  <ScaleCrop>false</ScaleCrop>
  <Company>TRT. Ltd. Co.</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23</cp:revision>
  <cp:lastPrinted>2007-07-19T00:46:00Z</cp:lastPrinted>
  <dcterms:created xsi:type="dcterms:W3CDTF">2014-12-16T02:40:00Z</dcterms:created>
  <dcterms:modified xsi:type="dcterms:W3CDTF">2021-07-20T02:57:00Z</dcterms:modified>
</cp:coreProperties>
</file>