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97616" w:rsidRPr="008277FF" w:rsidRDefault="00397616" w:rsidP="00397616">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F22F00">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上投摩根全球多元配置证券投资基金(QDII)</w:t>
      </w:r>
    </w:p>
    <w:p w:rsidR="00F22F00" w:rsidRPr="008277FF" w:rsidRDefault="00F22F00" w:rsidP="00506D57">
      <w:pPr>
        <w:spacing w:line="360" w:lineRule="auto"/>
        <w:jc w:val="center"/>
        <w:rPr>
          <w:rFonts w:asciiTheme="minorEastAsia" w:eastAsiaTheme="minorEastAsia" w:hAnsiTheme="minorEastAsia"/>
          <w:b/>
          <w:color w:val="000000" w:themeColor="text1"/>
          <w:sz w:val="36"/>
          <w:szCs w:val="36"/>
        </w:rPr>
      </w:pPr>
      <w:r w:rsidRPr="008277FF">
        <w:rPr>
          <w:rFonts w:asciiTheme="minorEastAsia" w:eastAsiaTheme="minorEastAsia" w:hAnsiTheme="minorEastAsia" w:hint="eastAsia"/>
          <w:b/>
          <w:color w:val="000000" w:themeColor="text1"/>
          <w:sz w:val="36"/>
          <w:szCs w:val="36"/>
        </w:rPr>
        <w:t>2019年第3季度报告</w:t>
      </w:r>
    </w:p>
    <w:p w:rsidR="00397616" w:rsidRPr="008277FF" w:rsidRDefault="00623556" w:rsidP="00506D57">
      <w:pPr>
        <w:spacing w:line="360" w:lineRule="auto"/>
        <w:jc w:val="center"/>
        <w:rPr>
          <w:rFonts w:asciiTheme="minorEastAsia" w:eastAsiaTheme="minorEastAsia" w:hAnsiTheme="minorEastAsia"/>
          <w:b/>
          <w:color w:val="000000" w:themeColor="text1"/>
          <w:sz w:val="24"/>
        </w:rPr>
      </w:pPr>
      <w:r w:rsidRPr="008277FF">
        <w:rPr>
          <w:rFonts w:asciiTheme="minorEastAsia" w:eastAsiaTheme="minorEastAsia" w:hAnsiTheme="minorEastAsia"/>
          <w:b/>
          <w:color w:val="000000" w:themeColor="text1"/>
          <w:sz w:val="24"/>
        </w:rPr>
        <w:t>2019年9月30日</w:t>
      </w: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397616">
      <w:pPr>
        <w:spacing w:line="360" w:lineRule="auto"/>
        <w:jc w:val="center"/>
        <w:rPr>
          <w:rFonts w:asciiTheme="minorEastAsia" w:eastAsiaTheme="minorEastAsia" w:hAnsiTheme="minorEastAsia"/>
          <w:b/>
          <w:color w:val="000000" w:themeColor="text1"/>
          <w:sz w:val="24"/>
        </w:rPr>
      </w:pPr>
    </w:p>
    <w:p w:rsidR="00397616" w:rsidRPr="008277FF" w:rsidRDefault="00397616" w:rsidP="00826B12">
      <w:pPr>
        <w:spacing w:line="288" w:lineRule="auto"/>
        <w:ind w:firstLineChars="900" w:firstLine="2168"/>
        <w:rPr>
          <w:rFonts w:asciiTheme="minorEastAsia" w:eastAsiaTheme="minorEastAsia" w:hAnsiTheme="minorEastAsia"/>
          <w:b/>
          <w:color w:val="000000" w:themeColor="text1"/>
          <w:sz w:val="24"/>
        </w:rPr>
      </w:pP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基金管理人：</w:t>
      </w:r>
      <w:r w:rsidRPr="008277FF">
        <w:rPr>
          <w:rFonts w:asciiTheme="minorEastAsia" w:eastAsiaTheme="minorEastAsia" w:hAnsiTheme="minorEastAsia"/>
          <w:b/>
          <w:color w:val="000000" w:themeColor="text1"/>
          <w:sz w:val="24"/>
        </w:rPr>
        <w:t>上投摩根基金管理有限公司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pPr>
      <w:r w:rsidRPr="008277FF">
        <w:rPr>
          <w:rFonts w:asciiTheme="minorEastAsia" w:eastAsiaTheme="minorEastAsia" w:hAnsiTheme="minorEastAsia" w:hint="eastAsia"/>
          <w:b/>
          <w:color w:val="000000" w:themeColor="text1"/>
          <w:sz w:val="24"/>
        </w:rPr>
        <w:t>基金托管人：</w:t>
      </w:r>
      <w:r w:rsidRPr="008277FF">
        <w:rPr>
          <w:rFonts w:asciiTheme="minorEastAsia" w:eastAsiaTheme="minorEastAsia" w:hAnsiTheme="minorEastAsia"/>
          <w:b/>
          <w:color w:val="000000" w:themeColor="text1"/>
          <w:sz w:val="24"/>
        </w:rPr>
        <w:t>招商银行股份有限公司</w:t>
      </w:r>
    </w:p>
    <w:p w:rsidR="007D1292" w:rsidRPr="008277FF" w:rsidRDefault="007D1292" w:rsidP="00506D57">
      <w:pPr>
        <w:spacing w:line="360" w:lineRule="auto"/>
        <w:ind w:firstLineChars="900" w:firstLine="2168"/>
        <w:rPr>
          <w:rFonts w:asciiTheme="minorEastAsia" w:eastAsiaTheme="minorEastAsia" w:hAnsiTheme="minorEastAsia"/>
          <w:b/>
          <w:color w:val="000000" w:themeColor="text1"/>
          <w:sz w:val="24"/>
        </w:rPr>
        <w:sectPr w:rsidR="007D1292" w:rsidRPr="008277FF" w:rsidSect="00B918B8">
          <w:headerReference w:type="default" r:id="rId7"/>
          <w:footerReference w:type="default" r:id="rId8"/>
          <w:pgSz w:w="11926" w:h="15840"/>
          <w:pgMar w:top="1418" w:right="1418" w:bottom="851" w:left="1418" w:header="851" w:footer="992" w:gutter="0"/>
          <w:cols w:space="720"/>
          <w:noEndnote/>
        </w:sectPr>
      </w:pPr>
      <w:r w:rsidRPr="008277FF">
        <w:rPr>
          <w:rFonts w:asciiTheme="minorEastAsia" w:eastAsiaTheme="minorEastAsia" w:hAnsiTheme="minorEastAsia" w:hint="eastAsia"/>
          <w:b/>
          <w:color w:val="000000" w:themeColor="text1"/>
          <w:sz w:val="24"/>
        </w:rPr>
        <w:t>报告送出日期：</w:t>
      </w:r>
      <w:r w:rsidR="00CB44DE" w:rsidRPr="008277FF">
        <w:rPr>
          <w:rFonts w:asciiTheme="minorEastAsia" w:eastAsiaTheme="minorEastAsia" w:hAnsiTheme="minorEastAsia"/>
          <w:b/>
          <w:color w:val="000000" w:themeColor="text1"/>
          <w:sz w:val="24"/>
        </w:rPr>
        <w:t>二〇一九年十月二十五日</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b w:val="0"/>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lastRenderedPageBreak/>
        <w:t>§</w:t>
      </w:r>
      <w:r w:rsidRPr="008277FF">
        <w:rPr>
          <w:rFonts w:asciiTheme="minorEastAsia" w:eastAsiaTheme="minorEastAsia" w:hAnsiTheme="minorEastAsia" w:cs="Arial"/>
          <w:color w:val="000000" w:themeColor="text1"/>
          <w:kern w:val="0"/>
          <w:sz w:val="24"/>
          <w:szCs w:val="24"/>
        </w:rPr>
        <w:t xml:space="preserve">1  </w:t>
      </w:r>
      <w:r w:rsidRPr="008277FF">
        <w:rPr>
          <w:rFonts w:asciiTheme="minorEastAsia" w:eastAsiaTheme="minorEastAsia" w:hAnsiTheme="minorEastAsia" w:cs="Arial" w:hint="eastAsia"/>
          <w:color w:val="000000" w:themeColor="text1"/>
          <w:kern w:val="0"/>
          <w:sz w:val="24"/>
          <w:szCs w:val="24"/>
        </w:rPr>
        <w:t>重要提示</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Cs w:val="21"/>
        </w:rPr>
        <w:t xml:space="preserve"> </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基金托管人招商银行股份有限公司根据本基金合同规定，于</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24</w:t>
      </w:r>
      <w:r>
        <w:rPr>
          <w:rFonts w:asciiTheme="minorEastAsia" w:eastAsiaTheme="minorEastAsia" w:hAnsiTheme="minorEastAsia"/>
          <w:color w:val="000000" w:themeColor="text1"/>
          <w:szCs w:val="2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Cs w:val="21"/>
        </w:rPr>
        <w:t xml:space="preserve"> </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基金管理人承诺以诚实信用、勤勉尽责的原则管理和运用基金资产，但不保证基金一定盈利。</w:t>
      </w:r>
      <w:r>
        <w:rPr>
          <w:rFonts w:asciiTheme="minorEastAsia" w:eastAsiaTheme="minorEastAsia" w:hAnsiTheme="minorEastAsia"/>
          <w:color w:val="000000" w:themeColor="text1"/>
          <w:szCs w:val="21"/>
        </w:rPr>
        <w:t xml:space="preserve"> </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szCs w:val="21"/>
        </w:rPr>
        <w:t xml:space="preserve"> </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本报告中财务资料未经审计。</w:t>
      </w:r>
    </w:p>
    <w:p w:rsidR="007D1292" w:rsidRPr="008277FF" w:rsidRDefault="007D1292" w:rsidP="006669C9">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本报告期自2019年7月1日起至9月30日止。</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2  </w:t>
      </w:r>
      <w:r w:rsidRPr="008277FF">
        <w:rPr>
          <w:rFonts w:asciiTheme="minorEastAsia" w:eastAsiaTheme="minorEastAsia" w:hAnsiTheme="minorEastAsia" w:cs="Arial" w:hint="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8277FF" w:rsidTr="006669C9">
        <w:tc>
          <w:tcPr>
            <w:tcW w:w="2977"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基金简称</w:t>
            </w:r>
          </w:p>
        </w:tc>
        <w:tc>
          <w:tcPr>
            <w:tcW w:w="5443" w:type="dxa"/>
            <w:vAlign w:val="center"/>
          </w:tcPr>
          <w:p w:rsidR="00363E15" w:rsidRPr="008277FF" w:rsidRDefault="00363E15"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上投摩根全球多元配置（QDII）</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基金主代码</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003629</w:t>
            </w:r>
          </w:p>
        </w:tc>
      </w:tr>
      <w:tr w:rsidR="008277FF" w:rsidRPr="008277FF" w:rsidTr="006669C9">
        <w:tc>
          <w:tcPr>
            <w:tcW w:w="2977"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交易代码</w:t>
            </w:r>
          </w:p>
        </w:tc>
        <w:tc>
          <w:tcPr>
            <w:tcW w:w="5443" w:type="dxa"/>
            <w:vAlign w:val="center"/>
          </w:tcPr>
          <w:p w:rsidR="005837E4" w:rsidRPr="008277FF" w:rsidRDefault="005837E4"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003629</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基金运作方式</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契约型开放式</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基金合同生效日</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2016年12月19日</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报告期末基金份额总额</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476,439,855.54</w:t>
            </w:r>
            <w:r w:rsidRPr="008277FF">
              <w:rPr>
                <w:rFonts w:asciiTheme="minorEastAsia" w:eastAsiaTheme="minorEastAsia" w:hAnsiTheme="minorEastAsia" w:hint="eastAsia"/>
                <w:color w:val="000000" w:themeColor="text1"/>
                <w:kern w:val="0"/>
                <w:szCs w:val="21"/>
              </w:rPr>
              <w:t>份</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投资目标</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通过全球化的资产配置和组合管理，有效地分散投资风险；在降低组合波动性的同时，实现资产的长期增值。</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投资策略</w:t>
            </w:r>
          </w:p>
        </w:tc>
        <w:tc>
          <w:tcPr>
            <w:tcW w:w="5443" w:type="dxa"/>
            <w:vAlign w:val="center"/>
          </w:tcPr>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w:t>
            </w:r>
            <w:r>
              <w:rPr>
                <w:rFonts w:asciiTheme="minorEastAsia" w:eastAsiaTheme="minorEastAsia" w:hAnsiTheme="minorEastAsia"/>
                <w:color w:val="000000" w:themeColor="text1"/>
                <w:kern w:val="0"/>
                <w:szCs w:val="21"/>
              </w:rPr>
              <w:t>、大类资产配置策略</w:t>
            </w:r>
          </w:p>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本基金在大类资产配置层面将贯彻</w:t>
            </w:r>
            <w:r>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自上而下</w:t>
            </w:r>
            <w:r>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的资产组合配置策略，运用定性和定量相结合的方式确定基金资产配置长期比例。</w:t>
            </w:r>
          </w:p>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2</w:t>
            </w:r>
            <w:r>
              <w:rPr>
                <w:rFonts w:asciiTheme="minorEastAsia" w:eastAsiaTheme="minorEastAsia" w:hAnsiTheme="minorEastAsia"/>
                <w:color w:val="000000" w:themeColor="text1"/>
                <w:kern w:val="0"/>
                <w:szCs w:val="21"/>
              </w:rPr>
              <w:t>、区域资产配置策略</w:t>
            </w:r>
          </w:p>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w:t>
            </w:r>
            <w:r>
              <w:rPr>
                <w:rFonts w:asciiTheme="minorEastAsia" w:eastAsiaTheme="minorEastAsia" w:hAnsiTheme="minorEastAsia"/>
                <w:color w:val="000000" w:themeColor="text1"/>
                <w:kern w:val="0"/>
                <w:szCs w:val="21"/>
              </w:rPr>
              <w:t>比例后，将动态跟踪各国家或地区的权重，对其估值水平及风险收益特征进行研究并结合风险预算确定超配和低配比例。</w:t>
            </w:r>
          </w:p>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3</w:t>
            </w:r>
            <w:r>
              <w:rPr>
                <w:rFonts w:asciiTheme="minorEastAsia" w:eastAsiaTheme="minorEastAsia" w:hAnsiTheme="minorEastAsia"/>
                <w:color w:val="000000" w:themeColor="text1"/>
                <w:kern w:val="0"/>
                <w:szCs w:val="21"/>
              </w:rPr>
              <w:t>、行业资产配置策略</w:t>
            </w:r>
          </w:p>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p>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4</w:t>
            </w:r>
            <w:r>
              <w:rPr>
                <w:rFonts w:asciiTheme="minorEastAsia" w:eastAsiaTheme="minorEastAsia" w:hAnsiTheme="minorEastAsia"/>
                <w:color w:val="000000" w:themeColor="text1"/>
                <w:kern w:val="0"/>
                <w:szCs w:val="21"/>
              </w:rPr>
              <w:t>、标的基金投资策略</w:t>
            </w:r>
          </w:p>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p>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目前本基金将主要投资于摩根资产管理（</w:t>
            </w:r>
            <w:r>
              <w:rPr>
                <w:rFonts w:asciiTheme="minorEastAsia" w:eastAsiaTheme="minorEastAsia" w:hAnsiTheme="minorEastAsia"/>
                <w:color w:val="000000" w:themeColor="text1"/>
                <w:kern w:val="0"/>
                <w:szCs w:val="21"/>
              </w:rPr>
              <w:t>J.P. Morgan Asset Management</w:t>
            </w:r>
            <w:r>
              <w:rPr>
                <w:rFonts w:asciiTheme="minorEastAsia" w:eastAsiaTheme="minorEastAsia" w:hAnsiTheme="minorEastAsia"/>
                <w:color w:val="000000" w:themeColor="text1"/>
                <w:kern w:val="0"/>
                <w:szCs w:val="21"/>
              </w:rPr>
              <w:t>）旗下的公募基金，并根据定量及定性分析策略优选标的基金。摩根资产管理（</w:t>
            </w:r>
            <w:r>
              <w:rPr>
                <w:rFonts w:asciiTheme="minorEastAsia" w:eastAsiaTheme="minorEastAsia" w:hAnsiTheme="minorEastAsia"/>
                <w:color w:val="000000" w:themeColor="text1"/>
                <w:kern w:val="0"/>
                <w:szCs w:val="21"/>
              </w:rPr>
              <w:t>J.P. Morgan Asset Management</w:t>
            </w:r>
            <w:r>
              <w:rPr>
                <w:rFonts w:asciiTheme="minorEastAsia" w:eastAsiaTheme="minorEastAsia" w:hAnsiTheme="minorEastAsia"/>
                <w:color w:val="000000" w:themeColor="text1"/>
                <w:kern w:val="0"/>
                <w:szCs w:val="21"/>
              </w:rPr>
              <w:t>）主要是指与上投摩根存在关联关系的摩根资产管理旗</w:t>
            </w:r>
            <w:r>
              <w:rPr>
                <w:rFonts w:asciiTheme="minorEastAsia" w:eastAsiaTheme="minorEastAsia" w:hAnsiTheme="minorEastAsia"/>
                <w:color w:val="000000" w:themeColor="text1"/>
                <w:kern w:val="0"/>
                <w:szCs w:val="21"/>
              </w:rPr>
              <w:t>下的法人实体，包括但不限于</w:t>
            </w:r>
            <w:r>
              <w:rPr>
                <w:rFonts w:asciiTheme="minorEastAsia" w:eastAsiaTheme="minorEastAsia" w:hAnsiTheme="minorEastAsia"/>
                <w:color w:val="000000" w:themeColor="text1"/>
                <w:kern w:val="0"/>
                <w:szCs w:val="21"/>
              </w:rPr>
              <w:t>JPMorgan Funds (Asia) Limited</w:t>
            </w:r>
            <w:r>
              <w:rPr>
                <w:rFonts w:asciiTheme="minorEastAsia" w:eastAsiaTheme="minorEastAsia" w:hAnsiTheme="minorEastAsia"/>
                <w:color w:val="000000" w:themeColor="text1"/>
                <w:kern w:val="0"/>
                <w:szCs w:val="21"/>
              </w:rPr>
              <w:t>、</w:t>
            </w:r>
            <w:r>
              <w:rPr>
                <w:rFonts w:asciiTheme="minorEastAsia" w:eastAsiaTheme="minorEastAsia" w:hAnsiTheme="minorEastAsia"/>
                <w:color w:val="000000" w:themeColor="text1"/>
                <w:kern w:val="0"/>
                <w:szCs w:val="21"/>
              </w:rPr>
              <w:t>JPMorgan Asset Management (UK) Limited</w:t>
            </w:r>
            <w:r>
              <w:rPr>
                <w:rFonts w:asciiTheme="minorEastAsia" w:eastAsiaTheme="minorEastAsia" w:hAnsiTheme="minorEastAsia"/>
                <w:color w:val="000000" w:themeColor="text1"/>
                <w:kern w:val="0"/>
                <w:szCs w:val="21"/>
              </w:rPr>
              <w:t>等。</w:t>
            </w:r>
          </w:p>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5</w:t>
            </w:r>
            <w:r>
              <w:rPr>
                <w:rFonts w:asciiTheme="minorEastAsia" w:eastAsiaTheme="minorEastAsia" w:hAnsiTheme="minorEastAsia"/>
                <w:color w:val="000000" w:themeColor="text1"/>
                <w:kern w:val="0"/>
                <w:szCs w:val="21"/>
              </w:rPr>
              <w:t>、金融衍生品投资策略</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本基金可本着谨慎和风险可控的原则投资于金融衍生品，以避险和增值、管理汇率风险。</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业绩比较基准</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MSCI全球指数（MSCI ACWI）*80%+摩根大通全球债券指数（J.P. Morgan Global Aggregate Bond Index）*20%。</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风险收益特征</w:t>
            </w:r>
          </w:p>
        </w:tc>
        <w:tc>
          <w:tcPr>
            <w:tcW w:w="5443" w:type="dxa"/>
            <w:vAlign w:val="center"/>
          </w:tcPr>
          <w:p w:rsidR="00BD37E8" w:rsidRDefault="00694E48">
            <w:pPr>
              <w:adjustRightInd w:val="0"/>
              <w:spacing w:before="29" w:line="360" w:lineRule="auto"/>
              <w:ind w:left="17"/>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本基金主要投资于境外公募基金，属于中等风险收益</w:t>
            </w:r>
            <w:r>
              <w:rPr>
                <w:rFonts w:asciiTheme="minorEastAsia" w:eastAsiaTheme="minorEastAsia" w:hAnsiTheme="minorEastAsia"/>
                <w:color w:val="000000" w:themeColor="text1"/>
                <w:kern w:val="0"/>
                <w:szCs w:val="21"/>
              </w:rPr>
              <w:t>水平的证券投资基金产品，预期风险和收益水平低于股票型基金，高于债券型基金和货币市场基金。</w:t>
            </w:r>
          </w:p>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本基金风险收益特征会定期评估并在公司网站发布，请投资者关注。</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基金管理人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上投摩根基金管理有限公司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kern w:val="0"/>
                <w:szCs w:val="21"/>
              </w:rPr>
              <w:t>基金托管人</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招商银行股份有限公司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JPMORGAN ASSET MANAGEMENT (ASIA PACIFIC)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境外投资顾问中文名称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摩根资产管理(亚太)有限公司</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境外资产托管人英文名称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The Hong Kong and Shanghai Banking Corporation Limited</w:t>
            </w:r>
          </w:p>
        </w:tc>
      </w:tr>
      <w:tr w:rsidR="008277FF" w:rsidRPr="008277FF" w:rsidTr="006669C9">
        <w:tc>
          <w:tcPr>
            <w:tcW w:w="2977"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境外资产托管人中文名称</w:t>
            </w:r>
          </w:p>
        </w:tc>
        <w:tc>
          <w:tcPr>
            <w:tcW w:w="5443" w:type="dxa"/>
            <w:vAlign w:val="center"/>
          </w:tcPr>
          <w:p w:rsidR="0066726C" w:rsidRPr="008277FF" w:rsidRDefault="0066726C" w:rsidP="006669C9">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hint="eastAsia"/>
                <w:color w:val="000000" w:themeColor="text1"/>
                <w:kern w:val="0"/>
                <w:szCs w:val="21"/>
              </w:rPr>
              <w:t>香港上海汇丰银行有限公司</w:t>
            </w:r>
          </w:p>
        </w:tc>
      </w:tr>
    </w:tbl>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3  </w:t>
      </w:r>
      <w:r w:rsidRPr="008277FF">
        <w:rPr>
          <w:rFonts w:asciiTheme="minorEastAsia" w:eastAsiaTheme="minorEastAsia" w:hAnsiTheme="minorEastAsia" w:cs="Arial" w:hint="eastAsia"/>
          <w:color w:val="000000" w:themeColor="text1"/>
          <w:kern w:val="0"/>
          <w:sz w:val="24"/>
          <w:szCs w:val="24"/>
        </w:rPr>
        <w:t>主要财务指标和基金净值表现</w:t>
      </w:r>
    </w:p>
    <w:p w:rsidR="0076518F" w:rsidRPr="008277FF" w:rsidRDefault="0076518F" w:rsidP="00506D57">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3.1 </w:t>
      </w:r>
      <w:r w:rsidRPr="008277FF">
        <w:rPr>
          <w:rFonts w:asciiTheme="minorEastAsia" w:eastAsiaTheme="minorEastAsia" w:hAnsiTheme="minorEastAsia" w:cs="Arial" w:hint="eastAsia"/>
          <w:b/>
          <w:color w:val="000000" w:themeColor="text1"/>
          <w:kern w:val="0"/>
          <w:sz w:val="24"/>
        </w:rPr>
        <w:t>主要财务指标</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694E48" w:rsidRPr="008277FF" w:rsidTr="00694E48">
        <w:tc>
          <w:tcPr>
            <w:tcW w:w="3402" w:type="dxa"/>
            <w:vAlign w:val="center"/>
          </w:tcPr>
          <w:p w:rsidR="007D1292" w:rsidRPr="008277FF" w:rsidRDefault="007D1292" w:rsidP="001D369F">
            <w:pPr>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主要财务指标</w:t>
            </w:r>
          </w:p>
        </w:tc>
        <w:tc>
          <w:tcPr>
            <w:tcW w:w="4962" w:type="dxa"/>
            <w:vAlign w:val="center"/>
          </w:tcPr>
          <w:p w:rsidR="000306F0" w:rsidRPr="008277FF" w:rsidRDefault="000306F0" w:rsidP="001D369F">
            <w:pPr>
              <w:adjustRightInd w:val="0"/>
              <w:spacing w:before="29" w:line="360" w:lineRule="auto"/>
              <w:ind w:left="17"/>
              <w:jc w:val="center"/>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报告期</w:t>
            </w:r>
          </w:p>
          <w:p w:rsidR="007D1292" w:rsidRPr="008277FF" w:rsidRDefault="000306F0" w:rsidP="001D369F">
            <w:pPr>
              <w:adjustRightInd w:val="0"/>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w:t>
            </w:r>
            <w:r w:rsidRPr="008277FF">
              <w:rPr>
                <w:rFonts w:asciiTheme="minorEastAsia" w:eastAsiaTheme="minorEastAsia" w:hAnsiTheme="minorEastAsia" w:cs="宋体"/>
                <w:color w:val="000000" w:themeColor="text1"/>
                <w:szCs w:val="21"/>
              </w:rPr>
              <w:t>2019年7月1日-2019年9月30日</w:t>
            </w:r>
            <w:r w:rsidRPr="008277FF">
              <w:rPr>
                <w:rFonts w:asciiTheme="minorEastAsia" w:eastAsiaTheme="minorEastAsia" w:hAnsiTheme="minorEastAsia" w:cs="宋体" w:hint="eastAsia"/>
                <w:color w:val="000000" w:themeColor="text1"/>
                <w:szCs w:val="21"/>
              </w:rPr>
              <w:t>)</w:t>
            </w:r>
          </w:p>
        </w:tc>
      </w:tr>
      <w:tr w:rsidR="00694E48" w:rsidRPr="008277FF" w:rsidTr="00694E48">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1.</w:t>
            </w:r>
            <w:r w:rsidRPr="008277FF">
              <w:rPr>
                <w:rFonts w:asciiTheme="minorEastAsia" w:eastAsiaTheme="minorEastAsia" w:hAnsiTheme="minorEastAsia" w:cs="宋体" w:hint="eastAsia"/>
                <w:color w:val="000000" w:themeColor="text1"/>
                <w:kern w:val="0"/>
                <w:szCs w:val="21"/>
              </w:rPr>
              <w:t>本期已实现收益</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11,876,132.88</w:t>
            </w:r>
          </w:p>
        </w:tc>
      </w:tr>
      <w:tr w:rsidR="00694E48" w:rsidRPr="008277FF" w:rsidTr="00694E48">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2.</w:t>
            </w:r>
            <w:r w:rsidRPr="008277FF">
              <w:rPr>
                <w:rFonts w:asciiTheme="minorEastAsia" w:eastAsiaTheme="minorEastAsia" w:hAnsiTheme="minorEastAsia" w:cs="宋体" w:hint="eastAsia"/>
                <w:color w:val="000000" w:themeColor="text1"/>
                <w:kern w:val="0"/>
                <w:szCs w:val="21"/>
              </w:rPr>
              <w:t>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19,755,612.21</w:t>
            </w:r>
          </w:p>
        </w:tc>
      </w:tr>
      <w:tr w:rsidR="00694E48" w:rsidRPr="008277FF" w:rsidTr="00694E48">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3.</w:t>
            </w:r>
            <w:r w:rsidRPr="008277FF">
              <w:rPr>
                <w:rFonts w:asciiTheme="minorEastAsia" w:eastAsiaTheme="minorEastAsia" w:hAnsiTheme="minorEastAsia" w:cs="宋体" w:hint="eastAsia"/>
                <w:color w:val="000000" w:themeColor="text1"/>
                <w:kern w:val="0"/>
                <w:szCs w:val="21"/>
              </w:rPr>
              <w:t>加权平均基金份额本期利润</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0.0384</w:t>
            </w:r>
          </w:p>
        </w:tc>
      </w:tr>
      <w:tr w:rsidR="00694E48" w:rsidRPr="008277FF" w:rsidTr="00694E48">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4.</w:t>
            </w:r>
            <w:r w:rsidRPr="008277FF">
              <w:rPr>
                <w:rFonts w:asciiTheme="minorEastAsia" w:eastAsiaTheme="minorEastAsia" w:hAnsiTheme="minorEastAsia" w:cs="宋体" w:hint="eastAsia"/>
                <w:color w:val="000000" w:themeColor="text1"/>
                <w:kern w:val="0"/>
                <w:szCs w:val="21"/>
              </w:rPr>
              <w:t>期末基金资产净值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595,295,971.87</w:t>
            </w:r>
          </w:p>
        </w:tc>
      </w:tr>
      <w:tr w:rsidR="00694E48" w:rsidRPr="008277FF" w:rsidTr="00694E48">
        <w:trPr>
          <w:trHeight w:val="158"/>
        </w:trPr>
        <w:tc>
          <w:tcPr>
            <w:tcW w:w="3402" w:type="dxa"/>
            <w:vAlign w:val="center"/>
          </w:tcPr>
          <w:p w:rsidR="007D1292" w:rsidRPr="008277FF" w:rsidRDefault="007D1292" w:rsidP="001D369F">
            <w:pPr>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方正仿宋简体"/>
                <w:color w:val="000000" w:themeColor="text1"/>
                <w:kern w:val="0"/>
                <w:szCs w:val="21"/>
              </w:rPr>
              <w:t>5.</w:t>
            </w:r>
            <w:r w:rsidRPr="008277FF">
              <w:rPr>
                <w:rFonts w:asciiTheme="minorEastAsia" w:eastAsiaTheme="minorEastAsia" w:hAnsiTheme="minorEastAsia" w:cs="宋体" w:hint="eastAsia"/>
                <w:color w:val="000000" w:themeColor="text1"/>
                <w:kern w:val="0"/>
                <w:szCs w:val="21"/>
              </w:rPr>
              <w:t>期末基金份额净值</w:t>
            </w:r>
          </w:p>
        </w:tc>
        <w:tc>
          <w:tcPr>
            <w:tcW w:w="4962" w:type="dxa"/>
            <w:vAlign w:val="center"/>
          </w:tcPr>
          <w:p w:rsidR="007D1292" w:rsidRPr="008277FF" w:rsidRDefault="007D1292" w:rsidP="001D369F">
            <w:pPr>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1.249</w:t>
            </w:r>
          </w:p>
        </w:tc>
      </w:tr>
    </w:tbl>
    <w:p w:rsidR="00BD37E8" w:rsidRDefault="00694E48">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8277FF" w:rsidRDefault="007D1292"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3.2 </w:t>
      </w:r>
      <w:r w:rsidRPr="008277FF">
        <w:rPr>
          <w:rFonts w:asciiTheme="minorEastAsia" w:eastAsiaTheme="minorEastAsia" w:hAnsiTheme="minorEastAsia" w:cs="Arial" w:hint="eastAsia"/>
          <w:b/>
          <w:color w:val="000000" w:themeColor="text1"/>
          <w:kern w:val="0"/>
          <w:sz w:val="24"/>
        </w:rPr>
        <w:t>基金净值表现</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8277FF">
          <w:rPr>
            <w:rFonts w:asciiTheme="minorEastAsia" w:eastAsiaTheme="minorEastAsia" w:hAnsiTheme="minorEastAsia" w:cs="Arial"/>
            <w:b/>
            <w:color w:val="000000" w:themeColor="text1"/>
            <w:kern w:val="0"/>
            <w:sz w:val="24"/>
          </w:rPr>
          <w:t>3.2.1</w:t>
        </w:r>
      </w:smartTag>
      <w:r w:rsidRPr="008277FF">
        <w:rPr>
          <w:rFonts w:asciiTheme="minorEastAsia" w:eastAsiaTheme="minorEastAsia" w:hAnsiTheme="minorEastAsia" w:cs="Arial" w:hint="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8277FF" w:rsidTr="00B918B8">
        <w:tc>
          <w:tcPr>
            <w:tcW w:w="1395"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阶段</w:t>
            </w:r>
          </w:p>
        </w:tc>
        <w:tc>
          <w:tcPr>
            <w:tcW w:w="1092"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净值增长率①</w:t>
            </w:r>
          </w:p>
        </w:tc>
        <w:tc>
          <w:tcPr>
            <w:tcW w:w="116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净值增长率标准差②</w:t>
            </w:r>
          </w:p>
        </w:tc>
        <w:tc>
          <w:tcPr>
            <w:tcW w:w="1181"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业绩比较基准收益率③</w:t>
            </w:r>
          </w:p>
        </w:tc>
        <w:tc>
          <w:tcPr>
            <w:tcW w:w="1188"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业绩比较基准收益率标准差④</w:t>
            </w:r>
          </w:p>
        </w:tc>
        <w:tc>
          <w:tcPr>
            <w:tcW w:w="1199"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①</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③</w:t>
            </w:r>
          </w:p>
        </w:tc>
        <w:tc>
          <w:tcPr>
            <w:tcW w:w="1204" w:type="dxa"/>
            <w:shd w:val="clear" w:color="auto" w:fill="auto"/>
            <w:vAlign w:val="center"/>
          </w:tcPr>
          <w:p w:rsidR="007D1292" w:rsidRPr="008277FF" w:rsidRDefault="007D1292" w:rsidP="00B918B8">
            <w:pPr>
              <w:autoSpaceDE w:val="0"/>
              <w:autoSpaceDN w:val="0"/>
              <w:adjustRightInd w:val="0"/>
              <w:spacing w:before="29" w:line="360" w:lineRule="auto"/>
              <w:ind w:left="17"/>
              <w:jc w:val="center"/>
              <w:rPr>
                <w:rFonts w:asciiTheme="minorEastAsia" w:eastAsiaTheme="minorEastAsia" w:hAnsiTheme="minorEastAsia" w:cs="Arial"/>
                <w:color w:val="000000" w:themeColor="text1"/>
                <w:szCs w:val="21"/>
              </w:rPr>
            </w:pPr>
            <w:r w:rsidRPr="008277FF">
              <w:rPr>
                <w:rFonts w:asciiTheme="minorEastAsia" w:eastAsiaTheme="minorEastAsia" w:hAnsiTheme="minorEastAsia" w:cs="Arial" w:hint="eastAsia"/>
                <w:color w:val="000000" w:themeColor="text1"/>
                <w:szCs w:val="21"/>
              </w:rPr>
              <w:t>②</w:t>
            </w:r>
            <w:r w:rsidRPr="008277FF">
              <w:rPr>
                <w:rFonts w:asciiTheme="minorEastAsia" w:eastAsiaTheme="minorEastAsia" w:hAnsiTheme="minorEastAsia" w:cs="Arial"/>
                <w:color w:val="000000" w:themeColor="text1"/>
                <w:szCs w:val="21"/>
              </w:rPr>
              <w:t>-</w:t>
            </w:r>
            <w:r w:rsidRPr="008277FF">
              <w:rPr>
                <w:rFonts w:asciiTheme="minorEastAsia" w:eastAsiaTheme="minorEastAsia" w:hAnsiTheme="minorEastAsia" w:cs="Arial" w:hint="eastAsia"/>
                <w:color w:val="000000" w:themeColor="text1"/>
                <w:szCs w:val="21"/>
              </w:rPr>
              <w:t>④</w:t>
            </w:r>
          </w:p>
        </w:tc>
      </w:tr>
      <w:tr w:rsidR="00BD37E8">
        <w:tc>
          <w:tcPr>
            <w:tcW w:w="1395" w:type="dxa"/>
            <w:vAlign w:val="center"/>
          </w:tcPr>
          <w:p w:rsidR="00BD37E8" w:rsidRDefault="00694E48">
            <w:pPr>
              <w:jc w:val="left"/>
            </w:pPr>
            <w:r>
              <w:rPr>
                <w:rFonts w:asciiTheme="minorEastAsia" w:eastAsiaTheme="minorEastAsia" w:hAnsiTheme="minorEastAsia"/>
                <w:color w:val="000000" w:themeColor="text1"/>
                <w:szCs w:val="21"/>
              </w:rPr>
              <w:t>过去三个月</w:t>
            </w:r>
          </w:p>
        </w:tc>
        <w:tc>
          <w:tcPr>
            <w:tcW w:w="1092" w:type="dxa"/>
            <w:vAlign w:val="center"/>
          </w:tcPr>
          <w:p w:rsidR="00BD37E8" w:rsidRDefault="00694E48">
            <w:pPr>
              <w:jc w:val="right"/>
            </w:pPr>
            <w:r>
              <w:rPr>
                <w:rFonts w:asciiTheme="minorEastAsia" w:eastAsiaTheme="minorEastAsia" w:hAnsiTheme="minorEastAsia"/>
                <w:color w:val="000000" w:themeColor="text1"/>
                <w:szCs w:val="21"/>
              </w:rPr>
              <w:t>3.14%</w:t>
            </w:r>
          </w:p>
        </w:tc>
        <w:tc>
          <w:tcPr>
            <w:tcW w:w="1161" w:type="dxa"/>
            <w:vAlign w:val="center"/>
          </w:tcPr>
          <w:p w:rsidR="00BD37E8" w:rsidRDefault="00694E48">
            <w:pPr>
              <w:jc w:val="right"/>
            </w:pPr>
            <w:r>
              <w:rPr>
                <w:rFonts w:asciiTheme="minorEastAsia" w:eastAsiaTheme="minorEastAsia" w:hAnsiTheme="minorEastAsia"/>
                <w:color w:val="000000" w:themeColor="text1"/>
                <w:szCs w:val="21"/>
              </w:rPr>
              <w:t>0.45%</w:t>
            </w:r>
          </w:p>
        </w:tc>
        <w:tc>
          <w:tcPr>
            <w:tcW w:w="1181" w:type="dxa"/>
            <w:vAlign w:val="center"/>
          </w:tcPr>
          <w:p w:rsidR="00BD37E8" w:rsidRDefault="00694E48">
            <w:pPr>
              <w:jc w:val="right"/>
            </w:pPr>
            <w:r>
              <w:rPr>
                <w:rFonts w:asciiTheme="minorEastAsia" w:eastAsiaTheme="minorEastAsia" w:hAnsiTheme="minorEastAsia"/>
                <w:color w:val="000000" w:themeColor="text1"/>
                <w:szCs w:val="21"/>
              </w:rPr>
              <w:t>2.68%</w:t>
            </w:r>
          </w:p>
        </w:tc>
        <w:tc>
          <w:tcPr>
            <w:tcW w:w="1188" w:type="dxa"/>
            <w:vAlign w:val="center"/>
          </w:tcPr>
          <w:p w:rsidR="00BD37E8" w:rsidRDefault="00694E48">
            <w:pPr>
              <w:jc w:val="right"/>
            </w:pPr>
            <w:r>
              <w:rPr>
                <w:rFonts w:asciiTheme="minorEastAsia" w:eastAsiaTheme="minorEastAsia" w:hAnsiTheme="minorEastAsia"/>
                <w:color w:val="000000" w:themeColor="text1"/>
                <w:szCs w:val="21"/>
              </w:rPr>
              <w:t>0.55%</w:t>
            </w:r>
          </w:p>
        </w:tc>
        <w:tc>
          <w:tcPr>
            <w:tcW w:w="1199" w:type="dxa"/>
            <w:vAlign w:val="center"/>
          </w:tcPr>
          <w:p w:rsidR="00BD37E8" w:rsidRDefault="00694E48">
            <w:pPr>
              <w:jc w:val="right"/>
            </w:pPr>
            <w:r>
              <w:rPr>
                <w:rFonts w:asciiTheme="minorEastAsia" w:eastAsiaTheme="minorEastAsia" w:hAnsiTheme="minorEastAsia"/>
                <w:color w:val="000000" w:themeColor="text1"/>
                <w:szCs w:val="21"/>
              </w:rPr>
              <w:t>0.46%</w:t>
            </w:r>
          </w:p>
        </w:tc>
        <w:tc>
          <w:tcPr>
            <w:tcW w:w="1204" w:type="dxa"/>
            <w:vAlign w:val="center"/>
          </w:tcPr>
          <w:p w:rsidR="00BD37E8" w:rsidRDefault="00694E48">
            <w:pPr>
              <w:jc w:val="right"/>
            </w:pPr>
            <w:r>
              <w:rPr>
                <w:rFonts w:asciiTheme="minorEastAsia" w:eastAsiaTheme="minorEastAsia" w:hAnsiTheme="minorEastAsia"/>
                <w:color w:val="000000" w:themeColor="text1"/>
                <w:szCs w:val="21"/>
              </w:rPr>
              <w:t>-0.10%</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3.2.2</w:t>
      </w:r>
      <w:r w:rsidRPr="008277FF">
        <w:rPr>
          <w:rFonts w:asciiTheme="minorEastAsia" w:eastAsiaTheme="minorEastAsia" w:hAnsiTheme="minorEastAsia" w:cs="Arial" w:hint="eastAsia"/>
          <w:b/>
          <w:color w:val="000000" w:themeColor="text1"/>
          <w:kern w:val="0"/>
          <w:sz w:val="24"/>
        </w:rPr>
        <w:t xml:space="preserve">　</w:t>
      </w:r>
      <w:r w:rsidR="009779FD" w:rsidRPr="008277FF">
        <w:rPr>
          <w:rStyle w:val="afb"/>
          <w:rFonts w:hint="eastAsia"/>
          <w:color w:val="000000" w:themeColor="text1"/>
          <w:sz w:val="24"/>
          <w:shd w:val="clear" w:color="auto" w:fill="FFFFFF"/>
        </w:rPr>
        <w:t>自基金合同生效以来</w:t>
      </w:r>
      <w:r w:rsidRPr="008277FF">
        <w:rPr>
          <w:rFonts w:asciiTheme="minorEastAsia" w:eastAsiaTheme="minorEastAsia" w:hAnsiTheme="minorEastAsia" w:cs="Arial" w:hint="eastAsia"/>
          <w:b/>
          <w:color w:val="000000" w:themeColor="text1"/>
          <w:kern w:val="0"/>
          <w:sz w:val="24"/>
        </w:rPr>
        <w:t>基金累计</w:t>
      </w:r>
      <w:r w:rsidR="004339D9" w:rsidRPr="008277FF">
        <w:rPr>
          <w:rFonts w:asciiTheme="minorEastAsia" w:eastAsiaTheme="minorEastAsia" w:hAnsiTheme="minorEastAsia" w:cs="Arial" w:hint="eastAsia"/>
          <w:b/>
          <w:color w:val="000000" w:themeColor="text1"/>
          <w:kern w:val="0"/>
          <w:sz w:val="24"/>
        </w:rPr>
        <w:t>份额</w:t>
      </w:r>
      <w:r w:rsidRPr="008277FF">
        <w:rPr>
          <w:rFonts w:asciiTheme="minorEastAsia" w:eastAsiaTheme="minorEastAsia" w:hAnsiTheme="minorEastAsia" w:cs="Arial" w:hint="eastAsia"/>
          <w:b/>
          <w:color w:val="000000" w:themeColor="text1"/>
          <w:kern w:val="0"/>
          <w:sz w:val="24"/>
        </w:rPr>
        <w:t>净值增长率变动及其与同期业绩比较基准收益率变动的比较</w:t>
      </w:r>
    </w:p>
    <w:p w:rsidR="00A96FD9" w:rsidRPr="008277FF" w:rsidRDefault="00A96FD9"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上投摩根全球多元配置证券投资基金(QDII)</w:t>
      </w:r>
    </w:p>
    <w:p w:rsidR="00FB39F7" w:rsidRPr="008277FF" w:rsidRDefault="00FB39F7" w:rsidP="00EC4BA3">
      <w:pPr>
        <w:pStyle w:val="a5"/>
        <w:snapToGrid w:val="0"/>
        <w:spacing w:line="360" w:lineRule="auto"/>
        <w:ind w:firstLine="480"/>
        <w:jc w:val="center"/>
        <w:rPr>
          <w:rFonts w:asciiTheme="minorEastAsia" w:eastAsiaTheme="minorEastAsia" w:hAnsiTheme="minorEastAsia"/>
          <w:color w:val="000000" w:themeColor="text1"/>
        </w:rPr>
      </w:pPr>
      <w:r w:rsidRPr="008277FF">
        <w:rPr>
          <w:rFonts w:asciiTheme="minorEastAsia" w:eastAsiaTheme="minorEastAsia" w:hAnsiTheme="minorEastAsia"/>
          <w:color w:val="000000" w:themeColor="text1"/>
        </w:rPr>
        <w:t>累计</w:t>
      </w:r>
      <w:r w:rsidR="00C67DCB" w:rsidRPr="008277FF">
        <w:rPr>
          <w:rFonts w:asciiTheme="minorEastAsia" w:eastAsiaTheme="minorEastAsia" w:hAnsiTheme="minorEastAsia"/>
          <w:color w:val="000000" w:themeColor="text1"/>
        </w:rPr>
        <w:t>份额</w:t>
      </w:r>
      <w:r w:rsidRPr="008277FF">
        <w:rPr>
          <w:rFonts w:asciiTheme="minorEastAsia" w:eastAsiaTheme="minorEastAsia" w:hAnsiTheme="minorEastAsia"/>
          <w:color w:val="000000" w:themeColor="text1"/>
        </w:rPr>
        <w:t>净值增长率与业绩比较基准收益率历史走势对比图</w:t>
      </w:r>
    </w:p>
    <w:p w:rsidR="005908C0" w:rsidRPr="008277FF" w:rsidRDefault="005908C0" w:rsidP="00EC4BA3">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kern w:val="0"/>
          <w:szCs w:val="21"/>
        </w:rPr>
        <w:t>（</w:t>
      </w:r>
      <w:r w:rsidR="00623556" w:rsidRPr="008277FF">
        <w:rPr>
          <w:rFonts w:asciiTheme="minorEastAsia" w:eastAsiaTheme="minorEastAsia" w:hAnsiTheme="minorEastAsia"/>
          <w:color w:val="000000" w:themeColor="text1"/>
          <w:kern w:val="0"/>
          <w:szCs w:val="21"/>
        </w:rPr>
        <w:t>2016年12月19日</w:t>
      </w:r>
      <w:r w:rsidRPr="008277FF">
        <w:rPr>
          <w:rFonts w:asciiTheme="minorEastAsia" w:eastAsiaTheme="minorEastAsia" w:hAnsiTheme="minorEastAsia" w:hint="eastAsia"/>
          <w:color w:val="000000" w:themeColor="text1"/>
          <w:kern w:val="0"/>
          <w:szCs w:val="21"/>
        </w:rPr>
        <w:t>至2019年9月30日）</w:t>
      </w:r>
    </w:p>
    <w:p w:rsidR="00A96FD9" w:rsidRPr="008277FF" w:rsidRDefault="004F16AD" w:rsidP="00A96FD9">
      <w:pPr>
        <w:tabs>
          <w:tab w:val="left" w:pos="1800"/>
        </w:tabs>
        <w:spacing w:line="360" w:lineRule="auto"/>
        <w:jc w:val="center"/>
        <w:rPr>
          <w:rFonts w:asciiTheme="minorEastAsia" w:eastAsiaTheme="minorEastAsia" w:hAnsiTheme="minorEastAsia"/>
          <w:color w:val="000000" w:themeColor="text1"/>
          <w:sz w:val="24"/>
        </w:rPr>
      </w:pPr>
      <w:r w:rsidRPr="008277FF">
        <w:rPr>
          <w:rFonts w:asciiTheme="minorEastAsia" w:eastAsiaTheme="minorEastAsia" w:hAnsiTheme="minorEastAsia"/>
          <w:noProof/>
          <w:color w:val="000000" w:themeColor="text1"/>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BD37E8" w:rsidRDefault="00694E48">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注：本基金合同生效日为</w:t>
      </w:r>
      <w:r>
        <w:rPr>
          <w:rFonts w:asciiTheme="minorEastAsia" w:eastAsiaTheme="minorEastAsia" w:hAnsiTheme="minorEastAsia"/>
          <w:color w:val="000000" w:themeColor="text1"/>
          <w:szCs w:val="21"/>
        </w:rPr>
        <w:t>2016</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19</w:t>
      </w:r>
      <w:r>
        <w:rPr>
          <w:rFonts w:asciiTheme="minorEastAsia" w:eastAsiaTheme="minorEastAsia" w:hAnsiTheme="minorEastAsia"/>
          <w:color w:val="000000" w:themeColor="text1"/>
          <w:szCs w:val="21"/>
        </w:rPr>
        <w:t>日，图示时间段为</w:t>
      </w:r>
      <w:r>
        <w:rPr>
          <w:rFonts w:asciiTheme="minorEastAsia" w:eastAsiaTheme="minorEastAsia" w:hAnsiTheme="minorEastAsia"/>
          <w:color w:val="000000" w:themeColor="text1"/>
          <w:szCs w:val="21"/>
        </w:rPr>
        <w:t>2016</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19</w:t>
      </w:r>
      <w:r>
        <w:rPr>
          <w:rFonts w:asciiTheme="minorEastAsia" w:eastAsiaTheme="minorEastAsia" w:hAnsiTheme="minorEastAsia"/>
          <w:color w:val="000000" w:themeColor="text1"/>
          <w:szCs w:val="21"/>
        </w:rPr>
        <w:t>日至</w:t>
      </w:r>
      <w:r>
        <w:rPr>
          <w:rFonts w:asciiTheme="minorEastAsia" w:eastAsiaTheme="minorEastAsia" w:hAnsiTheme="minorEastAsia"/>
          <w:color w:val="000000" w:themeColor="text1"/>
          <w:szCs w:val="21"/>
        </w:rPr>
        <w:t>2019</w:t>
      </w:r>
      <w:r>
        <w:rPr>
          <w:rFonts w:asciiTheme="minorEastAsia" w:eastAsiaTheme="minorEastAsia" w:hAnsiTheme="minorEastAsia"/>
          <w:color w:val="000000" w:themeColor="text1"/>
          <w:szCs w:val="21"/>
        </w:rPr>
        <w:t>年</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w:t>
      </w:r>
      <w:r>
        <w:rPr>
          <w:rFonts w:asciiTheme="minorEastAsia" w:eastAsiaTheme="minorEastAsia" w:hAnsiTheme="minorEastAsia"/>
          <w:color w:val="000000" w:themeColor="text1"/>
          <w:szCs w:val="21"/>
        </w:rPr>
        <w:t>30</w:t>
      </w:r>
      <w:r>
        <w:rPr>
          <w:rFonts w:asciiTheme="minorEastAsia" w:eastAsiaTheme="minorEastAsia" w:hAnsiTheme="minorEastAsia"/>
          <w:color w:val="000000" w:themeColor="text1"/>
          <w:szCs w:val="21"/>
        </w:rPr>
        <w:t>日。</w:t>
      </w:r>
    </w:p>
    <w:p w:rsidR="00A96FD9" w:rsidRPr="008277FF" w:rsidRDefault="00A96FD9"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本基金建仓期自2016年12月19日至2017年6月19日，建仓期结束时资产配置比例符合本基金基金合同规定。</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4  </w:t>
      </w:r>
      <w:r w:rsidRPr="008277FF">
        <w:rPr>
          <w:rFonts w:asciiTheme="minorEastAsia" w:eastAsiaTheme="minorEastAsia" w:hAnsiTheme="minorEastAsia" w:cs="Arial" w:hint="eastAsia"/>
          <w:color w:val="000000" w:themeColor="text1"/>
          <w:kern w:val="0"/>
          <w:sz w:val="24"/>
          <w:szCs w:val="24"/>
        </w:rPr>
        <w:t>管理人报告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4.1 </w:t>
      </w:r>
      <w:r w:rsidRPr="008277FF">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8277FF" w:rsidTr="00797DD2">
        <w:trPr>
          <w:cantSplit/>
          <w:trHeight w:val="292"/>
        </w:trPr>
        <w:tc>
          <w:tcPr>
            <w:tcW w:w="851"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姓名</w:t>
            </w:r>
          </w:p>
        </w:tc>
        <w:tc>
          <w:tcPr>
            <w:tcW w:w="850" w:type="dxa"/>
            <w:vMerge w:val="restart"/>
            <w:vAlign w:val="center"/>
          </w:tcPr>
          <w:p w:rsidR="007D1292" w:rsidRPr="008277FF" w:rsidRDefault="007D1292" w:rsidP="00B918B8">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职务</w:t>
            </w:r>
          </w:p>
        </w:tc>
        <w:tc>
          <w:tcPr>
            <w:tcW w:w="3119" w:type="dxa"/>
            <w:gridSpan w:val="2"/>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任本基金的基金经理期限</w:t>
            </w:r>
          </w:p>
        </w:tc>
        <w:tc>
          <w:tcPr>
            <w:tcW w:w="1417" w:type="dxa"/>
            <w:vMerge w:val="restart"/>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证券从业年限</w:t>
            </w:r>
          </w:p>
        </w:tc>
        <w:tc>
          <w:tcPr>
            <w:tcW w:w="2694" w:type="dxa"/>
            <w:vMerge w:val="restart"/>
            <w:vAlign w:val="center"/>
          </w:tcPr>
          <w:p w:rsidR="007D1292" w:rsidRPr="008277FF" w:rsidRDefault="007D1292" w:rsidP="00797DD2">
            <w:pPr>
              <w:widowControl/>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说明</w:t>
            </w:r>
          </w:p>
        </w:tc>
      </w:tr>
      <w:tr w:rsidR="008277FF" w:rsidRPr="008277FF" w:rsidTr="00797DD2">
        <w:trPr>
          <w:cantSplit/>
        </w:trPr>
        <w:tc>
          <w:tcPr>
            <w:tcW w:w="851"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850" w:type="dxa"/>
            <w:vMerge/>
            <w:vAlign w:val="center"/>
          </w:tcPr>
          <w:p w:rsidR="007D1292" w:rsidRPr="008277FF" w:rsidRDefault="007D1292" w:rsidP="00B918B8">
            <w:pPr>
              <w:widowControl/>
              <w:spacing w:line="360" w:lineRule="auto"/>
              <w:jc w:val="left"/>
              <w:rPr>
                <w:rFonts w:asciiTheme="minorEastAsia" w:eastAsiaTheme="minorEastAsia" w:hAnsiTheme="minorEastAsia"/>
                <w:color w:val="000000" w:themeColor="text1"/>
                <w:kern w:val="0"/>
                <w:szCs w:val="21"/>
              </w:rPr>
            </w:pPr>
          </w:p>
        </w:tc>
        <w:tc>
          <w:tcPr>
            <w:tcW w:w="1560"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任职日期</w:t>
            </w:r>
          </w:p>
        </w:tc>
        <w:tc>
          <w:tcPr>
            <w:tcW w:w="1559" w:type="dxa"/>
            <w:vAlign w:val="center"/>
          </w:tcPr>
          <w:p w:rsidR="007D1292" w:rsidRPr="008277FF" w:rsidRDefault="007D1292" w:rsidP="00797DD2">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szCs w:val="21"/>
              </w:rPr>
            </w:pPr>
            <w:r w:rsidRPr="008277FF">
              <w:rPr>
                <w:rFonts w:asciiTheme="minorEastAsia" w:eastAsiaTheme="minorEastAsia" w:hAnsiTheme="minorEastAsia" w:cs="宋体" w:hint="eastAsia"/>
                <w:color w:val="000000" w:themeColor="text1"/>
                <w:kern w:val="0"/>
                <w:szCs w:val="21"/>
              </w:rPr>
              <w:t>离任日期</w:t>
            </w:r>
          </w:p>
        </w:tc>
        <w:tc>
          <w:tcPr>
            <w:tcW w:w="1417"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c>
          <w:tcPr>
            <w:tcW w:w="2694" w:type="dxa"/>
            <w:vMerge/>
            <w:vAlign w:val="center"/>
          </w:tcPr>
          <w:p w:rsidR="007D1292" w:rsidRPr="008277FF" w:rsidRDefault="007D1292" w:rsidP="00797DD2">
            <w:pPr>
              <w:widowControl/>
              <w:spacing w:line="360" w:lineRule="auto"/>
              <w:jc w:val="center"/>
              <w:rPr>
                <w:rFonts w:asciiTheme="minorEastAsia" w:eastAsiaTheme="minorEastAsia" w:hAnsiTheme="minorEastAsia"/>
                <w:color w:val="000000" w:themeColor="text1"/>
                <w:kern w:val="0"/>
                <w:szCs w:val="21"/>
              </w:rPr>
            </w:pPr>
          </w:p>
        </w:tc>
      </w:tr>
      <w:tr w:rsidR="00BD37E8">
        <w:tc>
          <w:tcPr>
            <w:tcW w:w="851" w:type="dxa"/>
            <w:vAlign w:val="center"/>
          </w:tcPr>
          <w:p w:rsidR="00BD37E8" w:rsidRDefault="00694E48">
            <w:pPr>
              <w:jc w:val="center"/>
            </w:pPr>
            <w:r>
              <w:rPr>
                <w:rFonts w:asciiTheme="minorEastAsia" w:eastAsiaTheme="minorEastAsia" w:hAnsiTheme="minorEastAsia"/>
                <w:color w:val="000000" w:themeColor="text1"/>
                <w:szCs w:val="21"/>
              </w:rPr>
              <w:t>张军</w:t>
            </w:r>
          </w:p>
        </w:tc>
        <w:tc>
          <w:tcPr>
            <w:tcW w:w="850" w:type="dxa"/>
            <w:vAlign w:val="center"/>
          </w:tcPr>
          <w:p w:rsidR="00BD37E8" w:rsidRDefault="00694E48">
            <w:pPr>
              <w:jc w:val="center"/>
            </w:pPr>
            <w:r>
              <w:rPr>
                <w:rFonts w:asciiTheme="minorEastAsia" w:eastAsiaTheme="minorEastAsia" w:hAnsiTheme="minorEastAsia"/>
                <w:color w:val="000000" w:themeColor="text1"/>
                <w:szCs w:val="21"/>
              </w:rPr>
              <w:t>本基金基金经理、投资董事</w:t>
            </w:r>
          </w:p>
        </w:tc>
        <w:tc>
          <w:tcPr>
            <w:tcW w:w="1560" w:type="dxa"/>
            <w:vAlign w:val="center"/>
          </w:tcPr>
          <w:p w:rsidR="00BD37E8" w:rsidRDefault="00694E48">
            <w:pPr>
              <w:jc w:val="center"/>
            </w:pPr>
            <w:r>
              <w:rPr>
                <w:rFonts w:asciiTheme="minorEastAsia" w:eastAsiaTheme="minorEastAsia" w:hAnsiTheme="minorEastAsia"/>
                <w:color w:val="000000" w:themeColor="text1"/>
                <w:szCs w:val="21"/>
              </w:rPr>
              <w:t>2016-12-19</w:t>
            </w:r>
          </w:p>
        </w:tc>
        <w:tc>
          <w:tcPr>
            <w:tcW w:w="1559" w:type="dxa"/>
            <w:vAlign w:val="center"/>
          </w:tcPr>
          <w:p w:rsidR="00BD37E8" w:rsidRDefault="00694E48">
            <w:pPr>
              <w:jc w:val="center"/>
            </w:pPr>
            <w:r>
              <w:rPr>
                <w:rFonts w:asciiTheme="minorEastAsia" w:eastAsiaTheme="minorEastAsia" w:hAnsiTheme="minorEastAsia"/>
                <w:color w:val="000000" w:themeColor="text1"/>
                <w:szCs w:val="21"/>
              </w:rPr>
              <w:t>-</w:t>
            </w:r>
          </w:p>
        </w:tc>
        <w:tc>
          <w:tcPr>
            <w:tcW w:w="1417" w:type="dxa"/>
            <w:vAlign w:val="center"/>
          </w:tcPr>
          <w:p w:rsidR="00BD37E8" w:rsidRDefault="00694E48">
            <w:pPr>
              <w:jc w:val="center"/>
            </w:pPr>
            <w:r>
              <w:rPr>
                <w:rFonts w:asciiTheme="minorEastAsia" w:eastAsiaTheme="minorEastAsia" w:hAnsiTheme="minorEastAsia"/>
                <w:color w:val="000000" w:themeColor="text1"/>
                <w:szCs w:val="21"/>
              </w:rPr>
              <w:t>15</w:t>
            </w:r>
            <w:r>
              <w:rPr>
                <w:rFonts w:asciiTheme="minorEastAsia" w:eastAsiaTheme="minorEastAsia" w:hAnsiTheme="minorEastAsia"/>
                <w:color w:val="000000" w:themeColor="text1"/>
                <w:szCs w:val="21"/>
              </w:rPr>
              <w:t>年（金融领域从业经验</w:t>
            </w:r>
            <w:r>
              <w:rPr>
                <w:rFonts w:asciiTheme="minorEastAsia" w:eastAsiaTheme="minorEastAsia" w:hAnsiTheme="minorEastAsia"/>
                <w:color w:val="000000" w:themeColor="text1"/>
                <w:szCs w:val="21"/>
              </w:rPr>
              <w:t>26</w:t>
            </w:r>
            <w:r>
              <w:rPr>
                <w:rFonts w:asciiTheme="minorEastAsia" w:eastAsiaTheme="minorEastAsia" w:hAnsiTheme="minorEastAsia"/>
                <w:color w:val="000000" w:themeColor="text1"/>
                <w:szCs w:val="21"/>
              </w:rPr>
              <w:t>年）</w:t>
            </w:r>
          </w:p>
        </w:tc>
        <w:tc>
          <w:tcPr>
            <w:tcW w:w="2694" w:type="dxa"/>
            <w:vAlign w:val="center"/>
          </w:tcPr>
          <w:p w:rsidR="00BD37E8" w:rsidRDefault="00694E48">
            <w:pPr>
              <w:jc w:val="left"/>
            </w:pPr>
            <w:r w:rsidRPr="00694E48">
              <w:rPr>
                <w:rFonts w:asciiTheme="minorEastAsia" w:eastAsiaTheme="minorEastAsia" w:hAnsiTheme="minorEastAsia" w:hint="eastAsia"/>
                <w:color w:val="000000" w:themeColor="text1"/>
                <w:szCs w:val="21"/>
              </w:rPr>
              <w:t>基金经理张军先生，毕业于上海复旦大学。曾担任上海国际信托有限公司国际业务部经理，交易部经理。2004年6月加入上投摩根基金管理有限公司，先后担任交易部总监、投资经理、基金经理、投资组合管理部总监、投资绩效评估总监、国际投资部总监、组合基金投资部总监，现担任投资董事。2008年3月起担任上投摩根亚太优势混合型证券投资基金基金经理，自2012年3月起同时担任上投摩根全球天然资源混合型证券投资基金基金经理，自2016年12月起同时担任上投摩根全球多元配置证券投资基金基金经理，自2018年10月起担任上投摩根欧洲动力策略股票型证券投资基金（QDII）基金经理，自2019年7月起同时担任上投摩根日本精选股票型证券投资基金（QDII）基金经理。</w:t>
            </w:r>
            <w:bookmarkStart w:id="0" w:name="_GoBack"/>
            <w:bookmarkEnd w:id="0"/>
          </w:p>
        </w:tc>
      </w:tr>
    </w:tbl>
    <w:p w:rsidR="00BD37E8" w:rsidRDefault="00694E48">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注：</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任职日期和离任日期均指根据公司决定确定的聘任日期和解聘日期。</w:t>
      </w:r>
    </w:p>
    <w:p w:rsidR="00BD37E8" w:rsidRDefault="00694E48">
      <w:pPr>
        <w:autoSpaceDE w:val="0"/>
        <w:autoSpaceDN w:val="0"/>
        <w:adjustRightInd w:val="0"/>
        <w:spacing w:line="360" w:lineRule="auto"/>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 xml:space="preserve">2. </w:t>
      </w:r>
      <w:r>
        <w:rPr>
          <w:rFonts w:asciiTheme="minorEastAsia" w:eastAsiaTheme="minorEastAsia" w:hAnsiTheme="minorEastAsia"/>
          <w:color w:val="000000" w:themeColor="text1"/>
          <w:szCs w:val="21"/>
        </w:rPr>
        <w:t>张军先生为本基金首任基金经理，其任职日期指本基金基金合同生效之日。</w:t>
      </w:r>
    </w:p>
    <w:p w:rsidR="00A47E47" w:rsidRPr="008277FF" w:rsidRDefault="00A47E47"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3.证券从业的含义遵从行业协会《证券业从业人员资格管理办法》的相关规定。</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F077D2" w:rsidRPr="008277FF">
        <w:rPr>
          <w:rFonts w:asciiTheme="minorEastAsia" w:eastAsiaTheme="minorEastAsia" w:hAnsiTheme="minorEastAsia" w:cs="Arial" w:hint="eastAsia"/>
          <w:b/>
          <w:color w:val="000000" w:themeColor="text1"/>
          <w:kern w:val="0"/>
          <w:sz w:val="24"/>
        </w:rPr>
        <w:t>2</w:t>
      </w:r>
      <w:r w:rsidR="00A32FDA" w:rsidRPr="008277FF">
        <w:rPr>
          <w:rFonts w:asciiTheme="minorEastAsia" w:eastAsiaTheme="minorEastAsia" w:hAnsiTheme="minorEastAsia" w:cs="Arial" w:hint="eastAsia"/>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988"/>
        <w:gridCol w:w="2880"/>
        <w:gridCol w:w="1377"/>
        <w:gridCol w:w="2268"/>
      </w:tblGrid>
      <w:tr w:rsidR="008277FF" w:rsidRPr="008277FF" w:rsidTr="00797DD2">
        <w:tc>
          <w:tcPr>
            <w:tcW w:w="2129"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姓名</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在境外投资顾问所任职务</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证券从业年限</w:t>
            </w:r>
          </w:p>
        </w:tc>
        <w:tc>
          <w:tcPr>
            <w:tcW w:w="2128" w:type="dxa"/>
            <w:vAlign w:val="center"/>
          </w:tcPr>
          <w:p w:rsidR="004061D9" w:rsidRPr="008277FF" w:rsidRDefault="004061D9"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说明</w:t>
            </w:r>
          </w:p>
        </w:tc>
      </w:tr>
      <w:tr w:rsidR="00BD37E8">
        <w:tc>
          <w:tcPr>
            <w:tcW w:w="0" w:type="auto"/>
            <w:vAlign w:val="center"/>
          </w:tcPr>
          <w:p w:rsidR="00BD37E8" w:rsidRDefault="00694E48">
            <w:pPr>
              <w:jc w:val="center"/>
            </w:pPr>
            <w:r>
              <w:rPr>
                <w:rFonts w:asciiTheme="minorEastAsia" w:eastAsiaTheme="minorEastAsia" w:hAnsiTheme="minorEastAsia"/>
                <w:color w:val="000000" w:themeColor="text1"/>
                <w:szCs w:val="21"/>
              </w:rPr>
              <w:t xml:space="preserve">Leon Goldfeld </w:t>
            </w:r>
            <w:r>
              <w:rPr>
                <w:rFonts w:asciiTheme="minorEastAsia" w:eastAsiaTheme="minorEastAsia" w:hAnsiTheme="minorEastAsia"/>
                <w:color w:val="000000" w:themeColor="text1"/>
                <w:szCs w:val="21"/>
              </w:rPr>
              <w:t>（高礼行）</w:t>
            </w:r>
          </w:p>
        </w:tc>
        <w:tc>
          <w:tcPr>
            <w:tcW w:w="0" w:type="auto"/>
            <w:vAlign w:val="center"/>
          </w:tcPr>
          <w:p w:rsidR="00BD37E8" w:rsidRDefault="00694E48">
            <w:pPr>
              <w:jc w:val="center"/>
            </w:pPr>
            <w:r>
              <w:rPr>
                <w:rFonts w:asciiTheme="minorEastAsia" w:eastAsiaTheme="minorEastAsia" w:hAnsiTheme="minorEastAsia"/>
                <w:color w:val="000000" w:themeColor="text1"/>
                <w:szCs w:val="21"/>
              </w:rPr>
              <w:t>摩根多元资产解决方案团队基金经理及董事总经理</w:t>
            </w:r>
          </w:p>
        </w:tc>
        <w:tc>
          <w:tcPr>
            <w:tcW w:w="0" w:type="auto"/>
            <w:vAlign w:val="center"/>
          </w:tcPr>
          <w:p w:rsidR="00BD37E8" w:rsidRDefault="00694E48">
            <w:pPr>
              <w:jc w:val="center"/>
            </w:pPr>
            <w:r>
              <w:rPr>
                <w:rFonts w:asciiTheme="minorEastAsia" w:eastAsiaTheme="minorEastAsia" w:hAnsiTheme="minorEastAsia"/>
                <w:color w:val="000000" w:themeColor="text1"/>
                <w:szCs w:val="21"/>
              </w:rPr>
              <w:t>31</w:t>
            </w:r>
            <w:r>
              <w:rPr>
                <w:rFonts w:asciiTheme="minorEastAsia" w:eastAsiaTheme="minorEastAsia" w:hAnsiTheme="minorEastAsia"/>
                <w:color w:val="000000" w:themeColor="text1"/>
                <w:szCs w:val="21"/>
              </w:rPr>
              <w:t>年</w:t>
            </w:r>
          </w:p>
        </w:tc>
        <w:tc>
          <w:tcPr>
            <w:tcW w:w="0" w:type="auto"/>
            <w:vAlign w:val="center"/>
          </w:tcPr>
          <w:p w:rsidR="00BD37E8" w:rsidRDefault="00694E48">
            <w:pPr>
              <w:jc w:val="left"/>
            </w:pPr>
            <w:r>
              <w:rPr>
                <w:rFonts w:asciiTheme="minorEastAsia" w:eastAsiaTheme="minorEastAsia" w:hAnsiTheme="minorEastAsia"/>
                <w:color w:val="000000" w:themeColor="text1"/>
                <w:szCs w:val="21"/>
              </w:rPr>
              <w:t>男，曾在多家机构负责投资组合管理</w:t>
            </w:r>
          </w:p>
        </w:tc>
      </w:tr>
    </w:tbl>
    <w:p w:rsidR="00FB47E0" w:rsidRPr="008277FF" w:rsidRDefault="00FB47E0"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3</w:t>
      </w:r>
      <w:r w:rsidR="003508B0" w:rsidRPr="003508B0">
        <w:rPr>
          <w:rFonts w:hint="eastAsia"/>
          <w:b/>
          <w:color w:val="000000"/>
          <w:sz w:val="24"/>
          <w:shd w:val="clear" w:color="auto" w:fill="FFFFFF"/>
        </w:rPr>
        <w:t>管理人对报告期内本基金运作遵规守信情况的说明</w:t>
      </w:r>
    </w:p>
    <w:p w:rsidR="00363E15" w:rsidRPr="008277FF" w:rsidRDefault="00363E15"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全球多元配置证券投资基金基金合同》的规定。基金经理对个股和投资组合的比例遵循了投资决策委员会的授权限制，基金投资比例符合基金合同和法律法规的要求。</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4</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公平交易专项说明</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4.1</w:t>
      </w:r>
      <w:r w:rsidRPr="008277FF">
        <w:rPr>
          <w:rFonts w:asciiTheme="minorEastAsia" w:eastAsiaTheme="minorEastAsia" w:hAnsiTheme="minorEastAsia" w:hint="eastAsia"/>
          <w:color w:val="000000" w:themeColor="text1"/>
          <w:sz w:val="24"/>
        </w:rPr>
        <w:t>公平交易制度的执行情况</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asciiTheme="minorEastAsia" w:eastAsiaTheme="minorEastAsia" w:hAnsi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8277FF" w:rsidRDefault="00AB42E2"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4</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异常交易行为的专项说明</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报告期内，通过对交易价格、交易时间、交易方向等的分析，未发现有可能导致不公平交易和利益输送的异常交易行为。</w:t>
      </w:r>
    </w:p>
    <w:p w:rsidR="001F3C28" w:rsidRPr="008277FF" w:rsidRDefault="001F3C28"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所有投资组合参与的交易所公开竞价同日反向交易成交较少的单边交易量超过该证券当日成交量的5%的情形：无。</w:t>
      </w: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76518F" w:rsidP="00A70E2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4.</w:t>
      </w:r>
      <w:r w:rsidR="00A32FDA"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 xml:space="preserve"> </w:t>
      </w:r>
      <w:r w:rsidRPr="008277FF">
        <w:rPr>
          <w:rFonts w:asciiTheme="minorEastAsia" w:eastAsiaTheme="minorEastAsia" w:hAnsiTheme="minorEastAsia" w:cs="Arial" w:hint="eastAsia"/>
          <w:b/>
          <w:color w:val="000000" w:themeColor="text1"/>
          <w:kern w:val="0"/>
          <w:sz w:val="24"/>
        </w:rPr>
        <w:t>报告期内基金的投资策略和业绩表现说明</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5.1</w:t>
      </w:r>
      <w:r w:rsidRPr="008277FF">
        <w:rPr>
          <w:rFonts w:asciiTheme="minorEastAsia" w:eastAsiaTheme="minorEastAsia" w:hAnsiTheme="minorEastAsia" w:hint="eastAsia"/>
          <w:color w:val="000000" w:themeColor="text1"/>
          <w:sz w:val="24"/>
        </w:rPr>
        <w:t>报告期内基金投资策略和运作分析</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本基金在报告期内继续维持与上一季度类似的战略资产配置，即股票型基金占比</w:t>
      </w:r>
      <w:r>
        <w:rPr>
          <w:rFonts w:asciiTheme="minorEastAsia" w:eastAsiaTheme="minorEastAsia" w:hAnsiTheme="minorEastAsia"/>
          <w:color w:val="000000" w:themeColor="text1"/>
          <w:szCs w:val="21"/>
        </w:rPr>
        <w:t>60%</w:t>
      </w:r>
      <w:r>
        <w:rPr>
          <w:rFonts w:asciiTheme="minorEastAsia" w:eastAsiaTheme="minorEastAsia" w:hAnsiTheme="minorEastAsia"/>
          <w:color w:val="000000" w:themeColor="text1"/>
          <w:szCs w:val="21"/>
        </w:rPr>
        <w:t>，债券型基金占比</w:t>
      </w:r>
      <w:r>
        <w:rPr>
          <w:rFonts w:asciiTheme="minorEastAsia" w:eastAsiaTheme="minorEastAsia" w:hAnsiTheme="minorEastAsia"/>
          <w:color w:val="000000" w:themeColor="text1"/>
          <w:szCs w:val="21"/>
        </w:rPr>
        <w:t>35%</w:t>
      </w:r>
      <w:r>
        <w:rPr>
          <w:rFonts w:asciiTheme="minorEastAsia" w:eastAsiaTheme="minorEastAsia" w:hAnsiTheme="minorEastAsia"/>
          <w:color w:val="000000" w:themeColor="text1"/>
          <w:szCs w:val="21"/>
        </w:rPr>
        <w:t>，现金占比</w:t>
      </w:r>
      <w:r>
        <w:rPr>
          <w:rFonts w:asciiTheme="minorEastAsia" w:eastAsiaTheme="minorEastAsia" w:hAnsiTheme="minorEastAsia"/>
          <w:color w:val="000000" w:themeColor="text1"/>
          <w:szCs w:val="21"/>
        </w:rPr>
        <w:t>5%</w:t>
      </w:r>
      <w:r>
        <w:rPr>
          <w:rFonts w:asciiTheme="minorEastAsia" w:eastAsiaTheme="minorEastAsia" w:hAnsiTheme="minorEastAsia"/>
          <w:color w:val="000000" w:themeColor="text1"/>
          <w:szCs w:val="21"/>
        </w:rPr>
        <w:t>。</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报告期内基金人民币份额的涨幅略高于美元份额主要是人民币兑美元汇率贬值的原因。</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第三季度内发生的贸易摩擦事态起伏和各国央行相继实现宽松货币政策相呼应。中美贸易摩擦的进展仍然是主要的风险事件之一，随着事态的起伏变化，投资者疲于应付新的情况。美联储，如市场预期分别在</w:t>
      </w:r>
      <w:r>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月和</w:t>
      </w: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月两次降息</w:t>
      </w:r>
      <w:r>
        <w:rPr>
          <w:rFonts w:asciiTheme="minorEastAsia" w:eastAsiaTheme="minorEastAsia" w:hAnsiTheme="minorEastAsia"/>
          <w:color w:val="000000" w:themeColor="text1"/>
          <w:szCs w:val="21"/>
        </w:rPr>
        <w:t>25</w:t>
      </w:r>
      <w:r>
        <w:rPr>
          <w:rFonts w:asciiTheme="minorEastAsia" w:eastAsiaTheme="minorEastAsia" w:hAnsiTheme="minorEastAsia"/>
          <w:color w:val="000000" w:themeColor="text1"/>
          <w:szCs w:val="21"/>
        </w:rPr>
        <w:t>基点，鲍威尔称降息并不代表降息周期的开始，这个言论令原本希望长期减息的投资者略感失望。其他主要央行也纷纷实行宽松的货币政策。</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本报告期内，鉴于宏观判断的不稳定因素，基金相比战略配置低配股票资产。在股票资产内，我们仍相对更加关注美国股市，因为对美国增长的透明度信心更高；基金减少了新兴市场配置，因为贸易不确定性</w:t>
      </w:r>
      <w:r>
        <w:rPr>
          <w:rFonts w:asciiTheme="minorEastAsia" w:eastAsiaTheme="minorEastAsia" w:hAnsiTheme="minorEastAsia"/>
          <w:color w:val="000000" w:themeColor="text1"/>
          <w:szCs w:val="21"/>
        </w:rPr>
        <w:t>给这些经济体的增长带来了持续阻力。在债券部分，基金减少了新兴市场债券和高收益债配置。</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展望后市，全球经济增长还在低增速区域，未来</w:t>
      </w:r>
      <w:r>
        <w:rPr>
          <w:rFonts w:asciiTheme="minorEastAsia" w:eastAsiaTheme="minorEastAsia" w:hAnsiTheme="minorEastAsia"/>
          <w:color w:val="000000" w:themeColor="text1"/>
          <w:szCs w:val="21"/>
        </w:rPr>
        <w:t>12</w:t>
      </w:r>
      <w:r>
        <w:rPr>
          <w:rFonts w:asciiTheme="minorEastAsia" w:eastAsiaTheme="minorEastAsia" w:hAnsiTheme="minorEastAsia"/>
          <w:color w:val="000000" w:themeColor="text1"/>
          <w:szCs w:val="21"/>
        </w:rPr>
        <w:t>个月出现经济衰退的可能性比去年底评估时略有上升，但仍处于低概率区间。</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如果贸易摩擦升级，将对全球经济前景构成明显威胁。美联储对美国利率水平的态度越来越温和，原因之一就是经济增长可能受到负面冲击。美联储再度鸽派化的一个不明显但同样有效的原因是今年的通胀数据疲弱。我们还要认真等待并评估中美新一轮谈判（预计</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月）的结果，以及英国退欧进程（</w:t>
      </w:r>
      <w:r>
        <w:rPr>
          <w:rFonts w:asciiTheme="minorEastAsia" w:eastAsiaTheme="minorEastAsia" w:hAnsiTheme="minorEastAsia"/>
          <w:color w:val="000000" w:themeColor="text1"/>
          <w:szCs w:val="21"/>
        </w:rPr>
        <w:t>10</w:t>
      </w:r>
      <w:r>
        <w:rPr>
          <w:rFonts w:asciiTheme="minorEastAsia" w:eastAsiaTheme="minorEastAsia" w:hAnsiTheme="minorEastAsia"/>
          <w:color w:val="000000" w:themeColor="text1"/>
          <w:szCs w:val="21"/>
        </w:rPr>
        <w:t>月底前）、美国和伊朗争端的发展等宏观事件</w:t>
      </w:r>
      <w:r>
        <w:rPr>
          <w:rFonts w:asciiTheme="minorEastAsia" w:eastAsiaTheme="minorEastAsia" w:hAnsiTheme="minorEastAsia"/>
          <w:color w:val="000000" w:themeColor="text1"/>
          <w:szCs w:val="21"/>
        </w:rPr>
        <w:t>。</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9</w:t>
      </w:r>
      <w:r>
        <w:rPr>
          <w:rFonts w:asciiTheme="minorEastAsia" w:eastAsiaTheme="minorEastAsia" w:hAnsiTheme="minorEastAsia"/>
          <w:color w:val="000000" w:themeColor="text1"/>
          <w:szCs w:val="21"/>
        </w:rPr>
        <w:t>月价值风格股票表现好于成长风格股票，这一反转情况的出现是否具有持续性还有待关注。</w:t>
      </w:r>
    </w:p>
    <w:p w:rsidR="00B0116D"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以上分析反映了谨慎的宏观前景，如全球贸易疲软、制造业不景气等增加了尾部风险，然而美国消费领域维持健康发展。未来几个月，市场可能会在经济增长有望反弹、利率下行以及对贸易局势的担忧中出现摇摆不定的震荡局面。随着形势的发展，机会也会出现，但在地缘政治推动宏观议题的情况下，资产配置可能相对关注基本面，需要更多关注时机。</w:t>
      </w:r>
    </w:p>
    <w:p w:rsidR="00462B61" w:rsidRPr="008277FF" w:rsidRDefault="00462B61" w:rsidP="00A70E23">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hint="eastAsia"/>
          <w:color w:val="000000" w:themeColor="text1"/>
          <w:sz w:val="24"/>
        </w:rPr>
        <w:t>4.</w:t>
      </w:r>
      <w:r w:rsidR="00A32FDA" w:rsidRPr="008277FF">
        <w:rPr>
          <w:rFonts w:asciiTheme="minorEastAsia" w:eastAsiaTheme="minorEastAsia" w:hAnsiTheme="minorEastAsia" w:hint="eastAsia"/>
          <w:color w:val="000000" w:themeColor="text1"/>
          <w:sz w:val="24"/>
        </w:rPr>
        <w:t>5</w:t>
      </w:r>
      <w:r w:rsidRPr="008277FF">
        <w:rPr>
          <w:rFonts w:asciiTheme="minorEastAsia" w:eastAsiaTheme="minorEastAsia" w:hAnsiTheme="minorEastAsia" w:hint="eastAsia"/>
          <w:color w:val="000000" w:themeColor="text1"/>
          <w:sz w:val="24"/>
        </w:rPr>
        <w:t>.</w:t>
      </w:r>
      <w:r w:rsidR="00A32FDA" w:rsidRPr="008277FF">
        <w:rPr>
          <w:rFonts w:asciiTheme="minorEastAsia" w:eastAsiaTheme="minorEastAsia" w:hAnsiTheme="minorEastAsia" w:hint="eastAsia"/>
          <w:color w:val="000000" w:themeColor="text1"/>
          <w:sz w:val="24"/>
        </w:rPr>
        <w:t>2</w:t>
      </w:r>
      <w:r w:rsidRPr="008277FF">
        <w:rPr>
          <w:rFonts w:asciiTheme="minorEastAsia" w:eastAsiaTheme="minorEastAsia" w:hAnsiTheme="minorEastAsia" w:hint="eastAsia"/>
          <w:color w:val="000000" w:themeColor="text1"/>
          <w:sz w:val="24"/>
        </w:rPr>
        <w:t>报告期内基金的业绩表现</w:t>
      </w:r>
    </w:p>
    <w:p w:rsidR="00FD7298" w:rsidRPr="008277FF" w:rsidRDefault="00B0116D" w:rsidP="00797DD2">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本报告期上投摩根全球多元配置（QD）份额净值增长率为:3.14%，同期业绩比较基准收益率为:2.68%。</w:t>
      </w:r>
    </w:p>
    <w:p w:rsidR="00C736BB" w:rsidRPr="008277FF" w:rsidRDefault="00C736BB" w:rsidP="00A70E23">
      <w:pPr>
        <w:spacing w:line="360" w:lineRule="auto"/>
        <w:ind w:firstLineChars="200" w:firstLine="480"/>
        <w:rPr>
          <w:rFonts w:asciiTheme="minorEastAsia" w:eastAsiaTheme="minorEastAsia" w:hAnsiTheme="minorEastAsia"/>
          <w:color w:val="000000" w:themeColor="text1"/>
          <w:sz w:val="24"/>
        </w:rPr>
      </w:pPr>
    </w:p>
    <w:p w:rsidR="00D9766F" w:rsidRPr="008277FF" w:rsidRDefault="00D9766F" w:rsidP="00D9766F">
      <w:pPr>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s="Arial"/>
          <w:b/>
          <w:color w:val="000000" w:themeColor="text1"/>
          <w:kern w:val="0"/>
          <w:sz w:val="24"/>
        </w:rPr>
        <w:t>4.</w:t>
      </w:r>
      <w:r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hint="eastAsia"/>
          <w:b/>
          <w:color w:val="000000" w:themeColor="text1"/>
          <w:kern w:val="0"/>
          <w:sz w:val="24"/>
        </w:rPr>
        <w:t>报告期内基金持有人数或基金资产净值预警说明</w:t>
      </w:r>
    </w:p>
    <w:p w:rsidR="00D9766F" w:rsidRPr="008277FF" w:rsidRDefault="00D9766F" w:rsidP="00D9766F">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kern w:val="0"/>
          <w:szCs w:val="21"/>
        </w:rPr>
        <w:t>无。</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5  </w:t>
      </w:r>
      <w:r w:rsidRPr="008277FF">
        <w:rPr>
          <w:rFonts w:asciiTheme="minorEastAsia" w:eastAsiaTheme="minorEastAsia" w:hAnsiTheme="minorEastAsia" w:cs="Arial" w:hint="eastAsia"/>
          <w:color w:val="000000" w:themeColor="text1"/>
          <w:kern w:val="0"/>
          <w:sz w:val="24"/>
          <w:szCs w:val="24"/>
        </w:rPr>
        <w:t>投资组合报告</w:t>
      </w:r>
    </w:p>
    <w:p w:rsidR="0076518F" w:rsidRPr="008277FF" w:rsidRDefault="0076518F"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 xml:space="preserve">5.1 </w:t>
      </w:r>
      <w:r w:rsidRPr="008277FF">
        <w:rPr>
          <w:rFonts w:asciiTheme="minorEastAsia" w:eastAsiaTheme="minorEastAsia" w:hAnsiTheme="minorEastAsia" w:cs="Arial" w:hint="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8277FF" w:rsidTr="00592EFF">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序号</w:t>
            </w:r>
          </w:p>
        </w:tc>
        <w:tc>
          <w:tcPr>
            <w:tcW w:w="4253"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项目</w:t>
            </w:r>
          </w:p>
        </w:tc>
        <w:tc>
          <w:tcPr>
            <w:tcW w:w="2835"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金额(</w:t>
            </w:r>
            <w:r w:rsidR="002655D4"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hint="eastAsia"/>
                <w:color w:val="000000" w:themeColor="text1"/>
                <w:szCs w:val="21"/>
              </w:rPr>
              <w:t>元)</w:t>
            </w:r>
          </w:p>
        </w:tc>
        <w:tc>
          <w:tcPr>
            <w:tcW w:w="1559"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占基金总资产的比例(</w:t>
            </w: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1</w:t>
            </w: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权益投资</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363E15" w:rsidRPr="008277FF" w:rsidRDefault="00363E15"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363E15" w:rsidRPr="008277FF" w:rsidRDefault="00363E15"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w:t>
            </w:r>
            <w:r w:rsidR="00E462F4" w:rsidRPr="008277FF">
              <w:rPr>
                <w:rFonts w:asciiTheme="minorEastAsia" w:eastAsiaTheme="minorEastAsia" w:hAnsiTheme="minorEastAsia" w:hint="eastAsia"/>
                <w:color w:val="000000" w:themeColor="text1"/>
                <w:szCs w:val="21"/>
              </w:rPr>
              <w:t>普通股</w:t>
            </w:r>
          </w:p>
        </w:tc>
        <w:tc>
          <w:tcPr>
            <w:tcW w:w="2835"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363E15" w:rsidRPr="008277FF" w:rsidRDefault="00363E15"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firstLineChars="300" w:firstLine="630"/>
              <w:rPr>
                <w:rFonts w:asciiTheme="minorEastAsia" w:eastAsiaTheme="minorEastAsia" w:hAnsiTheme="minorEastAsia" w:cs="宋体"/>
                <w:color w:val="000000" w:themeColor="text1"/>
                <w:szCs w:val="21"/>
              </w:rPr>
            </w:pPr>
            <w:r w:rsidRPr="008277FF">
              <w:rPr>
                <w:rFonts w:asciiTheme="minorEastAsia" w:eastAsiaTheme="minorEastAsia" w:hAnsiTheme="minorEastAsia" w:hint="eastAsia"/>
                <w:color w:val="000000" w:themeColor="text1"/>
                <w:szCs w:val="21"/>
              </w:rPr>
              <w:t>存托凭证</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优先股</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CE4499" w:rsidRPr="008277FF" w:rsidRDefault="00CE4499"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CE4499" w:rsidRPr="008277FF" w:rsidRDefault="00CE4499" w:rsidP="00877D98">
            <w:pPr>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房地产信托</w:t>
            </w:r>
          </w:p>
        </w:tc>
        <w:tc>
          <w:tcPr>
            <w:tcW w:w="2835"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CE4499" w:rsidRPr="008277FF" w:rsidRDefault="00CE449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2</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基金投资</w:t>
            </w:r>
          </w:p>
        </w:tc>
        <w:tc>
          <w:tcPr>
            <w:tcW w:w="2835"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562,089,826.93</w:t>
            </w:r>
          </w:p>
        </w:tc>
        <w:tc>
          <w:tcPr>
            <w:tcW w:w="1559" w:type="dxa"/>
            <w:shd w:val="clear" w:color="auto" w:fill="auto"/>
            <w:vAlign w:val="center"/>
          </w:tcPr>
          <w:p w:rsidR="00E462F4" w:rsidRPr="008277FF" w:rsidRDefault="006C4E1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92.34</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3</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固定收益投资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其中：债券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utoSpaceDE w:val="0"/>
              <w:autoSpaceDN w:val="0"/>
              <w:adjustRightInd w:val="0"/>
              <w:spacing w:before="29" w:line="360" w:lineRule="auto"/>
              <w:ind w:left="17"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资产支持证券</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4</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金融衍生品投资</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其中：远期</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Del="00455464"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期货</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B918B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300" w:firstLine="63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期权</w:t>
            </w:r>
          </w:p>
        </w:tc>
        <w:tc>
          <w:tcPr>
            <w:tcW w:w="2835"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adjustRightInd w:val="0"/>
              <w:snapToGrid w:val="0"/>
              <w:spacing w:line="400" w:lineRule="exact"/>
              <w:ind w:firstLineChars="298" w:firstLine="626"/>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权证</w:t>
            </w:r>
          </w:p>
        </w:tc>
        <w:tc>
          <w:tcPr>
            <w:tcW w:w="2835"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664F49"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5</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买入返售金融资产</w:t>
            </w:r>
          </w:p>
        </w:tc>
        <w:tc>
          <w:tcPr>
            <w:tcW w:w="2835"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877D98">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其中：买断式回购的买入返售金融资产</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adjustRightInd w:val="0"/>
              <w:snapToGrid w:val="0"/>
              <w:spacing w:line="400" w:lineRule="exact"/>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w:t>
            </w:r>
          </w:p>
        </w:tc>
        <w:tc>
          <w:tcPr>
            <w:tcW w:w="4253" w:type="dxa"/>
            <w:shd w:val="clear" w:color="auto" w:fill="auto"/>
            <w:vAlign w:val="center"/>
          </w:tcPr>
          <w:p w:rsidR="00E462F4" w:rsidRPr="008277FF" w:rsidRDefault="00E462F4" w:rsidP="00877D98">
            <w:pPr>
              <w:adjustRightInd w:val="0"/>
              <w:snapToGrid w:val="0"/>
              <w:spacing w:line="400" w:lineRule="exac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货币市场工具</w:t>
            </w:r>
          </w:p>
        </w:tc>
        <w:tc>
          <w:tcPr>
            <w:tcW w:w="2835"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c>
          <w:tcPr>
            <w:tcW w:w="1559" w:type="dxa"/>
            <w:shd w:val="clear" w:color="auto" w:fill="auto"/>
            <w:vAlign w:val="center"/>
          </w:tcPr>
          <w:p w:rsidR="00E462F4" w:rsidRPr="008277FF" w:rsidRDefault="00CE7FC6"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w:t>
            </w:r>
          </w:p>
        </w:tc>
      </w:tr>
      <w:tr w:rsidR="008277FF" w:rsidRPr="008277FF" w:rsidTr="00877D98">
        <w:tc>
          <w:tcPr>
            <w:tcW w:w="851" w:type="dxa"/>
            <w:shd w:val="clear" w:color="auto" w:fill="auto"/>
            <w:vAlign w:val="center"/>
          </w:tcPr>
          <w:p w:rsidR="00E462F4" w:rsidRPr="008277FF" w:rsidRDefault="00E462F4" w:rsidP="00877D98">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4253" w:type="dxa"/>
            <w:shd w:val="clear" w:color="auto" w:fill="auto"/>
            <w:vAlign w:val="center"/>
          </w:tcPr>
          <w:p w:rsidR="00E462F4" w:rsidRPr="008277FF" w:rsidRDefault="00E462F4" w:rsidP="00877D98">
            <w:pPr>
              <w:spacing w:before="29" w:line="360" w:lineRule="auto"/>
              <w:ind w:left="17"/>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银行存款和结算备付金合计</w:t>
            </w:r>
          </w:p>
        </w:tc>
        <w:tc>
          <w:tcPr>
            <w:tcW w:w="2835"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46,038,611.57</w:t>
            </w:r>
          </w:p>
        </w:tc>
        <w:tc>
          <w:tcPr>
            <w:tcW w:w="1559" w:type="dxa"/>
            <w:shd w:val="clear" w:color="auto" w:fill="auto"/>
            <w:vAlign w:val="center"/>
          </w:tcPr>
          <w:p w:rsidR="00E462F4" w:rsidRPr="008277FF" w:rsidRDefault="00E462F4" w:rsidP="00BF1DD5">
            <w:pPr>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7.56</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8</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其他各项资产</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574,099.59</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0.09</w:t>
            </w:r>
          </w:p>
        </w:tc>
      </w:tr>
      <w:tr w:rsidR="008277FF" w:rsidRPr="008277FF" w:rsidTr="00797DD2">
        <w:tc>
          <w:tcPr>
            <w:tcW w:w="851" w:type="dxa"/>
            <w:shd w:val="clear" w:color="auto" w:fill="auto"/>
            <w:vAlign w:val="center"/>
          </w:tcPr>
          <w:p w:rsidR="00E462F4" w:rsidRPr="008277FF" w:rsidRDefault="00E462F4" w:rsidP="00466B17">
            <w:pPr>
              <w:spacing w:before="29" w:line="360" w:lineRule="auto"/>
              <w:ind w:left="17"/>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9</w:t>
            </w:r>
          </w:p>
        </w:tc>
        <w:tc>
          <w:tcPr>
            <w:tcW w:w="4253" w:type="dxa"/>
            <w:shd w:val="clear" w:color="auto" w:fill="auto"/>
            <w:vAlign w:val="center"/>
          </w:tcPr>
          <w:p w:rsidR="00E462F4" w:rsidRPr="008277FF" w:rsidRDefault="00E462F4" w:rsidP="00797DD2">
            <w:pPr>
              <w:rPr>
                <w:rFonts w:asciiTheme="minorEastAsia" w:eastAsiaTheme="minorEastAsia" w:hAnsiTheme="minorEastAsia"/>
                <w:color w:val="000000" w:themeColor="text1"/>
                <w:szCs w:val="21"/>
              </w:rPr>
            </w:pPr>
            <w:r w:rsidRPr="008277FF">
              <w:rPr>
                <w:rFonts w:asciiTheme="minorEastAsia" w:eastAsiaTheme="minorEastAsia" w:hAnsiTheme="minorEastAsia" w:cs="宋体" w:hint="eastAsia"/>
                <w:color w:val="000000" w:themeColor="text1"/>
                <w:szCs w:val="21"/>
              </w:rPr>
              <w:t>合计</w:t>
            </w:r>
          </w:p>
        </w:tc>
        <w:tc>
          <w:tcPr>
            <w:tcW w:w="2835"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608,702,538.09</w:t>
            </w:r>
          </w:p>
        </w:tc>
        <w:tc>
          <w:tcPr>
            <w:tcW w:w="1559" w:type="dxa"/>
            <w:shd w:val="clear" w:color="auto" w:fill="auto"/>
            <w:vAlign w:val="center"/>
          </w:tcPr>
          <w:p w:rsidR="00E462F4" w:rsidRPr="008277FF" w:rsidRDefault="00E462F4" w:rsidP="00BF1DD5">
            <w:pPr>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100.00</w:t>
            </w:r>
          </w:p>
        </w:tc>
      </w:tr>
    </w:tbl>
    <w:p w:rsidR="00F512C0" w:rsidRPr="008277FF" w:rsidRDefault="00F512C0" w:rsidP="00363E15">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A82C02"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2</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8277FF" w:rsidTr="002C042C">
        <w:trPr>
          <w:jc w:val="center"/>
        </w:trPr>
        <w:tc>
          <w:tcPr>
            <w:tcW w:w="2410"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国家（地区）</w:t>
            </w:r>
          </w:p>
        </w:tc>
        <w:tc>
          <w:tcPr>
            <w:tcW w:w="3118"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公允价值</w:t>
            </w:r>
            <w:r w:rsidRPr="008277FF">
              <w:rPr>
                <w:rFonts w:asciiTheme="minorEastAsia" w:eastAsiaTheme="minorEastAsia" w:hAnsiTheme="minorEastAsia" w:cs="Arial"/>
                <w:color w:val="000000" w:themeColor="text1"/>
                <w:kern w:val="0"/>
                <w:szCs w:val="21"/>
              </w:rPr>
              <w:t>(</w:t>
            </w:r>
            <w:r w:rsidRPr="008277FF">
              <w:rPr>
                <w:rFonts w:asciiTheme="minorEastAsia" w:eastAsiaTheme="minorEastAsia" w:hAnsiTheme="minorEastAsia" w:cs="Arial" w:hint="eastAsia"/>
                <w:color w:val="000000" w:themeColor="text1"/>
                <w:kern w:val="0"/>
                <w:szCs w:val="21"/>
              </w:rPr>
              <w:t>人民币元</w:t>
            </w:r>
            <w:r w:rsidRPr="008277FF">
              <w:rPr>
                <w:rFonts w:asciiTheme="minorEastAsia" w:eastAsiaTheme="minorEastAsia" w:hAnsiTheme="minorEastAsia" w:cs="Arial"/>
                <w:color w:val="000000" w:themeColor="text1"/>
                <w:kern w:val="0"/>
                <w:szCs w:val="21"/>
              </w:rPr>
              <w:t>)</w:t>
            </w:r>
          </w:p>
        </w:tc>
        <w:tc>
          <w:tcPr>
            <w:tcW w:w="3076" w:type="dxa"/>
            <w:vAlign w:val="center"/>
          </w:tcPr>
          <w:p w:rsidR="002C042C" w:rsidRPr="008277FF" w:rsidRDefault="002C042C" w:rsidP="00797DD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占基金资产净值比例（％）</w:t>
            </w:r>
          </w:p>
        </w:tc>
      </w:tr>
      <w:tr w:rsidR="008277FF" w:rsidRPr="008277FF" w:rsidTr="00877D98">
        <w:trPr>
          <w:jc w:val="center"/>
        </w:trPr>
        <w:tc>
          <w:tcPr>
            <w:tcW w:w="2410" w:type="dxa"/>
            <w:vAlign w:val="center"/>
          </w:tcPr>
          <w:p w:rsidR="002C042C" w:rsidRPr="008277FF" w:rsidRDefault="002C042C" w:rsidP="00877D98">
            <w:pPr>
              <w:autoSpaceDE w:val="0"/>
              <w:autoSpaceDN w:val="0"/>
              <w:adjustRightInd w:val="0"/>
              <w:spacing w:before="29"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合计</w:t>
            </w:r>
          </w:p>
        </w:tc>
        <w:tc>
          <w:tcPr>
            <w:tcW w:w="3118"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c>
          <w:tcPr>
            <w:tcW w:w="3076" w:type="dxa"/>
            <w:vAlign w:val="center"/>
          </w:tcPr>
          <w:p w:rsidR="002C042C" w:rsidRPr="008277FF" w:rsidRDefault="002C042C" w:rsidP="00877D98">
            <w:pPr>
              <w:autoSpaceDE w:val="0"/>
              <w:autoSpaceDN w:val="0"/>
              <w:adjustRightInd w:val="0"/>
              <w:spacing w:before="29" w:line="360" w:lineRule="auto"/>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r>
    </w:tbl>
    <w:p w:rsidR="00363E15" w:rsidRPr="008277FF" w:rsidRDefault="00363E15" w:rsidP="00363E15">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注：本报告期末本基金未持有股票和存托凭证。</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C37E98"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3</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报告期末按行业分类的股票及存托凭证投资组合</w:t>
      </w:r>
    </w:p>
    <w:p w:rsidR="005B6AC7"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本报告期末本基金未持有股票和存托凭证。</w:t>
      </w:r>
    </w:p>
    <w:p w:rsidR="000A521D" w:rsidRPr="008277FF" w:rsidRDefault="000A521D" w:rsidP="008B6A4A">
      <w:pPr>
        <w:autoSpaceDE w:val="0"/>
        <w:autoSpaceDN w:val="0"/>
        <w:adjustRightInd w:val="0"/>
        <w:spacing w:line="360" w:lineRule="auto"/>
        <w:jc w:val="left"/>
        <w:rPr>
          <w:rFonts w:asciiTheme="minorEastAsia" w:eastAsiaTheme="minorEastAsia" w:hAnsiTheme="minorEastAsia"/>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4</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报告期末按公允价值占基金资产净值比例大小排序的前十名股票及存托凭证投资明细</w:t>
      </w:r>
    </w:p>
    <w:p w:rsidR="00B62914" w:rsidRPr="008277FF" w:rsidRDefault="00E73C41"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本报告期末本基金未持有股票和存托凭证。</w:t>
      </w:r>
    </w:p>
    <w:p w:rsidR="00521EDE" w:rsidRPr="008277FF" w:rsidRDefault="00521EDE" w:rsidP="00890172">
      <w:pPr>
        <w:autoSpaceDE w:val="0"/>
        <w:autoSpaceDN w:val="0"/>
        <w:adjustRightInd w:val="0"/>
        <w:spacing w:before="29" w:line="360" w:lineRule="auto"/>
        <w:ind w:left="15"/>
        <w:jc w:val="left"/>
        <w:rPr>
          <w:rFonts w:asciiTheme="minorEastAsia" w:eastAsiaTheme="minorEastAsia" w:hAnsiTheme="minorEastAsia" w:cs="宋体"/>
          <w:color w:val="000000" w:themeColor="text1"/>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报告期末按债券信用等级分类的债券投资组合</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6</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报告期末按公允价值占基金资产净值比例大小排名的前五名债券投资明细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本基金本报告期末未持有债券。</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w:t>
      </w:r>
      <w:r w:rsidR="002A0FA2" w:rsidRPr="008277FF">
        <w:rPr>
          <w:rFonts w:asciiTheme="minorEastAsia" w:eastAsiaTheme="minorEastAsia" w:hAnsiTheme="minorEastAsia" w:cs="Arial" w:hint="eastAsia"/>
          <w:b/>
          <w:color w:val="000000" w:themeColor="text1"/>
          <w:kern w:val="0"/>
          <w:sz w:val="24"/>
        </w:rPr>
        <w:t>7</w:t>
      </w:r>
      <w:r w:rsidRPr="008277FF">
        <w:rPr>
          <w:rFonts w:asciiTheme="minorEastAsia" w:eastAsiaTheme="minorEastAsia" w:hAnsiTheme="minorEastAsia" w:cs="Arial" w:hint="eastAsia"/>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报告期末按公允价值占基金资产净值比例大小排名的前十名资产支持证券投资明细</w:t>
      </w:r>
    </w:p>
    <w:p w:rsidR="00521EDE" w:rsidRPr="008277FF" w:rsidRDefault="00521EDE"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本基金本报告期末未持有资产支持证券。</w:t>
      </w:r>
    </w:p>
    <w:p w:rsidR="005B6AC7" w:rsidRPr="008277FF" w:rsidRDefault="005B6AC7" w:rsidP="00521EDE">
      <w:pPr>
        <w:autoSpaceDE w:val="0"/>
        <w:autoSpaceDN w:val="0"/>
        <w:adjustRightInd w:val="0"/>
        <w:spacing w:before="29" w:line="360" w:lineRule="auto"/>
        <w:ind w:left="15"/>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8</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报告期末按公允价值占基金资产净值比例大小排名的前五名金融衍生品投资明细</w:t>
      </w:r>
    </w:p>
    <w:p w:rsidR="00521EDE" w:rsidRPr="008277FF" w:rsidRDefault="00521EDE" w:rsidP="00521EDE">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本基金本报告期末未持有金融衍生品。</w:t>
      </w:r>
    </w:p>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22A61"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9</w:t>
      </w:r>
      <w:r w:rsidR="0076518F" w:rsidRPr="008277FF">
        <w:rPr>
          <w:rFonts w:asciiTheme="minorEastAsia" w:eastAsiaTheme="minorEastAsia" w:hAnsiTheme="minorEastAsia" w:cs="Arial" w:hint="eastAsia"/>
          <w:b/>
          <w:color w:val="000000" w:themeColor="text1"/>
          <w:kern w:val="0"/>
          <w:sz w:val="24"/>
        </w:rPr>
        <w:t>报告期末按公允价值占基金资产净值比例大小排序的</w:t>
      </w:r>
      <w:r w:rsidR="0076518F" w:rsidRPr="008277FF">
        <w:rPr>
          <w:rFonts w:asciiTheme="minorEastAsia" w:eastAsiaTheme="minorEastAsia" w:hAnsiTheme="minorEastAsia" w:cs="Arial"/>
          <w:b/>
          <w:color w:val="000000" w:themeColor="text1"/>
          <w:kern w:val="0"/>
          <w:sz w:val="24"/>
        </w:rPr>
        <w:t>前</w:t>
      </w:r>
      <w:r w:rsidR="0076518F" w:rsidRPr="008277FF">
        <w:rPr>
          <w:rFonts w:asciiTheme="minorEastAsia" w:eastAsiaTheme="minorEastAsia" w:hAnsiTheme="minorEastAsia" w:cs="Arial" w:hint="eastAsia"/>
          <w:b/>
          <w:color w:val="000000" w:themeColor="text1"/>
          <w:kern w:val="0"/>
          <w:sz w:val="24"/>
        </w:rPr>
        <w:t>十名基金投资明细</w:t>
      </w:r>
    </w:p>
    <w:tbl>
      <w:tblPr>
        <w:tblStyle w:val="afa"/>
        <w:tblW w:w="0" w:type="auto"/>
        <w:tblInd w:w="15" w:type="dxa"/>
        <w:tblLook w:val="04A0" w:firstRow="1" w:lastRow="0" w:firstColumn="1" w:lastColumn="0" w:noHBand="0" w:noVBand="1"/>
      </w:tblPr>
      <w:tblGrid>
        <w:gridCol w:w="532"/>
        <w:gridCol w:w="2169"/>
        <w:gridCol w:w="531"/>
        <w:gridCol w:w="531"/>
        <w:gridCol w:w="2260"/>
        <w:gridCol w:w="1686"/>
        <w:gridCol w:w="804"/>
      </w:tblGrid>
      <w:tr w:rsidR="008277FF" w:rsidRPr="008277FF" w:rsidTr="00797DD2">
        <w:tc>
          <w:tcPr>
            <w:tcW w:w="1215"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序号</w:t>
            </w:r>
          </w:p>
        </w:tc>
        <w:tc>
          <w:tcPr>
            <w:tcW w:w="1216" w:type="dxa"/>
            <w:vAlign w:val="center"/>
          </w:tcPr>
          <w:p w:rsidR="00017739" w:rsidRPr="008277FF" w:rsidRDefault="00017739" w:rsidP="00797DD2">
            <w:pPr>
              <w:spacing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基金名称</w:t>
            </w:r>
          </w:p>
        </w:tc>
        <w:tc>
          <w:tcPr>
            <w:tcW w:w="1216" w:type="dxa"/>
            <w:vAlign w:val="center"/>
          </w:tcPr>
          <w:p w:rsidR="00017739" w:rsidRPr="008277FF" w:rsidRDefault="00017739" w:rsidP="00797DD2">
            <w:pPr>
              <w:spacing w:line="360" w:lineRule="auto"/>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基金类型</w:t>
            </w:r>
          </w:p>
        </w:tc>
        <w:tc>
          <w:tcPr>
            <w:tcW w:w="1216"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运作方式</w:t>
            </w:r>
          </w:p>
        </w:tc>
        <w:tc>
          <w:tcPr>
            <w:tcW w:w="1216"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管理人</w:t>
            </w:r>
          </w:p>
        </w:tc>
        <w:tc>
          <w:tcPr>
            <w:tcW w:w="1217"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公允价值</w:t>
            </w:r>
          </w:p>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w:t>
            </w:r>
            <w:r w:rsidRPr="008277FF">
              <w:rPr>
                <w:rFonts w:asciiTheme="minorEastAsia" w:eastAsiaTheme="minorEastAsia" w:hAnsiTheme="minorEastAsia" w:hint="eastAsia"/>
                <w:color w:val="000000" w:themeColor="text1"/>
                <w:szCs w:val="21"/>
              </w:rPr>
              <w:t>人民币</w:t>
            </w:r>
            <w:r w:rsidRPr="008277FF">
              <w:rPr>
                <w:rFonts w:asciiTheme="minorEastAsia" w:eastAsiaTheme="minorEastAsia" w:hAnsiTheme="minorEastAsia"/>
                <w:color w:val="000000" w:themeColor="text1"/>
                <w:szCs w:val="21"/>
              </w:rPr>
              <w:t>元）</w:t>
            </w:r>
          </w:p>
        </w:tc>
        <w:tc>
          <w:tcPr>
            <w:tcW w:w="1217" w:type="dxa"/>
            <w:vAlign w:val="center"/>
          </w:tcPr>
          <w:p w:rsidR="00017739" w:rsidRPr="008277FF" w:rsidRDefault="00017739" w:rsidP="00797DD2">
            <w:pPr>
              <w:spacing w:line="360" w:lineRule="auto"/>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占</w:t>
            </w:r>
            <w:r w:rsidRPr="008277FF">
              <w:rPr>
                <w:rFonts w:asciiTheme="minorEastAsia" w:eastAsiaTheme="minorEastAsia" w:hAnsiTheme="minorEastAsia" w:hint="eastAsia"/>
                <w:color w:val="000000" w:themeColor="text1"/>
                <w:szCs w:val="21"/>
              </w:rPr>
              <w:t>基金资产</w:t>
            </w:r>
            <w:r w:rsidRPr="008277FF">
              <w:rPr>
                <w:rFonts w:asciiTheme="minorEastAsia" w:eastAsiaTheme="minorEastAsia" w:hAnsiTheme="minorEastAsia"/>
                <w:color w:val="000000" w:themeColor="text1"/>
                <w:szCs w:val="21"/>
              </w:rPr>
              <w:t>净值比例</w:t>
            </w:r>
            <w:r w:rsidRPr="008277FF">
              <w:rPr>
                <w:rFonts w:asciiTheme="minorEastAsia" w:eastAsiaTheme="minorEastAsia" w:hAnsiTheme="minorEastAsia" w:hint="eastAsia"/>
                <w:color w:val="000000" w:themeColor="text1"/>
                <w:szCs w:val="21"/>
              </w:rPr>
              <w:t>(%)</w:t>
            </w:r>
          </w:p>
        </w:tc>
      </w:tr>
      <w:tr w:rsidR="00BD37E8">
        <w:tc>
          <w:tcPr>
            <w:tcW w:w="0" w:type="auto"/>
            <w:vAlign w:val="center"/>
          </w:tcPr>
          <w:p w:rsidR="00BD37E8" w:rsidRDefault="00694E48">
            <w:pPr>
              <w:jc w:val="center"/>
            </w:pPr>
            <w:r>
              <w:rPr>
                <w:rFonts w:asciiTheme="minorEastAsia" w:eastAsiaTheme="minorEastAsia" w:hAnsiTheme="minorEastAsia" w:cs="宋体"/>
                <w:color w:val="000000" w:themeColor="text1"/>
                <w:szCs w:val="21"/>
              </w:rPr>
              <w:t>1</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Funds-US Aggregate Bond Fund</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债券型</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开放式</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114,964,189.72</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19.31</w:t>
            </w:r>
          </w:p>
        </w:tc>
      </w:tr>
      <w:tr w:rsidR="00BD37E8">
        <w:tc>
          <w:tcPr>
            <w:tcW w:w="0" w:type="auto"/>
            <w:vAlign w:val="center"/>
          </w:tcPr>
          <w:p w:rsidR="00BD37E8" w:rsidRDefault="00694E48">
            <w:pPr>
              <w:jc w:val="center"/>
            </w:pPr>
            <w:r>
              <w:rPr>
                <w:rFonts w:asciiTheme="minorEastAsia" w:eastAsiaTheme="minorEastAsia" w:hAnsiTheme="minorEastAsia" w:cs="宋体"/>
                <w:color w:val="000000" w:themeColor="text1"/>
                <w:szCs w:val="21"/>
              </w:rPr>
              <w:t>2</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SAR Global Bond Fund</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债券型</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开放式</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JF Asset Management Limited (Part of the JPMorgan Chase &amp; Co, group of companies)</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100,108,015.94</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16.82</w:t>
            </w:r>
          </w:p>
        </w:tc>
      </w:tr>
      <w:tr w:rsidR="00BD37E8">
        <w:tc>
          <w:tcPr>
            <w:tcW w:w="0" w:type="auto"/>
            <w:vAlign w:val="center"/>
          </w:tcPr>
          <w:p w:rsidR="00BD37E8" w:rsidRDefault="00694E48">
            <w:pPr>
              <w:jc w:val="center"/>
            </w:pPr>
            <w:r>
              <w:rPr>
                <w:rFonts w:asciiTheme="minorEastAsia" w:eastAsiaTheme="minorEastAsia" w:hAnsiTheme="minorEastAsia" w:cs="宋体"/>
                <w:color w:val="000000" w:themeColor="text1"/>
                <w:szCs w:val="21"/>
              </w:rPr>
              <w:t>3</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Funds-JPM US Value Fund</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股票型</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开放式</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85,947,956.97</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14.44</w:t>
            </w:r>
          </w:p>
        </w:tc>
      </w:tr>
      <w:tr w:rsidR="00BD37E8">
        <w:tc>
          <w:tcPr>
            <w:tcW w:w="0" w:type="auto"/>
            <w:vAlign w:val="center"/>
          </w:tcPr>
          <w:p w:rsidR="00BD37E8" w:rsidRDefault="00694E48">
            <w:pPr>
              <w:jc w:val="center"/>
            </w:pPr>
            <w:r>
              <w:rPr>
                <w:rFonts w:asciiTheme="minorEastAsia" w:eastAsiaTheme="minorEastAsia" w:hAnsiTheme="minorEastAsia" w:cs="宋体"/>
                <w:color w:val="000000" w:themeColor="text1"/>
                <w:szCs w:val="21"/>
              </w:rPr>
              <w:t>4</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Funds-JPM US Growth Fund</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股票型</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开放式</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71,472,588.12</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12.01</w:t>
            </w:r>
          </w:p>
        </w:tc>
      </w:tr>
      <w:tr w:rsidR="00BD37E8">
        <w:tc>
          <w:tcPr>
            <w:tcW w:w="0" w:type="auto"/>
            <w:vAlign w:val="center"/>
          </w:tcPr>
          <w:p w:rsidR="00BD37E8" w:rsidRDefault="00694E48">
            <w:pPr>
              <w:jc w:val="center"/>
            </w:pPr>
            <w:r>
              <w:rPr>
                <w:rFonts w:asciiTheme="minorEastAsia" w:eastAsiaTheme="minorEastAsia" w:hAnsiTheme="minorEastAsia" w:cs="宋体"/>
                <w:color w:val="000000" w:themeColor="text1"/>
                <w:szCs w:val="21"/>
              </w:rPr>
              <w:t>5</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Funds-JPM US Equity All Cap Fund</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股票型</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开放式</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 xml:space="preserve">JPMorgan Asset Management </w:t>
            </w:r>
            <w:r>
              <w:rPr>
                <w:rFonts w:asciiTheme="minorEastAsia" w:eastAsiaTheme="minorEastAsia" w:hAnsiTheme="minorEastAsia" w:cs="宋体"/>
                <w:color w:val="000000" w:themeColor="text1"/>
                <w:szCs w:val="21"/>
              </w:rPr>
              <w:t>(Europe) S.á r.l.</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58,383,253.05</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9.81</w:t>
            </w:r>
          </w:p>
        </w:tc>
      </w:tr>
      <w:tr w:rsidR="00BD37E8">
        <w:tc>
          <w:tcPr>
            <w:tcW w:w="0" w:type="auto"/>
            <w:vAlign w:val="center"/>
          </w:tcPr>
          <w:p w:rsidR="00BD37E8" w:rsidRDefault="00694E48">
            <w:pPr>
              <w:jc w:val="center"/>
            </w:pPr>
            <w:r>
              <w:rPr>
                <w:rFonts w:asciiTheme="minorEastAsia" w:eastAsiaTheme="minorEastAsia" w:hAnsiTheme="minorEastAsia" w:cs="宋体"/>
                <w:color w:val="000000" w:themeColor="text1"/>
                <w:szCs w:val="21"/>
              </w:rPr>
              <w:t>6</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Investment Funds-JPM Europe Select Equity Fund</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股票型</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开放式</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40,155,477.35</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6.75</w:t>
            </w:r>
          </w:p>
        </w:tc>
      </w:tr>
      <w:tr w:rsidR="00BD37E8">
        <w:tc>
          <w:tcPr>
            <w:tcW w:w="0" w:type="auto"/>
            <w:vAlign w:val="center"/>
          </w:tcPr>
          <w:p w:rsidR="00BD37E8" w:rsidRDefault="00694E48">
            <w:pPr>
              <w:jc w:val="center"/>
            </w:pPr>
            <w:r>
              <w:rPr>
                <w:rFonts w:asciiTheme="minorEastAsia" w:eastAsiaTheme="minorEastAsia" w:hAnsiTheme="minorEastAsia" w:cs="宋体"/>
                <w:color w:val="000000" w:themeColor="text1"/>
                <w:szCs w:val="21"/>
              </w:rPr>
              <w:t>7</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Funds-JPM Emerging Markets Opportunities Fund</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股票型</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开放式</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 xml:space="preserve">JPMorgan Asset </w:t>
            </w:r>
            <w:r>
              <w:rPr>
                <w:rFonts w:asciiTheme="minorEastAsia" w:eastAsiaTheme="minorEastAsia" w:hAnsiTheme="minorEastAsia" w:cs="宋体"/>
                <w:color w:val="000000" w:themeColor="text1"/>
                <w:szCs w:val="21"/>
              </w:rPr>
              <w:t>Management (Europe) S.á r.l.</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32,100,229.34</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5.39</w:t>
            </w:r>
          </w:p>
        </w:tc>
      </w:tr>
      <w:tr w:rsidR="00BD37E8">
        <w:tc>
          <w:tcPr>
            <w:tcW w:w="0" w:type="auto"/>
            <w:vAlign w:val="center"/>
          </w:tcPr>
          <w:p w:rsidR="00BD37E8" w:rsidRDefault="00694E48">
            <w:pPr>
              <w:jc w:val="center"/>
            </w:pPr>
            <w:r>
              <w:rPr>
                <w:rFonts w:asciiTheme="minorEastAsia" w:eastAsiaTheme="minorEastAsia" w:hAnsiTheme="minorEastAsia" w:cs="宋体"/>
                <w:color w:val="000000" w:themeColor="text1"/>
                <w:szCs w:val="21"/>
              </w:rPr>
              <w:t>8</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Funds-JPM Europe Dynamic Fund</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股票型</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开放式</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26,530,589.36</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4.46</w:t>
            </w:r>
          </w:p>
        </w:tc>
      </w:tr>
      <w:tr w:rsidR="00BD37E8">
        <w:tc>
          <w:tcPr>
            <w:tcW w:w="0" w:type="auto"/>
            <w:vAlign w:val="center"/>
          </w:tcPr>
          <w:p w:rsidR="00BD37E8" w:rsidRDefault="00694E48">
            <w:pPr>
              <w:jc w:val="center"/>
            </w:pPr>
            <w:r>
              <w:rPr>
                <w:rFonts w:asciiTheme="minorEastAsia" w:eastAsiaTheme="minorEastAsia" w:hAnsiTheme="minorEastAsia" w:cs="宋体"/>
                <w:color w:val="000000" w:themeColor="text1"/>
                <w:szCs w:val="21"/>
              </w:rPr>
              <w:t>9</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Investment Funds-Japan Select Equity Fund</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股票型</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开放式</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 xml:space="preserve">JPMorgan Asset Management </w:t>
            </w:r>
            <w:r>
              <w:rPr>
                <w:rFonts w:asciiTheme="minorEastAsia" w:eastAsiaTheme="minorEastAsia" w:hAnsiTheme="minorEastAsia" w:cs="宋体"/>
                <w:color w:val="000000" w:themeColor="text1"/>
                <w:szCs w:val="21"/>
              </w:rPr>
              <w:t>(Europe) S.á r.l.</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19,355,110.38</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3.25</w:t>
            </w:r>
          </w:p>
        </w:tc>
      </w:tr>
      <w:tr w:rsidR="00BD37E8">
        <w:tc>
          <w:tcPr>
            <w:tcW w:w="0" w:type="auto"/>
            <w:vAlign w:val="center"/>
          </w:tcPr>
          <w:p w:rsidR="00BD37E8" w:rsidRDefault="00694E48">
            <w:pPr>
              <w:jc w:val="center"/>
            </w:pPr>
            <w:r>
              <w:rPr>
                <w:rFonts w:asciiTheme="minorEastAsia" w:eastAsiaTheme="minorEastAsia" w:hAnsiTheme="minorEastAsia" w:cs="宋体"/>
                <w:color w:val="000000" w:themeColor="text1"/>
                <w:szCs w:val="21"/>
              </w:rPr>
              <w:t>10</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Funds-JPM Asia Pacific Equity Fund</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股票型</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开放式</w:t>
            </w:r>
          </w:p>
        </w:tc>
        <w:tc>
          <w:tcPr>
            <w:tcW w:w="0" w:type="auto"/>
            <w:vAlign w:val="center"/>
          </w:tcPr>
          <w:p w:rsidR="00BD37E8" w:rsidRDefault="00694E48">
            <w:pPr>
              <w:jc w:val="center"/>
            </w:pPr>
            <w:r>
              <w:rPr>
                <w:rFonts w:asciiTheme="minorEastAsia" w:eastAsiaTheme="minorEastAsia" w:hAnsiTheme="minorEastAsia" w:cs="宋体"/>
                <w:color w:val="000000" w:themeColor="text1"/>
                <w:szCs w:val="21"/>
              </w:rPr>
              <w:t>JPMorgan Asset Management (Europe) S.á r.l.</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13,072,416.70</w:t>
            </w:r>
          </w:p>
        </w:tc>
        <w:tc>
          <w:tcPr>
            <w:tcW w:w="0" w:type="auto"/>
            <w:vAlign w:val="center"/>
          </w:tcPr>
          <w:p w:rsidR="00BD37E8" w:rsidRDefault="00694E48">
            <w:pPr>
              <w:jc w:val="right"/>
            </w:pPr>
            <w:r>
              <w:rPr>
                <w:rFonts w:asciiTheme="minorEastAsia" w:eastAsiaTheme="minorEastAsia" w:hAnsiTheme="minorEastAsia" w:cs="宋体"/>
                <w:color w:val="000000" w:themeColor="text1"/>
                <w:szCs w:val="21"/>
              </w:rPr>
              <w:t>2.20</w:t>
            </w:r>
          </w:p>
        </w:tc>
      </w:tr>
    </w:tbl>
    <w:p w:rsidR="0076518F" w:rsidRPr="008277FF" w:rsidRDefault="0076518F" w:rsidP="008B6A4A">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76518F" w:rsidRPr="008277FF" w:rsidRDefault="00B55EA7"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hint="eastAsia"/>
          <w:b/>
          <w:color w:val="000000" w:themeColor="text1"/>
          <w:kern w:val="0"/>
          <w:sz w:val="24"/>
        </w:rPr>
        <w:t>5</w:t>
      </w:r>
      <w:r w:rsidR="0076518F" w:rsidRPr="008277FF">
        <w:rPr>
          <w:rFonts w:asciiTheme="minorEastAsia" w:eastAsiaTheme="minorEastAsia" w:hAnsiTheme="minorEastAsia" w:cs="Arial"/>
          <w:b/>
          <w:color w:val="000000" w:themeColor="text1"/>
          <w:kern w:val="0"/>
          <w:sz w:val="24"/>
        </w:rPr>
        <w:t>.</w:t>
      </w:r>
      <w:r w:rsidRPr="008277FF">
        <w:rPr>
          <w:rFonts w:asciiTheme="minorEastAsia" w:eastAsiaTheme="minorEastAsia" w:hAnsiTheme="minorEastAsia" w:cs="Arial" w:hint="eastAsia"/>
          <w:b/>
          <w:color w:val="000000" w:themeColor="text1"/>
          <w:kern w:val="0"/>
          <w:sz w:val="24"/>
        </w:rPr>
        <w:t>10</w:t>
      </w:r>
      <w:r w:rsidR="0076518F" w:rsidRPr="008277FF">
        <w:rPr>
          <w:rFonts w:asciiTheme="minorEastAsia" w:eastAsiaTheme="minorEastAsia" w:hAnsiTheme="minorEastAsia" w:cs="Arial"/>
          <w:b/>
          <w:color w:val="000000" w:themeColor="text1"/>
          <w:kern w:val="0"/>
          <w:sz w:val="24"/>
        </w:rPr>
        <w:t xml:space="preserve"> </w:t>
      </w:r>
      <w:r w:rsidR="0076518F" w:rsidRPr="008277FF">
        <w:rPr>
          <w:rFonts w:asciiTheme="minorEastAsia" w:eastAsiaTheme="minorEastAsia" w:hAnsiTheme="minorEastAsia" w:cs="Arial" w:hint="eastAsia"/>
          <w:b/>
          <w:color w:val="000000" w:themeColor="text1"/>
          <w:kern w:val="0"/>
          <w:sz w:val="24"/>
        </w:rPr>
        <w:t>投资组合报告附注</w:t>
      </w:r>
    </w:p>
    <w:p w:rsidR="00B55EA7" w:rsidRPr="008277FF" w:rsidRDefault="00B55EA7" w:rsidP="000E3F11">
      <w:pPr>
        <w:widowControl/>
        <w:spacing w:line="360" w:lineRule="auto"/>
        <w:ind w:left="120" w:hangingChars="50" w:hanging="120"/>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5.10.1报告期内本基金投资的前十名证券的发行主体本期没有出现被监管部门立案调查，或在报告编制日前一年内受到公开谴责、处罚的情形。</w:t>
      </w:r>
    </w:p>
    <w:p w:rsidR="00B55EA7" w:rsidRPr="008277FF" w:rsidRDefault="00B55EA7" w:rsidP="00B55EA7">
      <w:pPr>
        <w:widowControl/>
        <w:spacing w:line="360" w:lineRule="auto"/>
        <w:rPr>
          <w:rFonts w:asciiTheme="minorEastAsia" w:eastAsiaTheme="minorEastAsia" w:hAnsiTheme="minorEastAsia"/>
          <w:color w:val="000000" w:themeColor="text1"/>
          <w:sz w:val="24"/>
        </w:rPr>
      </w:pPr>
      <w:r w:rsidRPr="008277FF">
        <w:rPr>
          <w:rFonts w:asciiTheme="minorEastAsia" w:eastAsiaTheme="minorEastAsia" w:hAnsiTheme="minorEastAsia"/>
          <w:color w:val="000000" w:themeColor="text1"/>
          <w:sz w:val="24"/>
        </w:rPr>
        <w:t>5.10.2报告期内本基金投资的前十名股票中没有在基金合同规定备选股票库之外的股票。</w:t>
      </w:r>
    </w:p>
    <w:p w:rsidR="0076518F" w:rsidRPr="008277FF" w:rsidRDefault="008C71EB" w:rsidP="0049659A">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.3</w:t>
      </w:r>
      <w:r w:rsidR="0076518F" w:rsidRPr="008277FF">
        <w:rPr>
          <w:rFonts w:asciiTheme="minorEastAsia" w:eastAsiaTheme="minorEastAsia" w:hAnsiTheme="minorEastAsia" w:cs="Arial" w:hint="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8277FF" w:rsidTr="004C05F3">
        <w:tc>
          <w:tcPr>
            <w:tcW w:w="802"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序号</w:t>
            </w:r>
          </w:p>
        </w:tc>
        <w:tc>
          <w:tcPr>
            <w:tcW w:w="2903"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名称</w:t>
            </w:r>
          </w:p>
        </w:tc>
        <w:tc>
          <w:tcPr>
            <w:tcW w:w="4808" w:type="dxa"/>
            <w:vAlign w:val="center"/>
          </w:tcPr>
          <w:p w:rsidR="002C2678" w:rsidRPr="008277FF" w:rsidRDefault="002C2678" w:rsidP="00797DD2">
            <w:pPr>
              <w:autoSpaceDE w:val="0"/>
              <w:autoSpaceDN w:val="0"/>
              <w:adjustRightInd w:val="0"/>
              <w:spacing w:before="29" w:line="360" w:lineRule="auto"/>
              <w:ind w:left="17"/>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金额(</w:t>
            </w:r>
            <w:r w:rsidR="00C42431" w:rsidRPr="008277FF">
              <w:rPr>
                <w:rFonts w:asciiTheme="minorEastAsia" w:eastAsiaTheme="minorEastAsia" w:hAnsiTheme="minorEastAsia" w:cs="宋体" w:hint="eastAsia"/>
                <w:color w:val="000000" w:themeColor="text1"/>
                <w:kern w:val="0"/>
                <w:szCs w:val="21"/>
              </w:rPr>
              <w:t>人民币</w:t>
            </w:r>
            <w:r w:rsidRPr="008277FF">
              <w:rPr>
                <w:rFonts w:asciiTheme="minorEastAsia" w:eastAsiaTheme="minorEastAsia" w:hAnsiTheme="minorEastAsia" w:cs="宋体" w:hint="eastAsia"/>
                <w:color w:val="000000" w:themeColor="text1"/>
                <w:kern w:val="0"/>
                <w:szCs w:val="21"/>
              </w:rPr>
              <w:t>元)</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szCs w:val="21"/>
              </w:rPr>
              <w:t>1</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存出保证金</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2</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应收证券清算款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3</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应收股利</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4</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应收利息</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3,190.92</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5</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应收申购款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570,908.67</w:t>
            </w:r>
          </w:p>
        </w:tc>
      </w:tr>
      <w:tr w:rsidR="008277FF" w:rsidRPr="008277FF" w:rsidTr="009E3391">
        <w:tc>
          <w:tcPr>
            <w:tcW w:w="802" w:type="dxa"/>
            <w:vAlign w:val="center"/>
          </w:tcPr>
          <w:p w:rsidR="002C2678" w:rsidRPr="008277FF" w:rsidRDefault="002C2678"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6</w:t>
            </w:r>
          </w:p>
        </w:tc>
        <w:tc>
          <w:tcPr>
            <w:tcW w:w="2903" w:type="dxa"/>
            <w:vAlign w:val="center"/>
          </w:tcPr>
          <w:p w:rsidR="002C2678" w:rsidRPr="008277FF" w:rsidRDefault="002C2678"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其他应收款</w:t>
            </w:r>
          </w:p>
        </w:tc>
        <w:tc>
          <w:tcPr>
            <w:tcW w:w="4808" w:type="dxa"/>
            <w:vAlign w:val="center"/>
          </w:tcPr>
          <w:p w:rsidR="002C2678" w:rsidRPr="008277FF" w:rsidRDefault="002C2678"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7</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待摊费用</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8</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其他</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w:t>
            </w:r>
          </w:p>
        </w:tc>
      </w:tr>
      <w:tr w:rsidR="008277FF" w:rsidRPr="008277FF" w:rsidTr="009E3391">
        <w:tc>
          <w:tcPr>
            <w:tcW w:w="802" w:type="dxa"/>
            <w:vAlign w:val="center"/>
          </w:tcPr>
          <w:p w:rsidR="00F951CF" w:rsidRPr="008277FF" w:rsidRDefault="00F951CF" w:rsidP="00797DD2">
            <w:pPr>
              <w:autoSpaceDE w:val="0"/>
              <w:autoSpaceDN w:val="0"/>
              <w:adjustRightInd w:val="0"/>
              <w:spacing w:before="29" w:line="360" w:lineRule="auto"/>
              <w:ind w:left="15"/>
              <w:jc w:val="center"/>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9</w:t>
            </w:r>
          </w:p>
        </w:tc>
        <w:tc>
          <w:tcPr>
            <w:tcW w:w="2903" w:type="dxa"/>
            <w:vAlign w:val="center"/>
          </w:tcPr>
          <w:p w:rsidR="00F951CF" w:rsidRPr="008277FF" w:rsidRDefault="00F951CF" w:rsidP="009E3391">
            <w:pPr>
              <w:autoSpaceDE w:val="0"/>
              <w:autoSpaceDN w:val="0"/>
              <w:adjustRightInd w:val="0"/>
              <w:spacing w:before="29" w:line="360" w:lineRule="auto"/>
              <w:ind w:left="15"/>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合计</w:t>
            </w:r>
          </w:p>
        </w:tc>
        <w:tc>
          <w:tcPr>
            <w:tcW w:w="4808" w:type="dxa"/>
            <w:vAlign w:val="center"/>
          </w:tcPr>
          <w:p w:rsidR="00F951CF" w:rsidRPr="008277FF" w:rsidRDefault="00F951CF" w:rsidP="00797DD2">
            <w:pPr>
              <w:autoSpaceDE w:val="0"/>
              <w:autoSpaceDN w:val="0"/>
              <w:adjustRightInd w:val="0"/>
              <w:spacing w:before="29" w:line="360" w:lineRule="auto"/>
              <w:ind w:left="15"/>
              <w:jc w:val="right"/>
              <w:rPr>
                <w:rFonts w:asciiTheme="minorEastAsia" w:eastAsiaTheme="minorEastAsia" w:hAnsiTheme="minorEastAsia"/>
                <w:color w:val="000000" w:themeColor="text1"/>
                <w:kern w:val="0"/>
                <w:szCs w:val="21"/>
              </w:rPr>
            </w:pPr>
            <w:r w:rsidRPr="008277FF">
              <w:rPr>
                <w:rFonts w:asciiTheme="minorEastAsia" w:eastAsiaTheme="minorEastAsia" w:hAnsiTheme="minorEastAsia"/>
                <w:color w:val="000000" w:themeColor="text1"/>
                <w:kern w:val="0"/>
                <w:szCs w:val="21"/>
              </w:rPr>
              <w:t>574,099.59</w:t>
            </w:r>
          </w:p>
        </w:tc>
      </w:tr>
    </w:tbl>
    <w:p w:rsidR="00A22D4B" w:rsidRPr="008277FF" w:rsidRDefault="00A22D4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.4</w:t>
      </w:r>
      <w:r w:rsidR="0076518F" w:rsidRPr="008277FF">
        <w:rPr>
          <w:rFonts w:asciiTheme="minorEastAsia" w:eastAsiaTheme="minorEastAsia" w:hAnsiTheme="minorEastAsia" w:cs="Arial" w:hint="eastAsia"/>
          <w:b/>
          <w:color w:val="000000" w:themeColor="text1"/>
          <w:kern w:val="0"/>
          <w:sz w:val="24"/>
        </w:rPr>
        <w:t>报告期末持有的处于转股期的可转换债券明细</w:t>
      </w:r>
    </w:p>
    <w:p w:rsidR="000A55BD" w:rsidRPr="008277FF" w:rsidRDefault="000A55BD" w:rsidP="002236BC">
      <w:pPr>
        <w:autoSpaceDE w:val="0"/>
        <w:autoSpaceDN w:val="0"/>
        <w:adjustRightInd w:val="0"/>
        <w:spacing w:line="360" w:lineRule="auto"/>
        <w:jc w:val="left"/>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本基金本报告期末未持有处于转股期的可转换债券。</w:t>
      </w:r>
    </w:p>
    <w:p w:rsidR="009E3391" w:rsidRPr="008277FF" w:rsidRDefault="009E3391" w:rsidP="002236BC">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.5</w:t>
      </w:r>
      <w:r w:rsidR="0076518F" w:rsidRPr="008277FF">
        <w:rPr>
          <w:rFonts w:asciiTheme="minorEastAsia" w:eastAsiaTheme="minorEastAsia" w:hAnsiTheme="minorEastAsia" w:cs="Arial" w:hint="eastAsia"/>
          <w:b/>
          <w:color w:val="000000" w:themeColor="text1"/>
          <w:kern w:val="0"/>
          <w:sz w:val="24"/>
        </w:rPr>
        <w:t xml:space="preserve"> 报告期末前十名股票中存在流通受限情况的说明</w:t>
      </w:r>
    </w:p>
    <w:p w:rsidR="0076518F" w:rsidRPr="008277FF" w:rsidRDefault="008C71EB" w:rsidP="00EC4BA3">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8277FF">
        <w:rPr>
          <w:rFonts w:asciiTheme="minorEastAsia" w:eastAsiaTheme="minorEastAsia" w:hAnsiTheme="minorEastAsia" w:cs="Arial"/>
          <w:b/>
          <w:color w:val="000000" w:themeColor="text1"/>
          <w:kern w:val="0"/>
          <w:sz w:val="24"/>
        </w:rPr>
        <w:t>5.1</w:t>
      </w:r>
      <w:r w:rsidR="002A0FA2" w:rsidRPr="008277FF">
        <w:rPr>
          <w:rFonts w:asciiTheme="minorEastAsia" w:eastAsiaTheme="minorEastAsia" w:hAnsiTheme="minorEastAsia" w:cs="Arial" w:hint="eastAsia"/>
          <w:b/>
          <w:color w:val="000000" w:themeColor="text1"/>
          <w:kern w:val="0"/>
          <w:sz w:val="24"/>
        </w:rPr>
        <w:t>0</w:t>
      </w:r>
      <w:r w:rsidR="0076518F" w:rsidRPr="008277FF">
        <w:rPr>
          <w:rFonts w:asciiTheme="minorEastAsia" w:eastAsiaTheme="minorEastAsia" w:hAnsiTheme="minorEastAsia" w:cs="Arial"/>
          <w:b/>
          <w:color w:val="000000" w:themeColor="text1"/>
          <w:kern w:val="0"/>
          <w:sz w:val="24"/>
        </w:rPr>
        <w:t>.6</w:t>
      </w:r>
      <w:r w:rsidR="001C46E1" w:rsidRPr="008277FF">
        <w:rPr>
          <w:rFonts w:asciiTheme="minorEastAsia" w:eastAsiaTheme="minorEastAsia" w:hAnsiTheme="minorEastAsia" w:cs="Arial" w:hint="eastAsia"/>
          <w:b/>
          <w:color w:val="000000" w:themeColor="text1"/>
          <w:kern w:val="0"/>
          <w:sz w:val="24"/>
        </w:rPr>
        <w:t>投资组合报告附注的其他文字描述部分</w:t>
      </w:r>
    </w:p>
    <w:p w:rsidR="000A55BD" w:rsidRPr="008277FF" w:rsidRDefault="000A55BD" w:rsidP="009E3391">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因四舍五入原因,投资组合报告中分项之和与合计可能存在尾差。</w:t>
      </w: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Pr="008277FF">
        <w:rPr>
          <w:rFonts w:asciiTheme="minorEastAsia" w:eastAsiaTheme="minorEastAsia" w:hAnsiTheme="minorEastAsia" w:cs="Arial"/>
          <w:color w:val="000000" w:themeColor="text1"/>
          <w:kern w:val="0"/>
          <w:sz w:val="24"/>
          <w:szCs w:val="24"/>
        </w:rPr>
        <w:t xml:space="preserve">6  </w:t>
      </w:r>
      <w:r w:rsidRPr="008277FF">
        <w:rPr>
          <w:rFonts w:asciiTheme="minorEastAsia" w:eastAsiaTheme="minorEastAsia" w:hAnsiTheme="minorEastAsia" w:cs="Arial" w:hint="eastAsia"/>
          <w:color w:val="000000" w:themeColor="text1"/>
          <w:kern w:val="0"/>
          <w:sz w:val="24"/>
          <w:szCs w:val="24"/>
        </w:rPr>
        <w:t>开放式基金份额变动</w:t>
      </w:r>
    </w:p>
    <w:p w:rsidR="0076518F" w:rsidRPr="008277FF" w:rsidRDefault="0076518F" w:rsidP="008B6A4A">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Cs w:val="21"/>
        </w:rPr>
      </w:pPr>
      <w:r w:rsidRPr="008277FF">
        <w:rPr>
          <w:rFonts w:asciiTheme="minorEastAsia" w:eastAsiaTheme="minorEastAsia" w:hAnsiTheme="minorEastAsia" w:cs="Arial" w:hint="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558,579,928.80</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4027BA" w:rsidRPr="008277FF">
              <w:rPr>
                <w:rFonts w:asciiTheme="minorEastAsia" w:eastAsiaTheme="minorEastAsia" w:hAnsiTheme="minorEastAsia" w:cs="宋体" w:hint="eastAsia"/>
                <w:color w:val="000000" w:themeColor="text1"/>
                <w:kern w:val="0"/>
                <w:szCs w:val="21"/>
              </w:rPr>
              <w:t>基金</w:t>
            </w:r>
            <w:r w:rsidR="008975BC" w:rsidRPr="008277FF">
              <w:rPr>
                <w:rFonts w:asciiTheme="minorEastAsia" w:eastAsiaTheme="minorEastAsia" w:hAnsiTheme="minorEastAsia" w:cs="宋体" w:hint="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12,568,231.48</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减：</w:t>
            </w:r>
            <w:r w:rsidR="00FB0D88" w:rsidRPr="008277FF">
              <w:rPr>
                <w:rFonts w:asciiTheme="minorEastAsia" w:eastAsiaTheme="minorEastAsia" w:hAnsiTheme="minorEastAsia" w:cs="宋体"/>
                <w:color w:val="000000" w:themeColor="text1"/>
                <w:kern w:val="0"/>
                <w:szCs w:val="21"/>
              </w:rPr>
              <w:t>报告期</w:t>
            </w:r>
            <w:r w:rsidRPr="008277FF">
              <w:rPr>
                <w:rFonts w:asciiTheme="minorEastAsia" w:eastAsiaTheme="minorEastAsia" w:hAnsiTheme="minorEastAsia" w:cs="宋体" w:hint="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94,708,304.74</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FB0D88"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color w:val="000000" w:themeColor="text1"/>
                <w:kern w:val="0"/>
                <w:szCs w:val="21"/>
              </w:rPr>
              <w:t>报告期</w:t>
            </w:r>
            <w:r w:rsidR="008975BC" w:rsidRPr="008277FF">
              <w:rPr>
                <w:rFonts w:asciiTheme="minorEastAsia" w:eastAsiaTheme="minorEastAsia" w:hAnsiTheme="minorEastAsia" w:cs="宋体" w:hint="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color w:val="000000" w:themeColor="text1"/>
                <w:szCs w:val="21"/>
              </w:rPr>
              <w:t>-</w:t>
            </w:r>
          </w:p>
        </w:tc>
      </w:tr>
      <w:tr w:rsidR="008277FF" w:rsidRPr="008277FF"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CA1A4F">
            <w:pPr>
              <w:autoSpaceDE w:val="0"/>
              <w:autoSpaceDN w:val="0"/>
              <w:adjustRightInd w:val="0"/>
              <w:spacing w:before="29" w:line="360" w:lineRule="auto"/>
              <w:ind w:left="17"/>
              <w:rPr>
                <w:rFonts w:asciiTheme="minorEastAsia" w:eastAsiaTheme="minorEastAsia" w:hAnsiTheme="minorEastAsia"/>
                <w:color w:val="000000" w:themeColor="text1"/>
                <w:kern w:val="0"/>
                <w:szCs w:val="21"/>
              </w:rPr>
            </w:pPr>
            <w:r w:rsidRPr="008277FF">
              <w:rPr>
                <w:rFonts w:asciiTheme="minorEastAsia" w:eastAsiaTheme="minorEastAsia" w:hAnsiTheme="minorEastAsia" w:cs="宋体" w:hint="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8277FF" w:rsidRDefault="008975BC" w:rsidP="00B918B8">
            <w:pPr>
              <w:autoSpaceDE w:val="0"/>
              <w:autoSpaceDN w:val="0"/>
              <w:adjustRightInd w:val="0"/>
              <w:spacing w:before="29" w:line="360" w:lineRule="auto"/>
              <w:ind w:left="17"/>
              <w:jc w:val="right"/>
              <w:rPr>
                <w:rFonts w:asciiTheme="minorEastAsia" w:eastAsiaTheme="minorEastAsia" w:hAnsiTheme="minorEastAsia" w:cs="宋体"/>
                <w:color w:val="000000" w:themeColor="text1"/>
                <w:szCs w:val="21"/>
              </w:rPr>
            </w:pPr>
            <w:r w:rsidRPr="008277FF">
              <w:rPr>
                <w:rFonts w:asciiTheme="minorEastAsia" w:eastAsiaTheme="minorEastAsia" w:hAnsiTheme="minorEastAsia" w:cs="宋体" w:hint="eastAsia"/>
                <w:color w:val="000000" w:themeColor="text1"/>
                <w:szCs w:val="21"/>
              </w:rPr>
              <w:t>476,439,855.54</w:t>
            </w:r>
          </w:p>
        </w:tc>
      </w:tr>
    </w:tbl>
    <w:p w:rsidR="00BB5F3D" w:rsidRPr="00696B8B" w:rsidRDefault="00BB5F3D" w:rsidP="007449EE">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sidRPr="00696B8B">
        <w:rPr>
          <w:rFonts w:asciiTheme="minorEastAsia" w:eastAsiaTheme="minorEastAsia" w:hAnsiTheme="minorEastAsia" w:cs="Arial" w:hint="eastAsia"/>
          <w:color w:val="000000" w:themeColor="text1"/>
          <w:kern w:val="0"/>
          <w:sz w:val="24"/>
          <w:szCs w:val="24"/>
        </w:rPr>
        <w:t xml:space="preserve">§7  </w:t>
      </w:r>
      <w:r w:rsidRPr="00696B8B">
        <w:rPr>
          <w:rFonts w:ascii="方正仿宋简体" w:hint="eastAsia"/>
          <w:color w:val="000000" w:themeColor="text1"/>
          <w:sz w:val="24"/>
          <w:szCs w:val="24"/>
        </w:rPr>
        <w:t>基金管理人运用固有资金投资本基金情况</w:t>
      </w:r>
    </w:p>
    <w:p w:rsidR="00BB5F3D" w:rsidRPr="00696B8B" w:rsidRDefault="00BB5F3D" w:rsidP="00BB5F3D">
      <w:pPr>
        <w:spacing w:line="360" w:lineRule="auto"/>
        <w:jc w:val="left"/>
        <w:rPr>
          <w:color w:val="000000" w:themeColor="text1"/>
          <w:sz w:val="24"/>
        </w:rPr>
      </w:pPr>
      <w:r w:rsidRPr="00696B8B">
        <w:rPr>
          <w:b/>
          <w:color w:val="000000" w:themeColor="text1"/>
          <w:sz w:val="24"/>
        </w:rPr>
        <w:t xml:space="preserve">7.1 </w:t>
      </w:r>
      <w:r w:rsidRPr="00696B8B">
        <w:rPr>
          <w:rFonts w:hint="eastAsia"/>
          <w:b/>
          <w:color w:val="000000" w:themeColor="text1"/>
          <w:sz w:val="24"/>
        </w:rPr>
        <w:t>基金管理人持有本基金份额变动情况</w:t>
      </w:r>
    </w:p>
    <w:p w:rsidR="00BB5F3D" w:rsidRPr="00285ABF" w:rsidRDefault="00BB5F3D" w:rsidP="00BB5F3D">
      <w:pPr>
        <w:autoSpaceDE w:val="0"/>
        <w:autoSpaceDN w:val="0"/>
        <w:adjustRightInd w:val="0"/>
        <w:spacing w:line="360" w:lineRule="auto"/>
        <w:jc w:val="left"/>
        <w:rPr>
          <w:rFonts w:asciiTheme="minorEastAsia" w:eastAsiaTheme="minorEastAsia" w:hAnsiTheme="minorEastAsia"/>
          <w:color w:val="000000" w:themeColor="text1"/>
          <w:szCs w:val="21"/>
        </w:rPr>
      </w:pPr>
      <w:r w:rsidRPr="00285ABF">
        <w:rPr>
          <w:rFonts w:asciiTheme="minorEastAsia" w:eastAsiaTheme="minorEastAsia" w:hAnsiTheme="minorEastAsia"/>
          <w:color w:val="000000" w:themeColor="text1"/>
          <w:szCs w:val="21"/>
        </w:rPr>
        <w:t>无。</w:t>
      </w:r>
    </w:p>
    <w:p w:rsidR="00BB5F3D" w:rsidRPr="00285ABF" w:rsidRDefault="00BB5F3D" w:rsidP="00BB5F3D">
      <w:pPr>
        <w:autoSpaceDE w:val="0"/>
        <w:autoSpaceDN w:val="0"/>
        <w:adjustRightInd w:val="0"/>
        <w:spacing w:line="360" w:lineRule="auto"/>
        <w:jc w:val="left"/>
        <w:rPr>
          <w:rFonts w:asciiTheme="minorEastAsia" w:eastAsiaTheme="minorEastAsia" w:hAnsiTheme="minorEastAsia"/>
          <w:color w:val="000000" w:themeColor="text1"/>
          <w:szCs w:val="21"/>
        </w:rPr>
      </w:pPr>
    </w:p>
    <w:p w:rsidR="0076518F" w:rsidRPr="008277FF" w:rsidRDefault="0076518F" w:rsidP="007449EE">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sidRPr="008277FF">
        <w:rPr>
          <w:rFonts w:asciiTheme="minorEastAsia" w:eastAsiaTheme="minorEastAsia" w:hAnsiTheme="minorEastAsia" w:cs="Arial" w:hint="eastAsia"/>
          <w:color w:val="000000" w:themeColor="text1"/>
          <w:kern w:val="0"/>
          <w:sz w:val="24"/>
          <w:szCs w:val="24"/>
        </w:rPr>
        <w:t>§</w:t>
      </w:r>
      <w:r w:rsidR="002711AA" w:rsidRPr="008277FF">
        <w:rPr>
          <w:rFonts w:asciiTheme="minorEastAsia" w:eastAsiaTheme="minorEastAsia" w:hAnsiTheme="minorEastAsia" w:cs="Arial" w:hint="eastAsia"/>
          <w:color w:val="000000" w:themeColor="text1"/>
          <w:kern w:val="0"/>
          <w:sz w:val="24"/>
          <w:szCs w:val="24"/>
        </w:rPr>
        <w:t>8</w:t>
      </w:r>
      <w:r w:rsidRPr="008277FF">
        <w:rPr>
          <w:rFonts w:asciiTheme="minorEastAsia" w:eastAsiaTheme="minorEastAsia" w:hAnsiTheme="minorEastAsia" w:cs="Arial" w:hint="eastAsia"/>
          <w:color w:val="000000" w:themeColor="text1"/>
          <w:kern w:val="0"/>
          <w:sz w:val="24"/>
          <w:szCs w:val="24"/>
        </w:rPr>
        <w:t xml:space="preserve"> </w:t>
      </w:r>
      <w:r w:rsidRPr="008277FF">
        <w:rPr>
          <w:rFonts w:asciiTheme="minorEastAsia" w:eastAsiaTheme="minorEastAsia" w:hAnsiTheme="minorEastAsia" w:cs="Arial"/>
          <w:color w:val="000000" w:themeColor="text1"/>
          <w:kern w:val="0"/>
          <w:sz w:val="24"/>
          <w:szCs w:val="24"/>
        </w:rPr>
        <w:t>备查文件目录</w:t>
      </w: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1</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备查文件目录</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1. </w:t>
      </w:r>
      <w:r>
        <w:rPr>
          <w:rFonts w:asciiTheme="minorEastAsia" w:eastAsiaTheme="minorEastAsia" w:hAnsiTheme="minorEastAsia" w:hint="eastAsia"/>
          <w:color w:val="000000" w:themeColor="text1"/>
          <w:szCs w:val="21"/>
        </w:rPr>
        <w:t>中国证监会批准上投摩根全球多元配置证券投资基金设立的文件；</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w:t>
      </w:r>
      <w:r>
        <w:rPr>
          <w:rFonts w:asciiTheme="minorEastAsia" w:eastAsiaTheme="minorEastAsia" w:hAnsiTheme="minorEastAsia" w:hint="eastAsia"/>
          <w:color w:val="000000" w:themeColor="text1"/>
          <w:szCs w:val="21"/>
        </w:rPr>
        <w:t>《上投摩根全球多元配置证券投资基金基金合同》；</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w:t>
      </w:r>
      <w:r>
        <w:rPr>
          <w:rFonts w:asciiTheme="minorEastAsia" w:eastAsiaTheme="minorEastAsia" w:hAnsiTheme="minorEastAsia" w:hint="eastAsia"/>
          <w:color w:val="000000" w:themeColor="text1"/>
          <w:szCs w:val="21"/>
        </w:rPr>
        <w:t>《上投摩根全球多元配置证券投资基金托管协议》；</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4. </w:t>
      </w:r>
      <w:r>
        <w:rPr>
          <w:rFonts w:asciiTheme="minorEastAsia" w:eastAsiaTheme="minorEastAsia" w:hAnsiTheme="minorEastAsia" w:hint="eastAsia"/>
          <w:color w:val="000000" w:themeColor="text1"/>
          <w:szCs w:val="21"/>
        </w:rPr>
        <w:t>《上投摩根开放式基金业务规则》；</w:t>
      </w:r>
    </w:p>
    <w:p w:rsidR="00BD37E8" w:rsidRDefault="00694E48">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5. </w:t>
      </w:r>
      <w:r>
        <w:rPr>
          <w:rFonts w:asciiTheme="minorEastAsia" w:eastAsiaTheme="minorEastAsia" w:hAnsiTheme="minorEastAsia" w:hint="eastAsia"/>
          <w:color w:val="000000" w:themeColor="text1"/>
          <w:szCs w:val="21"/>
        </w:rPr>
        <w:t>基金管理人业务资格批件、营业执照；</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6. 基金托管人业务资格批件和营业执照。</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2</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存放地点</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基金管理人或基金托管人住所。</w:t>
      </w:r>
    </w:p>
    <w:p w:rsidR="008A2EC6" w:rsidRPr="008277FF" w:rsidRDefault="008A2EC6" w:rsidP="000C7596">
      <w:pPr>
        <w:spacing w:line="360" w:lineRule="auto"/>
        <w:ind w:firstLineChars="200" w:firstLine="480"/>
        <w:rPr>
          <w:rFonts w:asciiTheme="minorEastAsia" w:eastAsiaTheme="minorEastAsia" w:hAnsiTheme="minorEastAsia"/>
          <w:color w:val="000000" w:themeColor="text1"/>
          <w:sz w:val="24"/>
        </w:rPr>
      </w:pPr>
    </w:p>
    <w:p w:rsidR="008975BC" w:rsidRPr="008277FF" w:rsidRDefault="00280566" w:rsidP="000C7596">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8277FF">
        <w:rPr>
          <w:rFonts w:asciiTheme="minorEastAsia" w:eastAsiaTheme="minorEastAsia" w:hAnsiTheme="minorEastAsia" w:hint="eastAsia"/>
          <w:b/>
          <w:bCs/>
          <w:color w:val="000000" w:themeColor="text1"/>
          <w:kern w:val="0"/>
          <w:sz w:val="24"/>
        </w:rPr>
        <w:t>8</w:t>
      </w:r>
      <w:r w:rsidR="008975BC" w:rsidRPr="008277FF">
        <w:rPr>
          <w:rFonts w:asciiTheme="minorEastAsia" w:eastAsiaTheme="minorEastAsia" w:hAnsiTheme="minorEastAsia"/>
          <w:b/>
          <w:bCs/>
          <w:color w:val="000000" w:themeColor="text1"/>
          <w:kern w:val="0"/>
          <w:sz w:val="24"/>
        </w:rPr>
        <w:t>.</w:t>
      </w:r>
      <w:r w:rsidR="00376A15" w:rsidRPr="008277FF">
        <w:rPr>
          <w:rFonts w:asciiTheme="minorEastAsia" w:eastAsiaTheme="minorEastAsia" w:hAnsiTheme="minorEastAsia" w:hint="eastAsia"/>
          <w:b/>
          <w:bCs/>
          <w:color w:val="000000" w:themeColor="text1"/>
          <w:kern w:val="0"/>
          <w:sz w:val="24"/>
        </w:rPr>
        <w:t>3</w:t>
      </w:r>
      <w:r w:rsidR="008975BC" w:rsidRPr="008277FF">
        <w:rPr>
          <w:rFonts w:asciiTheme="minorEastAsia" w:eastAsiaTheme="minorEastAsia" w:hAnsiTheme="minorEastAsia"/>
          <w:b/>
          <w:bCs/>
          <w:color w:val="000000" w:themeColor="text1"/>
          <w:kern w:val="0"/>
          <w:sz w:val="24"/>
        </w:rPr>
        <w:t xml:space="preserve"> </w:t>
      </w:r>
      <w:r w:rsidR="008975BC" w:rsidRPr="008277FF">
        <w:rPr>
          <w:rFonts w:asciiTheme="minorEastAsia" w:eastAsiaTheme="minorEastAsia" w:hAnsiTheme="minorEastAsia" w:hint="eastAsia"/>
          <w:b/>
          <w:bCs/>
          <w:color w:val="000000" w:themeColor="text1"/>
          <w:kern w:val="0"/>
          <w:sz w:val="24"/>
        </w:rPr>
        <w:t>查阅方式</w:t>
      </w:r>
    </w:p>
    <w:p w:rsidR="008975BC" w:rsidRPr="008277FF" w:rsidRDefault="008975BC" w:rsidP="007D5584">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hint="eastAsia"/>
          <w:color w:val="000000" w:themeColor="text1"/>
          <w:szCs w:val="21"/>
        </w:rPr>
        <w:t>投资者可在营业时间免费查阅，也可按工本费购买复印件。</w:t>
      </w: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A2EC6" w:rsidRPr="008277FF" w:rsidRDefault="008A2EC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0C7596" w:rsidRPr="008277FF" w:rsidRDefault="000C7596" w:rsidP="008B6A4A">
      <w:pPr>
        <w:spacing w:line="360" w:lineRule="auto"/>
        <w:ind w:firstLineChars="200" w:firstLine="480"/>
        <w:rPr>
          <w:rFonts w:asciiTheme="minorEastAsia" w:eastAsiaTheme="minorEastAsia" w:hAnsiTheme="minorEastAsia"/>
          <w:color w:val="000000" w:themeColor="text1"/>
          <w:sz w:val="24"/>
        </w:rPr>
      </w:pPr>
    </w:p>
    <w:p w:rsidR="0076518F" w:rsidRPr="008277FF" w:rsidRDefault="0076518F" w:rsidP="008B6A4A">
      <w:pPr>
        <w:spacing w:line="360" w:lineRule="auto"/>
        <w:ind w:firstLineChars="200" w:firstLine="480"/>
        <w:rPr>
          <w:rFonts w:asciiTheme="minorEastAsia" w:eastAsiaTheme="minorEastAsia" w:hAnsiTheme="minorEastAsia"/>
          <w:color w:val="000000" w:themeColor="text1"/>
          <w:sz w:val="24"/>
        </w:rPr>
      </w:pPr>
    </w:p>
    <w:p w:rsidR="008975BC" w:rsidRPr="008277FF" w:rsidRDefault="008975BC"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上投摩根基金管理有限公司</w:t>
      </w:r>
    </w:p>
    <w:p w:rsidR="0076518F" w:rsidRPr="008277FF" w:rsidRDefault="00623556" w:rsidP="000C7596">
      <w:pPr>
        <w:spacing w:line="360" w:lineRule="auto"/>
        <w:jc w:val="right"/>
        <w:rPr>
          <w:rFonts w:asciiTheme="minorEastAsia" w:eastAsiaTheme="minorEastAsia" w:hAnsiTheme="minorEastAsia"/>
          <w:b/>
          <w:bCs/>
          <w:color w:val="000000" w:themeColor="text1"/>
          <w:sz w:val="24"/>
        </w:rPr>
      </w:pPr>
      <w:r w:rsidRPr="008277FF">
        <w:rPr>
          <w:rFonts w:asciiTheme="minorEastAsia" w:eastAsiaTheme="minorEastAsia" w:hAnsiTheme="minorEastAsia"/>
          <w:b/>
          <w:bCs/>
          <w:color w:val="000000" w:themeColor="text1"/>
          <w:sz w:val="24"/>
        </w:rPr>
        <w:t>二〇一九年十月二十五日</w:t>
      </w:r>
    </w:p>
    <w:sectPr w:rsidR="0076518F" w:rsidRPr="008277FF"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91" w:rsidRDefault="006A7491">
      <w:r>
        <w:separator/>
      </w:r>
    </w:p>
  </w:endnote>
  <w:endnote w:type="continuationSeparator" w:id="0">
    <w:p w:rsidR="006A7491" w:rsidRDefault="006A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694E48">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694E48">
      <w:rPr>
        <w:noProof/>
        <w:kern w:val="0"/>
        <w:szCs w:val="21"/>
      </w:rPr>
      <w:t>13</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694E48">
      <w:rPr>
        <w:rStyle w:val="a8"/>
        <w:noProof/>
      </w:rPr>
      <w:t>6</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91" w:rsidRDefault="006A7491">
      <w:r>
        <w:separator/>
      </w:r>
    </w:p>
  </w:footnote>
  <w:footnote w:type="continuationSeparator" w:id="0">
    <w:p w:rsidR="006A7491" w:rsidRDefault="006A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上投摩根全球多元配置证券投资基金</w:t>
    </w:r>
    <w:r w:rsidRPr="006669C9">
      <w:t>(QDII)2019</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3971"/>
    <w:rsid w:val="004D3D96"/>
    <w:rsid w:val="004D650F"/>
    <w:rsid w:val="004E2133"/>
    <w:rsid w:val="004E60FB"/>
    <w:rsid w:val="004F16AD"/>
    <w:rsid w:val="004F6565"/>
    <w:rsid w:val="004F779C"/>
    <w:rsid w:val="004F7846"/>
    <w:rsid w:val="005000D4"/>
    <w:rsid w:val="00501BB1"/>
    <w:rsid w:val="00505BE7"/>
    <w:rsid w:val="00506786"/>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4E48"/>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7E8"/>
    <w:rsid w:val="00BD3EB4"/>
    <w:rsid w:val="00BD5C65"/>
    <w:rsid w:val="00BE01CA"/>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0FC4074D-6355-4690-99CC-4F70D6C6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7</TotalTime>
  <Pages>13</Pages>
  <Words>1173</Words>
  <Characters>6691</Characters>
  <Application>Microsoft Office Word</Application>
  <DocSecurity>0</DocSecurity>
  <Lines>55</Lines>
  <Paragraphs>15</Paragraphs>
  <ScaleCrop>false</ScaleCrop>
  <Company>TRT. Ltd. Co.</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Jasmine.Dai@Risk</cp:lastModifiedBy>
  <cp:revision>11</cp:revision>
  <cp:lastPrinted>2007-07-19T00:46:00Z</cp:lastPrinted>
  <dcterms:created xsi:type="dcterms:W3CDTF">2014-12-16T02:40:00Z</dcterms:created>
  <dcterms:modified xsi:type="dcterms:W3CDTF">2019-10-22T10:16:00Z</dcterms:modified>
</cp:coreProperties>
</file>