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E60957" w:rsidRDefault="007B62FA" w:rsidP="00417F87">
      <w:pPr>
        <w:autoSpaceDE w:val="0"/>
        <w:autoSpaceDN w:val="0"/>
        <w:adjustRightInd w:val="0"/>
        <w:spacing w:line="360" w:lineRule="auto"/>
        <w:jc w:val="left"/>
        <w:rPr>
          <w:rFonts w:eastAsiaTheme="minorEastAsia"/>
          <w:color w:val="000000" w:themeColor="text1"/>
          <w:kern w:val="0"/>
          <w:szCs w:val="21"/>
        </w:rPr>
      </w:pPr>
    </w:p>
    <w:p w:rsidR="007B62FA" w:rsidRPr="00E60957" w:rsidRDefault="007B62FA" w:rsidP="00D0372D">
      <w:pPr>
        <w:spacing w:line="360" w:lineRule="auto"/>
        <w:jc w:val="center"/>
        <w:rPr>
          <w:rFonts w:eastAsiaTheme="minorEastAsia"/>
          <w:b/>
          <w:color w:val="000000" w:themeColor="text1"/>
          <w:sz w:val="36"/>
          <w:szCs w:val="36"/>
        </w:rPr>
      </w:pPr>
      <w:bookmarkStart w:id="1" w:name="_Toc352254876"/>
      <w:bookmarkStart w:id="2" w:name="_Toc352255956"/>
      <w:bookmarkStart w:id="3" w:name="_Toc352256024"/>
      <w:bookmarkStart w:id="4" w:name="_Toc352256201"/>
      <w:bookmarkStart w:id="5" w:name="_Toc352331202"/>
      <w:bookmarkStart w:id="6" w:name="_Toc362423980"/>
      <w:r w:rsidRPr="00E60957">
        <w:rPr>
          <w:rFonts w:eastAsiaTheme="minorEastAsia"/>
          <w:b/>
          <w:color w:val="000000" w:themeColor="text1"/>
          <w:sz w:val="36"/>
          <w:szCs w:val="36"/>
        </w:rPr>
        <w:t>上投摩根全球多元配置证券投资基金</w:t>
      </w:r>
      <w:bookmarkEnd w:id="1"/>
      <w:bookmarkEnd w:id="2"/>
      <w:bookmarkEnd w:id="3"/>
      <w:bookmarkEnd w:id="4"/>
      <w:bookmarkEnd w:id="5"/>
      <w:bookmarkEnd w:id="6"/>
    </w:p>
    <w:p w:rsidR="007B62FA" w:rsidRPr="00E60957" w:rsidRDefault="007B62FA" w:rsidP="00D0372D">
      <w:pPr>
        <w:spacing w:line="360" w:lineRule="auto"/>
        <w:jc w:val="center"/>
        <w:rPr>
          <w:rFonts w:eastAsiaTheme="minorEastAsia"/>
          <w:b/>
          <w:color w:val="000000" w:themeColor="text1"/>
          <w:sz w:val="36"/>
          <w:szCs w:val="36"/>
        </w:rPr>
      </w:pPr>
      <w:bookmarkStart w:id="7" w:name="_Toc352254877"/>
      <w:bookmarkStart w:id="8" w:name="_Toc352255957"/>
      <w:bookmarkStart w:id="9" w:name="_Toc352256025"/>
      <w:bookmarkStart w:id="10" w:name="_Toc352256202"/>
      <w:bookmarkStart w:id="11" w:name="_Toc352331203"/>
      <w:bookmarkStart w:id="12" w:name="_Toc362423981"/>
      <w:r w:rsidRPr="00E60957">
        <w:rPr>
          <w:rFonts w:eastAsiaTheme="minorEastAsia"/>
          <w:b/>
          <w:color w:val="000000" w:themeColor="text1"/>
          <w:sz w:val="36"/>
          <w:szCs w:val="36"/>
        </w:rPr>
        <w:t>2018</w:t>
      </w:r>
      <w:r w:rsidRPr="00E60957">
        <w:rPr>
          <w:rFonts w:eastAsiaTheme="minorEastAsia"/>
          <w:b/>
          <w:color w:val="000000" w:themeColor="text1"/>
          <w:sz w:val="36"/>
          <w:szCs w:val="36"/>
        </w:rPr>
        <w:t>年年度报告</w:t>
      </w:r>
      <w:bookmarkEnd w:id="7"/>
      <w:bookmarkEnd w:id="8"/>
      <w:bookmarkEnd w:id="9"/>
      <w:bookmarkEnd w:id="10"/>
      <w:bookmarkEnd w:id="11"/>
      <w:bookmarkEnd w:id="12"/>
      <w:r w:rsidR="004349D1">
        <w:rPr>
          <w:rFonts w:eastAsiaTheme="minorEastAsia" w:hint="eastAsia"/>
          <w:b/>
          <w:color w:val="000000" w:themeColor="text1"/>
          <w:sz w:val="36"/>
          <w:szCs w:val="36"/>
        </w:rPr>
        <w:t>摘要</w:t>
      </w:r>
    </w:p>
    <w:p w:rsidR="007B62FA" w:rsidRPr="00E60957" w:rsidRDefault="00ED2997" w:rsidP="00D0372D">
      <w:pPr>
        <w:spacing w:line="360" w:lineRule="auto"/>
        <w:jc w:val="center"/>
        <w:rPr>
          <w:rFonts w:eastAsiaTheme="minorEastAsia"/>
          <w:b/>
          <w:color w:val="000000" w:themeColor="text1"/>
          <w:sz w:val="36"/>
          <w:szCs w:val="36"/>
        </w:rPr>
      </w:pPr>
      <w:r w:rsidRPr="00E60957">
        <w:rPr>
          <w:rFonts w:eastAsiaTheme="minorEastAsia"/>
          <w:b/>
          <w:color w:val="000000" w:themeColor="text1"/>
          <w:sz w:val="36"/>
          <w:szCs w:val="36"/>
        </w:rPr>
        <w:t>2018</w:t>
      </w:r>
      <w:r w:rsidRPr="00E60957">
        <w:rPr>
          <w:rFonts w:eastAsiaTheme="minorEastAsia"/>
          <w:b/>
          <w:color w:val="000000" w:themeColor="text1"/>
          <w:sz w:val="36"/>
          <w:szCs w:val="36"/>
        </w:rPr>
        <w:t>年</w:t>
      </w:r>
      <w:r w:rsidRPr="00E60957">
        <w:rPr>
          <w:rFonts w:eastAsiaTheme="minorEastAsia"/>
          <w:b/>
          <w:color w:val="000000" w:themeColor="text1"/>
          <w:sz w:val="36"/>
          <w:szCs w:val="36"/>
        </w:rPr>
        <w:t>12</w:t>
      </w:r>
      <w:r w:rsidRPr="00E60957">
        <w:rPr>
          <w:rFonts w:eastAsiaTheme="minorEastAsia"/>
          <w:b/>
          <w:color w:val="000000" w:themeColor="text1"/>
          <w:sz w:val="36"/>
          <w:szCs w:val="36"/>
        </w:rPr>
        <w:t>月</w:t>
      </w:r>
      <w:r w:rsidRPr="00E60957">
        <w:rPr>
          <w:rFonts w:eastAsiaTheme="minorEastAsia"/>
          <w:b/>
          <w:color w:val="000000" w:themeColor="text1"/>
          <w:sz w:val="36"/>
          <w:szCs w:val="36"/>
        </w:rPr>
        <w:t>31</w:t>
      </w:r>
      <w:r w:rsidRPr="00E60957">
        <w:rPr>
          <w:rFonts w:eastAsiaTheme="minorEastAsia"/>
          <w:b/>
          <w:color w:val="000000" w:themeColor="text1"/>
          <w:sz w:val="36"/>
          <w:szCs w:val="36"/>
        </w:rPr>
        <w:t>日</w:t>
      </w: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jc w:val="center"/>
        <w:rPr>
          <w:rFonts w:eastAsiaTheme="minorEastAsia"/>
          <w:b/>
          <w:color w:val="000000" w:themeColor="text1"/>
          <w:szCs w:val="21"/>
        </w:rPr>
      </w:pPr>
    </w:p>
    <w:p w:rsidR="007B62FA" w:rsidRPr="00E60957" w:rsidRDefault="007B62FA" w:rsidP="00417F87">
      <w:pPr>
        <w:spacing w:line="360" w:lineRule="auto"/>
        <w:rPr>
          <w:rFonts w:eastAsiaTheme="minorEastAsia"/>
          <w:b/>
          <w:color w:val="000000" w:themeColor="text1"/>
          <w:szCs w:val="21"/>
        </w:rPr>
      </w:pPr>
    </w:p>
    <w:p w:rsidR="007B62FA" w:rsidRPr="00E60957" w:rsidRDefault="007B62FA" w:rsidP="00417F87">
      <w:pPr>
        <w:spacing w:line="360" w:lineRule="auto"/>
        <w:rPr>
          <w:rFonts w:eastAsiaTheme="minorEastAsia"/>
          <w:b/>
          <w:color w:val="000000" w:themeColor="text1"/>
          <w:szCs w:val="21"/>
        </w:rPr>
      </w:pPr>
    </w:p>
    <w:p w:rsidR="007B62FA" w:rsidRPr="00E60957" w:rsidRDefault="007B62FA" w:rsidP="00B70132">
      <w:pPr>
        <w:spacing w:line="360" w:lineRule="auto"/>
        <w:ind w:firstLineChars="900" w:firstLine="2168"/>
        <w:rPr>
          <w:rFonts w:eastAsiaTheme="minorEastAsia"/>
          <w:b/>
          <w:color w:val="000000" w:themeColor="text1"/>
          <w:sz w:val="24"/>
        </w:rPr>
      </w:pPr>
      <w:r w:rsidRPr="00E60957">
        <w:rPr>
          <w:rFonts w:eastAsiaTheme="minorEastAsia"/>
          <w:b/>
          <w:color w:val="000000" w:themeColor="text1"/>
          <w:sz w:val="24"/>
        </w:rPr>
        <w:t>基金管理人：上投摩根基金管理有限公司</w:t>
      </w:r>
    </w:p>
    <w:p w:rsidR="007B62FA" w:rsidRPr="00E60957" w:rsidRDefault="007B62FA" w:rsidP="00B70132">
      <w:pPr>
        <w:spacing w:line="360" w:lineRule="auto"/>
        <w:ind w:firstLineChars="900" w:firstLine="2168"/>
        <w:rPr>
          <w:rFonts w:eastAsiaTheme="minorEastAsia"/>
          <w:b/>
          <w:color w:val="000000" w:themeColor="text1"/>
          <w:sz w:val="24"/>
        </w:rPr>
      </w:pPr>
      <w:r w:rsidRPr="00E60957">
        <w:rPr>
          <w:rFonts w:eastAsiaTheme="minorEastAsia"/>
          <w:b/>
          <w:color w:val="000000" w:themeColor="text1"/>
          <w:sz w:val="24"/>
        </w:rPr>
        <w:t>基金托管人：招商银行股份有限公司</w:t>
      </w:r>
    </w:p>
    <w:p w:rsidR="007B62FA" w:rsidRPr="00E60957" w:rsidRDefault="007B62FA" w:rsidP="00B70132">
      <w:pPr>
        <w:spacing w:line="360" w:lineRule="auto"/>
        <w:ind w:firstLineChars="900" w:firstLine="2168"/>
        <w:rPr>
          <w:rFonts w:eastAsiaTheme="minorEastAsia"/>
          <w:b/>
          <w:color w:val="000000" w:themeColor="text1"/>
          <w:sz w:val="24"/>
        </w:rPr>
      </w:pPr>
      <w:r w:rsidRPr="00E60957">
        <w:rPr>
          <w:rFonts w:eastAsiaTheme="minorEastAsia"/>
          <w:b/>
          <w:color w:val="000000" w:themeColor="text1"/>
          <w:sz w:val="24"/>
        </w:rPr>
        <w:t>报告送出日期：二〇一九年三月二十七日</w:t>
      </w:r>
    </w:p>
    <w:p w:rsidR="00843355" w:rsidRPr="00E60957" w:rsidRDefault="00843355" w:rsidP="00417F87">
      <w:pPr>
        <w:spacing w:line="360" w:lineRule="auto"/>
        <w:ind w:left="1680" w:firstLine="420"/>
        <w:jc w:val="left"/>
        <w:rPr>
          <w:rFonts w:eastAsiaTheme="minorEastAsia"/>
          <w:b/>
          <w:color w:val="000000" w:themeColor="text1"/>
          <w:szCs w:val="21"/>
        </w:rPr>
      </w:pPr>
    </w:p>
    <w:p w:rsidR="00843355" w:rsidRPr="00E60957" w:rsidRDefault="00843355" w:rsidP="00417F87">
      <w:pPr>
        <w:spacing w:line="360" w:lineRule="auto"/>
        <w:ind w:left="1680" w:firstLine="420"/>
        <w:jc w:val="left"/>
        <w:rPr>
          <w:rFonts w:eastAsiaTheme="minorEastAsia"/>
          <w:color w:val="000000" w:themeColor="text1"/>
          <w:szCs w:val="21"/>
        </w:rPr>
        <w:sectPr w:rsidR="00843355" w:rsidRPr="00E60957">
          <w:headerReference w:type="default" r:id="rId8"/>
          <w:pgSz w:w="11926" w:h="15840"/>
          <w:pgMar w:top="1418" w:right="1418" w:bottom="851" w:left="1418" w:header="851" w:footer="992" w:gutter="0"/>
          <w:cols w:space="720"/>
        </w:sectPr>
      </w:pPr>
    </w:p>
    <w:p w:rsidR="007B62FA" w:rsidRPr="00E60957" w:rsidRDefault="007B62FA" w:rsidP="009C3167">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3" w:name="_Toc225498243"/>
      <w:bookmarkStart w:id="14" w:name="_Toc352255958"/>
      <w:bookmarkStart w:id="15" w:name="_Toc352256026"/>
      <w:bookmarkStart w:id="16" w:name="_Toc352331204"/>
      <w:bookmarkStart w:id="17" w:name="_Toc362423982"/>
      <w:bookmarkStart w:id="18" w:name="_Toc374459244"/>
      <w:r w:rsidRPr="00E60957">
        <w:rPr>
          <w:rFonts w:eastAsiaTheme="minorEastAsia"/>
          <w:b/>
          <w:bCs/>
          <w:color w:val="000000" w:themeColor="text1"/>
          <w:sz w:val="21"/>
          <w:szCs w:val="21"/>
          <w:lang w:val="en-US"/>
        </w:rPr>
        <w:lastRenderedPageBreak/>
        <w:t xml:space="preserve">§1  </w:t>
      </w:r>
      <w:r w:rsidRPr="00E60957">
        <w:rPr>
          <w:rFonts w:eastAsiaTheme="minorEastAsia"/>
          <w:b/>
          <w:bCs/>
          <w:color w:val="000000" w:themeColor="text1"/>
          <w:sz w:val="21"/>
          <w:szCs w:val="21"/>
          <w:lang w:val="en-US"/>
        </w:rPr>
        <w:t>重要提示</w:t>
      </w:r>
      <w:bookmarkEnd w:id="13"/>
      <w:bookmarkEnd w:id="14"/>
      <w:bookmarkEnd w:id="15"/>
      <w:bookmarkEnd w:id="16"/>
      <w:bookmarkEnd w:id="17"/>
      <w:bookmarkEnd w:id="18"/>
    </w:p>
    <w:p w:rsidR="007B62FA" w:rsidRPr="00E60957" w:rsidRDefault="007B62FA" w:rsidP="00B70132">
      <w:pPr>
        <w:pStyle w:val="20"/>
        <w:spacing w:before="0" w:after="0"/>
        <w:rPr>
          <w:rFonts w:ascii="Times New Roman" w:eastAsiaTheme="minorEastAsia" w:hAnsi="Times New Roman"/>
          <w:color w:val="000000" w:themeColor="text1"/>
          <w:kern w:val="0"/>
          <w:sz w:val="21"/>
          <w:szCs w:val="21"/>
        </w:rPr>
      </w:pPr>
      <w:bookmarkStart w:id="19" w:name="_Toc352255959"/>
      <w:bookmarkStart w:id="20" w:name="_Toc352256027"/>
      <w:bookmarkStart w:id="21" w:name="_Toc352331205"/>
      <w:bookmarkStart w:id="22" w:name="_Toc362423983"/>
      <w:bookmarkStart w:id="23" w:name="_Toc374459245"/>
      <w:r w:rsidRPr="00E60957">
        <w:rPr>
          <w:rFonts w:ascii="Times New Roman" w:eastAsiaTheme="minorEastAsia" w:hAnsi="Times New Roman"/>
          <w:color w:val="000000" w:themeColor="text1"/>
          <w:kern w:val="0"/>
          <w:sz w:val="21"/>
          <w:szCs w:val="21"/>
        </w:rPr>
        <w:t xml:space="preserve">1.1 </w:t>
      </w:r>
      <w:r w:rsidRPr="00E60957">
        <w:rPr>
          <w:rFonts w:ascii="Times New Roman" w:eastAsiaTheme="minorEastAsia" w:hAnsi="Times New Roman"/>
          <w:color w:val="000000" w:themeColor="text1"/>
          <w:kern w:val="0"/>
          <w:sz w:val="21"/>
          <w:szCs w:val="21"/>
        </w:rPr>
        <w:t>重要提示</w:t>
      </w:r>
      <w:bookmarkEnd w:id="19"/>
      <w:bookmarkEnd w:id="20"/>
      <w:bookmarkEnd w:id="21"/>
      <w:bookmarkEnd w:id="22"/>
      <w:bookmarkEnd w:id="23"/>
    </w:p>
    <w:p w:rsidR="00E33B47" w:rsidRDefault="00B95AF3">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color w:val="000000" w:themeColor="text1"/>
          <w:szCs w:val="21"/>
        </w:rPr>
        <w:t xml:space="preserve"> </w:t>
      </w:r>
    </w:p>
    <w:p w:rsidR="00E33B47" w:rsidRDefault="00B95AF3">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基金托管人招商银行股份有限公司根据本基金合同规定，于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日复核了本报告中的财务指标、净值表现、利润分配情况、财务会计报告、投资组合报告等内容，保证复核内容不存在虚假记载、误导性陈述或者重大遗漏。</w:t>
      </w:r>
      <w:r>
        <w:rPr>
          <w:rFonts w:eastAsiaTheme="minorEastAsia"/>
          <w:color w:val="000000" w:themeColor="text1"/>
          <w:szCs w:val="21"/>
        </w:rPr>
        <w:t xml:space="preserve"> </w:t>
      </w:r>
    </w:p>
    <w:p w:rsidR="00E33B47" w:rsidRDefault="00B95AF3">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33B47" w:rsidRDefault="00B95AF3">
      <w:pPr>
        <w:snapToGrid w:val="0"/>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基金的过往业绩并不代表其未来表现。投资有风险，投资者在作出投资决策前应仔细阅读本基金的招募说明书及其更新。</w:t>
      </w:r>
      <w:r w:rsidR="004349D1">
        <w:rPr>
          <w:rFonts w:eastAsiaTheme="minorEastAsia"/>
          <w:color w:val="000000" w:themeColor="text1"/>
          <w:szCs w:val="21"/>
        </w:rPr>
        <w:br/>
      </w:r>
      <w:r w:rsidR="004349D1">
        <w:rPr>
          <w:rFonts w:eastAsiaTheme="minorEastAsia"/>
          <w:color w:val="000000" w:themeColor="text1"/>
          <w:szCs w:val="21"/>
        </w:rPr>
        <w:tab/>
      </w:r>
      <w:r w:rsidR="004349D1">
        <w:rPr>
          <w:rFonts w:hint="eastAsia"/>
          <w:color w:val="000000" w:themeColor="text1"/>
          <w:kern w:val="0"/>
          <w:szCs w:val="21"/>
        </w:rPr>
        <w:t>本年度报告摘要摘自年度报告正文，投资者欲了解详细内容，应阅读年度报告正文。</w:t>
      </w:r>
    </w:p>
    <w:p w:rsidR="007B62FA" w:rsidRPr="00E60957" w:rsidRDefault="007B62FA" w:rsidP="00B70132">
      <w:pPr>
        <w:snapToGrid w:val="0"/>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本报告期自</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日起至</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日止。</w:t>
      </w:r>
    </w:p>
    <w:p w:rsidR="00556E7A" w:rsidRDefault="007B62FA" w:rsidP="006779BD">
      <w:pPr>
        <w:spacing w:line="360" w:lineRule="auto"/>
        <w:rPr>
          <w:rFonts w:eastAsiaTheme="minorEastAsia"/>
          <w:color w:val="000000" w:themeColor="text1"/>
          <w:szCs w:val="21"/>
        </w:rPr>
      </w:pPr>
      <w:r w:rsidRPr="00E60957">
        <w:rPr>
          <w:rFonts w:eastAsiaTheme="minorEastAsia"/>
          <w:color w:val="000000" w:themeColor="text1"/>
          <w:szCs w:val="21"/>
        </w:rPr>
        <w:br w:type="page"/>
      </w:r>
    </w:p>
    <w:p w:rsidR="007B62FA" w:rsidRPr="00E60957" w:rsidRDefault="007B62FA" w:rsidP="009C3167">
      <w:pPr>
        <w:pStyle w:val="1"/>
        <w:keepNext/>
        <w:keepLines/>
        <w:widowControl w:val="0"/>
        <w:spacing w:beforeLines="100" w:before="312" w:afterLines="100" w:after="312" w:line="360" w:lineRule="auto"/>
        <w:jc w:val="center"/>
        <w:rPr>
          <w:rFonts w:eastAsiaTheme="minorEastAsia"/>
          <w:color w:val="000000" w:themeColor="text1"/>
          <w:sz w:val="21"/>
          <w:szCs w:val="21"/>
          <w:lang w:val="en-US"/>
        </w:rPr>
      </w:pPr>
      <w:bookmarkStart w:id="24" w:name="_Toc225498244"/>
      <w:bookmarkStart w:id="25" w:name="_Toc352255960"/>
      <w:bookmarkStart w:id="26" w:name="_Toc352256028"/>
      <w:bookmarkStart w:id="27" w:name="_Toc352331206"/>
      <w:bookmarkStart w:id="28" w:name="_Toc362423984"/>
      <w:bookmarkStart w:id="29" w:name="_Toc374459246"/>
      <w:r w:rsidRPr="00E60957">
        <w:rPr>
          <w:rFonts w:eastAsiaTheme="minorEastAsia"/>
          <w:b/>
          <w:bCs/>
          <w:color w:val="000000" w:themeColor="text1"/>
          <w:sz w:val="21"/>
          <w:szCs w:val="21"/>
          <w:lang w:val="en-US"/>
        </w:rPr>
        <w:lastRenderedPageBreak/>
        <w:t xml:space="preserve">§2  </w:t>
      </w:r>
      <w:r w:rsidRPr="00E60957">
        <w:rPr>
          <w:rFonts w:eastAsiaTheme="minorEastAsia"/>
          <w:b/>
          <w:bCs/>
          <w:color w:val="000000" w:themeColor="text1"/>
          <w:sz w:val="21"/>
          <w:szCs w:val="21"/>
          <w:lang w:val="en-US"/>
        </w:rPr>
        <w:t>基金简介</w:t>
      </w:r>
      <w:bookmarkEnd w:id="24"/>
      <w:bookmarkEnd w:id="25"/>
      <w:bookmarkEnd w:id="26"/>
      <w:bookmarkEnd w:id="27"/>
      <w:bookmarkEnd w:id="28"/>
      <w:bookmarkEnd w:id="29"/>
    </w:p>
    <w:p w:rsidR="007B62FA" w:rsidRPr="00E60957" w:rsidRDefault="007B62FA" w:rsidP="00D21507">
      <w:pPr>
        <w:pStyle w:val="20"/>
        <w:spacing w:before="0" w:after="0"/>
        <w:rPr>
          <w:rFonts w:ascii="Times New Roman" w:eastAsiaTheme="minorEastAsia" w:hAnsi="Times New Roman"/>
          <w:color w:val="000000" w:themeColor="text1"/>
          <w:sz w:val="21"/>
          <w:szCs w:val="21"/>
        </w:rPr>
      </w:pPr>
      <w:bookmarkStart w:id="30" w:name="_Toc352255961"/>
      <w:bookmarkStart w:id="31" w:name="_Toc352256029"/>
      <w:bookmarkStart w:id="32" w:name="_Toc352331207"/>
      <w:bookmarkStart w:id="33" w:name="_Toc362423985"/>
      <w:bookmarkStart w:id="34" w:name="_Toc374459247"/>
      <w:r w:rsidRPr="00E60957">
        <w:rPr>
          <w:rFonts w:ascii="Times New Roman" w:eastAsiaTheme="minorEastAsia" w:hAnsi="Times New Roman"/>
          <w:color w:val="000000" w:themeColor="text1"/>
          <w:kern w:val="0"/>
          <w:sz w:val="21"/>
          <w:szCs w:val="21"/>
        </w:rPr>
        <w:t>2.1</w:t>
      </w:r>
      <w:r w:rsidR="003401FF"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sz w:val="21"/>
          <w:szCs w:val="21"/>
        </w:rPr>
        <w:t>基金基本情况</w:t>
      </w:r>
      <w:bookmarkEnd w:id="30"/>
      <w:bookmarkEnd w:id="31"/>
      <w:bookmarkEnd w:id="32"/>
      <w:bookmarkEnd w:id="33"/>
      <w:bookmarkEnd w:id="34"/>
    </w:p>
    <w:tbl>
      <w:tblPr>
        <w:tblW w:w="84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5217"/>
      </w:tblGrid>
      <w:tr w:rsidR="00E60957" w:rsidRPr="00E60957" w:rsidTr="00E70468">
        <w:tc>
          <w:tcPr>
            <w:tcW w:w="3258" w:type="dxa"/>
          </w:tcPr>
          <w:p w:rsidR="007B62FA" w:rsidRPr="00E60957" w:rsidRDefault="007B62FA"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基金简称</w:t>
            </w:r>
          </w:p>
        </w:tc>
        <w:tc>
          <w:tcPr>
            <w:tcW w:w="5217" w:type="dxa"/>
            <w:vAlign w:val="bottom"/>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上投摩根全球多元配置（</w:t>
            </w:r>
            <w:r w:rsidRPr="00E60957">
              <w:rPr>
                <w:rFonts w:eastAsiaTheme="minorEastAsia"/>
                <w:color w:val="000000" w:themeColor="text1"/>
                <w:szCs w:val="21"/>
              </w:rPr>
              <w:t>QDII</w:t>
            </w:r>
            <w:r w:rsidRPr="00E60957">
              <w:rPr>
                <w:rFonts w:eastAsiaTheme="minorEastAsia"/>
                <w:color w:val="000000" w:themeColor="text1"/>
                <w:szCs w:val="21"/>
              </w:rPr>
              <w:t>）</w:t>
            </w:r>
          </w:p>
        </w:tc>
      </w:tr>
      <w:tr w:rsidR="00E60957" w:rsidRPr="00E60957" w:rsidTr="00E70468">
        <w:tc>
          <w:tcPr>
            <w:tcW w:w="3258" w:type="dxa"/>
            <w:vAlign w:val="center"/>
          </w:tcPr>
          <w:p w:rsidR="007B62FA" w:rsidRPr="00E60957" w:rsidRDefault="007B62FA"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基金主代码</w:t>
            </w:r>
          </w:p>
        </w:tc>
        <w:tc>
          <w:tcPr>
            <w:tcW w:w="5217" w:type="dxa"/>
            <w:vAlign w:val="bottom"/>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003629</w:t>
            </w:r>
          </w:p>
        </w:tc>
      </w:tr>
      <w:tr w:rsidR="00E60957" w:rsidRPr="00E60957" w:rsidTr="00E70468">
        <w:tc>
          <w:tcPr>
            <w:tcW w:w="3258" w:type="dxa"/>
            <w:vAlign w:val="center"/>
          </w:tcPr>
          <w:p w:rsidR="00D13C61" w:rsidRPr="00E60957" w:rsidRDefault="00D13C61" w:rsidP="00417F87">
            <w:pPr>
              <w:spacing w:line="360" w:lineRule="auto"/>
              <w:rPr>
                <w:rFonts w:eastAsiaTheme="minorEastAsia"/>
                <w:color w:val="000000" w:themeColor="text1"/>
                <w:szCs w:val="21"/>
              </w:rPr>
            </w:pPr>
            <w:r w:rsidRPr="00E60957">
              <w:rPr>
                <w:rFonts w:eastAsiaTheme="minorEastAsia"/>
                <w:color w:val="000000" w:themeColor="text1"/>
                <w:szCs w:val="21"/>
              </w:rPr>
              <w:t>交易代码</w:t>
            </w:r>
          </w:p>
        </w:tc>
        <w:tc>
          <w:tcPr>
            <w:tcW w:w="5217" w:type="dxa"/>
            <w:vAlign w:val="bottom"/>
          </w:tcPr>
          <w:p w:rsidR="00D13C61" w:rsidRPr="00E60957" w:rsidRDefault="00D13C61"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003629</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基金运作方式</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契约型开放式</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基金合同生效日</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2016</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19</w:t>
            </w:r>
            <w:r w:rsidRPr="00E60957">
              <w:rPr>
                <w:rFonts w:eastAsiaTheme="minorEastAsia"/>
                <w:color w:val="000000" w:themeColor="text1"/>
                <w:szCs w:val="21"/>
              </w:rPr>
              <w:t>日</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基金管理人</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上投摩根基金管理有限公司</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基金托管人</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招商银行股份有限公司</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报告期末基金份额总额</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705,291,760.75</w:t>
            </w:r>
            <w:r w:rsidRPr="00E60957">
              <w:rPr>
                <w:rFonts w:eastAsiaTheme="minorEastAsia"/>
                <w:color w:val="000000" w:themeColor="text1"/>
                <w:szCs w:val="21"/>
              </w:rPr>
              <w:t>份</w:t>
            </w:r>
          </w:p>
        </w:tc>
      </w:tr>
      <w:tr w:rsidR="00E60957" w:rsidRPr="00E60957" w:rsidTr="00E70468">
        <w:tc>
          <w:tcPr>
            <w:tcW w:w="3258" w:type="dxa"/>
          </w:tcPr>
          <w:p w:rsidR="0073375D" w:rsidRPr="00E60957" w:rsidRDefault="0073375D" w:rsidP="00417F87">
            <w:pPr>
              <w:spacing w:line="360" w:lineRule="auto"/>
              <w:rPr>
                <w:rFonts w:eastAsiaTheme="minorEastAsia"/>
                <w:color w:val="000000" w:themeColor="text1"/>
                <w:kern w:val="0"/>
                <w:szCs w:val="21"/>
              </w:rPr>
            </w:pPr>
            <w:r w:rsidRPr="00E60957">
              <w:rPr>
                <w:rFonts w:eastAsiaTheme="minorEastAsia"/>
                <w:color w:val="000000" w:themeColor="text1"/>
                <w:szCs w:val="21"/>
              </w:rPr>
              <w:t>基金合同存续期</w:t>
            </w:r>
          </w:p>
        </w:tc>
        <w:tc>
          <w:tcPr>
            <w:tcW w:w="5217" w:type="dxa"/>
            <w:vAlign w:val="bottom"/>
          </w:tcPr>
          <w:p w:rsidR="0073375D" w:rsidRPr="00E60957" w:rsidRDefault="0073375D"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不定期</w:t>
            </w:r>
          </w:p>
        </w:tc>
      </w:tr>
    </w:tbl>
    <w:p w:rsidR="007B62FA" w:rsidRPr="00E60957" w:rsidRDefault="007B62FA" w:rsidP="009C3167">
      <w:pPr>
        <w:pStyle w:val="20"/>
        <w:spacing w:beforeLines="100" w:before="312" w:after="0"/>
        <w:rPr>
          <w:rFonts w:ascii="Times New Roman" w:eastAsiaTheme="minorEastAsia" w:hAnsi="Times New Roman"/>
          <w:color w:val="000000" w:themeColor="text1"/>
          <w:sz w:val="21"/>
          <w:szCs w:val="21"/>
        </w:rPr>
      </w:pPr>
      <w:bookmarkStart w:id="35" w:name="_Toc352255962"/>
      <w:bookmarkStart w:id="36" w:name="_Toc352256030"/>
      <w:bookmarkStart w:id="37" w:name="_Toc352331208"/>
      <w:bookmarkStart w:id="38" w:name="_Toc362423986"/>
      <w:bookmarkStart w:id="39" w:name="_Toc374459248"/>
      <w:r w:rsidRPr="00E60957">
        <w:rPr>
          <w:rFonts w:ascii="Times New Roman" w:eastAsiaTheme="minorEastAsia" w:hAnsi="Times New Roman"/>
          <w:color w:val="000000" w:themeColor="text1"/>
          <w:kern w:val="0"/>
          <w:sz w:val="21"/>
          <w:szCs w:val="21"/>
        </w:rPr>
        <w:t xml:space="preserve">2.2 </w:t>
      </w:r>
      <w:r w:rsidRPr="00E60957">
        <w:rPr>
          <w:rFonts w:ascii="Times New Roman" w:eastAsiaTheme="minorEastAsia" w:hAnsi="Times New Roman"/>
          <w:color w:val="000000" w:themeColor="text1"/>
          <w:sz w:val="21"/>
          <w:szCs w:val="21"/>
        </w:rPr>
        <w:t>基金产品说明</w:t>
      </w:r>
      <w:bookmarkEnd w:id="35"/>
      <w:bookmarkEnd w:id="36"/>
      <w:bookmarkEnd w:id="37"/>
      <w:bookmarkEnd w:id="38"/>
      <w:bookmarkEnd w:id="3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投资目标</w:t>
            </w:r>
          </w:p>
        </w:tc>
        <w:tc>
          <w:tcPr>
            <w:tcW w:w="6873" w:type="dxa"/>
            <w:vAlign w:val="bottom"/>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通过全球化的资产配置和组合管理，有效地分散投资风险；在降低组合波动性的同时，实现资产的长期增值。</w:t>
            </w:r>
          </w:p>
        </w:tc>
      </w:tr>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投资策略</w:t>
            </w:r>
          </w:p>
        </w:tc>
        <w:tc>
          <w:tcPr>
            <w:tcW w:w="6873" w:type="dxa"/>
            <w:vAlign w:val="bottom"/>
          </w:tcPr>
          <w:p w:rsidR="00E33B47" w:rsidRDefault="00B95AF3">
            <w:pPr>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、大类资产配置策略</w:t>
            </w:r>
          </w:p>
          <w:p w:rsidR="00E33B47" w:rsidRDefault="00B95AF3">
            <w:pPr>
              <w:spacing w:line="360" w:lineRule="auto"/>
              <w:rPr>
                <w:rFonts w:eastAsiaTheme="minorEastAsia"/>
                <w:color w:val="000000" w:themeColor="text1"/>
                <w:szCs w:val="21"/>
              </w:rPr>
            </w:pPr>
            <w:r>
              <w:rPr>
                <w:rFonts w:eastAsiaTheme="minorEastAsia"/>
                <w:color w:val="000000" w:themeColor="text1"/>
                <w:szCs w:val="21"/>
              </w:rPr>
              <w:t>本基金在大类资产配置层面将贯彻</w:t>
            </w:r>
            <w:r>
              <w:rPr>
                <w:rFonts w:eastAsiaTheme="minorEastAsia"/>
                <w:color w:val="000000" w:themeColor="text1"/>
                <w:szCs w:val="21"/>
              </w:rPr>
              <w:t>“</w:t>
            </w:r>
            <w:r>
              <w:rPr>
                <w:rFonts w:eastAsiaTheme="minorEastAsia"/>
                <w:color w:val="000000" w:themeColor="text1"/>
                <w:szCs w:val="21"/>
              </w:rPr>
              <w:t>自上而下</w:t>
            </w:r>
            <w:r>
              <w:rPr>
                <w:rFonts w:eastAsiaTheme="minorEastAsia"/>
                <w:color w:val="000000" w:themeColor="text1"/>
                <w:szCs w:val="21"/>
              </w:rPr>
              <w:t>”</w:t>
            </w:r>
            <w:r>
              <w:rPr>
                <w:rFonts w:eastAsiaTheme="minorEastAsia"/>
                <w:color w:val="000000" w:themeColor="text1"/>
                <w:szCs w:val="21"/>
              </w:rPr>
              <w:t>的资产组合配置策略，运用定性和定量相结合的方式确定基金资产配置长期比例。</w:t>
            </w:r>
          </w:p>
          <w:p w:rsidR="00E33B47" w:rsidRDefault="00B95AF3">
            <w:pPr>
              <w:spacing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、区域资产配置策略</w:t>
            </w:r>
          </w:p>
          <w:p w:rsidR="00E33B47" w:rsidRDefault="00B95AF3">
            <w:pPr>
              <w:spacing w:line="360" w:lineRule="auto"/>
              <w:rPr>
                <w:rFonts w:eastAsiaTheme="minorEastAsia"/>
                <w:color w:val="000000" w:themeColor="text1"/>
                <w:szCs w:val="21"/>
              </w:rPr>
            </w:pPr>
            <w:r>
              <w:rPr>
                <w:rFonts w:eastAsiaTheme="minorEastAsia"/>
                <w:color w:val="000000" w:themeColor="text1"/>
                <w:szCs w:val="21"/>
              </w:rPr>
              <w:t>本基金将根据全球经济以及区域化经济发展、不同国家或地区经济体的宏观经济变化和经济增长情况，以及各证券市场的表现、全球资本的流动情况，挑选部分特定国家或地区作为重点投资对象，增加该目标市场在资产组合中的配置比例。本基金管理人在确定国家或地区配置比例后，将动态跟踪各国家或地区的权重，对其估值水平及风险收益特征进行研究并结合风险预算确定超配和低配比例。</w:t>
            </w:r>
          </w:p>
          <w:p w:rsidR="00E33B47" w:rsidRDefault="00B95AF3">
            <w:pPr>
              <w:spacing w:line="360" w:lineRule="auto"/>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、行业资产配置策略</w:t>
            </w:r>
          </w:p>
          <w:p w:rsidR="00E33B47" w:rsidRDefault="00B95AF3">
            <w:pPr>
              <w:spacing w:line="360" w:lineRule="auto"/>
              <w:rPr>
                <w:rFonts w:eastAsiaTheme="minorEastAsia"/>
                <w:color w:val="000000" w:themeColor="text1"/>
                <w:szCs w:val="21"/>
              </w:rPr>
            </w:pPr>
            <w:r>
              <w:rPr>
                <w:rFonts w:eastAsiaTheme="minorEastAsia"/>
                <w:color w:val="000000" w:themeColor="text1"/>
                <w:szCs w:val="21"/>
              </w:rPr>
              <w:t>本基金通过行业分析系统，运用多种指标对各个行业进行综合分析评估，并在大类资产配置和区域资产配置框架下确定行业配置方案。本基金将动态跟踪各行业配置的权重，结合行业分析，考虑市场相关度并基于行业风</w:t>
            </w:r>
            <w:r>
              <w:rPr>
                <w:rFonts w:eastAsiaTheme="minorEastAsia"/>
                <w:color w:val="000000" w:themeColor="text1"/>
                <w:szCs w:val="21"/>
              </w:rPr>
              <w:lastRenderedPageBreak/>
              <w:t>险预算确定行业资产的具体超配和低配比例。</w:t>
            </w:r>
          </w:p>
          <w:p w:rsidR="00E33B47" w:rsidRDefault="00B95AF3">
            <w:pPr>
              <w:spacing w:line="360" w:lineRule="auto"/>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、标的基金投资策略</w:t>
            </w:r>
          </w:p>
          <w:p w:rsidR="00E33B47" w:rsidRDefault="00B95AF3">
            <w:pPr>
              <w:spacing w:line="360" w:lineRule="auto"/>
              <w:rPr>
                <w:rFonts w:eastAsiaTheme="minorEastAsia"/>
                <w:color w:val="000000" w:themeColor="text1"/>
                <w:szCs w:val="21"/>
              </w:rPr>
            </w:pPr>
            <w:r>
              <w:rPr>
                <w:rFonts w:eastAsiaTheme="minorEastAsia"/>
                <w:color w:val="000000" w:themeColor="text1"/>
                <w:szCs w:val="21"/>
              </w:rPr>
              <w:t>本基金通过定量分析策略和定性分析策略相结合的方式优选标的基金，通过分析各标的基金的费率水平、历史收益、夏普比率、历史回撤、波动率等定量指标，以及基金公司、投资经理、投资流程、风险控制等定性指标，挑选出合适的基金组成标的基金池，构建基金投资组合。</w:t>
            </w:r>
          </w:p>
          <w:p w:rsidR="00E33B47" w:rsidRDefault="00B95AF3">
            <w:pPr>
              <w:spacing w:line="360" w:lineRule="auto"/>
              <w:rPr>
                <w:rFonts w:eastAsiaTheme="minorEastAsia"/>
                <w:color w:val="000000" w:themeColor="text1"/>
                <w:szCs w:val="21"/>
              </w:rPr>
            </w:pPr>
            <w:r>
              <w:rPr>
                <w:rFonts w:eastAsiaTheme="minorEastAsia"/>
                <w:color w:val="000000" w:themeColor="text1"/>
                <w:szCs w:val="21"/>
              </w:rPr>
              <w:t>目前本基金将主要投资于摩根资产管理（</w:t>
            </w:r>
            <w:r>
              <w:rPr>
                <w:rFonts w:eastAsiaTheme="minorEastAsia"/>
                <w:color w:val="000000" w:themeColor="text1"/>
                <w:szCs w:val="21"/>
              </w:rPr>
              <w:t>J.P. Morgan Asset Management</w:t>
            </w:r>
            <w:r>
              <w:rPr>
                <w:rFonts w:eastAsiaTheme="minorEastAsia"/>
                <w:color w:val="000000" w:themeColor="text1"/>
                <w:szCs w:val="21"/>
              </w:rPr>
              <w:t>）旗下的公募基金，并根据定量及定性分析策略优选标的基金。摩根资产管理（</w:t>
            </w:r>
            <w:r>
              <w:rPr>
                <w:rFonts w:eastAsiaTheme="minorEastAsia"/>
                <w:color w:val="000000" w:themeColor="text1"/>
                <w:szCs w:val="21"/>
              </w:rPr>
              <w:t>J.P. Morgan Asset Management</w:t>
            </w:r>
            <w:r>
              <w:rPr>
                <w:rFonts w:eastAsiaTheme="minorEastAsia"/>
                <w:color w:val="000000" w:themeColor="text1"/>
                <w:szCs w:val="21"/>
              </w:rPr>
              <w:t>）主要是指与上投摩根存在关联关系的摩根资产管理旗下的法人实体，包括但不限于</w:t>
            </w:r>
            <w:r>
              <w:rPr>
                <w:rFonts w:eastAsiaTheme="minorEastAsia"/>
                <w:color w:val="000000" w:themeColor="text1"/>
                <w:szCs w:val="21"/>
              </w:rPr>
              <w:t>JPMorgan Funds (Asia) Limited</w:t>
            </w:r>
            <w:r>
              <w:rPr>
                <w:rFonts w:eastAsiaTheme="minorEastAsia"/>
                <w:color w:val="000000" w:themeColor="text1"/>
                <w:szCs w:val="21"/>
              </w:rPr>
              <w:t>、</w:t>
            </w:r>
            <w:r>
              <w:rPr>
                <w:rFonts w:eastAsiaTheme="minorEastAsia"/>
                <w:color w:val="000000" w:themeColor="text1"/>
                <w:szCs w:val="21"/>
              </w:rPr>
              <w:t>JPMorgan Asset Management (UK) Limited</w:t>
            </w:r>
            <w:r>
              <w:rPr>
                <w:rFonts w:eastAsiaTheme="minorEastAsia"/>
                <w:color w:val="000000" w:themeColor="text1"/>
                <w:szCs w:val="21"/>
              </w:rPr>
              <w:t>等。</w:t>
            </w:r>
          </w:p>
          <w:p w:rsidR="00E33B47" w:rsidRDefault="00B95AF3">
            <w:pPr>
              <w:spacing w:line="360" w:lineRule="auto"/>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、金融衍生品投资策略</w:t>
            </w:r>
          </w:p>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本基金可本着谨慎和风险可控的原则投资于金融衍生品，以避险和增值、管理汇率风险。</w:t>
            </w:r>
          </w:p>
        </w:tc>
      </w:tr>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lastRenderedPageBreak/>
              <w:t>业绩比较基准</w:t>
            </w:r>
          </w:p>
        </w:tc>
        <w:tc>
          <w:tcPr>
            <w:tcW w:w="6873" w:type="dxa"/>
            <w:vAlign w:val="bottom"/>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MSCI</w:t>
            </w:r>
            <w:r w:rsidRPr="00E60957">
              <w:rPr>
                <w:rFonts w:eastAsiaTheme="minorEastAsia"/>
                <w:color w:val="000000" w:themeColor="text1"/>
                <w:szCs w:val="21"/>
              </w:rPr>
              <w:t>全球指数（</w:t>
            </w:r>
            <w:r w:rsidRPr="00E60957">
              <w:rPr>
                <w:rFonts w:eastAsiaTheme="minorEastAsia"/>
                <w:color w:val="000000" w:themeColor="text1"/>
                <w:szCs w:val="21"/>
              </w:rPr>
              <w:t>MSCI ACWI</w:t>
            </w:r>
            <w:r w:rsidRPr="00E60957">
              <w:rPr>
                <w:rFonts w:eastAsiaTheme="minorEastAsia"/>
                <w:color w:val="000000" w:themeColor="text1"/>
                <w:szCs w:val="21"/>
              </w:rPr>
              <w:t>）</w:t>
            </w:r>
            <w:r w:rsidRPr="00E60957">
              <w:rPr>
                <w:rFonts w:eastAsiaTheme="minorEastAsia"/>
                <w:color w:val="000000" w:themeColor="text1"/>
                <w:szCs w:val="21"/>
              </w:rPr>
              <w:t>*80%+</w:t>
            </w:r>
            <w:r w:rsidRPr="00E60957">
              <w:rPr>
                <w:rFonts w:eastAsiaTheme="minorEastAsia"/>
                <w:color w:val="000000" w:themeColor="text1"/>
                <w:szCs w:val="21"/>
              </w:rPr>
              <w:t>摩根大通全球债券指数（</w:t>
            </w:r>
            <w:r w:rsidRPr="00E60957">
              <w:rPr>
                <w:rFonts w:eastAsiaTheme="minorEastAsia"/>
                <w:color w:val="000000" w:themeColor="text1"/>
                <w:szCs w:val="21"/>
              </w:rPr>
              <w:t>J.P. Morgan Global Aggregate Bond Index</w:t>
            </w:r>
            <w:r w:rsidRPr="00E60957">
              <w:rPr>
                <w:rFonts w:eastAsiaTheme="minorEastAsia"/>
                <w:color w:val="000000" w:themeColor="text1"/>
                <w:szCs w:val="21"/>
              </w:rPr>
              <w:t>）</w:t>
            </w:r>
            <w:r w:rsidRPr="00E60957">
              <w:rPr>
                <w:rFonts w:eastAsiaTheme="minorEastAsia"/>
                <w:color w:val="000000" w:themeColor="text1"/>
                <w:szCs w:val="21"/>
              </w:rPr>
              <w:t>*20%</w:t>
            </w:r>
            <w:r w:rsidRPr="00E60957">
              <w:rPr>
                <w:rFonts w:eastAsiaTheme="minorEastAsia"/>
                <w:color w:val="000000" w:themeColor="text1"/>
                <w:szCs w:val="21"/>
              </w:rPr>
              <w:t>。</w:t>
            </w:r>
          </w:p>
        </w:tc>
      </w:tr>
      <w:tr w:rsidR="00E60957" w:rsidRPr="00E60957" w:rsidTr="006D141C">
        <w:tc>
          <w:tcPr>
            <w:tcW w:w="212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风险收益特征</w:t>
            </w:r>
          </w:p>
        </w:tc>
        <w:tc>
          <w:tcPr>
            <w:tcW w:w="6873" w:type="dxa"/>
            <w:vAlign w:val="bottom"/>
          </w:tcPr>
          <w:p w:rsidR="00E33B47" w:rsidRDefault="00B95AF3">
            <w:pPr>
              <w:spacing w:line="360" w:lineRule="auto"/>
              <w:rPr>
                <w:rFonts w:eastAsiaTheme="minorEastAsia"/>
                <w:color w:val="000000" w:themeColor="text1"/>
                <w:szCs w:val="21"/>
              </w:rPr>
            </w:pPr>
            <w:r>
              <w:rPr>
                <w:rFonts w:eastAsiaTheme="minorEastAsia"/>
                <w:color w:val="000000" w:themeColor="text1"/>
                <w:szCs w:val="21"/>
              </w:rPr>
              <w:t>本基金主要投资于境外公募基金，属于中等风险收益水平的证券投资基金产品，预期风险和收益水平低于股票型基金，高于债券型基金和货币市场基金。</w:t>
            </w:r>
          </w:p>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本基金风险收益特征会定期评估并在公司网站发布，请投资者关注。</w:t>
            </w:r>
          </w:p>
        </w:tc>
      </w:tr>
    </w:tbl>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40" w:name="_Toc225498247"/>
      <w:bookmarkStart w:id="41" w:name="_Toc352255963"/>
      <w:bookmarkStart w:id="42" w:name="_Toc352256031"/>
      <w:bookmarkStart w:id="43" w:name="_Toc352331209"/>
      <w:bookmarkStart w:id="44" w:name="_Toc362423987"/>
      <w:bookmarkStart w:id="45" w:name="_Toc374459249"/>
      <w:r w:rsidRPr="00E60957">
        <w:rPr>
          <w:rFonts w:ascii="Times New Roman" w:eastAsiaTheme="minorEastAsia" w:hAnsi="Times New Roman"/>
          <w:color w:val="000000" w:themeColor="text1"/>
          <w:kern w:val="0"/>
          <w:sz w:val="21"/>
          <w:szCs w:val="21"/>
        </w:rPr>
        <w:t xml:space="preserve">2.3 </w:t>
      </w:r>
      <w:r w:rsidRPr="00E60957">
        <w:rPr>
          <w:rFonts w:ascii="Times New Roman" w:eastAsiaTheme="minorEastAsia" w:hAnsi="Times New Roman"/>
          <w:color w:val="000000" w:themeColor="text1"/>
          <w:kern w:val="0"/>
          <w:sz w:val="21"/>
          <w:szCs w:val="21"/>
        </w:rPr>
        <w:t>基金管理人和基金托管人</w:t>
      </w:r>
      <w:bookmarkEnd w:id="40"/>
      <w:bookmarkEnd w:id="41"/>
      <w:bookmarkEnd w:id="42"/>
      <w:bookmarkEnd w:id="43"/>
      <w:bookmarkEnd w:id="44"/>
      <w:bookmarkEnd w:id="4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60957" w:rsidRPr="00E60957" w:rsidTr="006D141C">
        <w:tc>
          <w:tcPr>
            <w:tcW w:w="2631" w:type="dxa"/>
            <w:gridSpan w:val="2"/>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306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基金管理人</w:t>
            </w:r>
          </w:p>
        </w:tc>
        <w:tc>
          <w:tcPr>
            <w:tcW w:w="306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基金托管人</w:t>
            </w:r>
          </w:p>
        </w:tc>
      </w:tr>
      <w:tr w:rsidR="00E60957" w:rsidRPr="00E60957" w:rsidTr="006D141C">
        <w:tc>
          <w:tcPr>
            <w:tcW w:w="2631" w:type="dxa"/>
            <w:gridSpan w:val="2"/>
            <w:vAlign w:val="center"/>
          </w:tcPr>
          <w:p w:rsidR="007B62FA" w:rsidRPr="00E60957"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E60957">
              <w:rPr>
                <w:rFonts w:eastAsiaTheme="minorEastAsia"/>
                <w:color w:val="000000" w:themeColor="text1"/>
                <w:kern w:val="0"/>
                <w:szCs w:val="21"/>
              </w:rPr>
              <w:t>名称</w:t>
            </w:r>
          </w:p>
        </w:tc>
        <w:tc>
          <w:tcPr>
            <w:tcW w:w="3060"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上投摩根基金管理有限公司</w:t>
            </w:r>
          </w:p>
        </w:tc>
        <w:tc>
          <w:tcPr>
            <w:tcW w:w="3060"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招商银行股份有限公司</w:t>
            </w:r>
          </w:p>
        </w:tc>
      </w:tr>
      <w:tr w:rsidR="00E60957" w:rsidRPr="00E60957" w:rsidTr="006D141C">
        <w:tc>
          <w:tcPr>
            <w:tcW w:w="1260" w:type="dxa"/>
            <w:vMerge w:val="restart"/>
            <w:vAlign w:val="center"/>
          </w:tcPr>
          <w:p w:rsidR="007B62FA" w:rsidRPr="00E60957" w:rsidRDefault="007B62FA" w:rsidP="00417F87">
            <w:pPr>
              <w:autoSpaceDE w:val="0"/>
              <w:autoSpaceDN w:val="0"/>
              <w:adjustRightInd w:val="0"/>
              <w:spacing w:before="29" w:line="360" w:lineRule="auto"/>
              <w:ind w:left="15"/>
              <w:rPr>
                <w:rFonts w:eastAsiaTheme="minorEastAsia"/>
                <w:color w:val="000000" w:themeColor="text1"/>
                <w:kern w:val="0"/>
                <w:szCs w:val="21"/>
              </w:rPr>
            </w:pPr>
            <w:r w:rsidRPr="00E60957">
              <w:rPr>
                <w:rFonts w:eastAsiaTheme="minorEastAsia"/>
                <w:color w:val="000000" w:themeColor="text1"/>
                <w:szCs w:val="21"/>
              </w:rPr>
              <w:t>信息披露负责人</w:t>
            </w:r>
          </w:p>
        </w:tc>
        <w:tc>
          <w:tcPr>
            <w:tcW w:w="1371"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姓名</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胡迪</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张燕</w:t>
            </w:r>
          </w:p>
        </w:tc>
      </w:tr>
      <w:tr w:rsidR="00E60957" w:rsidRPr="00E60957" w:rsidTr="006779BD">
        <w:tc>
          <w:tcPr>
            <w:tcW w:w="1260" w:type="dxa"/>
            <w:vMerge/>
            <w:vAlign w:val="center"/>
          </w:tcPr>
          <w:p w:rsidR="007B62FA" w:rsidRPr="00E60957"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szCs w:val="21"/>
              </w:rPr>
              <w:t>联系电话</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021-38794888</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0755-83199084</w:t>
            </w:r>
          </w:p>
        </w:tc>
      </w:tr>
      <w:tr w:rsidR="00E60957" w:rsidRPr="00E60957" w:rsidTr="006779BD">
        <w:tc>
          <w:tcPr>
            <w:tcW w:w="1260" w:type="dxa"/>
            <w:vMerge/>
            <w:vAlign w:val="center"/>
          </w:tcPr>
          <w:p w:rsidR="007B62FA" w:rsidRPr="00E60957" w:rsidRDefault="007B62FA" w:rsidP="00417F87">
            <w:pPr>
              <w:widowControl/>
              <w:spacing w:line="360" w:lineRule="auto"/>
              <w:jc w:val="left"/>
              <w:rPr>
                <w:rFonts w:eastAsiaTheme="minorEastAsia"/>
                <w:color w:val="000000" w:themeColor="text1"/>
                <w:kern w:val="0"/>
                <w:szCs w:val="21"/>
              </w:rPr>
            </w:pPr>
          </w:p>
        </w:tc>
        <w:tc>
          <w:tcPr>
            <w:tcW w:w="1371" w:type="dxa"/>
            <w:vAlign w:val="center"/>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szCs w:val="21"/>
              </w:rPr>
              <w:t>电子邮箱</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services@cifm.com</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yan_zhang@cmbchina.com</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客户服务电话</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400-889-4888</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95555</w:t>
            </w:r>
          </w:p>
        </w:tc>
      </w:tr>
      <w:tr w:rsidR="00E60957" w:rsidRPr="00E60957" w:rsidTr="006D141C">
        <w:tc>
          <w:tcPr>
            <w:tcW w:w="2631" w:type="dxa"/>
            <w:gridSpan w:val="2"/>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传真</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021-20628400</w:t>
            </w:r>
          </w:p>
        </w:tc>
        <w:tc>
          <w:tcPr>
            <w:tcW w:w="3060" w:type="dxa"/>
            <w:vAlign w:val="bottom"/>
          </w:tcPr>
          <w:p w:rsidR="007B62FA" w:rsidRPr="00E60957" w:rsidRDefault="007B62FA" w:rsidP="00417F87">
            <w:pPr>
              <w:autoSpaceDE w:val="0"/>
              <w:autoSpaceDN w:val="0"/>
              <w:adjustRightInd w:val="0"/>
              <w:spacing w:before="29" w:line="360" w:lineRule="auto"/>
              <w:ind w:left="15"/>
              <w:jc w:val="center"/>
              <w:rPr>
                <w:rFonts w:eastAsiaTheme="minorEastAsia"/>
                <w:color w:val="000000" w:themeColor="text1"/>
                <w:kern w:val="0"/>
                <w:szCs w:val="21"/>
              </w:rPr>
            </w:pPr>
            <w:r w:rsidRPr="00E60957">
              <w:rPr>
                <w:rFonts w:eastAsiaTheme="minorEastAsia"/>
                <w:color w:val="000000" w:themeColor="text1"/>
                <w:kern w:val="0"/>
                <w:szCs w:val="21"/>
              </w:rPr>
              <w:t>0755-83195201</w:t>
            </w:r>
          </w:p>
        </w:tc>
      </w:tr>
    </w:tbl>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46" w:name="_Toc224618346"/>
      <w:bookmarkStart w:id="47" w:name="_Toc235605676"/>
      <w:bookmarkStart w:id="48" w:name="_Toc286929724"/>
      <w:bookmarkStart w:id="49" w:name="_Toc352255964"/>
      <w:bookmarkStart w:id="50" w:name="_Toc352256032"/>
      <w:bookmarkStart w:id="51" w:name="_Toc352331210"/>
      <w:bookmarkStart w:id="52" w:name="_Toc362423988"/>
      <w:bookmarkStart w:id="53" w:name="_Toc374459250"/>
      <w:r w:rsidRPr="00E60957">
        <w:rPr>
          <w:rFonts w:ascii="Times New Roman" w:eastAsiaTheme="minorEastAsia" w:hAnsi="Times New Roman"/>
          <w:color w:val="000000" w:themeColor="text1"/>
          <w:kern w:val="0"/>
          <w:sz w:val="21"/>
          <w:szCs w:val="21"/>
        </w:rPr>
        <w:lastRenderedPageBreak/>
        <w:t xml:space="preserve">2.4 </w:t>
      </w:r>
      <w:r w:rsidRPr="00E60957">
        <w:rPr>
          <w:rFonts w:ascii="Times New Roman" w:eastAsiaTheme="minorEastAsia" w:hAnsi="Times New Roman"/>
          <w:color w:val="000000" w:themeColor="text1"/>
          <w:kern w:val="0"/>
          <w:sz w:val="21"/>
          <w:szCs w:val="21"/>
        </w:rPr>
        <w:t>境外投资顾问和境外资产托管人</w:t>
      </w:r>
      <w:bookmarkEnd w:id="46"/>
      <w:bookmarkEnd w:id="47"/>
      <w:bookmarkEnd w:id="48"/>
      <w:bookmarkEnd w:id="49"/>
      <w:bookmarkEnd w:id="50"/>
      <w:bookmarkEnd w:id="51"/>
      <w:bookmarkEnd w:id="52"/>
      <w:bookmarkEnd w:id="5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600"/>
        <w:gridCol w:w="3600"/>
      </w:tblGrid>
      <w:tr w:rsidR="00E60957" w:rsidRPr="00E60957" w:rsidTr="004B68EC">
        <w:tc>
          <w:tcPr>
            <w:tcW w:w="1800" w:type="dxa"/>
            <w:gridSpan w:val="2"/>
            <w:vAlign w:val="center"/>
          </w:tcPr>
          <w:p w:rsidR="007B62FA" w:rsidRPr="00E60957" w:rsidRDefault="007B62FA" w:rsidP="00713FB1">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3600" w:type="dxa"/>
            <w:vAlign w:val="center"/>
          </w:tcPr>
          <w:p w:rsidR="007B62FA" w:rsidRPr="00E60957" w:rsidRDefault="007B62FA" w:rsidP="009419AE">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境外投资顾问</w:t>
            </w:r>
          </w:p>
        </w:tc>
        <w:tc>
          <w:tcPr>
            <w:tcW w:w="3600" w:type="dxa"/>
            <w:vAlign w:val="center"/>
          </w:tcPr>
          <w:p w:rsidR="007B62FA" w:rsidRPr="00E60957" w:rsidRDefault="007B62FA" w:rsidP="00FD137B">
            <w:pPr>
              <w:spacing w:line="360" w:lineRule="auto"/>
              <w:jc w:val="center"/>
              <w:rPr>
                <w:rFonts w:eastAsiaTheme="minorEastAsia"/>
                <w:color w:val="000000" w:themeColor="text1"/>
                <w:szCs w:val="21"/>
              </w:rPr>
            </w:pPr>
            <w:r w:rsidRPr="00E60957">
              <w:rPr>
                <w:rFonts w:eastAsiaTheme="minorEastAsia"/>
                <w:color w:val="000000" w:themeColor="text1"/>
                <w:kern w:val="0"/>
                <w:szCs w:val="21"/>
              </w:rPr>
              <w:t>境外资产托管人</w:t>
            </w:r>
          </w:p>
        </w:tc>
      </w:tr>
      <w:tr w:rsidR="00E60957" w:rsidRPr="00E60957" w:rsidTr="00473704">
        <w:trPr>
          <w:trHeight w:val="370"/>
        </w:trPr>
        <w:tc>
          <w:tcPr>
            <w:tcW w:w="900"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名称</w:t>
            </w:r>
          </w:p>
        </w:tc>
        <w:tc>
          <w:tcPr>
            <w:tcW w:w="9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英文</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JF Asset Management Limited</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The Hong Kong and Shanghai Banking Corporation Limited</w:t>
            </w:r>
          </w:p>
        </w:tc>
      </w:tr>
      <w:tr w:rsidR="00E60957" w:rsidRPr="00E60957" w:rsidTr="00473704">
        <w:trPr>
          <w:trHeight w:val="335"/>
        </w:trPr>
        <w:tc>
          <w:tcPr>
            <w:tcW w:w="900" w:type="dxa"/>
            <w:vMerge/>
            <w:vAlign w:val="center"/>
          </w:tcPr>
          <w:p w:rsidR="007B62FA" w:rsidRPr="00E60957" w:rsidRDefault="007B62FA" w:rsidP="00417F87">
            <w:pPr>
              <w:spacing w:line="360" w:lineRule="auto"/>
              <w:jc w:val="center"/>
              <w:rPr>
                <w:rFonts w:eastAsiaTheme="minorEastAsia"/>
                <w:color w:val="000000" w:themeColor="text1"/>
                <w:szCs w:val="21"/>
              </w:rPr>
            </w:pPr>
          </w:p>
        </w:tc>
        <w:tc>
          <w:tcPr>
            <w:tcW w:w="9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中文</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JF</w:t>
            </w:r>
            <w:r w:rsidRPr="00E60957">
              <w:rPr>
                <w:rFonts w:eastAsiaTheme="minorEastAsia"/>
                <w:color w:val="000000" w:themeColor="text1"/>
                <w:szCs w:val="21"/>
              </w:rPr>
              <w:t>资产管理有限公司</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香港上海汇丰银行有限公司</w:t>
            </w:r>
          </w:p>
        </w:tc>
      </w:tr>
      <w:tr w:rsidR="00E60957" w:rsidRPr="00E60957" w:rsidTr="00473704">
        <w:tc>
          <w:tcPr>
            <w:tcW w:w="18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注册地址</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香港中环干诺道中</w:t>
            </w:r>
            <w:r w:rsidRPr="00E60957">
              <w:rPr>
                <w:rFonts w:eastAsiaTheme="minorEastAsia"/>
                <w:color w:val="000000" w:themeColor="text1"/>
                <w:szCs w:val="21"/>
              </w:rPr>
              <w:t xml:space="preserve"> 8 </w:t>
            </w:r>
            <w:r w:rsidRPr="00E60957">
              <w:rPr>
                <w:rFonts w:eastAsiaTheme="minorEastAsia"/>
                <w:color w:val="000000" w:themeColor="text1"/>
                <w:szCs w:val="21"/>
              </w:rPr>
              <w:t>号遮打大厦</w:t>
            </w:r>
            <w:r w:rsidRPr="00E60957">
              <w:rPr>
                <w:rFonts w:eastAsiaTheme="minorEastAsia"/>
                <w:color w:val="000000" w:themeColor="text1"/>
                <w:szCs w:val="21"/>
              </w:rPr>
              <w:t xml:space="preserve"> 21 </w:t>
            </w:r>
            <w:r w:rsidRPr="00E60957">
              <w:rPr>
                <w:rFonts w:eastAsiaTheme="minorEastAsia"/>
                <w:color w:val="000000" w:themeColor="text1"/>
                <w:szCs w:val="21"/>
              </w:rPr>
              <w:t>楼</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香港中环皇后大道中一号汇丰总行大厦</w:t>
            </w:r>
            <w:r w:rsidRPr="00E60957">
              <w:rPr>
                <w:rFonts w:eastAsiaTheme="minorEastAsia"/>
                <w:color w:val="000000" w:themeColor="text1"/>
                <w:szCs w:val="21"/>
              </w:rPr>
              <w:t xml:space="preserve"> </w:t>
            </w:r>
          </w:p>
        </w:tc>
      </w:tr>
      <w:tr w:rsidR="00E60957" w:rsidRPr="00E60957" w:rsidTr="00473704">
        <w:tc>
          <w:tcPr>
            <w:tcW w:w="18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办公地址</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香港中环干诺道中</w:t>
            </w:r>
            <w:r w:rsidRPr="00E60957">
              <w:rPr>
                <w:rFonts w:eastAsiaTheme="minorEastAsia"/>
                <w:color w:val="000000" w:themeColor="text1"/>
                <w:szCs w:val="21"/>
              </w:rPr>
              <w:t xml:space="preserve"> 8 </w:t>
            </w:r>
            <w:r w:rsidRPr="00E60957">
              <w:rPr>
                <w:rFonts w:eastAsiaTheme="minorEastAsia"/>
                <w:color w:val="000000" w:themeColor="text1"/>
                <w:szCs w:val="21"/>
              </w:rPr>
              <w:t>号遮打大厦</w:t>
            </w:r>
            <w:r w:rsidRPr="00E60957">
              <w:rPr>
                <w:rFonts w:eastAsiaTheme="minorEastAsia"/>
                <w:color w:val="000000" w:themeColor="text1"/>
                <w:szCs w:val="21"/>
              </w:rPr>
              <w:t xml:space="preserve"> 21 </w:t>
            </w:r>
            <w:r w:rsidRPr="00E60957">
              <w:rPr>
                <w:rFonts w:eastAsiaTheme="minorEastAsia"/>
                <w:color w:val="000000" w:themeColor="text1"/>
                <w:szCs w:val="21"/>
              </w:rPr>
              <w:t>楼</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香港九龙深旺道一号</w:t>
            </w:r>
            <w:r w:rsidRPr="00E60957">
              <w:rPr>
                <w:rFonts w:eastAsiaTheme="minorEastAsia"/>
                <w:color w:val="000000" w:themeColor="text1"/>
                <w:szCs w:val="21"/>
              </w:rPr>
              <w:t xml:space="preserve">, </w:t>
            </w:r>
            <w:r w:rsidRPr="00E60957">
              <w:rPr>
                <w:rFonts w:eastAsiaTheme="minorEastAsia"/>
                <w:color w:val="000000" w:themeColor="text1"/>
                <w:szCs w:val="21"/>
              </w:rPr>
              <w:t>汇丰中心一座六楼</w:t>
            </w:r>
          </w:p>
        </w:tc>
      </w:tr>
      <w:tr w:rsidR="00E60957" w:rsidRPr="00E60957" w:rsidTr="00473704">
        <w:tc>
          <w:tcPr>
            <w:tcW w:w="18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邮政编码</w:t>
            </w:r>
          </w:p>
        </w:tc>
        <w:tc>
          <w:tcPr>
            <w:tcW w:w="3600" w:type="dxa"/>
            <w:vAlign w:val="center"/>
          </w:tcPr>
          <w:p w:rsidR="007B62FA" w:rsidRPr="00E60957" w:rsidRDefault="009419AE" w:rsidP="009419AE">
            <w:pPr>
              <w:spacing w:line="360" w:lineRule="auto"/>
              <w:rPr>
                <w:rFonts w:eastAsiaTheme="minorEastAsia"/>
                <w:color w:val="000000" w:themeColor="text1"/>
                <w:szCs w:val="21"/>
              </w:rPr>
            </w:pPr>
            <w:r w:rsidRPr="00E60957">
              <w:rPr>
                <w:rFonts w:eastAsiaTheme="minorEastAsia"/>
                <w:color w:val="000000" w:themeColor="text1"/>
                <w:szCs w:val="21"/>
              </w:rPr>
              <w:t>-</w:t>
            </w:r>
          </w:p>
        </w:tc>
        <w:tc>
          <w:tcPr>
            <w:tcW w:w="3600" w:type="dxa"/>
            <w:vAlign w:val="center"/>
          </w:tcPr>
          <w:p w:rsidR="007B62FA" w:rsidRPr="00E60957" w:rsidRDefault="007B62FA" w:rsidP="00FD137B">
            <w:pPr>
              <w:spacing w:line="360" w:lineRule="auto"/>
              <w:rPr>
                <w:rFonts w:eastAsiaTheme="minorEastAsia"/>
                <w:color w:val="000000" w:themeColor="text1"/>
                <w:szCs w:val="21"/>
              </w:rPr>
            </w:pPr>
            <w:r w:rsidRPr="00E60957">
              <w:rPr>
                <w:rFonts w:eastAsiaTheme="minorEastAsia"/>
                <w:color w:val="000000" w:themeColor="text1"/>
                <w:szCs w:val="21"/>
              </w:rPr>
              <w:t>-</w:t>
            </w:r>
          </w:p>
        </w:tc>
      </w:tr>
    </w:tbl>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54" w:name="_Toc225498248"/>
      <w:bookmarkStart w:id="55" w:name="_Toc352255965"/>
      <w:bookmarkStart w:id="56" w:name="_Toc352256033"/>
      <w:bookmarkStart w:id="57" w:name="_Toc352331211"/>
      <w:bookmarkStart w:id="58" w:name="_Toc362423989"/>
      <w:bookmarkStart w:id="59" w:name="_Toc374459251"/>
      <w:r w:rsidRPr="00E60957">
        <w:rPr>
          <w:rFonts w:ascii="Times New Roman" w:eastAsiaTheme="minorEastAsia" w:hAnsi="Times New Roman"/>
          <w:color w:val="000000" w:themeColor="text1"/>
          <w:kern w:val="0"/>
          <w:sz w:val="21"/>
          <w:szCs w:val="21"/>
        </w:rPr>
        <w:t xml:space="preserve">2.5 </w:t>
      </w:r>
      <w:r w:rsidRPr="00E60957">
        <w:rPr>
          <w:rFonts w:ascii="Times New Roman" w:eastAsiaTheme="minorEastAsia" w:hAnsi="Times New Roman"/>
          <w:color w:val="000000" w:themeColor="text1"/>
          <w:kern w:val="0"/>
          <w:sz w:val="21"/>
          <w:szCs w:val="21"/>
        </w:rPr>
        <w:t>信息披露方式</w:t>
      </w:r>
      <w:bookmarkEnd w:id="54"/>
      <w:bookmarkEnd w:id="55"/>
      <w:bookmarkEnd w:id="56"/>
      <w:bookmarkEnd w:id="57"/>
      <w:bookmarkEnd w:id="58"/>
      <w:bookmarkEnd w:id="5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60957" w:rsidRPr="00E60957" w:rsidTr="009604A0">
        <w:tc>
          <w:tcPr>
            <w:tcW w:w="3686" w:type="dxa"/>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登载基金年度报告正文的管理人互联网网址</w:t>
            </w:r>
          </w:p>
        </w:tc>
        <w:tc>
          <w:tcPr>
            <w:tcW w:w="5314"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http://www.cifm.com</w:t>
            </w:r>
          </w:p>
        </w:tc>
      </w:tr>
      <w:tr w:rsidR="00E60957" w:rsidRPr="00E60957" w:rsidTr="009604A0">
        <w:tc>
          <w:tcPr>
            <w:tcW w:w="3686" w:type="dxa"/>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基金年度报告备置地点</w:t>
            </w:r>
          </w:p>
        </w:tc>
        <w:tc>
          <w:tcPr>
            <w:tcW w:w="5314" w:type="dxa"/>
            <w:vAlign w:val="center"/>
          </w:tcPr>
          <w:p w:rsidR="007B62FA" w:rsidRPr="00E60957" w:rsidRDefault="007B62FA" w:rsidP="00417F87">
            <w:pPr>
              <w:tabs>
                <w:tab w:val="left" w:pos="1740"/>
              </w:tabs>
              <w:spacing w:line="360" w:lineRule="auto"/>
              <w:rPr>
                <w:rFonts w:eastAsiaTheme="minorEastAsia"/>
                <w:color w:val="000000" w:themeColor="text1"/>
                <w:szCs w:val="21"/>
              </w:rPr>
            </w:pPr>
            <w:r w:rsidRPr="00E60957">
              <w:rPr>
                <w:rFonts w:eastAsiaTheme="minorEastAsia"/>
                <w:color w:val="000000" w:themeColor="text1"/>
                <w:szCs w:val="21"/>
              </w:rPr>
              <w:t>基金管理人、基金托管人的办公场所</w:t>
            </w:r>
          </w:p>
        </w:tc>
      </w:tr>
    </w:tbl>
    <w:p w:rsidR="007B62FA" w:rsidRPr="00E60957" w:rsidRDefault="007B62FA" w:rsidP="009C3167">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60" w:name="_Toc352255967"/>
      <w:bookmarkStart w:id="61" w:name="_Toc352256035"/>
      <w:bookmarkStart w:id="62" w:name="_Toc352331213"/>
      <w:bookmarkStart w:id="63" w:name="_Toc362423991"/>
      <w:bookmarkStart w:id="64" w:name="_Toc374459253"/>
      <w:r w:rsidRPr="00E60957">
        <w:rPr>
          <w:rFonts w:eastAsiaTheme="minorEastAsia"/>
          <w:b/>
          <w:bCs/>
          <w:color w:val="000000" w:themeColor="text1"/>
          <w:sz w:val="21"/>
          <w:szCs w:val="21"/>
          <w:lang w:val="en-US"/>
        </w:rPr>
        <w:t>§</w:t>
      </w:r>
      <w:r w:rsidR="003E5E48" w:rsidRPr="00E60957">
        <w:rPr>
          <w:rFonts w:eastAsiaTheme="minorEastAsia"/>
          <w:b/>
          <w:bCs/>
          <w:color w:val="000000" w:themeColor="text1"/>
          <w:sz w:val="21"/>
          <w:szCs w:val="21"/>
          <w:lang w:val="en-US"/>
        </w:rPr>
        <w:t>3</w:t>
      </w:r>
      <w:r w:rsidR="003E5E48" w:rsidRPr="00E60957">
        <w:rPr>
          <w:rFonts w:eastAsiaTheme="minorEastAsia"/>
          <w:b/>
          <w:bCs/>
          <w:color w:val="000000" w:themeColor="text1"/>
          <w:sz w:val="21"/>
          <w:szCs w:val="21"/>
          <w:lang w:val="en-US"/>
        </w:rPr>
        <w:tab/>
        <w:t xml:space="preserve">  </w:t>
      </w:r>
      <w:r w:rsidRPr="00E60957">
        <w:rPr>
          <w:rFonts w:eastAsiaTheme="minorEastAsia"/>
          <w:b/>
          <w:bCs/>
          <w:color w:val="000000" w:themeColor="text1"/>
          <w:sz w:val="21"/>
          <w:szCs w:val="21"/>
          <w:lang w:val="en-US"/>
        </w:rPr>
        <w:t>主要财务指标、基金净值表现及利润分配情况</w:t>
      </w:r>
      <w:bookmarkEnd w:id="60"/>
      <w:bookmarkEnd w:id="61"/>
      <w:bookmarkEnd w:id="62"/>
      <w:bookmarkEnd w:id="63"/>
      <w:bookmarkEnd w:id="64"/>
    </w:p>
    <w:p w:rsidR="007B62FA" w:rsidRPr="00E60957" w:rsidRDefault="007B62FA" w:rsidP="00D21507">
      <w:pPr>
        <w:pStyle w:val="20"/>
        <w:spacing w:before="0" w:after="0"/>
        <w:rPr>
          <w:rFonts w:ascii="Times New Roman" w:eastAsiaTheme="minorEastAsia" w:hAnsi="Times New Roman"/>
          <w:color w:val="000000" w:themeColor="text1"/>
          <w:kern w:val="0"/>
          <w:sz w:val="21"/>
          <w:szCs w:val="21"/>
        </w:rPr>
      </w:pPr>
      <w:bookmarkStart w:id="65" w:name="_Toc286996129"/>
      <w:bookmarkStart w:id="66" w:name="_Toc352255968"/>
      <w:bookmarkStart w:id="67" w:name="_Toc352256036"/>
      <w:bookmarkStart w:id="68" w:name="_Toc352331214"/>
      <w:bookmarkStart w:id="69" w:name="_Toc362423992"/>
      <w:bookmarkStart w:id="70" w:name="_Toc374459254"/>
      <w:r w:rsidRPr="00E60957">
        <w:rPr>
          <w:rFonts w:ascii="Times New Roman" w:eastAsiaTheme="minorEastAsia" w:hAnsi="Times New Roman"/>
          <w:color w:val="000000" w:themeColor="text1"/>
          <w:kern w:val="0"/>
          <w:sz w:val="21"/>
          <w:szCs w:val="21"/>
        </w:rPr>
        <w:t xml:space="preserve">3.1 </w:t>
      </w:r>
      <w:r w:rsidRPr="00E60957">
        <w:rPr>
          <w:rFonts w:ascii="Times New Roman" w:eastAsiaTheme="minorEastAsia" w:hAnsi="Times New Roman"/>
          <w:color w:val="000000" w:themeColor="text1"/>
          <w:kern w:val="0"/>
          <w:sz w:val="21"/>
          <w:szCs w:val="21"/>
        </w:rPr>
        <w:t>主要会计数据和财务指标</w:t>
      </w:r>
      <w:bookmarkEnd w:id="65"/>
      <w:bookmarkEnd w:id="66"/>
      <w:bookmarkEnd w:id="67"/>
      <w:bookmarkEnd w:id="68"/>
      <w:bookmarkEnd w:id="69"/>
      <w:bookmarkEnd w:id="70"/>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金额单位：人民币元</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5"/>
        <w:gridCol w:w="2303"/>
        <w:gridCol w:w="2303"/>
        <w:gridCol w:w="2305"/>
      </w:tblGrid>
      <w:tr w:rsidR="00E60957" w:rsidRPr="00E60957" w:rsidTr="00E70468">
        <w:trPr>
          <w:trHeight w:val="487"/>
        </w:trPr>
        <w:tc>
          <w:tcPr>
            <w:tcW w:w="1279" w:type="pct"/>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 xml:space="preserve">3.1.1 </w:t>
            </w:r>
            <w:r w:rsidRPr="00E60957">
              <w:rPr>
                <w:rFonts w:eastAsiaTheme="minorEastAsia"/>
                <w:b/>
                <w:color w:val="000000" w:themeColor="text1"/>
                <w:szCs w:val="21"/>
              </w:rPr>
              <w:t>期间数据和指标</w:t>
            </w:r>
          </w:p>
        </w:tc>
        <w:tc>
          <w:tcPr>
            <w:tcW w:w="1240" w:type="pc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2018</w:t>
            </w:r>
            <w:r w:rsidRPr="00E60957">
              <w:rPr>
                <w:rFonts w:eastAsiaTheme="minorEastAsia"/>
                <w:b/>
                <w:color w:val="000000" w:themeColor="text1"/>
                <w:szCs w:val="21"/>
              </w:rPr>
              <w:t>年</w:t>
            </w:r>
          </w:p>
        </w:tc>
        <w:tc>
          <w:tcPr>
            <w:tcW w:w="1240" w:type="pc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2017</w:t>
            </w:r>
            <w:r w:rsidRPr="00E60957">
              <w:rPr>
                <w:rFonts w:eastAsiaTheme="minorEastAsia"/>
                <w:b/>
                <w:color w:val="000000" w:themeColor="text1"/>
                <w:szCs w:val="21"/>
              </w:rPr>
              <w:t>年</w:t>
            </w:r>
          </w:p>
        </w:tc>
        <w:tc>
          <w:tcPr>
            <w:tcW w:w="1241" w:type="pc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2016</w:t>
            </w:r>
            <w:r w:rsidRPr="00E60957">
              <w:rPr>
                <w:rFonts w:eastAsiaTheme="minorEastAsia"/>
                <w:b/>
                <w:color w:val="000000" w:themeColor="text1"/>
                <w:szCs w:val="21"/>
              </w:rPr>
              <w:t>年</w:t>
            </w:r>
            <w:r w:rsidRPr="00E60957">
              <w:rPr>
                <w:rFonts w:eastAsiaTheme="minorEastAsia"/>
                <w:b/>
                <w:color w:val="000000" w:themeColor="text1"/>
                <w:szCs w:val="21"/>
              </w:rPr>
              <w:t>12</w:t>
            </w:r>
            <w:r w:rsidRPr="00E60957">
              <w:rPr>
                <w:rFonts w:eastAsiaTheme="minorEastAsia"/>
                <w:b/>
                <w:color w:val="000000" w:themeColor="text1"/>
                <w:szCs w:val="21"/>
              </w:rPr>
              <w:t>月</w:t>
            </w:r>
            <w:r w:rsidRPr="00E60957">
              <w:rPr>
                <w:rFonts w:eastAsiaTheme="minorEastAsia"/>
                <w:b/>
                <w:color w:val="000000" w:themeColor="text1"/>
                <w:szCs w:val="21"/>
              </w:rPr>
              <w:t>19</w:t>
            </w:r>
            <w:r w:rsidRPr="00E60957">
              <w:rPr>
                <w:rFonts w:eastAsiaTheme="minorEastAsia"/>
                <w:b/>
                <w:color w:val="000000" w:themeColor="text1"/>
                <w:szCs w:val="21"/>
              </w:rPr>
              <w:t>日（基金合同生效日）至</w:t>
            </w:r>
            <w:r w:rsidRPr="00E60957">
              <w:rPr>
                <w:rFonts w:eastAsiaTheme="minorEastAsia"/>
                <w:b/>
                <w:color w:val="000000" w:themeColor="text1"/>
                <w:szCs w:val="21"/>
              </w:rPr>
              <w:t>2016</w:t>
            </w:r>
            <w:r w:rsidRPr="00E60957">
              <w:rPr>
                <w:rFonts w:eastAsiaTheme="minorEastAsia"/>
                <w:b/>
                <w:color w:val="000000" w:themeColor="text1"/>
                <w:szCs w:val="21"/>
              </w:rPr>
              <w:t>年</w:t>
            </w:r>
            <w:r w:rsidRPr="00E60957">
              <w:rPr>
                <w:rFonts w:eastAsiaTheme="minorEastAsia"/>
                <w:b/>
                <w:color w:val="000000" w:themeColor="text1"/>
                <w:szCs w:val="21"/>
              </w:rPr>
              <w:t>12</w:t>
            </w:r>
            <w:r w:rsidRPr="00E60957">
              <w:rPr>
                <w:rFonts w:eastAsiaTheme="minorEastAsia"/>
                <w:b/>
                <w:color w:val="000000" w:themeColor="text1"/>
                <w:szCs w:val="21"/>
              </w:rPr>
              <w:t>月</w:t>
            </w:r>
            <w:r w:rsidRPr="00E60957">
              <w:rPr>
                <w:rFonts w:eastAsiaTheme="minorEastAsia"/>
                <w:b/>
                <w:color w:val="000000" w:themeColor="text1"/>
                <w:szCs w:val="21"/>
              </w:rPr>
              <w:t>31</w:t>
            </w:r>
            <w:r w:rsidRPr="00E60957">
              <w:rPr>
                <w:rFonts w:eastAsiaTheme="minorEastAsia"/>
                <w:b/>
                <w:color w:val="000000" w:themeColor="text1"/>
                <w:szCs w:val="21"/>
              </w:rPr>
              <w:t>日</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本期已实现收益</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40,677,644.01</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-14,692,924.49</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603,072.51</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本期利润</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-34,291,983.08</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82,467,217.90</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-221,378.40</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加权平均基金份额本期利润</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-0.0392</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0.1177</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-0.0007</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本期基金份额净值增长率</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-3.29%</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12.41%</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-0.10%</w:t>
            </w:r>
          </w:p>
        </w:tc>
      </w:tr>
      <w:tr w:rsidR="00E60957" w:rsidRPr="00E60957" w:rsidTr="00E70468">
        <w:tc>
          <w:tcPr>
            <w:tcW w:w="1279" w:type="pct"/>
            <w:vAlign w:val="center"/>
          </w:tcPr>
          <w:p w:rsidR="00947254" w:rsidRPr="00E60957" w:rsidRDefault="00947254" w:rsidP="00417F87">
            <w:pPr>
              <w:spacing w:line="360" w:lineRule="auto"/>
              <w:rPr>
                <w:rFonts w:eastAsiaTheme="minorEastAsia"/>
                <w:b/>
                <w:color w:val="000000" w:themeColor="text1"/>
                <w:szCs w:val="21"/>
              </w:rPr>
            </w:pPr>
            <w:r w:rsidRPr="00E60957">
              <w:rPr>
                <w:rFonts w:eastAsiaTheme="minorEastAsia"/>
                <w:b/>
                <w:color w:val="000000" w:themeColor="text1"/>
                <w:szCs w:val="21"/>
              </w:rPr>
              <w:t xml:space="preserve">3.1.2 </w:t>
            </w:r>
            <w:r w:rsidRPr="00E60957">
              <w:rPr>
                <w:rFonts w:eastAsiaTheme="minorEastAsia"/>
                <w:b/>
                <w:color w:val="000000" w:themeColor="text1"/>
                <w:szCs w:val="21"/>
              </w:rPr>
              <w:t>期末数据和指标</w:t>
            </w:r>
          </w:p>
        </w:tc>
        <w:tc>
          <w:tcPr>
            <w:tcW w:w="1240" w:type="pct"/>
            <w:vAlign w:val="center"/>
          </w:tcPr>
          <w:p w:rsidR="00947254" w:rsidRPr="00E60957" w:rsidRDefault="0098537C"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2018</w:t>
            </w:r>
            <w:r w:rsidR="00447C32" w:rsidRPr="00E60957">
              <w:rPr>
                <w:rFonts w:eastAsiaTheme="minorEastAsia"/>
                <w:b/>
                <w:color w:val="000000" w:themeColor="text1"/>
                <w:szCs w:val="21"/>
              </w:rPr>
              <w:t>年</w:t>
            </w:r>
            <w:r w:rsidR="00947254" w:rsidRPr="00E60957">
              <w:rPr>
                <w:rFonts w:eastAsiaTheme="minorEastAsia"/>
                <w:b/>
                <w:color w:val="000000" w:themeColor="text1"/>
                <w:szCs w:val="21"/>
              </w:rPr>
              <w:t>末</w:t>
            </w:r>
          </w:p>
        </w:tc>
        <w:tc>
          <w:tcPr>
            <w:tcW w:w="1240" w:type="pct"/>
            <w:vAlign w:val="center"/>
          </w:tcPr>
          <w:p w:rsidR="00947254" w:rsidRPr="00E60957" w:rsidRDefault="0098537C"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2017</w:t>
            </w:r>
            <w:r w:rsidR="00447C32" w:rsidRPr="00E60957">
              <w:rPr>
                <w:rFonts w:eastAsiaTheme="minorEastAsia"/>
                <w:b/>
                <w:color w:val="000000" w:themeColor="text1"/>
                <w:szCs w:val="21"/>
              </w:rPr>
              <w:t>年</w:t>
            </w:r>
            <w:r w:rsidR="00947254" w:rsidRPr="00E60957">
              <w:rPr>
                <w:rFonts w:eastAsiaTheme="minorEastAsia"/>
                <w:b/>
                <w:color w:val="000000" w:themeColor="text1"/>
                <w:szCs w:val="21"/>
              </w:rPr>
              <w:t>末</w:t>
            </w:r>
          </w:p>
        </w:tc>
        <w:tc>
          <w:tcPr>
            <w:tcW w:w="1241" w:type="pct"/>
            <w:vAlign w:val="center"/>
          </w:tcPr>
          <w:p w:rsidR="00947254" w:rsidRPr="00E60957" w:rsidRDefault="0098537C" w:rsidP="008D3656">
            <w:pPr>
              <w:spacing w:line="360" w:lineRule="auto"/>
              <w:jc w:val="center"/>
              <w:rPr>
                <w:rFonts w:eastAsiaTheme="minorEastAsia"/>
                <w:b/>
                <w:color w:val="000000" w:themeColor="text1"/>
                <w:szCs w:val="21"/>
              </w:rPr>
            </w:pPr>
            <w:r w:rsidRPr="00E60957">
              <w:rPr>
                <w:rFonts w:eastAsiaTheme="minorEastAsia"/>
                <w:b/>
                <w:color w:val="000000" w:themeColor="text1"/>
                <w:szCs w:val="21"/>
              </w:rPr>
              <w:t>2016</w:t>
            </w:r>
            <w:r w:rsidR="00447C32" w:rsidRPr="00E60957">
              <w:rPr>
                <w:rFonts w:eastAsiaTheme="minorEastAsia"/>
                <w:b/>
                <w:color w:val="000000" w:themeColor="text1"/>
                <w:szCs w:val="21"/>
              </w:rPr>
              <w:t>年</w:t>
            </w:r>
            <w:r w:rsidR="00947254" w:rsidRPr="00E60957">
              <w:rPr>
                <w:rFonts w:eastAsiaTheme="minorEastAsia"/>
                <w:b/>
                <w:color w:val="000000" w:themeColor="text1"/>
                <w:szCs w:val="21"/>
              </w:rPr>
              <w:t>末</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lastRenderedPageBreak/>
              <w:t>期末可供分配基金份额利润</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0.0863</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0.1229</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-0.0007</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期末基金资产净值</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766,154,877.88</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1,122,411,478.75</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310,134,350.11</w:t>
            </w:r>
          </w:p>
        </w:tc>
      </w:tr>
      <w:tr w:rsidR="00E60957" w:rsidRPr="00E60957" w:rsidTr="00E70468">
        <w:tc>
          <w:tcPr>
            <w:tcW w:w="1279" w:type="pct"/>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期末基金份额净值</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1.086</w:t>
            </w:r>
          </w:p>
        </w:tc>
        <w:tc>
          <w:tcPr>
            <w:tcW w:w="1240"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1.123</w:t>
            </w:r>
          </w:p>
        </w:tc>
        <w:tc>
          <w:tcPr>
            <w:tcW w:w="1241" w:type="pct"/>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0.999</w:t>
            </w:r>
          </w:p>
        </w:tc>
      </w:tr>
    </w:tbl>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w:t>
      </w:r>
      <w:r w:rsidRPr="00E60957">
        <w:rPr>
          <w:rFonts w:eastAsiaTheme="minorEastAsia"/>
          <w:color w:val="000000" w:themeColor="text1"/>
          <w:kern w:val="0"/>
          <w:szCs w:val="21"/>
        </w:rPr>
        <w:t>1.</w:t>
      </w:r>
      <w:r w:rsidRPr="00E60957">
        <w:rPr>
          <w:rFonts w:eastAsiaTheme="minorEastAsia"/>
          <w:color w:val="000000" w:themeColor="text1"/>
          <w:kern w:val="0"/>
          <w:szCs w:val="21"/>
        </w:rPr>
        <w:t>本期已实现收益指基金本期利息收入、投资收益、其他收入（不含公允价值变动收益）扣除相关费用后的余额，本期利润为本期已实现收益加上本期公允价值变动收益。对期末可供分配利润，采用期末资产负债表中未分配利润与未分配利润中已实现部分的孰低数。</w:t>
      </w:r>
      <w:r w:rsidRPr="00E60957">
        <w:rPr>
          <w:rFonts w:eastAsiaTheme="minorEastAsia"/>
          <w:color w:val="000000" w:themeColor="text1"/>
          <w:kern w:val="0"/>
          <w:szCs w:val="21"/>
        </w:rPr>
        <w:t xml:space="preserve"> 2.</w:t>
      </w:r>
      <w:r w:rsidRPr="00E60957">
        <w:rPr>
          <w:rFonts w:eastAsiaTheme="minorEastAsia"/>
          <w:color w:val="000000" w:themeColor="text1"/>
          <w:kern w:val="0"/>
          <w:szCs w:val="21"/>
        </w:rPr>
        <w:t>上述基金业绩指标不包括持有人认购或交易基金的各项费用（例如，开放式基金的申购赎回费、红利再投资费、基金转换费等），计入费用后实际收益水平要低于所列数字。</w:t>
      </w:r>
    </w:p>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71" w:name="_Toc225498252"/>
      <w:bookmarkStart w:id="72" w:name="_Toc352255969"/>
      <w:bookmarkStart w:id="73" w:name="_Toc352256037"/>
      <w:bookmarkStart w:id="74" w:name="_Toc352331215"/>
      <w:bookmarkStart w:id="75" w:name="_Toc362423993"/>
      <w:bookmarkStart w:id="76" w:name="_Toc374459255"/>
      <w:r w:rsidRPr="00E60957">
        <w:rPr>
          <w:rFonts w:ascii="Times New Roman" w:eastAsiaTheme="minorEastAsia" w:hAnsi="Times New Roman"/>
          <w:color w:val="000000" w:themeColor="text1"/>
          <w:kern w:val="0"/>
          <w:sz w:val="21"/>
          <w:szCs w:val="21"/>
        </w:rPr>
        <w:t xml:space="preserve">3.2 </w:t>
      </w:r>
      <w:r w:rsidRPr="00E60957">
        <w:rPr>
          <w:rFonts w:ascii="Times New Roman" w:eastAsiaTheme="minorEastAsia" w:hAnsi="Times New Roman"/>
          <w:color w:val="000000" w:themeColor="text1"/>
          <w:kern w:val="0"/>
          <w:sz w:val="21"/>
          <w:szCs w:val="21"/>
        </w:rPr>
        <w:t>基金净值表现</w:t>
      </w:r>
      <w:bookmarkEnd w:id="71"/>
      <w:bookmarkEnd w:id="72"/>
      <w:bookmarkEnd w:id="73"/>
      <w:bookmarkEnd w:id="74"/>
      <w:bookmarkEnd w:id="75"/>
      <w:bookmarkEnd w:id="76"/>
    </w:p>
    <w:p w:rsidR="007B62FA" w:rsidRPr="00E60957" w:rsidRDefault="007B62FA" w:rsidP="00D2150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 xml:space="preserve">3.2.1 </w:t>
      </w:r>
      <w:r w:rsidRPr="00E60957">
        <w:rPr>
          <w:rFonts w:eastAsiaTheme="minorEastAsia"/>
          <w:b/>
          <w:color w:val="000000" w:themeColor="text1"/>
          <w:kern w:val="0"/>
          <w:szCs w:val="21"/>
        </w:rPr>
        <w:t>基金份额净值增长率及其与同期业绩比较基准收益率的比较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206"/>
        <w:gridCol w:w="1154"/>
        <w:gridCol w:w="1207"/>
        <w:gridCol w:w="1155"/>
        <w:gridCol w:w="1175"/>
        <w:gridCol w:w="1155"/>
      </w:tblGrid>
      <w:tr w:rsidR="00E60957" w:rsidRPr="00E60957" w:rsidTr="000372BC">
        <w:tc>
          <w:tcPr>
            <w:tcW w:w="1893"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阶段</w:t>
            </w:r>
          </w:p>
        </w:tc>
        <w:tc>
          <w:tcPr>
            <w:tcW w:w="1237"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份额净值增长率</w:t>
            </w:r>
            <w:r w:rsidRPr="00E60957">
              <w:rPr>
                <w:rFonts w:ascii="宋体" w:hAnsi="宋体" w:cs="宋体" w:hint="eastAsia"/>
                <w:color w:val="000000" w:themeColor="text1"/>
                <w:szCs w:val="21"/>
              </w:rPr>
              <w:t>①</w:t>
            </w:r>
          </w:p>
        </w:tc>
        <w:tc>
          <w:tcPr>
            <w:tcW w:w="119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份额净值增长率标准差</w:t>
            </w:r>
            <w:r w:rsidRPr="00E60957">
              <w:rPr>
                <w:rFonts w:ascii="宋体" w:hAnsi="宋体" w:cs="宋体" w:hint="eastAsia"/>
                <w:color w:val="000000" w:themeColor="text1"/>
                <w:szCs w:val="21"/>
              </w:rPr>
              <w:t>②</w:t>
            </w:r>
          </w:p>
        </w:tc>
        <w:tc>
          <w:tcPr>
            <w:tcW w:w="123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业绩比较基准收益率</w:t>
            </w:r>
            <w:r w:rsidRPr="00E60957">
              <w:rPr>
                <w:rFonts w:ascii="宋体" w:hAnsi="宋体" w:cs="宋体" w:hint="eastAsia"/>
                <w:color w:val="000000" w:themeColor="text1"/>
                <w:szCs w:val="21"/>
              </w:rPr>
              <w:t>③</w:t>
            </w:r>
          </w:p>
        </w:tc>
        <w:tc>
          <w:tcPr>
            <w:tcW w:w="1199"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业绩比较基准收益率标准差</w:t>
            </w:r>
            <w:r w:rsidRPr="00E60957">
              <w:rPr>
                <w:rFonts w:ascii="宋体" w:hAnsi="宋体" w:cs="宋体" w:hint="eastAsia"/>
                <w:color w:val="000000" w:themeColor="text1"/>
                <w:szCs w:val="21"/>
              </w:rPr>
              <w:t>④</w:t>
            </w:r>
          </w:p>
        </w:tc>
        <w:tc>
          <w:tcPr>
            <w:tcW w:w="1214"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ascii="宋体" w:hAnsi="宋体" w:cs="宋体" w:hint="eastAsia"/>
                <w:color w:val="000000" w:themeColor="text1"/>
                <w:szCs w:val="21"/>
              </w:rPr>
              <w:t>①</w:t>
            </w:r>
            <w:r w:rsidRPr="00E60957">
              <w:rPr>
                <w:rFonts w:eastAsiaTheme="minorEastAsia"/>
                <w:color w:val="000000" w:themeColor="text1"/>
                <w:szCs w:val="21"/>
              </w:rPr>
              <w:t>－</w:t>
            </w:r>
            <w:r w:rsidRPr="00E60957">
              <w:rPr>
                <w:rFonts w:ascii="宋体" w:hAnsi="宋体" w:cs="宋体" w:hint="eastAsia"/>
                <w:color w:val="000000" w:themeColor="text1"/>
                <w:szCs w:val="21"/>
              </w:rPr>
              <w:t>③</w:t>
            </w:r>
          </w:p>
        </w:tc>
        <w:tc>
          <w:tcPr>
            <w:tcW w:w="1199"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ascii="宋体" w:hAnsi="宋体" w:cs="宋体" w:hint="eastAsia"/>
                <w:color w:val="000000" w:themeColor="text1"/>
                <w:szCs w:val="21"/>
              </w:rPr>
              <w:t>②</w:t>
            </w:r>
            <w:r w:rsidRPr="00E60957">
              <w:rPr>
                <w:rFonts w:eastAsiaTheme="minorEastAsia"/>
                <w:color w:val="000000" w:themeColor="text1"/>
                <w:szCs w:val="21"/>
              </w:rPr>
              <w:t>－</w:t>
            </w:r>
            <w:r w:rsidRPr="00E60957">
              <w:rPr>
                <w:rFonts w:ascii="宋体" w:hAnsi="宋体" w:cs="宋体" w:hint="eastAsia"/>
                <w:color w:val="000000" w:themeColor="text1"/>
                <w:szCs w:val="21"/>
              </w:rPr>
              <w:t>④</w:t>
            </w:r>
          </w:p>
        </w:tc>
      </w:tr>
      <w:tr w:rsidR="00E33B47">
        <w:tc>
          <w:tcPr>
            <w:tcW w:w="0" w:type="auto"/>
            <w:vAlign w:val="center"/>
          </w:tcPr>
          <w:p w:rsidR="00E33B47" w:rsidRDefault="00B95AF3">
            <w:pPr>
              <w:jc w:val="left"/>
            </w:pPr>
            <w:r>
              <w:rPr>
                <w:rFonts w:eastAsiaTheme="minorEastAsia"/>
                <w:color w:val="000000" w:themeColor="text1"/>
                <w:szCs w:val="21"/>
              </w:rPr>
              <w:t>过去三个月</w:t>
            </w:r>
          </w:p>
        </w:tc>
        <w:tc>
          <w:tcPr>
            <w:tcW w:w="0" w:type="auto"/>
            <w:vAlign w:val="center"/>
          </w:tcPr>
          <w:p w:rsidR="00E33B47" w:rsidRDefault="00B95AF3">
            <w:pPr>
              <w:jc w:val="center"/>
            </w:pPr>
            <w:r>
              <w:rPr>
                <w:rFonts w:eastAsiaTheme="minorEastAsia"/>
                <w:color w:val="000000" w:themeColor="text1"/>
                <w:szCs w:val="21"/>
              </w:rPr>
              <w:t>-10.84%</w:t>
            </w:r>
          </w:p>
        </w:tc>
        <w:tc>
          <w:tcPr>
            <w:tcW w:w="0" w:type="auto"/>
            <w:vAlign w:val="center"/>
          </w:tcPr>
          <w:p w:rsidR="00E33B47" w:rsidRDefault="00B95AF3">
            <w:pPr>
              <w:jc w:val="center"/>
            </w:pPr>
            <w:r>
              <w:rPr>
                <w:rFonts w:eastAsiaTheme="minorEastAsia"/>
                <w:color w:val="000000" w:themeColor="text1"/>
                <w:szCs w:val="21"/>
              </w:rPr>
              <w:t>1.02%</w:t>
            </w:r>
          </w:p>
        </w:tc>
        <w:tc>
          <w:tcPr>
            <w:tcW w:w="0" w:type="auto"/>
            <w:vAlign w:val="center"/>
          </w:tcPr>
          <w:p w:rsidR="00E33B47" w:rsidRDefault="00B95AF3">
            <w:pPr>
              <w:jc w:val="center"/>
            </w:pPr>
            <w:r>
              <w:rPr>
                <w:rFonts w:eastAsiaTheme="minorEastAsia"/>
                <w:color w:val="000000" w:themeColor="text1"/>
                <w:szCs w:val="21"/>
              </w:rPr>
              <w:t>-10.40%</w:t>
            </w:r>
          </w:p>
        </w:tc>
        <w:tc>
          <w:tcPr>
            <w:tcW w:w="0" w:type="auto"/>
            <w:vAlign w:val="center"/>
          </w:tcPr>
          <w:p w:rsidR="00E33B47" w:rsidRDefault="00B95AF3">
            <w:pPr>
              <w:jc w:val="center"/>
            </w:pPr>
            <w:r>
              <w:rPr>
                <w:rFonts w:eastAsiaTheme="minorEastAsia"/>
                <w:color w:val="000000" w:themeColor="text1"/>
                <w:szCs w:val="21"/>
              </w:rPr>
              <w:t>0.94%</w:t>
            </w:r>
          </w:p>
        </w:tc>
        <w:tc>
          <w:tcPr>
            <w:tcW w:w="0" w:type="auto"/>
            <w:vAlign w:val="center"/>
          </w:tcPr>
          <w:p w:rsidR="00E33B47" w:rsidRDefault="00B95AF3">
            <w:pPr>
              <w:jc w:val="center"/>
            </w:pPr>
            <w:r>
              <w:rPr>
                <w:rFonts w:eastAsiaTheme="minorEastAsia"/>
                <w:color w:val="000000" w:themeColor="text1"/>
                <w:szCs w:val="21"/>
              </w:rPr>
              <w:t>-0.44%</w:t>
            </w:r>
          </w:p>
        </w:tc>
        <w:tc>
          <w:tcPr>
            <w:tcW w:w="0" w:type="auto"/>
            <w:vAlign w:val="center"/>
          </w:tcPr>
          <w:p w:rsidR="00E33B47" w:rsidRDefault="00B95AF3">
            <w:pPr>
              <w:jc w:val="center"/>
            </w:pPr>
            <w:r>
              <w:rPr>
                <w:rFonts w:eastAsiaTheme="minorEastAsia"/>
                <w:color w:val="000000" w:themeColor="text1"/>
                <w:szCs w:val="21"/>
              </w:rPr>
              <w:t>0.08%</w:t>
            </w:r>
          </w:p>
        </w:tc>
      </w:tr>
      <w:tr w:rsidR="00E33B47">
        <w:tc>
          <w:tcPr>
            <w:tcW w:w="0" w:type="auto"/>
            <w:vAlign w:val="center"/>
          </w:tcPr>
          <w:p w:rsidR="00E33B47" w:rsidRDefault="00B95AF3">
            <w:pPr>
              <w:jc w:val="left"/>
            </w:pPr>
            <w:r>
              <w:rPr>
                <w:rFonts w:eastAsiaTheme="minorEastAsia"/>
                <w:color w:val="000000" w:themeColor="text1"/>
                <w:szCs w:val="21"/>
              </w:rPr>
              <w:t>过去六个月</w:t>
            </w:r>
          </w:p>
        </w:tc>
        <w:tc>
          <w:tcPr>
            <w:tcW w:w="0" w:type="auto"/>
            <w:vAlign w:val="center"/>
          </w:tcPr>
          <w:p w:rsidR="00E33B47" w:rsidRDefault="00B95AF3">
            <w:pPr>
              <w:jc w:val="center"/>
            </w:pPr>
            <w:r>
              <w:rPr>
                <w:rFonts w:eastAsiaTheme="minorEastAsia"/>
                <w:color w:val="000000" w:themeColor="text1"/>
                <w:szCs w:val="21"/>
              </w:rPr>
              <w:t>-4.90%</w:t>
            </w:r>
          </w:p>
        </w:tc>
        <w:tc>
          <w:tcPr>
            <w:tcW w:w="0" w:type="auto"/>
            <w:vAlign w:val="center"/>
          </w:tcPr>
          <w:p w:rsidR="00E33B47" w:rsidRDefault="00B95AF3">
            <w:pPr>
              <w:jc w:val="center"/>
            </w:pPr>
            <w:r>
              <w:rPr>
                <w:rFonts w:eastAsiaTheme="minorEastAsia"/>
                <w:color w:val="000000" w:themeColor="text1"/>
                <w:szCs w:val="21"/>
              </w:rPr>
              <w:t>0.80%</w:t>
            </w:r>
          </w:p>
        </w:tc>
        <w:tc>
          <w:tcPr>
            <w:tcW w:w="0" w:type="auto"/>
            <w:vAlign w:val="center"/>
          </w:tcPr>
          <w:p w:rsidR="00E33B47" w:rsidRDefault="00B95AF3">
            <w:pPr>
              <w:jc w:val="center"/>
            </w:pPr>
            <w:r>
              <w:rPr>
                <w:rFonts w:eastAsiaTheme="minorEastAsia"/>
                <w:color w:val="000000" w:themeColor="text1"/>
                <w:szCs w:val="21"/>
              </w:rPr>
              <w:t>-4.30%</w:t>
            </w:r>
          </w:p>
        </w:tc>
        <w:tc>
          <w:tcPr>
            <w:tcW w:w="0" w:type="auto"/>
            <w:vAlign w:val="center"/>
          </w:tcPr>
          <w:p w:rsidR="00E33B47" w:rsidRDefault="00B95AF3">
            <w:pPr>
              <w:jc w:val="center"/>
            </w:pPr>
            <w:r>
              <w:rPr>
                <w:rFonts w:eastAsiaTheme="minorEastAsia"/>
                <w:color w:val="000000" w:themeColor="text1"/>
                <w:szCs w:val="21"/>
              </w:rPr>
              <w:t>0.74%</w:t>
            </w:r>
          </w:p>
        </w:tc>
        <w:tc>
          <w:tcPr>
            <w:tcW w:w="0" w:type="auto"/>
            <w:vAlign w:val="center"/>
          </w:tcPr>
          <w:p w:rsidR="00E33B47" w:rsidRDefault="00B95AF3">
            <w:pPr>
              <w:jc w:val="center"/>
            </w:pPr>
            <w:r>
              <w:rPr>
                <w:rFonts w:eastAsiaTheme="minorEastAsia"/>
                <w:color w:val="000000" w:themeColor="text1"/>
                <w:szCs w:val="21"/>
              </w:rPr>
              <w:t>-0.60%</w:t>
            </w:r>
          </w:p>
        </w:tc>
        <w:tc>
          <w:tcPr>
            <w:tcW w:w="0" w:type="auto"/>
            <w:vAlign w:val="center"/>
          </w:tcPr>
          <w:p w:rsidR="00E33B47" w:rsidRDefault="00B95AF3">
            <w:pPr>
              <w:jc w:val="center"/>
            </w:pPr>
            <w:r>
              <w:rPr>
                <w:rFonts w:eastAsiaTheme="minorEastAsia"/>
                <w:color w:val="000000" w:themeColor="text1"/>
                <w:szCs w:val="21"/>
              </w:rPr>
              <w:t>0.06%</w:t>
            </w:r>
          </w:p>
        </w:tc>
      </w:tr>
      <w:tr w:rsidR="00E33B47">
        <w:tc>
          <w:tcPr>
            <w:tcW w:w="0" w:type="auto"/>
            <w:vAlign w:val="center"/>
          </w:tcPr>
          <w:p w:rsidR="00E33B47" w:rsidRDefault="00B95AF3">
            <w:pPr>
              <w:jc w:val="left"/>
            </w:pPr>
            <w:r>
              <w:rPr>
                <w:rFonts w:eastAsiaTheme="minorEastAsia"/>
                <w:color w:val="000000" w:themeColor="text1"/>
                <w:szCs w:val="21"/>
              </w:rPr>
              <w:t>过去一年</w:t>
            </w:r>
          </w:p>
        </w:tc>
        <w:tc>
          <w:tcPr>
            <w:tcW w:w="0" w:type="auto"/>
            <w:vAlign w:val="center"/>
          </w:tcPr>
          <w:p w:rsidR="00E33B47" w:rsidRDefault="00B95AF3">
            <w:pPr>
              <w:jc w:val="center"/>
            </w:pPr>
            <w:r>
              <w:rPr>
                <w:rFonts w:eastAsiaTheme="minorEastAsia"/>
                <w:color w:val="000000" w:themeColor="text1"/>
                <w:szCs w:val="21"/>
              </w:rPr>
              <w:t>-3.29%</w:t>
            </w:r>
          </w:p>
        </w:tc>
        <w:tc>
          <w:tcPr>
            <w:tcW w:w="0" w:type="auto"/>
            <w:vAlign w:val="center"/>
          </w:tcPr>
          <w:p w:rsidR="00E33B47" w:rsidRDefault="00B95AF3">
            <w:pPr>
              <w:jc w:val="center"/>
            </w:pPr>
            <w:r>
              <w:rPr>
                <w:rFonts w:eastAsiaTheme="minorEastAsia"/>
                <w:color w:val="000000" w:themeColor="text1"/>
                <w:szCs w:val="21"/>
              </w:rPr>
              <w:t>0.77%</w:t>
            </w:r>
          </w:p>
        </w:tc>
        <w:tc>
          <w:tcPr>
            <w:tcW w:w="0" w:type="auto"/>
            <w:vAlign w:val="center"/>
          </w:tcPr>
          <w:p w:rsidR="00E33B47" w:rsidRDefault="00B95AF3">
            <w:pPr>
              <w:jc w:val="center"/>
            </w:pPr>
            <w:r>
              <w:rPr>
                <w:rFonts w:eastAsiaTheme="minorEastAsia"/>
                <w:color w:val="000000" w:themeColor="text1"/>
                <w:szCs w:val="21"/>
              </w:rPr>
              <w:t>-4.58%</w:t>
            </w:r>
          </w:p>
        </w:tc>
        <w:tc>
          <w:tcPr>
            <w:tcW w:w="0" w:type="auto"/>
            <w:vAlign w:val="center"/>
          </w:tcPr>
          <w:p w:rsidR="00E33B47" w:rsidRDefault="00B95AF3">
            <w:pPr>
              <w:jc w:val="center"/>
            </w:pPr>
            <w:r>
              <w:rPr>
                <w:rFonts w:eastAsiaTheme="minorEastAsia"/>
                <w:color w:val="000000" w:themeColor="text1"/>
                <w:szCs w:val="21"/>
              </w:rPr>
              <w:t>0.69%</w:t>
            </w:r>
          </w:p>
        </w:tc>
        <w:tc>
          <w:tcPr>
            <w:tcW w:w="0" w:type="auto"/>
            <w:vAlign w:val="center"/>
          </w:tcPr>
          <w:p w:rsidR="00E33B47" w:rsidRDefault="00B95AF3">
            <w:pPr>
              <w:jc w:val="center"/>
            </w:pPr>
            <w:r>
              <w:rPr>
                <w:rFonts w:eastAsiaTheme="minorEastAsia"/>
                <w:color w:val="000000" w:themeColor="text1"/>
                <w:szCs w:val="21"/>
              </w:rPr>
              <w:t>1.29%</w:t>
            </w:r>
          </w:p>
        </w:tc>
        <w:tc>
          <w:tcPr>
            <w:tcW w:w="0" w:type="auto"/>
            <w:vAlign w:val="center"/>
          </w:tcPr>
          <w:p w:rsidR="00E33B47" w:rsidRDefault="00B95AF3">
            <w:pPr>
              <w:jc w:val="center"/>
            </w:pPr>
            <w:r>
              <w:rPr>
                <w:rFonts w:eastAsiaTheme="minorEastAsia"/>
                <w:color w:val="000000" w:themeColor="text1"/>
                <w:szCs w:val="21"/>
              </w:rPr>
              <w:t>0.08%</w:t>
            </w:r>
          </w:p>
        </w:tc>
      </w:tr>
      <w:tr w:rsidR="00E33B47">
        <w:tc>
          <w:tcPr>
            <w:tcW w:w="0" w:type="auto"/>
            <w:vAlign w:val="center"/>
          </w:tcPr>
          <w:p w:rsidR="00E33B47" w:rsidRDefault="00B95AF3">
            <w:pPr>
              <w:jc w:val="left"/>
            </w:pPr>
            <w:r>
              <w:rPr>
                <w:rFonts w:eastAsiaTheme="minorEastAsia"/>
                <w:color w:val="000000" w:themeColor="text1"/>
                <w:szCs w:val="21"/>
              </w:rPr>
              <w:t>过去三年</w:t>
            </w:r>
          </w:p>
        </w:tc>
        <w:tc>
          <w:tcPr>
            <w:tcW w:w="0" w:type="auto"/>
            <w:vAlign w:val="center"/>
          </w:tcPr>
          <w:p w:rsidR="00E33B47" w:rsidRDefault="00B95AF3">
            <w:pPr>
              <w:jc w:val="center"/>
            </w:pPr>
            <w:r>
              <w:rPr>
                <w:rFonts w:eastAsiaTheme="minorEastAsia"/>
                <w:color w:val="000000" w:themeColor="text1"/>
                <w:szCs w:val="21"/>
              </w:rPr>
              <w:t>-</w:t>
            </w:r>
          </w:p>
        </w:tc>
        <w:tc>
          <w:tcPr>
            <w:tcW w:w="0" w:type="auto"/>
            <w:vAlign w:val="center"/>
          </w:tcPr>
          <w:p w:rsidR="00E33B47" w:rsidRDefault="00B95AF3">
            <w:pPr>
              <w:jc w:val="center"/>
            </w:pPr>
            <w:r>
              <w:rPr>
                <w:rFonts w:eastAsiaTheme="minorEastAsia"/>
                <w:color w:val="000000" w:themeColor="text1"/>
                <w:szCs w:val="21"/>
              </w:rPr>
              <w:t>-</w:t>
            </w:r>
          </w:p>
        </w:tc>
        <w:tc>
          <w:tcPr>
            <w:tcW w:w="0" w:type="auto"/>
            <w:vAlign w:val="center"/>
          </w:tcPr>
          <w:p w:rsidR="00E33B47" w:rsidRDefault="00B95AF3">
            <w:pPr>
              <w:jc w:val="center"/>
            </w:pPr>
            <w:r>
              <w:rPr>
                <w:rFonts w:eastAsiaTheme="minorEastAsia"/>
                <w:color w:val="000000" w:themeColor="text1"/>
                <w:szCs w:val="21"/>
              </w:rPr>
              <w:t>-</w:t>
            </w:r>
          </w:p>
        </w:tc>
        <w:tc>
          <w:tcPr>
            <w:tcW w:w="0" w:type="auto"/>
            <w:vAlign w:val="center"/>
          </w:tcPr>
          <w:p w:rsidR="00E33B47" w:rsidRDefault="00B95AF3">
            <w:pPr>
              <w:jc w:val="center"/>
            </w:pPr>
            <w:r>
              <w:rPr>
                <w:rFonts w:eastAsiaTheme="minorEastAsia"/>
                <w:color w:val="000000" w:themeColor="text1"/>
                <w:szCs w:val="21"/>
              </w:rPr>
              <w:t>-</w:t>
            </w:r>
          </w:p>
        </w:tc>
        <w:tc>
          <w:tcPr>
            <w:tcW w:w="0" w:type="auto"/>
            <w:vAlign w:val="center"/>
          </w:tcPr>
          <w:p w:rsidR="00E33B47" w:rsidRDefault="00B95AF3">
            <w:pPr>
              <w:jc w:val="center"/>
            </w:pPr>
            <w:r>
              <w:rPr>
                <w:rFonts w:eastAsiaTheme="minorEastAsia"/>
                <w:color w:val="000000" w:themeColor="text1"/>
                <w:szCs w:val="21"/>
              </w:rPr>
              <w:t>-</w:t>
            </w:r>
          </w:p>
        </w:tc>
        <w:tc>
          <w:tcPr>
            <w:tcW w:w="0" w:type="auto"/>
            <w:vAlign w:val="center"/>
          </w:tcPr>
          <w:p w:rsidR="00E33B47" w:rsidRDefault="00B95AF3">
            <w:pPr>
              <w:jc w:val="center"/>
            </w:pPr>
            <w:r>
              <w:rPr>
                <w:rFonts w:eastAsiaTheme="minorEastAsia"/>
                <w:color w:val="000000" w:themeColor="text1"/>
                <w:szCs w:val="21"/>
              </w:rPr>
              <w:t>-</w:t>
            </w:r>
          </w:p>
        </w:tc>
      </w:tr>
      <w:tr w:rsidR="00E33B47">
        <w:tc>
          <w:tcPr>
            <w:tcW w:w="0" w:type="auto"/>
            <w:vAlign w:val="center"/>
          </w:tcPr>
          <w:p w:rsidR="00E33B47" w:rsidRDefault="00B95AF3">
            <w:pPr>
              <w:jc w:val="left"/>
            </w:pPr>
            <w:r>
              <w:rPr>
                <w:rFonts w:eastAsiaTheme="minorEastAsia"/>
                <w:color w:val="000000" w:themeColor="text1"/>
                <w:szCs w:val="21"/>
              </w:rPr>
              <w:t>过去五年</w:t>
            </w:r>
          </w:p>
        </w:tc>
        <w:tc>
          <w:tcPr>
            <w:tcW w:w="0" w:type="auto"/>
            <w:vAlign w:val="center"/>
          </w:tcPr>
          <w:p w:rsidR="00E33B47" w:rsidRDefault="00B95AF3">
            <w:pPr>
              <w:jc w:val="center"/>
            </w:pPr>
            <w:r>
              <w:rPr>
                <w:rFonts w:eastAsiaTheme="minorEastAsia"/>
                <w:color w:val="000000" w:themeColor="text1"/>
                <w:szCs w:val="21"/>
              </w:rPr>
              <w:t>-</w:t>
            </w:r>
          </w:p>
        </w:tc>
        <w:tc>
          <w:tcPr>
            <w:tcW w:w="0" w:type="auto"/>
            <w:vAlign w:val="center"/>
          </w:tcPr>
          <w:p w:rsidR="00E33B47" w:rsidRDefault="00B95AF3">
            <w:pPr>
              <w:jc w:val="center"/>
            </w:pPr>
            <w:r>
              <w:rPr>
                <w:rFonts w:eastAsiaTheme="minorEastAsia"/>
                <w:color w:val="000000" w:themeColor="text1"/>
                <w:szCs w:val="21"/>
              </w:rPr>
              <w:t>-</w:t>
            </w:r>
          </w:p>
        </w:tc>
        <w:tc>
          <w:tcPr>
            <w:tcW w:w="0" w:type="auto"/>
            <w:vAlign w:val="center"/>
          </w:tcPr>
          <w:p w:rsidR="00E33B47" w:rsidRDefault="00B95AF3">
            <w:pPr>
              <w:jc w:val="center"/>
            </w:pPr>
            <w:r>
              <w:rPr>
                <w:rFonts w:eastAsiaTheme="minorEastAsia"/>
                <w:color w:val="000000" w:themeColor="text1"/>
                <w:szCs w:val="21"/>
              </w:rPr>
              <w:t>-</w:t>
            </w:r>
          </w:p>
        </w:tc>
        <w:tc>
          <w:tcPr>
            <w:tcW w:w="0" w:type="auto"/>
            <w:vAlign w:val="center"/>
          </w:tcPr>
          <w:p w:rsidR="00E33B47" w:rsidRDefault="00B95AF3">
            <w:pPr>
              <w:jc w:val="center"/>
            </w:pPr>
            <w:r>
              <w:rPr>
                <w:rFonts w:eastAsiaTheme="minorEastAsia"/>
                <w:color w:val="000000" w:themeColor="text1"/>
                <w:szCs w:val="21"/>
              </w:rPr>
              <w:t>-</w:t>
            </w:r>
          </w:p>
        </w:tc>
        <w:tc>
          <w:tcPr>
            <w:tcW w:w="0" w:type="auto"/>
            <w:vAlign w:val="center"/>
          </w:tcPr>
          <w:p w:rsidR="00E33B47" w:rsidRDefault="00B95AF3">
            <w:pPr>
              <w:jc w:val="center"/>
            </w:pPr>
            <w:r>
              <w:rPr>
                <w:rFonts w:eastAsiaTheme="minorEastAsia"/>
                <w:color w:val="000000" w:themeColor="text1"/>
                <w:szCs w:val="21"/>
              </w:rPr>
              <w:t>-</w:t>
            </w:r>
          </w:p>
        </w:tc>
        <w:tc>
          <w:tcPr>
            <w:tcW w:w="0" w:type="auto"/>
            <w:vAlign w:val="center"/>
          </w:tcPr>
          <w:p w:rsidR="00E33B47" w:rsidRDefault="00B95AF3">
            <w:pPr>
              <w:jc w:val="center"/>
            </w:pPr>
            <w:r>
              <w:rPr>
                <w:rFonts w:eastAsiaTheme="minorEastAsia"/>
                <w:color w:val="000000" w:themeColor="text1"/>
                <w:szCs w:val="21"/>
              </w:rPr>
              <w:t>-</w:t>
            </w:r>
          </w:p>
        </w:tc>
      </w:tr>
      <w:tr w:rsidR="00E33B47">
        <w:tc>
          <w:tcPr>
            <w:tcW w:w="0" w:type="auto"/>
            <w:vAlign w:val="center"/>
          </w:tcPr>
          <w:p w:rsidR="00E33B47" w:rsidRDefault="00B95AF3">
            <w:pPr>
              <w:jc w:val="left"/>
            </w:pPr>
            <w:r>
              <w:rPr>
                <w:rFonts w:eastAsiaTheme="minorEastAsia"/>
                <w:color w:val="000000" w:themeColor="text1"/>
                <w:szCs w:val="21"/>
              </w:rPr>
              <w:t>自基金合同生效起至今</w:t>
            </w:r>
          </w:p>
        </w:tc>
        <w:tc>
          <w:tcPr>
            <w:tcW w:w="0" w:type="auto"/>
            <w:vAlign w:val="center"/>
          </w:tcPr>
          <w:p w:rsidR="00E33B47" w:rsidRDefault="00B95AF3">
            <w:pPr>
              <w:jc w:val="center"/>
            </w:pPr>
            <w:r>
              <w:rPr>
                <w:rFonts w:eastAsiaTheme="minorEastAsia"/>
                <w:color w:val="000000" w:themeColor="text1"/>
                <w:szCs w:val="21"/>
              </w:rPr>
              <w:t>8.60%</w:t>
            </w:r>
          </w:p>
        </w:tc>
        <w:tc>
          <w:tcPr>
            <w:tcW w:w="0" w:type="auto"/>
            <w:vAlign w:val="center"/>
          </w:tcPr>
          <w:p w:rsidR="00E33B47" w:rsidRDefault="00B95AF3">
            <w:pPr>
              <w:jc w:val="center"/>
            </w:pPr>
            <w:r>
              <w:rPr>
                <w:rFonts w:eastAsiaTheme="minorEastAsia"/>
                <w:color w:val="000000" w:themeColor="text1"/>
                <w:szCs w:val="21"/>
              </w:rPr>
              <w:t>0.62%</w:t>
            </w:r>
          </w:p>
        </w:tc>
        <w:tc>
          <w:tcPr>
            <w:tcW w:w="0" w:type="auto"/>
            <w:vAlign w:val="center"/>
          </w:tcPr>
          <w:p w:rsidR="00E33B47" w:rsidRDefault="00B95AF3">
            <w:pPr>
              <w:jc w:val="center"/>
            </w:pPr>
            <w:r>
              <w:rPr>
                <w:rFonts w:eastAsiaTheme="minorEastAsia"/>
                <w:color w:val="000000" w:themeColor="text1"/>
                <w:szCs w:val="21"/>
              </w:rPr>
              <w:t>6.44%</w:t>
            </w:r>
          </w:p>
        </w:tc>
        <w:tc>
          <w:tcPr>
            <w:tcW w:w="0" w:type="auto"/>
            <w:vAlign w:val="center"/>
          </w:tcPr>
          <w:p w:rsidR="00E33B47" w:rsidRDefault="00B95AF3">
            <w:pPr>
              <w:jc w:val="center"/>
            </w:pPr>
            <w:r>
              <w:rPr>
                <w:rFonts w:eastAsiaTheme="minorEastAsia"/>
                <w:color w:val="000000" w:themeColor="text1"/>
                <w:szCs w:val="21"/>
              </w:rPr>
              <w:t>0.54%</w:t>
            </w:r>
          </w:p>
        </w:tc>
        <w:tc>
          <w:tcPr>
            <w:tcW w:w="0" w:type="auto"/>
            <w:vAlign w:val="center"/>
          </w:tcPr>
          <w:p w:rsidR="00E33B47" w:rsidRDefault="00B95AF3">
            <w:pPr>
              <w:jc w:val="center"/>
            </w:pPr>
            <w:r>
              <w:rPr>
                <w:rFonts w:eastAsiaTheme="minorEastAsia"/>
                <w:color w:val="000000" w:themeColor="text1"/>
                <w:szCs w:val="21"/>
              </w:rPr>
              <w:t>2.16%</w:t>
            </w:r>
          </w:p>
        </w:tc>
        <w:tc>
          <w:tcPr>
            <w:tcW w:w="0" w:type="auto"/>
            <w:vAlign w:val="center"/>
          </w:tcPr>
          <w:p w:rsidR="00E33B47" w:rsidRDefault="00B95AF3">
            <w:pPr>
              <w:jc w:val="center"/>
            </w:pPr>
            <w:r>
              <w:rPr>
                <w:rFonts w:eastAsiaTheme="minorEastAsia"/>
                <w:color w:val="000000" w:themeColor="text1"/>
                <w:szCs w:val="21"/>
              </w:rPr>
              <w:t>0.08%</w:t>
            </w:r>
          </w:p>
        </w:tc>
      </w:tr>
    </w:tbl>
    <w:p w:rsidR="000372BC" w:rsidRPr="00A81008" w:rsidRDefault="000372BC" w:rsidP="000372BC">
      <w:pPr>
        <w:tabs>
          <w:tab w:val="left" w:pos="426"/>
        </w:tabs>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kern w:val="0"/>
          <w:szCs w:val="21"/>
        </w:rPr>
        <w:t>注：本基金的业绩比较基准为：</w:t>
      </w:r>
      <w:r w:rsidRPr="00E60957">
        <w:rPr>
          <w:rFonts w:eastAsiaTheme="minorEastAsia"/>
          <w:color w:val="000000" w:themeColor="text1"/>
          <w:szCs w:val="21"/>
        </w:rPr>
        <w:t>MSCI</w:t>
      </w:r>
      <w:r w:rsidRPr="00E60957">
        <w:rPr>
          <w:rFonts w:eastAsiaTheme="minorEastAsia"/>
          <w:color w:val="000000" w:themeColor="text1"/>
          <w:szCs w:val="21"/>
        </w:rPr>
        <w:t>全球指数（</w:t>
      </w:r>
      <w:r w:rsidRPr="00E60957">
        <w:rPr>
          <w:rFonts w:eastAsiaTheme="minorEastAsia"/>
          <w:color w:val="000000" w:themeColor="text1"/>
          <w:szCs w:val="21"/>
        </w:rPr>
        <w:t>MSCI ACWI</w:t>
      </w:r>
      <w:r w:rsidRPr="00E60957">
        <w:rPr>
          <w:rFonts w:eastAsiaTheme="minorEastAsia"/>
          <w:color w:val="000000" w:themeColor="text1"/>
          <w:szCs w:val="21"/>
        </w:rPr>
        <w:t>）</w:t>
      </w:r>
      <w:r w:rsidRPr="00E60957">
        <w:rPr>
          <w:rFonts w:eastAsiaTheme="minorEastAsia"/>
          <w:color w:val="000000" w:themeColor="text1"/>
          <w:szCs w:val="21"/>
        </w:rPr>
        <w:t>*80%+</w:t>
      </w:r>
      <w:r w:rsidRPr="00E60957">
        <w:rPr>
          <w:rFonts w:eastAsiaTheme="minorEastAsia"/>
          <w:color w:val="000000" w:themeColor="text1"/>
          <w:szCs w:val="21"/>
        </w:rPr>
        <w:t>摩根大通全球债券指数（</w:t>
      </w:r>
      <w:r w:rsidRPr="00E60957">
        <w:rPr>
          <w:rFonts w:eastAsiaTheme="minorEastAsia"/>
          <w:color w:val="000000" w:themeColor="text1"/>
          <w:szCs w:val="21"/>
        </w:rPr>
        <w:t>J.P. Morgan Global Aggregate Bond Index</w:t>
      </w:r>
      <w:r w:rsidRPr="00E60957">
        <w:rPr>
          <w:rFonts w:eastAsiaTheme="minorEastAsia"/>
          <w:color w:val="000000" w:themeColor="text1"/>
          <w:szCs w:val="21"/>
        </w:rPr>
        <w:t>）</w:t>
      </w:r>
      <w:r w:rsidRPr="00E60957">
        <w:rPr>
          <w:rFonts w:eastAsiaTheme="minorEastAsia"/>
          <w:color w:val="000000" w:themeColor="text1"/>
          <w:szCs w:val="21"/>
        </w:rPr>
        <w:t>*20%</w:t>
      </w:r>
    </w:p>
    <w:p w:rsidR="007536B4" w:rsidRPr="00E60957" w:rsidRDefault="007536B4" w:rsidP="009C3167">
      <w:pPr>
        <w:spacing w:beforeLines="100" w:before="312" w:line="360" w:lineRule="auto"/>
        <w:rPr>
          <w:rFonts w:eastAsiaTheme="minorEastAsia"/>
          <w:b/>
          <w:color w:val="000000" w:themeColor="text1"/>
          <w:kern w:val="0"/>
          <w:szCs w:val="21"/>
        </w:rPr>
      </w:pPr>
      <w:r w:rsidRPr="00E60957">
        <w:rPr>
          <w:rFonts w:eastAsiaTheme="minorEastAsia"/>
          <w:b/>
          <w:color w:val="000000" w:themeColor="text1"/>
          <w:kern w:val="0"/>
          <w:szCs w:val="21"/>
        </w:rPr>
        <w:t>3.2.2</w:t>
      </w:r>
      <w:r w:rsidR="001A5547" w:rsidRPr="00E60957">
        <w:rPr>
          <w:rStyle w:val="af8"/>
          <w:rFonts w:eastAsiaTheme="minorEastAsia"/>
          <w:color w:val="000000" w:themeColor="text1"/>
          <w:szCs w:val="21"/>
          <w:shd w:val="clear" w:color="auto" w:fill="FFFFFF"/>
        </w:rPr>
        <w:t>自基金合同生效以来</w:t>
      </w:r>
      <w:r w:rsidRPr="00E60957">
        <w:rPr>
          <w:rFonts w:eastAsiaTheme="minorEastAsia"/>
          <w:b/>
          <w:color w:val="000000" w:themeColor="text1"/>
          <w:kern w:val="0"/>
          <w:szCs w:val="21"/>
        </w:rPr>
        <w:t>基金份额累计净值增长率变动及其与同期业绩比较基准收益率变动的比较</w:t>
      </w:r>
      <w:r w:rsidRPr="00E60957">
        <w:rPr>
          <w:rFonts w:eastAsiaTheme="minorEastAsia"/>
          <w:b/>
          <w:color w:val="000000" w:themeColor="text1"/>
          <w:kern w:val="0"/>
          <w:szCs w:val="21"/>
        </w:rPr>
        <w:t xml:space="preserve"> </w:t>
      </w:r>
    </w:p>
    <w:p w:rsidR="00633782" w:rsidRPr="00E60957" w:rsidRDefault="00633782" w:rsidP="00D2150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上投摩根全球多元配置证券投资基金</w:t>
      </w:r>
    </w:p>
    <w:p w:rsidR="00633782" w:rsidRPr="00E60957" w:rsidRDefault="00C11233" w:rsidP="00D21507">
      <w:pPr>
        <w:pStyle w:val="a6"/>
        <w:snapToGrid w:val="0"/>
        <w:spacing w:line="360" w:lineRule="auto"/>
        <w:ind w:firstLine="480"/>
        <w:jc w:val="center"/>
        <w:rPr>
          <w:rFonts w:ascii="Times New Roman" w:eastAsiaTheme="minorEastAsia" w:hAnsi="Times New Roman"/>
          <w:color w:val="000000" w:themeColor="text1"/>
        </w:rPr>
      </w:pPr>
      <w:r w:rsidRPr="00F65B0C">
        <w:rPr>
          <w:rFonts w:eastAsiaTheme="minorEastAsia" w:hint="eastAsia"/>
          <w:color w:val="000000" w:themeColor="text1"/>
        </w:rPr>
        <w:t>自基金合同生效以来</w:t>
      </w:r>
      <w:r w:rsidR="00633782" w:rsidRPr="00E60957">
        <w:rPr>
          <w:rFonts w:ascii="Times New Roman" w:eastAsiaTheme="minorEastAsia" w:hAnsi="Times New Roman"/>
          <w:color w:val="000000" w:themeColor="text1"/>
        </w:rPr>
        <w:t>份额累计净值增长率与业绩比较基准收益率历史走势对比图</w:t>
      </w:r>
    </w:p>
    <w:p w:rsidR="00633782" w:rsidRPr="00E60957" w:rsidRDefault="00633782" w:rsidP="00D21507">
      <w:pPr>
        <w:pStyle w:val="a6"/>
        <w:snapToGrid w:val="0"/>
        <w:spacing w:line="360" w:lineRule="auto"/>
        <w:ind w:firstLine="480"/>
        <w:jc w:val="center"/>
        <w:rPr>
          <w:rFonts w:ascii="Times New Roman" w:eastAsiaTheme="minorEastAsia" w:hAnsi="Times New Roman"/>
          <w:color w:val="000000" w:themeColor="text1"/>
        </w:rPr>
      </w:pPr>
      <w:r w:rsidRPr="00E60957">
        <w:rPr>
          <w:rFonts w:ascii="Times New Roman" w:eastAsiaTheme="minorEastAsia" w:hAnsi="Times New Roman"/>
          <w:color w:val="000000" w:themeColor="text1"/>
        </w:rPr>
        <w:t>(2016</w:t>
      </w:r>
      <w:r w:rsidRPr="00E60957">
        <w:rPr>
          <w:rFonts w:ascii="Times New Roman" w:eastAsiaTheme="minorEastAsia" w:hAnsi="Times New Roman"/>
          <w:color w:val="000000" w:themeColor="text1"/>
        </w:rPr>
        <w:t>年</w:t>
      </w:r>
      <w:r w:rsidRPr="00E60957">
        <w:rPr>
          <w:rFonts w:ascii="Times New Roman" w:eastAsiaTheme="minorEastAsia" w:hAnsi="Times New Roman"/>
          <w:color w:val="000000" w:themeColor="text1"/>
        </w:rPr>
        <w:t>12</w:t>
      </w:r>
      <w:r w:rsidRPr="00E60957">
        <w:rPr>
          <w:rFonts w:ascii="Times New Roman" w:eastAsiaTheme="minorEastAsia" w:hAnsi="Times New Roman"/>
          <w:color w:val="000000" w:themeColor="text1"/>
        </w:rPr>
        <w:t>月</w:t>
      </w:r>
      <w:r w:rsidRPr="00E60957">
        <w:rPr>
          <w:rFonts w:ascii="Times New Roman" w:eastAsiaTheme="minorEastAsia" w:hAnsi="Times New Roman"/>
          <w:color w:val="000000" w:themeColor="text1"/>
        </w:rPr>
        <w:t>19</w:t>
      </w:r>
      <w:r w:rsidRPr="00E60957">
        <w:rPr>
          <w:rFonts w:ascii="Times New Roman" w:eastAsiaTheme="minorEastAsia" w:hAnsi="Times New Roman"/>
          <w:color w:val="000000" w:themeColor="text1"/>
        </w:rPr>
        <w:t>日至</w:t>
      </w:r>
      <w:r w:rsidRPr="00E60957">
        <w:rPr>
          <w:rFonts w:ascii="Times New Roman" w:eastAsiaTheme="minorEastAsia" w:hAnsi="Times New Roman"/>
          <w:color w:val="000000" w:themeColor="text1"/>
        </w:rPr>
        <w:t>2018</w:t>
      </w:r>
      <w:r w:rsidRPr="00E60957">
        <w:rPr>
          <w:rFonts w:ascii="Times New Roman" w:eastAsiaTheme="minorEastAsia" w:hAnsi="Times New Roman"/>
          <w:color w:val="000000" w:themeColor="text1"/>
        </w:rPr>
        <w:t>年</w:t>
      </w:r>
      <w:r w:rsidRPr="00E60957">
        <w:rPr>
          <w:rFonts w:ascii="Times New Roman" w:eastAsiaTheme="minorEastAsia" w:hAnsi="Times New Roman"/>
          <w:color w:val="000000" w:themeColor="text1"/>
        </w:rPr>
        <w:t>12</w:t>
      </w:r>
      <w:r w:rsidRPr="00E60957">
        <w:rPr>
          <w:rFonts w:ascii="Times New Roman" w:eastAsiaTheme="minorEastAsia" w:hAnsi="Times New Roman"/>
          <w:color w:val="000000" w:themeColor="text1"/>
        </w:rPr>
        <w:t>月</w:t>
      </w:r>
      <w:r w:rsidRPr="00E60957">
        <w:rPr>
          <w:rFonts w:ascii="Times New Roman" w:eastAsiaTheme="minorEastAsia" w:hAnsi="Times New Roman"/>
          <w:color w:val="000000" w:themeColor="text1"/>
        </w:rPr>
        <w:t>31</w:t>
      </w:r>
      <w:r w:rsidRPr="00E60957">
        <w:rPr>
          <w:rFonts w:ascii="Times New Roman" w:eastAsiaTheme="minorEastAsia" w:hAnsi="Times New Roman"/>
          <w:color w:val="000000" w:themeColor="text1"/>
        </w:rPr>
        <w:t>日</w:t>
      </w:r>
      <w:r w:rsidRPr="00E60957">
        <w:rPr>
          <w:rFonts w:ascii="Times New Roman" w:eastAsiaTheme="minorEastAsia" w:hAnsi="Times New Roman"/>
          <w:color w:val="000000" w:themeColor="text1"/>
        </w:rPr>
        <w:t>)</w:t>
      </w:r>
    </w:p>
    <w:p w:rsidR="007B62FA" w:rsidRPr="00E60957" w:rsidRDefault="004F345B" w:rsidP="00417F87">
      <w:pPr>
        <w:spacing w:line="360" w:lineRule="auto"/>
        <w:jc w:val="center"/>
        <w:rPr>
          <w:rFonts w:eastAsiaTheme="minorEastAsia"/>
          <w:color w:val="000000" w:themeColor="text1"/>
          <w:szCs w:val="21"/>
        </w:rPr>
      </w:pPr>
      <w:r w:rsidRPr="00E60957">
        <w:rPr>
          <w:rFonts w:eastAsiaTheme="minorEastAsia"/>
          <w:noProof/>
          <w:color w:val="000000" w:themeColor="text1"/>
          <w:szCs w:val="21"/>
        </w:rPr>
        <w:lastRenderedPageBreak/>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注：本基金合同生效日为</w:t>
      </w:r>
      <w:r w:rsidRPr="00E60957">
        <w:rPr>
          <w:rFonts w:eastAsiaTheme="minorEastAsia"/>
          <w:color w:val="000000" w:themeColor="text1"/>
          <w:kern w:val="0"/>
          <w:szCs w:val="21"/>
        </w:rPr>
        <w:t>2016</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19</w:t>
      </w:r>
      <w:r w:rsidRPr="00E60957">
        <w:rPr>
          <w:rFonts w:eastAsiaTheme="minorEastAsia"/>
          <w:color w:val="000000" w:themeColor="text1"/>
          <w:kern w:val="0"/>
          <w:szCs w:val="21"/>
        </w:rPr>
        <w:t>日，图示时间段为</w:t>
      </w:r>
      <w:r w:rsidRPr="00E60957">
        <w:rPr>
          <w:rFonts w:eastAsiaTheme="minorEastAsia"/>
          <w:color w:val="000000" w:themeColor="text1"/>
          <w:kern w:val="0"/>
          <w:szCs w:val="21"/>
        </w:rPr>
        <w:t>2016</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19</w:t>
      </w:r>
      <w:r w:rsidRPr="00E60957">
        <w:rPr>
          <w:rFonts w:eastAsiaTheme="minorEastAsia"/>
          <w:color w:val="000000" w:themeColor="text1"/>
          <w:kern w:val="0"/>
          <w:szCs w:val="21"/>
        </w:rPr>
        <w:t>日至</w:t>
      </w:r>
      <w:r w:rsidRPr="00E60957">
        <w:rPr>
          <w:rFonts w:eastAsiaTheme="minorEastAsia"/>
          <w:color w:val="000000" w:themeColor="text1"/>
          <w:kern w:val="0"/>
          <w:szCs w:val="21"/>
        </w:rPr>
        <w:t>2018</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w:t>
      </w:r>
    </w:p>
    <w:p w:rsidR="007B62FA" w:rsidRPr="00E60957" w:rsidRDefault="007B62FA" w:rsidP="009C3167">
      <w:pPr>
        <w:spacing w:beforeLines="100" w:before="312" w:line="360" w:lineRule="auto"/>
        <w:rPr>
          <w:rFonts w:eastAsiaTheme="minorEastAsia"/>
          <w:b/>
          <w:color w:val="000000" w:themeColor="text1"/>
          <w:szCs w:val="21"/>
        </w:rPr>
      </w:pPr>
      <w:r w:rsidRPr="00E60957">
        <w:rPr>
          <w:rFonts w:eastAsiaTheme="minorEastAsia"/>
          <w:b/>
          <w:color w:val="000000" w:themeColor="text1"/>
          <w:szCs w:val="21"/>
        </w:rPr>
        <w:t xml:space="preserve">3.2.3 </w:t>
      </w:r>
      <w:r w:rsidR="00BC75B8" w:rsidRPr="00E60957">
        <w:rPr>
          <w:rFonts w:eastAsiaTheme="minorEastAsia"/>
          <w:b/>
          <w:color w:val="000000" w:themeColor="text1"/>
          <w:szCs w:val="21"/>
        </w:rPr>
        <w:t>自基金合同生效以来</w:t>
      </w:r>
      <w:r w:rsidRPr="00E60957">
        <w:rPr>
          <w:rFonts w:eastAsiaTheme="minorEastAsia"/>
          <w:b/>
          <w:color w:val="000000" w:themeColor="text1"/>
          <w:szCs w:val="21"/>
        </w:rPr>
        <w:t>基金每年净值增长率及其与同期业绩比较基准收益率的比较</w:t>
      </w:r>
    </w:p>
    <w:p w:rsidR="00AD5625" w:rsidRPr="00E60957" w:rsidRDefault="00AD5625" w:rsidP="00D21507">
      <w:pPr>
        <w:spacing w:line="360" w:lineRule="auto"/>
        <w:jc w:val="center"/>
        <w:rPr>
          <w:rFonts w:eastAsiaTheme="minorEastAsia"/>
          <w:color w:val="000000" w:themeColor="text1"/>
          <w:szCs w:val="21"/>
        </w:rPr>
      </w:pPr>
      <w:r w:rsidRPr="00E60957">
        <w:rPr>
          <w:rFonts w:eastAsiaTheme="minorEastAsia"/>
          <w:color w:val="000000" w:themeColor="text1"/>
          <w:szCs w:val="21"/>
        </w:rPr>
        <w:t>上投摩根全球多元配置证券投资基金</w:t>
      </w:r>
    </w:p>
    <w:p w:rsidR="00AD5625" w:rsidRPr="00E60957" w:rsidRDefault="00AD5625" w:rsidP="00D21507">
      <w:pPr>
        <w:adjustRightInd w:val="0"/>
        <w:snapToGrid w:val="0"/>
        <w:spacing w:line="360" w:lineRule="auto"/>
        <w:ind w:firstLineChars="100" w:firstLine="210"/>
        <w:jc w:val="center"/>
        <w:rPr>
          <w:rFonts w:eastAsiaTheme="minorEastAsia"/>
          <w:color w:val="000000" w:themeColor="text1"/>
          <w:szCs w:val="21"/>
        </w:rPr>
      </w:pPr>
      <w:r w:rsidRPr="00E60957">
        <w:rPr>
          <w:rFonts w:eastAsiaTheme="minorEastAsia"/>
          <w:color w:val="000000" w:themeColor="text1"/>
          <w:szCs w:val="21"/>
        </w:rPr>
        <w:t>自基金合同生效以来</w:t>
      </w:r>
      <w:r w:rsidR="00700E76" w:rsidRPr="00E60957">
        <w:rPr>
          <w:rFonts w:eastAsiaTheme="minorEastAsia"/>
          <w:color w:val="000000" w:themeColor="text1"/>
          <w:szCs w:val="21"/>
        </w:rPr>
        <w:t>基金净值增长率与业绩比较基准收益率的对比图</w:t>
      </w:r>
    </w:p>
    <w:p w:rsidR="007B62FA" w:rsidRPr="00E60957" w:rsidRDefault="004F345B" w:rsidP="00417F87">
      <w:pPr>
        <w:spacing w:line="360" w:lineRule="auto"/>
        <w:jc w:val="center"/>
        <w:rPr>
          <w:rFonts w:eastAsiaTheme="minorEastAsia"/>
          <w:color w:val="000000" w:themeColor="text1"/>
          <w:szCs w:val="21"/>
        </w:rPr>
      </w:pPr>
      <w:r w:rsidRPr="00E60957">
        <w:rPr>
          <w:rFonts w:eastAsiaTheme="minorEastAsia"/>
          <w:noProof/>
          <w:color w:val="000000" w:themeColor="text1"/>
          <w:szCs w:val="21"/>
        </w:rPr>
        <w:drawing>
          <wp:inline distT="0" distB="0" distL="0" distR="0">
            <wp:extent cx="5759450" cy="3372734"/>
            <wp:effectExtent l="0" t="0" r="0" b="0"/>
            <wp:docPr id="2" name="图片 2"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lastRenderedPageBreak/>
        <w:t>注：本基金合同生效日为</w:t>
      </w:r>
      <w:r w:rsidRPr="00E60957">
        <w:rPr>
          <w:rFonts w:eastAsiaTheme="minorEastAsia"/>
          <w:color w:val="000000" w:themeColor="text1"/>
          <w:kern w:val="0"/>
          <w:szCs w:val="21"/>
        </w:rPr>
        <w:t>2016</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19</w:t>
      </w:r>
      <w:r w:rsidRPr="00E60957">
        <w:rPr>
          <w:rFonts w:eastAsiaTheme="minorEastAsia"/>
          <w:color w:val="000000" w:themeColor="text1"/>
          <w:kern w:val="0"/>
          <w:szCs w:val="21"/>
        </w:rPr>
        <w:t>日，图示时间段为</w:t>
      </w:r>
      <w:r w:rsidRPr="00E60957">
        <w:rPr>
          <w:rFonts w:eastAsiaTheme="minorEastAsia"/>
          <w:color w:val="000000" w:themeColor="text1"/>
          <w:kern w:val="0"/>
          <w:szCs w:val="21"/>
        </w:rPr>
        <w:t>2016</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19</w:t>
      </w:r>
      <w:r w:rsidRPr="00E60957">
        <w:rPr>
          <w:rFonts w:eastAsiaTheme="minorEastAsia"/>
          <w:color w:val="000000" w:themeColor="text1"/>
          <w:kern w:val="0"/>
          <w:szCs w:val="21"/>
        </w:rPr>
        <w:t>日至</w:t>
      </w:r>
      <w:r w:rsidRPr="00E60957">
        <w:rPr>
          <w:rFonts w:eastAsiaTheme="minorEastAsia"/>
          <w:color w:val="000000" w:themeColor="text1"/>
          <w:kern w:val="0"/>
          <w:szCs w:val="21"/>
        </w:rPr>
        <w:t>2018</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w:t>
      </w:r>
    </w:p>
    <w:p w:rsidR="007B62FA" w:rsidRPr="00E60957" w:rsidRDefault="007B62FA" w:rsidP="009C3167">
      <w:pPr>
        <w:pStyle w:val="20"/>
        <w:spacing w:beforeLines="100" w:before="312" w:after="0"/>
        <w:rPr>
          <w:rFonts w:ascii="Times New Roman" w:eastAsiaTheme="minorEastAsia" w:hAnsi="Times New Roman"/>
          <w:color w:val="000000" w:themeColor="text1"/>
          <w:sz w:val="21"/>
          <w:szCs w:val="21"/>
        </w:rPr>
      </w:pPr>
      <w:bookmarkStart w:id="77" w:name="_Toc249760033"/>
      <w:bookmarkStart w:id="78" w:name="_Toc352255970"/>
      <w:bookmarkStart w:id="79" w:name="_Toc352256038"/>
      <w:bookmarkStart w:id="80" w:name="_Toc352331216"/>
      <w:bookmarkStart w:id="81" w:name="_Toc362423994"/>
      <w:bookmarkStart w:id="82" w:name="_Toc374459256"/>
      <w:r w:rsidRPr="00E60957">
        <w:rPr>
          <w:rFonts w:ascii="Times New Roman" w:eastAsiaTheme="minorEastAsia" w:hAnsi="Times New Roman"/>
          <w:color w:val="000000" w:themeColor="text1"/>
          <w:sz w:val="21"/>
          <w:szCs w:val="21"/>
        </w:rPr>
        <w:t>3.3</w:t>
      </w:r>
      <w:r w:rsidR="002D0B5F" w:rsidRPr="00E60957">
        <w:rPr>
          <w:rFonts w:ascii="Times New Roman" w:eastAsiaTheme="minorEastAsia" w:hAnsi="Times New Roman"/>
          <w:color w:val="000000" w:themeColor="text1"/>
          <w:sz w:val="21"/>
          <w:szCs w:val="21"/>
        </w:rPr>
        <w:t xml:space="preserve"> </w:t>
      </w:r>
      <w:r w:rsidRPr="00E60957">
        <w:rPr>
          <w:rFonts w:ascii="Times New Roman" w:eastAsiaTheme="minorEastAsia" w:hAnsi="Times New Roman"/>
          <w:color w:val="000000" w:themeColor="text1"/>
          <w:sz w:val="21"/>
          <w:szCs w:val="21"/>
        </w:rPr>
        <w:t>过去三年基金的利润分配情况</w:t>
      </w:r>
      <w:bookmarkEnd w:id="77"/>
      <w:bookmarkEnd w:id="78"/>
      <w:bookmarkEnd w:id="79"/>
      <w:bookmarkEnd w:id="80"/>
      <w:bookmarkEnd w:id="81"/>
      <w:bookmarkEnd w:id="82"/>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本基金自基金合同生效日起未进行过利润分配。</w:t>
      </w:r>
    </w:p>
    <w:p w:rsidR="007B62FA" w:rsidRPr="00E60957" w:rsidRDefault="007B62FA" w:rsidP="009C3167">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83" w:name="_Toc225498254"/>
      <w:bookmarkStart w:id="84" w:name="_Toc352255971"/>
      <w:bookmarkStart w:id="85" w:name="_Toc352256039"/>
      <w:bookmarkStart w:id="86" w:name="_Toc352331217"/>
      <w:bookmarkStart w:id="87" w:name="_Toc362423995"/>
      <w:bookmarkStart w:id="88" w:name="_Toc374459257"/>
      <w:r w:rsidRPr="00E60957">
        <w:rPr>
          <w:rFonts w:eastAsiaTheme="minorEastAsia"/>
          <w:b/>
          <w:bCs/>
          <w:color w:val="000000" w:themeColor="text1"/>
          <w:sz w:val="21"/>
          <w:szCs w:val="21"/>
          <w:lang w:val="en-US"/>
        </w:rPr>
        <w:t>§</w:t>
      </w:r>
      <w:r w:rsidR="001822F7" w:rsidRPr="00E60957">
        <w:rPr>
          <w:rFonts w:eastAsiaTheme="minorEastAsia"/>
          <w:b/>
          <w:bCs/>
          <w:color w:val="000000" w:themeColor="text1"/>
          <w:sz w:val="21"/>
          <w:szCs w:val="21"/>
          <w:lang w:val="en-US"/>
        </w:rPr>
        <w:t>4</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管理人报告</w:t>
      </w:r>
      <w:bookmarkEnd w:id="83"/>
      <w:bookmarkEnd w:id="84"/>
      <w:bookmarkEnd w:id="85"/>
      <w:bookmarkEnd w:id="86"/>
      <w:bookmarkEnd w:id="87"/>
      <w:bookmarkEnd w:id="88"/>
    </w:p>
    <w:p w:rsidR="007B62FA" w:rsidRPr="00E60957" w:rsidRDefault="007B62FA" w:rsidP="00D21507">
      <w:pPr>
        <w:pStyle w:val="20"/>
        <w:spacing w:before="0" w:after="0"/>
        <w:rPr>
          <w:rFonts w:ascii="Times New Roman" w:eastAsiaTheme="minorEastAsia" w:hAnsi="Times New Roman"/>
          <w:color w:val="000000" w:themeColor="text1"/>
          <w:kern w:val="0"/>
          <w:sz w:val="21"/>
          <w:szCs w:val="21"/>
        </w:rPr>
      </w:pPr>
      <w:bookmarkStart w:id="89" w:name="_Toc352255972"/>
      <w:bookmarkStart w:id="90" w:name="_Toc352256040"/>
      <w:bookmarkStart w:id="91" w:name="_Toc352331218"/>
      <w:bookmarkStart w:id="92" w:name="_Toc362423996"/>
      <w:bookmarkStart w:id="93" w:name="_Toc374459258"/>
      <w:r w:rsidRPr="00E60957">
        <w:rPr>
          <w:rFonts w:ascii="Times New Roman" w:eastAsiaTheme="minorEastAsia" w:hAnsi="Times New Roman"/>
          <w:color w:val="000000" w:themeColor="text1"/>
          <w:kern w:val="0"/>
          <w:sz w:val="21"/>
          <w:szCs w:val="21"/>
        </w:rPr>
        <w:t xml:space="preserve">4.1 </w:t>
      </w:r>
      <w:r w:rsidRPr="00E60957">
        <w:rPr>
          <w:rFonts w:ascii="Times New Roman" w:eastAsiaTheme="minorEastAsia" w:hAnsi="Times New Roman"/>
          <w:color w:val="000000" w:themeColor="text1"/>
          <w:kern w:val="0"/>
          <w:sz w:val="21"/>
          <w:szCs w:val="21"/>
        </w:rPr>
        <w:t>基金管理人及基金经理情况</w:t>
      </w:r>
      <w:bookmarkEnd w:id="89"/>
      <w:bookmarkEnd w:id="90"/>
      <w:bookmarkEnd w:id="91"/>
      <w:bookmarkEnd w:id="92"/>
      <w:bookmarkEnd w:id="93"/>
    </w:p>
    <w:p w:rsidR="007B62FA" w:rsidRPr="00E60957" w:rsidRDefault="007B62FA" w:rsidP="00D2150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4.1.1</w:t>
      </w:r>
      <w:r w:rsidR="006A6C3A"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基金管理人及其管理基金的经验</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上投摩根基金管理有限公司经中国证券监督管理委员会批准，于</w:t>
      </w:r>
      <w:r w:rsidRPr="00E60957">
        <w:rPr>
          <w:rFonts w:eastAsiaTheme="minorEastAsia"/>
          <w:color w:val="000000" w:themeColor="text1"/>
          <w:szCs w:val="21"/>
        </w:rPr>
        <w:t>2004</w:t>
      </w:r>
      <w:r w:rsidRPr="00E60957">
        <w:rPr>
          <w:rFonts w:eastAsiaTheme="minorEastAsia"/>
          <w:color w:val="000000" w:themeColor="text1"/>
          <w:szCs w:val="21"/>
        </w:rPr>
        <w:t>年</w:t>
      </w:r>
      <w:r w:rsidRPr="00E60957">
        <w:rPr>
          <w:rFonts w:eastAsiaTheme="minorEastAsia"/>
          <w:color w:val="000000" w:themeColor="text1"/>
          <w:szCs w:val="21"/>
        </w:rPr>
        <w:t>5</w:t>
      </w:r>
      <w:r w:rsidRPr="00E60957">
        <w:rPr>
          <w:rFonts w:eastAsiaTheme="minorEastAsia"/>
          <w:color w:val="000000" w:themeColor="text1"/>
          <w:szCs w:val="21"/>
        </w:rPr>
        <w:t>月</w:t>
      </w:r>
      <w:r w:rsidRPr="00E60957">
        <w:rPr>
          <w:rFonts w:eastAsiaTheme="minorEastAsia"/>
          <w:color w:val="000000" w:themeColor="text1"/>
          <w:szCs w:val="21"/>
        </w:rPr>
        <w:t>12</w:t>
      </w:r>
      <w:r w:rsidRPr="00E60957">
        <w:rPr>
          <w:rFonts w:eastAsiaTheme="minorEastAsia"/>
          <w:color w:val="000000" w:themeColor="text1"/>
          <w:szCs w:val="21"/>
        </w:rPr>
        <w:t>日正式成立。公司由上海国际信托投资有限公司（</w:t>
      </w:r>
      <w:r w:rsidRPr="00E60957">
        <w:rPr>
          <w:rFonts w:eastAsiaTheme="minorEastAsia"/>
          <w:color w:val="000000" w:themeColor="text1"/>
          <w:szCs w:val="21"/>
        </w:rPr>
        <w:t>2007</w:t>
      </w:r>
      <w:r w:rsidRPr="00E60957">
        <w:rPr>
          <w:rFonts w:eastAsiaTheme="minorEastAsia"/>
          <w:color w:val="000000" w:themeColor="text1"/>
          <w:szCs w:val="21"/>
        </w:rPr>
        <w:t>年</w:t>
      </w:r>
      <w:r w:rsidRPr="00E60957">
        <w:rPr>
          <w:rFonts w:eastAsiaTheme="minorEastAsia"/>
          <w:color w:val="000000" w:themeColor="text1"/>
          <w:szCs w:val="21"/>
        </w:rPr>
        <w:t>10</w:t>
      </w:r>
      <w:r w:rsidRPr="00E60957">
        <w:rPr>
          <w:rFonts w:eastAsiaTheme="minorEastAsia"/>
          <w:color w:val="000000" w:themeColor="text1"/>
          <w:szCs w:val="21"/>
        </w:rPr>
        <w:t>月</w:t>
      </w:r>
      <w:r w:rsidRPr="00E60957">
        <w:rPr>
          <w:rFonts w:eastAsiaTheme="minorEastAsia"/>
          <w:color w:val="000000" w:themeColor="text1"/>
          <w:szCs w:val="21"/>
        </w:rPr>
        <w:t>8</w:t>
      </w:r>
      <w:r w:rsidRPr="00E60957">
        <w:rPr>
          <w:rFonts w:eastAsiaTheme="minorEastAsia"/>
          <w:color w:val="000000" w:themeColor="text1"/>
          <w:szCs w:val="21"/>
        </w:rPr>
        <w:t>日更名为</w:t>
      </w:r>
      <w:r w:rsidRPr="00E60957">
        <w:rPr>
          <w:rFonts w:eastAsiaTheme="minorEastAsia"/>
          <w:color w:val="000000" w:themeColor="text1"/>
          <w:szCs w:val="21"/>
        </w:rPr>
        <w:t>“</w:t>
      </w:r>
      <w:r w:rsidRPr="00E60957">
        <w:rPr>
          <w:rFonts w:eastAsiaTheme="minorEastAsia"/>
          <w:color w:val="000000" w:themeColor="text1"/>
          <w:szCs w:val="21"/>
        </w:rPr>
        <w:t>上海国际信托有限公司</w:t>
      </w:r>
      <w:r w:rsidRPr="00E60957">
        <w:rPr>
          <w:rFonts w:eastAsiaTheme="minorEastAsia"/>
          <w:color w:val="000000" w:themeColor="text1"/>
          <w:szCs w:val="21"/>
        </w:rPr>
        <w:t>”</w:t>
      </w:r>
      <w:r w:rsidRPr="00E60957">
        <w:rPr>
          <w:rFonts w:eastAsiaTheme="minorEastAsia"/>
          <w:color w:val="000000" w:themeColor="text1"/>
          <w:szCs w:val="21"/>
        </w:rPr>
        <w:t>）与摩根资产管理（英国）有限公司合资设立，注册资本为</w:t>
      </w:r>
      <w:r w:rsidRPr="00E60957">
        <w:rPr>
          <w:rFonts w:eastAsiaTheme="minorEastAsia"/>
          <w:color w:val="000000" w:themeColor="text1"/>
          <w:szCs w:val="21"/>
        </w:rPr>
        <w:t>2.5</w:t>
      </w:r>
      <w:r w:rsidRPr="00E60957">
        <w:rPr>
          <w:rFonts w:eastAsiaTheme="minorEastAsia"/>
          <w:color w:val="000000" w:themeColor="text1"/>
          <w:szCs w:val="21"/>
        </w:rPr>
        <w:t>亿元人民币，注册地上海。截至</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底，公司旗下运作的基金共有六十三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投资基金、上投摩根全球天然资源混合型证券投资基金、上投摩根分红添利债券型证券投资基金、上投摩根中证消费服务领先指数证券投资基金、上投摩根核心优选混合型证券投资基金、上投摩根智选</w:t>
      </w:r>
      <w:r w:rsidRPr="00E60957">
        <w:rPr>
          <w:rFonts w:eastAsiaTheme="minorEastAsia"/>
          <w:color w:val="000000" w:themeColor="text1"/>
          <w:szCs w:val="21"/>
        </w:rPr>
        <w:t>30</w:t>
      </w:r>
      <w:r w:rsidRPr="00E60957">
        <w:rPr>
          <w:rFonts w:eastAsiaTheme="minorEastAsia"/>
          <w:color w:val="000000" w:themeColor="text1"/>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w:t>
      </w:r>
      <w:r w:rsidRPr="00E60957">
        <w:rPr>
          <w:rFonts w:eastAsiaTheme="minorEastAsia"/>
          <w:color w:val="000000" w:themeColor="text1"/>
          <w:szCs w:val="21"/>
        </w:rPr>
        <w:lastRenderedPageBreak/>
        <w:t>闲灵活配置混合型证券投资基金、上投摩根智慧生活灵活配置混合型证券投资基金、上投摩根策略精选灵活配置混合型证券投资基金、上投摩根安鑫回报混合型证券投资基金、上投摩根中国世纪灵活配置混合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、上投摩根全球多元配置证券投资基金</w:t>
      </w:r>
      <w:r w:rsidRPr="00E60957">
        <w:rPr>
          <w:rFonts w:eastAsiaTheme="minorEastAsia"/>
          <w:color w:val="000000" w:themeColor="text1"/>
          <w:szCs w:val="21"/>
        </w:rPr>
        <w:t>(QDII)</w:t>
      </w:r>
      <w:r w:rsidRPr="00E60957">
        <w:rPr>
          <w:rFonts w:eastAsiaTheme="minorEastAsia"/>
          <w:color w:val="000000" w:themeColor="text1"/>
          <w:szCs w:val="21"/>
        </w:rPr>
        <w:t>、上投摩根安丰回报混合型证券投资基金、上投摩根岁岁金定期开放债券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E60957">
        <w:rPr>
          <w:rFonts w:eastAsiaTheme="minorEastAsia"/>
          <w:color w:val="000000" w:themeColor="text1"/>
          <w:szCs w:val="21"/>
        </w:rPr>
        <w:t>REITs</w:t>
      </w:r>
      <w:r w:rsidRPr="00E60957">
        <w:rPr>
          <w:rFonts w:eastAsiaTheme="minorEastAsia"/>
          <w:color w:val="000000" w:themeColor="text1"/>
          <w:szCs w:val="21"/>
        </w:rPr>
        <w:t>指数型证券投资基金（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）、上投摩根香港精选港股通混合型证券投资基金、上投摩根尚睿混合型基金中基金</w:t>
      </w:r>
      <w:r w:rsidRPr="00E60957">
        <w:rPr>
          <w:rFonts w:eastAsiaTheme="minorEastAsia"/>
          <w:color w:val="000000" w:themeColor="text1"/>
          <w:szCs w:val="21"/>
        </w:rPr>
        <w:t>(FOF)</w:t>
      </w:r>
      <w:r w:rsidRPr="00E60957">
        <w:rPr>
          <w:rFonts w:eastAsiaTheme="minorEastAsia"/>
          <w:color w:val="000000" w:themeColor="text1"/>
          <w:szCs w:val="21"/>
        </w:rPr>
        <w:t>、上投摩根安裕回报混合型证券投资基金、上投摩根欧洲动力策略股票型证券投资基金（</w:t>
      </w:r>
      <w:r w:rsidRPr="00E60957">
        <w:rPr>
          <w:rFonts w:eastAsiaTheme="minorEastAsia"/>
          <w:color w:val="000000" w:themeColor="text1"/>
          <w:szCs w:val="21"/>
        </w:rPr>
        <w:t>QDII</w:t>
      </w:r>
      <w:r w:rsidRPr="00E60957">
        <w:rPr>
          <w:rFonts w:eastAsiaTheme="minorEastAsia"/>
          <w:color w:val="000000" w:themeColor="text1"/>
          <w:szCs w:val="21"/>
        </w:rPr>
        <w:t>）、上投摩根核心精选股票型证券投资基金。</w:t>
      </w:r>
    </w:p>
    <w:p w:rsidR="007B62FA" w:rsidRPr="00E60957" w:rsidRDefault="009D1492" w:rsidP="009C3167">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4.1.2</w:t>
      </w:r>
      <w:r w:rsidR="006A6C3A"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基金经理（或基金经理小组）及基金经理助理的简介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1568"/>
        <w:gridCol w:w="1292"/>
        <w:gridCol w:w="1294"/>
        <w:gridCol w:w="1200"/>
        <w:gridCol w:w="2625"/>
      </w:tblGrid>
      <w:tr w:rsidR="00E60957" w:rsidRPr="00E60957" w:rsidTr="00E70468">
        <w:tc>
          <w:tcPr>
            <w:tcW w:w="653"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姓名</w:t>
            </w:r>
          </w:p>
        </w:tc>
        <w:tc>
          <w:tcPr>
            <w:tcW w:w="854"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职务</w:t>
            </w:r>
          </w:p>
        </w:tc>
        <w:tc>
          <w:tcPr>
            <w:tcW w:w="1409" w:type="pct"/>
            <w:gridSpan w:val="2"/>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任本基金的基金经理</w:t>
            </w:r>
            <w:r w:rsidR="00165641" w:rsidRPr="00E60957">
              <w:rPr>
                <w:rFonts w:eastAsiaTheme="minorEastAsia"/>
                <w:color w:val="000000" w:themeColor="text1"/>
                <w:szCs w:val="21"/>
              </w:rPr>
              <w:t>（助理）</w:t>
            </w:r>
            <w:r w:rsidRPr="00E60957">
              <w:rPr>
                <w:rFonts w:eastAsiaTheme="minorEastAsia"/>
                <w:color w:val="000000" w:themeColor="text1"/>
                <w:szCs w:val="21"/>
              </w:rPr>
              <w:t>期限</w:t>
            </w:r>
          </w:p>
        </w:tc>
        <w:tc>
          <w:tcPr>
            <w:tcW w:w="654"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证券从业年限</w:t>
            </w:r>
          </w:p>
        </w:tc>
        <w:tc>
          <w:tcPr>
            <w:tcW w:w="1431" w:type="pct"/>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说明</w:t>
            </w:r>
          </w:p>
        </w:tc>
      </w:tr>
      <w:tr w:rsidR="00E60957" w:rsidRPr="00E60957" w:rsidTr="00E70468">
        <w:tc>
          <w:tcPr>
            <w:tcW w:w="653"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854"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704" w:type="pc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任职日期</w:t>
            </w:r>
          </w:p>
        </w:tc>
        <w:tc>
          <w:tcPr>
            <w:tcW w:w="704" w:type="pc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离任日期</w:t>
            </w:r>
          </w:p>
        </w:tc>
        <w:tc>
          <w:tcPr>
            <w:tcW w:w="654"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1431" w:type="pct"/>
            <w:vMerge/>
            <w:vAlign w:val="center"/>
          </w:tcPr>
          <w:p w:rsidR="007B62FA" w:rsidRPr="00E60957" w:rsidRDefault="007B62FA" w:rsidP="00417F87">
            <w:pPr>
              <w:widowControl/>
              <w:spacing w:line="360" w:lineRule="auto"/>
              <w:jc w:val="left"/>
              <w:rPr>
                <w:rFonts w:eastAsiaTheme="minorEastAsia"/>
                <w:color w:val="000000" w:themeColor="text1"/>
                <w:szCs w:val="21"/>
              </w:rPr>
            </w:pPr>
          </w:p>
        </w:tc>
      </w:tr>
      <w:tr w:rsidR="00E33B47">
        <w:tc>
          <w:tcPr>
            <w:tcW w:w="0" w:type="auto"/>
            <w:vAlign w:val="center"/>
          </w:tcPr>
          <w:p w:rsidR="00E33B47" w:rsidRDefault="00B95AF3">
            <w:pPr>
              <w:jc w:val="center"/>
            </w:pPr>
            <w:r>
              <w:rPr>
                <w:rFonts w:eastAsiaTheme="minorEastAsia"/>
                <w:color w:val="000000" w:themeColor="text1"/>
                <w:szCs w:val="21"/>
              </w:rPr>
              <w:t>张军</w:t>
            </w:r>
          </w:p>
        </w:tc>
        <w:tc>
          <w:tcPr>
            <w:tcW w:w="0" w:type="auto"/>
            <w:vAlign w:val="center"/>
          </w:tcPr>
          <w:p w:rsidR="00E33B47" w:rsidRDefault="00B95AF3">
            <w:pPr>
              <w:jc w:val="center"/>
            </w:pPr>
            <w:r>
              <w:rPr>
                <w:rFonts w:eastAsiaTheme="minorEastAsia"/>
                <w:color w:val="000000" w:themeColor="text1"/>
                <w:szCs w:val="21"/>
              </w:rPr>
              <w:t>本基金基金经理、投资董事</w:t>
            </w:r>
          </w:p>
        </w:tc>
        <w:tc>
          <w:tcPr>
            <w:tcW w:w="0" w:type="auto"/>
            <w:vAlign w:val="center"/>
          </w:tcPr>
          <w:p w:rsidR="00E33B47" w:rsidRDefault="00B95AF3">
            <w:pPr>
              <w:jc w:val="center"/>
            </w:pPr>
            <w:r>
              <w:rPr>
                <w:rFonts w:eastAsiaTheme="minorEastAsia"/>
                <w:color w:val="000000" w:themeColor="text1"/>
                <w:szCs w:val="21"/>
              </w:rPr>
              <w:t>2016-12-19</w:t>
            </w:r>
          </w:p>
        </w:tc>
        <w:tc>
          <w:tcPr>
            <w:tcW w:w="0" w:type="auto"/>
            <w:vAlign w:val="center"/>
          </w:tcPr>
          <w:p w:rsidR="00E33B47" w:rsidRDefault="00B95AF3">
            <w:pPr>
              <w:jc w:val="center"/>
            </w:pPr>
            <w:r>
              <w:rPr>
                <w:rFonts w:eastAsiaTheme="minorEastAsia"/>
                <w:color w:val="000000" w:themeColor="text1"/>
                <w:szCs w:val="21"/>
              </w:rPr>
              <w:t>-</w:t>
            </w:r>
          </w:p>
        </w:tc>
        <w:tc>
          <w:tcPr>
            <w:tcW w:w="0" w:type="auto"/>
            <w:vAlign w:val="center"/>
          </w:tcPr>
          <w:p w:rsidR="00E33B47" w:rsidRDefault="00B95AF3">
            <w:pPr>
              <w:jc w:val="center"/>
            </w:pPr>
            <w:r>
              <w:rPr>
                <w:rFonts w:eastAsiaTheme="minorEastAsia"/>
                <w:color w:val="000000" w:themeColor="text1"/>
                <w:szCs w:val="21"/>
              </w:rPr>
              <w:t>15</w:t>
            </w:r>
            <w:r>
              <w:rPr>
                <w:rFonts w:eastAsiaTheme="minorEastAsia"/>
                <w:color w:val="000000" w:themeColor="text1"/>
                <w:szCs w:val="21"/>
              </w:rPr>
              <w:t>年（金融领域从业经验</w:t>
            </w:r>
            <w:r>
              <w:rPr>
                <w:rFonts w:eastAsiaTheme="minorEastAsia"/>
                <w:color w:val="000000" w:themeColor="text1"/>
                <w:szCs w:val="21"/>
              </w:rPr>
              <w:t>26</w:t>
            </w:r>
            <w:r>
              <w:rPr>
                <w:rFonts w:eastAsiaTheme="minorEastAsia"/>
                <w:color w:val="000000" w:themeColor="text1"/>
                <w:szCs w:val="21"/>
              </w:rPr>
              <w:t>年）</w:t>
            </w:r>
          </w:p>
        </w:tc>
        <w:tc>
          <w:tcPr>
            <w:tcW w:w="0" w:type="auto"/>
            <w:vAlign w:val="center"/>
          </w:tcPr>
          <w:p w:rsidR="00E33B47" w:rsidRDefault="00B95AF3">
            <w:pPr>
              <w:jc w:val="left"/>
            </w:pPr>
            <w:r>
              <w:rPr>
                <w:rFonts w:eastAsiaTheme="minorEastAsia"/>
                <w:color w:val="000000" w:themeColor="text1"/>
                <w:szCs w:val="21"/>
              </w:rPr>
              <w:t>张军先生，毕业于上海复旦大学。曾担任上海国际信托有限公司国际业务部经理，交易部经理。</w:t>
            </w:r>
            <w:r>
              <w:rPr>
                <w:rFonts w:eastAsiaTheme="minorEastAsia"/>
                <w:color w:val="000000" w:themeColor="text1"/>
                <w:szCs w:val="21"/>
              </w:rPr>
              <w:t>2004</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月加入上投摩根基金管理有限公司，先后担任交易部总监、投资经理、基金经理、投资组合管理部总监、投资绩效评估总监、国际投资部总监、组合基金投资部总监，现担任投资董事。</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月起担任上投摩根亚太优势混合型证券投资基金基金经理，自</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月起同时担任上投摩根全球天然资源混合型证券投资基金基金经理，自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月起同时担任上投摩根全球多元配置证券投资基金基金经理，自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lastRenderedPageBreak/>
              <w:t>月起担任上投摩根欧洲动力策略股票型证券投资基金基金经理。</w:t>
            </w:r>
          </w:p>
        </w:tc>
      </w:tr>
    </w:tbl>
    <w:p w:rsidR="00E33B47" w:rsidRDefault="00B95AF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lastRenderedPageBreak/>
        <w:t>注：</w:t>
      </w:r>
      <w:r>
        <w:rPr>
          <w:rFonts w:eastAsiaTheme="minorEastAsia"/>
          <w:color w:val="000000" w:themeColor="text1"/>
          <w:kern w:val="0"/>
          <w:szCs w:val="21"/>
        </w:rPr>
        <w:t>1.</w:t>
      </w:r>
      <w:r>
        <w:rPr>
          <w:rFonts w:eastAsiaTheme="minorEastAsia"/>
          <w:color w:val="000000" w:themeColor="text1"/>
          <w:kern w:val="0"/>
          <w:szCs w:val="21"/>
        </w:rPr>
        <w:t>任职日期和离任日期均指根据公司决定确定的聘任日期和解聘日期。</w:t>
      </w:r>
    </w:p>
    <w:p w:rsidR="00E33B47" w:rsidRDefault="00B95AF3">
      <w:pPr>
        <w:tabs>
          <w:tab w:val="left" w:pos="426"/>
        </w:tabs>
        <w:spacing w:line="360" w:lineRule="auto"/>
        <w:ind w:firstLineChars="200" w:firstLine="420"/>
        <w:jc w:val="left"/>
        <w:rPr>
          <w:rFonts w:eastAsiaTheme="minorEastAsia"/>
          <w:color w:val="000000" w:themeColor="text1"/>
          <w:kern w:val="0"/>
          <w:szCs w:val="21"/>
        </w:rPr>
      </w:pPr>
      <w:r>
        <w:rPr>
          <w:rFonts w:eastAsiaTheme="minorEastAsia"/>
          <w:color w:val="000000" w:themeColor="text1"/>
          <w:kern w:val="0"/>
          <w:szCs w:val="21"/>
        </w:rPr>
        <w:t xml:space="preserve">2. </w:t>
      </w:r>
      <w:r>
        <w:rPr>
          <w:rFonts w:eastAsiaTheme="minorEastAsia"/>
          <w:color w:val="000000" w:themeColor="text1"/>
          <w:kern w:val="0"/>
          <w:szCs w:val="21"/>
        </w:rPr>
        <w:t>张军先生为本基金首任基金经理，其任职日期指本基金基金合同生效之日。</w:t>
      </w:r>
    </w:p>
    <w:p w:rsidR="007B62FA" w:rsidRPr="00E60957" w:rsidRDefault="007B62FA" w:rsidP="00E70468">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3.</w:t>
      </w:r>
      <w:r w:rsidRPr="00E60957">
        <w:rPr>
          <w:rFonts w:eastAsiaTheme="minorEastAsia"/>
          <w:color w:val="000000" w:themeColor="text1"/>
          <w:kern w:val="0"/>
          <w:szCs w:val="21"/>
        </w:rPr>
        <w:t>证券从业的含义遵从行业协会《证券业从业人员资格管理办法》的相关规定。</w:t>
      </w:r>
    </w:p>
    <w:p w:rsidR="007B62FA" w:rsidRPr="00E60957" w:rsidRDefault="009D1492" w:rsidP="009C3167">
      <w:pPr>
        <w:pStyle w:val="20"/>
        <w:spacing w:beforeLines="100" w:before="312" w:after="0"/>
        <w:rPr>
          <w:rFonts w:ascii="Times New Roman" w:eastAsiaTheme="minorEastAsia" w:hAnsi="Times New Roman"/>
          <w:color w:val="000000" w:themeColor="text1"/>
          <w:kern w:val="0"/>
          <w:sz w:val="21"/>
          <w:szCs w:val="21"/>
        </w:rPr>
      </w:pPr>
      <w:bookmarkStart w:id="94" w:name="_Toc224618356"/>
      <w:bookmarkStart w:id="95" w:name="_Toc235605685"/>
      <w:bookmarkStart w:id="96" w:name="_Toc286929733"/>
      <w:bookmarkStart w:id="97" w:name="_Toc352255973"/>
      <w:bookmarkStart w:id="98" w:name="_Toc352256041"/>
      <w:bookmarkStart w:id="99" w:name="_Toc352331219"/>
      <w:bookmarkStart w:id="100" w:name="_Toc362423997"/>
      <w:bookmarkStart w:id="101" w:name="_Toc374459259"/>
      <w:r w:rsidRPr="00E60957">
        <w:rPr>
          <w:rFonts w:ascii="Times New Roman" w:eastAsiaTheme="minorEastAsia" w:hAnsi="Times New Roman"/>
          <w:color w:val="000000" w:themeColor="text1"/>
          <w:kern w:val="0"/>
          <w:sz w:val="21"/>
          <w:szCs w:val="21"/>
        </w:rPr>
        <w:t>4.2</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境外投资顾问为本基金提供投资建议的主要成员简介</w:t>
      </w:r>
      <w:bookmarkEnd w:id="94"/>
      <w:bookmarkEnd w:id="95"/>
      <w:bookmarkEnd w:id="96"/>
      <w:bookmarkEnd w:id="97"/>
      <w:bookmarkEnd w:id="98"/>
      <w:bookmarkEnd w:id="99"/>
      <w:bookmarkEnd w:id="100"/>
      <w:bookmarkEnd w:id="101"/>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410"/>
        <w:gridCol w:w="1417"/>
        <w:gridCol w:w="3935"/>
      </w:tblGrid>
      <w:tr w:rsidR="00E60957" w:rsidRPr="00E60957" w:rsidTr="00E70468">
        <w:tc>
          <w:tcPr>
            <w:tcW w:w="1526"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姓名</w:t>
            </w:r>
          </w:p>
        </w:tc>
        <w:tc>
          <w:tcPr>
            <w:tcW w:w="241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在境外投资顾问所任职务</w:t>
            </w:r>
          </w:p>
        </w:tc>
        <w:tc>
          <w:tcPr>
            <w:tcW w:w="1417"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证券从业年限</w:t>
            </w:r>
          </w:p>
        </w:tc>
        <w:tc>
          <w:tcPr>
            <w:tcW w:w="3935"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说明</w:t>
            </w:r>
          </w:p>
        </w:tc>
      </w:tr>
      <w:tr w:rsidR="00E33B47">
        <w:tc>
          <w:tcPr>
            <w:tcW w:w="1526" w:type="dxa"/>
            <w:vAlign w:val="center"/>
          </w:tcPr>
          <w:p w:rsidR="00E33B47" w:rsidRDefault="00B95AF3">
            <w:pPr>
              <w:jc w:val="center"/>
            </w:pPr>
            <w:r>
              <w:rPr>
                <w:rFonts w:eastAsiaTheme="minorEastAsia"/>
                <w:color w:val="000000" w:themeColor="text1"/>
                <w:szCs w:val="21"/>
              </w:rPr>
              <w:t>Leon Goldfeld</w:t>
            </w:r>
          </w:p>
        </w:tc>
        <w:tc>
          <w:tcPr>
            <w:tcW w:w="2410" w:type="dxa"/>
            <w:vAlign w:val="center"/>
          </w:tcPr>
          <w:p w:rsidR="00E33B47" w:rsidRDefault="00B95AF3">
            <w:pPr>
              <w:jc w:val="center"/>
            </w:pPr>
            <w:r>
              <w:rPr>
                <w:rFonts w:eastAsiaTheme="minorEastAsia"/>
                <w:color w:val="000000" w:themeColor="text1"/>
                <w:szCs w:val="21"/>
              </w:rPr>
              <w:t>摩根多元资产解决方案团队基金经理及董事总经理</w:t>
            </w:r>
          </w:p>
        </w:tc>
        <w:tc>
          <w:tcPr>
            <w:tcW w:w="1417" w:type="dxa"/>
            <w:vAlign w:val="center"/>
          </w:tcPr>
          <w:p w:rsidR="00E33B47" w:rsidRDefault="00B95AF3">
            <w:pPr>
              <w:jc w:val="center"/>
            </w:pPr>
            <w:r>
              <w:rPr>
                <w:rFonts w:eastAsiaTheme="minorEastAsia"/>
                <w:color w:val="000000" w:themeColor="text1"/>
                <w:szCs w:val="21"/>
              </w:rPr>
              <w:t>31</w:t>
            </w:r>
            <w:r>
              <w:rPr>
                <w:rFonts w:eastAsiaTheme="minorEastAsia"/>
                <w:color w:val="000000" w:themeColor="text1"/>
                <w:szCs w:val="21"/>
              </w:rPr>
              <w:t>年</w:t>
            </w:r>
          </w:p>
        </w:tc>
        <w:tc>
          <w:tcPr>
            <w:tcW w:w="3935" w:type="dxa"/>
            <w:vAlign w:val="center"/>
          </w:tcPr>
          <w:p w:rsidR="00E33B47" w:rsidRDefault="00B95AF3">
            <w:pPr>
              <w:jc w:val="left"/>
            </w:pPr>
            <w:r>
              <w:rPr>
                <w:rFonts w:eastAsiaTheme="minorEastAsia"/>
                <w:color w:val="000000" w:themeColor="text1"/>
                <w:szCs w:val="21"/>
              </w:rPr>
              <w:t>男，墨尔本蒙纳殊大学理学学士学位（计算机科学、会计及经济学）</w:t>
            </w:r>
          </w:p>
        </w:tc>
      </w:tr>
    </w:tbl>
    <w:p w:rsidR="007B62FA" w:rsidRPr="00E60957" w:rsidRDefault="009D1492" w:rsidP="009C3167">
      <w:pPr>
        <w:pStyle w:val="20"/>
        <w:spacing w:beforeLines="100" w:before="312" w:after="0"/>
        <w:rPr>
          <w:rFonts w:ascii="Times New Roman" w:eastAsiaTheme="minorEastAsia" w:hAnsi="Times New Roman"/>
          <w:color w:val="000000" w:themeColor="text1"/>
          <w:kern w:val="0"/>
          <w:sz w:val="21"/>
          <w:szCs w:val="21"/>
        </w:rPr>
      </w:pPr>
      <w:bookmarkStart w:id="102" w:name="_Toc225498256"/>
      <w:bookmarkStart w:id="103" w:name="_Toc352255974"/>
      <w:bookmarkStart w:id="104" w:name="_Toc352256042"/>
      <w:bookmarkStart w:id="105" w:name="_Toc352331220"/>
      <w:bookmarkStart w:id="106" w:name="_Toc362423998"/>
      <w:bookmarkStart w:id="107" w:name="_Toc374459260"/>
      <w:r w:rsidRPr="00E60957">
        <w:rPr>
          <w:rFonts w:ascii="Times New Roman" w:eastAsiaTheme="minorEastAsia" w:hAnsi="Times New Roman"/>
          <w:color w:val="000000" w:themeColor="text1"/>
          <w:kern w:val="0"/>
          <w:sz w:val="21"/>
          <w:szCs w:val="21"/>
        </w:rPr>
        <w:t>4.3</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管理人对报告期内本基金运作遵规守信情况的说明</w:t>
      </w:r>
      <w:bookmarkEnd w:id="102"/>
      <w:bookmarkEnd w:id="103"/>
      <w:bookmarkEnd w:id="104"/>
      <w:bookmarkEnd w:id="105"/>
      <w:bookmarkEnd w:id="106"/>
      <w:bookmarkEnd w:id="107"/>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在本报告期内，基金管理人不存在损害基金份额持有人利益的行为，勤勉尽责地为基金份额持有人谋求利益。本基金管理人遵守了《证券投资基金法》及其他有关法律法规、《上投摩根全球多元配置证券投资基金基金合同》的规定。基金经理对个股和投资组合的比例遵循了投资决策委员会的授权限制，基金投资比例符合基金合同和法律法规的要求。</w:t>
      </w:r>
    </w:p>
    <w:p w:rsidR="007B62FA" w:rsidRPr="00E60957" w:rsidRDefault="009D1492" w:rsidP="009C3167">
      <w:pPr>
        <w:pStyle w:val="20"/>
        <w:spacing w:beforeLines="100" w:before="312" w:after="0"/>
        <w:rPr>
          <w:rFonts w:ascii="Times New Roman" w:eastAsiaTheme="minorEastAsia" w:hAnsi="Times New Roman"/>
          <w:color w:val="000000" w:themeColor="text1"/>
          <w:kern w:val="0"/>
          <w:sz w:val="21"/>
          <w:szCs w:val="21"/>
        </w:rPr>
      </w:pPr>
      <w:bookmarkStart w:id="108" w:name="_Toc225498257"/>
      <w:bookmarkStart w:id="109" w:name="_Toc352255975"/>
      <w:bookmarkStart w:id="110" w:name="_Toc352256043"/>
      <w:bookmarkStart w:id="111" w:name="_Toc352331221"/>
      <w:bookmarkStart w:id="112" w:name="_Toc362423999"/>
      <w:bookmarkStart w:id="113" w:name="_Toc374459261"/>
      <w:r w:rsidRPr="00E60957">
        <w:rPr>
          <w:rFonts w:ascii="Times New Roman" w:eastAsiaTheme="minorEastAsia" w:hAnsi="Times New Roman"/>
          <w:color w:val="000000" w:themeColor="text1"/>
          <w:kern w:val="0"/>
          <w:sz w:val="21"/>
          <w:szCs w:val="21"/>
        </w:rPr>
        <w:t>4.4</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管理人对报告期内公平交易情况的专项说明</w:t>
      </w:r>
      <w:bookmarkEnd w:id="108"/>
      <w:bookmarkEnd w:id="109"/>
      <w:bookmarkEnd w:id="110"/>
      <w:bookmarkEnd w:id="111"/>
      <w:bookmarkEnd w:id="112"/>
      <w:bookmarkEnd w:id="113"/>
    </w:p>
    <w:p w:rsidR="007B62FA" w:rsidRPr="00E60957" w:rsidRDefault="00633B6F" w:rsidP="006F3BD2">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4.4.1</w:t>
      </w:r>
      <w:r w:rsidR="002D0B5F"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公平交易制度和控制方法</w:t>
      </w:r>
    </w:p>
    <w:p w:rsidR="00E33B47" w:rsidRDefault="00B95AF3">
      <w:pPr>
        <w:spacing w:line="360" w:lineRule="auto"/>
        <w:ind w:firstLineChars="200" w:firstLine="420"/>
        <w:rPr>
          <w:rFonts w:eastAsiaTheme="minorEastAsia"/>
          <w:color w:val="000000" w:themeColor="text1"/>
          <w:szCs w:val="21"/>
        </w:rPr>
      </w:pPr>
      <w:r>
        <w:rPr>
          <w:rFonts w:eastAsiaTheme="minorEastAsia"/>
          <w:color w:val="000000" w:themeColor="text1"/>
          <w:szCs w:val="21"/>
        </w:rPr>
        <w:t>本公司按照《证券投资基金管理公司公平交易制度指导意见》等相关法律法规的要求，制订了《上投摩根基金管理有限公司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E33B47" w:rsidRDefault="00B95AF3">
      <w:pPr>
        <w:spacing w:line="360" w:lineRule="auto"/>
        <w:ind w:firstLineChars="200" w:firstLine="420"/>
        <w:rPr>
          <w:rFonts w:eastAsiaTheme="minorEastAsia"/>
          <w:color w:val="000000" w:themeColor="text1"/>
          <w:szCs w:val="21"/>
        </w:rPr>
      </w:pPr>
      <w:r>
        <w:rPr>
          <w:rFonts w:eastAsiaTheme="minorEastAsia"/>
          <w:color w:val="000000" w:themeColor="text1"/>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w:t>
      </w:r>
      <w:r>
        <w:rPr>
          <w:rFonts w:eastAsiaTheme="minorEastAsia"/>
          <w:color w:val="000000" w:themeColor="text1"/>
          <w:szCs w:val="21"/>
        </w:rPr>
        <w:lastRenderedPageBreak/>
        <w:t>申购投资行为，遵循价格优先、比例分配的原则，根据事前独立申报的价格和数量对交易结果进行公平分配。</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7B62FA" w:rsidRPr="00E60957" w:rsidRDefault="00633B6F" w:rsidP="009C3167">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4.4.2</w:t>
      </w:r>
      <w:r w:rsidR="006A6C3A"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公平交易制度的执行情况</w:t>
      </w:r>
    </w:p>
    <w:p w:rsidR="00E33B47" w:rsidRDefault="00B95AF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E33B47" w:rsidRDefault="00B95AF3">
      <w:pPr>
        <w:spacing w:line="360" w:lineRule="auto"/>
        <w:ind w:firstLineChars="200" w:firstLine="420"/>
        <w:rPr>
          <w:rFonts w:eastAsiaTheme="minorEastAsia"/>
          <w:color w:val="000000" w:themeColor="text1"/>
          <w:szCs w:val="21"/>
        </w:rPr>
      </w:pPr>
      <w:r>
        <w:rPr>
          <w:rFonts w:eastAsiaTheme="minorEastAsia"/>
          <w:color w:val="000000" w:themeColor="text1"/>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color w:val="000000" w:themeColor="text1"/>
          <w:szCs w:val="21"/>
        </w:rPr>
        <w:t>3</w:t>
      </w:r>
      <w:r>
        <w:rPr>
          <w:rFonts w:eastAsiaTheme="minorEastAsia"/>
          <w:color w:val="000000" w:themeColor="text1"/>
          <w:szCs w:val="21"/>
        </w:rPr>
        <w:t>日内、</w:t>
      </w:r>
      <w:r>
        <w:rPr>
          <w:rFonts w:eastAsiaTheme="minorEastAsia"/>
          <w:color w:val="000000" w:themeColor="text1"/>
          <w:szCs w:val="21"/>
        </w:rPr>
        <w:t>5</w:t>
      </w:r>
      <w:r>
        <w:rPr>
          <w:rFonts w:eastAsiaTheme="minorEastAsia"/>
          <w:color w:val="000000" w:themeColor="text1"/>
          <w:szCs w:val="21"/>
        </w:rPr>
        <w:t>日内）的同向交易价差进行分析，采用概率统计方法，主要关注不同投资组合之间同向交易价差均值为零的显著性检验，以及同向交易价格占优的交易次数占比分析。</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报告期内，通过前述分析方法，未发现不同投资组合之间同向交易价差异常的情况。</w:t>
      </w:r>
    </w:p>
    <w:p w:rsidR="007B62FA" w:rsidRPr="00E60957" w:rsidRDefault="00633B6F" w:rsidP="009C3167">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4.4.3</w:t>
      </w:r>
      <w:r w:rsidR="006A6C3A" w:rsidRPr="00E60957">
        <w:rPr>
          <w:rFonts w:eastAsiaTheme="minorEastAsia"/>
          <w:b/>
          <w:color w:val="000000" w:themeColor="text1"/>
          <w:kern w:val="0"/>
          <w:szCs w:val="21"/>
        </w:rPr>
        <w:t xml:space="preserve"> </w:t>
      </w:r>
      <w:r w:rsidR="007B62FA" w:rsidRPr="00E60957">
        <w:rPr>
          <w:rFonts w:eastAsiaTheme="minorEastAsia"/>
          <w:b/>
          <w:color w:val="000000" w:themeColor="text1"/>
          <w:kern w:val="0"/>
          <w:szCs w:val="21"/>
        </w:rPr>
        <w:t>异常交易行为的专项说明</w:t>
      </w:r>
    </w:p>
    <w:p w:rsidR="00E33B47" w:rsidRDefault="00B95AF3">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报告期内，通过对交易价格、交易时间、交易方向等的抽样分析，公司未发现存在异常交易行为。</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报告期内，所有投资组合参与的交易所公开竞价同日反向交易成交较少的单边交易量超过该证券当日成交量的</w:t>
      </w:r>
      <w:r w:rsidRPr="00E60957">
        <w:rPr>
          <w:rFonts w:eastAsiaTheme="minorEastAsia"/>
          <w:color w:val="000000" w:themeColor="text1"/>
          <w:szCs w:val="21"/>
        </w:rPr>
        <w:t>5%</w:t>
      </w:r>
      <w:r w:rsidRPr="00E60957">
        <w:rPr>
          <w:rFonts w:eastAsiaTheme="minorEastAsia"/>
          <w:color w:val="000000" w:themeColor="text1"/>
          <w:szCs w:val="21"/>
        </w:rPr>
        <w:t>的情形：无。</w:t>
      </w:r>
    </w:p>
    <w:p w:rsidR="007B62FA" w:rsidRPr="00E60957" w:rsidRDefault="009D1492" w:rsidP="009C3167">
      <w:pPr>
        <w:pStyle w:val="20"/>
        <w:spacing w:beforeLines="100" w:before="312" w:after="0"/>
        <w:rPr>
          <w:rFonts w:ascii="Times New Roman" w:eastAsiaTheme="minorEastAsia" w:hAnsi="Times New Roman"/>
          <w:color w:val="000000" w:themeColor="text1"/>
          <w:kern w:val="0"/>
          <w:sz w:val="21"/>
          <w:szCs w:val="21"/>
        </w:rPr>
      </w:pPr>
      <w:bookmarkStart w:id="114" w:name="_Toc225498258"/>
      <w:bookmarkStart w:id="115" w:name="_Toc352255976"/>
      <w:bookmarkStart w:id="116" w:name="_Toc352256044"/>
      <w:bookmarkStart w:id="117" w:name="_Toc352331222"/>
      <w:bookmarkStart w:id="118" w:name="_Toc362424000"/>
      <w:bookmarkStart w:id="119" w:name="_Toc374459262"/>
      <w:r w:rsidRPr="00E60957">
        <w:rPr>
          <w:rFonts w:ascii="Times New Roman" w:eastAsiaTheme="minorEastAsia" w:hAnsi="Times New Roman"/>
          <w:color w:val="000000" w:themeColor="text1"/>
          <w:kern w:val="0"/>
          <w:sz w:val="21"/>
          <w:szCs w:val="21"/>
        </w:rPr>
        <w:t>4.5</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管理人对报告期内基金的投资策略和业绩表现的说明</w:t>
      </w:r>
      <w:bookmarkEnd w:id="114"/>
      <w:bookmarkEnd w:id="115"/>
      <w:bookmarkEnd w:id="116"/>
      <w:bookmarkEnd w:id="117"/>
      <w:bookmarkEnd w:id="118"/>
      <w:bookmarkEnd w:id="119"/>
    </w:p>
    <w:p w:rsidR="007B62FA" w:rsidRPr="00E60957" w:rsidRDefault="009D1492" w:rsidP="006F3BD2">
      <w:pPr>
        <w:spacing w:line="360" w:lineRule="auto"/>
        <w:rPr>
          <w:rFonts w:eastAsiaTheme="minorEastAsia"/>
          <w:b/>
          <w:color w:val="000000" w:themeColor="text1"/>
          <w:szCs w:val="21"/>
        </w:rPr>
      </w:pPr>
      <w:r w:rsidRPr="00E60957">
        <w:rPr>
          <w:rFonts w:eastAsiaTheme="minorEastAsia"/>
          <w:b/>
          <w:color w:val="000000" w:themeColor="text1"/>
          <w:szCs w:val="21"/>
        </w:rPr>
        <w:t>4.5</w:t>
      </w:r>
      <w:r w:rsidR="007B62FA" w:rsidRPr="00E60957">
        <w:rPr>
          <w:rFonts w:eastAsiaTheme="minorEastAsia"/>
          <w:b/>
          <w:color w:val="000000" w:themeColor="text1"/>
          <w:szCs w:val="21"/>
        </w:rPr>
        <w:t>.1</w:t>
      </w:r>
      <w:r w:rsidR="007B62FA" w:rsidRPr="00E60957">
        <w:rPr>
          <w:rFonts w:eastAsiaTheme="minorEastAsia"/>
          <w:b/>
          <w:color w:val="000000" w:themeColor="text1"/>
          <w:szCs w:val="21"/>
        </w:rPr>
        <w:t>报告期内基金投资策略和运作分析</w:t>
      </w:r>
    </w:p>
    <w:p w:rsidR="00E33B47" w:rsidRDefault="00B95AF3">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一季度发生的中美贸易摩擦的影响延续整个报告期，成为主要风险因素之一。尽管加征关税对全球经济的直接影响究竟有多大还待评估，目前估计并不大，但在情绪上给投资人带来的困惑要大得多。年初对美联储的加息预期推高美国</w:t>
      </w:r>
      <w:r>
        <w:rPr>
          <w:rFonts w:eastAsiaTheme="minorEastAsia"/>
          <w:color w:val="000000" w:themeColor="text1"/>
          <w:szCs w:val="21"/>
        </w:rPr>
        <w:t>10</w:t>
      </w:r>
      <w:r>
        <w:rPr>
          <w:rFonts w:eastAsiaTheme="minorEastAsia"/>
          <w:color w:val="000000" w:themeColor="text1"/>
          <w:szCs w:val="21"/>
        </w:rPr>
        <w:t>年期国债收益率一度达到</w:t>
      </w:r>
      <w:r>
        <w:rPr>
          <w:rFonts w:eastAsiaTheme="minorEastAsia"/>
          <w:color w:val="000000" w:themeColor="text1"/>
          <w:szCs w:val="21"/>
        </w:rPr>
        <w:t>3%</w:t>
      </w:r>
      <w:r>
        <w:rPr>
          <w:rFonts w:eastAsiaTheme="minorEastAsia"/>
          <w:color w:val="000000" w:themeColor="text1"/>
          <w:szCs w:val="21"/>
        </w:rPr>
        <w:t>，之后有所回落。</w:t>
      </w:r>
      <w:r>
        <w:rPr>
          <w:rFonts w:eastAsiaTheme="minorEastAsia"/>
          <w:color w:val="000000" w:themeColor="text1"/>
          <w:szCs w:val="21"/>
        </w:rPr>
        <w:lastRenderedPageBreak/>
        <w:t>欧洲经济的增长势头比</w:t>
      </w:r>
      <w:r>
        <w:rPr>
          <w:rFonts w:eastAsiaTheme="minorEastAsia"/>
          <w:color w:val="000000" w:themeColor="text1"/>
          <w:szCs w:val="21"/>
        </w:rPr>
        <w:t>1</w:t>
      </w:r>
      <w:r>
        <w:rPr>
          <w:rFonts w:eastAsiaTheme="minorEastAsia"/>
          <w:color w:val="000000" w:themeColor="text1"/>
          <w:szCs w:val="21"/>
        </w:rPr>
        <w:t>月份有所减缓，但经济领先指标仍然处于荣枯线之上。美股盈利增长超过</w:t>
      </w:r>
      <w:r>
        <w:rPr>
          <w:rFonts w:eastAsiaTheme="minorEastAsia"/>
          <w:color w:val="000000" w:themeColor="text1"/>
          <w:szCs w:val="21"/>
        </w:rPr>
        <w:t>20%</w:t>
      </w:r>
      <w:r>
        <w:rPr>
          <w:rFonts w:eastAsiaTheme="minorEastAsia"/>
          <w:color w:val="000000" w:themeColor="text1"/>
          <w:szCs w:val="21"/>
        </w:rPr>
        <w:t>，同时期的经济数据依然显示增长符合预期，美元逐步走强，带动发达市场股市表现好于新兴市场。美国无论是在经济增长预期和股债资产表现上仍然引领全球市场。</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内，基金在前三个季度维持超配股票资产，小幅减持新兴市场股票和欧洲股票部位，加到日本股票部位上。三季度开始增持全球投资级债券部位，减少了低配债券资产的幅度。此举是考虑到在增长的后期和波动率上升的背景下，组合保持多样、灵活和高流动性特征是较好的应对策略。第四季度全球股票资产均出现较大跌幅，尤其成熟市场股票价格的回调幅度大于新兴市场股票。投资组合在四季度也进行了防御性调整，调低了股票资产的配置比重，加大了债券资产配置。</w:t>
      </w:r>
    </w:p>
    <w:p w:rsidR="007B62FA" w:rsidRPr="00E60957" w:rsidRDefault="009D1492" w:rsidP="009C3167">
      <w:pPr>
        <w:autoSpaceDE w:val="0"/>
        <w:autoSpaceDN w:val="0"/>
        <w:adjustRightInd w:val="0"/>
        <w:spacing w:beforeLines="100" w:before="312" w:line="360" w:lineRule="auto"/>
        <w:jc w:val="left"/>
        <w:rPr>
          <w:rFonts w:eastAsiaTheme="minorEastAsia"/>
          <w:b/>
          <w:color w:val="000000" w:themeColor="text1"/>
          <w:szCs w:val="21"/>
        </w:rPr>
      </w:pPr>
      <w:r w:rsidRPr="00E60957">
        <w:rPr>
          <w:rFonts w:eastAsiaTheme="minorEastAsia"/>
          <w:b/>
          <w:color w:val="000000" w:themeColor="text1"/>
          <w:szCs w:val="21"/>
        </w:rPr>
        <w:t>4.5</w:t>
      </w:r>
      <w:r w:rsidR="007B62FA" w:rsidRPr="00E60957">
        <w:rPr>
          <w:rFonts w:eastAsiaTheme="minorEastAsia"/>
          <w:b/>
          <w:color w:val="000000" w:themeColor="text1"/>
          <w:szCs w:val="21"/>
        </w:rPr>
        <w:t>.2</w:t>
      </w:r>
      <w:r w:rsidR="006A6C3A" w:rsidRPr="00E60957">
        <w:rPr>
          <w:rFonts w:eastAsiaTheme="minorEastAsia"/>
          <w:b/>
          <w:color w:val="000000" w:themeColor="text1"/>
          <w:szCs w:val="21"/>
        </w:rPr>
        <w:t xml:space="preserve"> </w:t>
      </w:r>
      <w:r w:rsidR="007B62FA" w:rsidRPr="00E60957">
        <w:rPr>
          <w:rFonts w:eastAsiaTheme="minorEastAsia"/>
          <w:b/>
          <w:color w:val="000000" w:themeColor="text1"/>
          <w:szCs w:val="21"/>
        </w:rPr>
        <w:t>报告期内基金的业绩表现</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本报告期上投摩根全球多元配置份额净值增长率为</w:t>
      </w:r>
      <w:r w:rsidRPr="00E60957">
        <w:rPr>
          <w:rFonts w:eastAsiaTheme="minorEastAsia"/>
          <w:color w:val="000000" w:themeColor="text1"/>
          <w:szCs w:val="21"/>
        </w:rPr>
        <w:t>:-3.29%</w:t>
      </w:r>
      <w:r w:rsidRPr="00E60957">
        <w:rPr>
          <w:rFonts w:eastAsiaTheme="minorEastAsia"/>
          <w:color w:val="000000" w:themeColor="text1"/>
          <w:szCs w:val="21"/>
        </w:rPr>
        <w:t>，同期业绩比较基准收益率为</w:t>
      </w:r>
      <w:r w:rsidRPr="00E60957">
        <w:rPr>
          <w:rFonts w:eastAsiaTheme="minorEastAsia"/>
          <w:color w:val="000000" w:themeColor="text1"/>
          <w:szCs w:val="21"/>
        </w:rPr>
        <w:t>:-4.58%</w:t>
      </w:r>
      <w:r w:rsidRPr="00E60957">
        <w:rPr>
          <w:rFonts w:eastAsiaTheme="minorEastAsia"/>
          <w:color w:val="000000" w:themeColor="text1"/>
          <w:szCs w:val="21"/>
        </w:rPr>
        <w:t>。</w:t>
      </w:r>
    </w:p>
    <w:p w:rsidR="00887A23" w:rsidRDefault="009D1492" w:rsidP="009C3167">
      <w:pPr>
        <w:pStyle w:val="20"/>
        <w:spacing w:beforeLines="100" w:before="312" w:after="0"/>
        <w:rPr>
          <w:rFonts w:ascii="Times New Roman" w:eastAsiaTheme="minorEastAsia" w:hAnsi="Times New Roman"/>
          <w:color w:val="000000" w:themeColor="text1"/>
          <w:kern w:val="0"/>
          <w:sz w:val="21"/>
          <w:szCs w:val="21"/>
        </w:rPr>
      </w:pPr>
      <w:bookmarkStart w:id="120" w:name="_Toc225498259"/>
      <w:bookmarkStart w:id="121" w:name="_Toc352255977"/>
      <w:bookmarkStart w:id="122" w:name="_Toc352256045"/>
      <w:bookmarkStart w:id="123" w:name="_Toc352331223"/>
      <w:bookmarkStart w:id="124" w:name="_Toc362424001"/>
      <w:bookmarkStart w:id="125" w:name="_Toc374459263"/>
      <w:r w:rsidRPr="00E60957">
        <w:rPr>
          <w:rFonts w:ascii="Times New Roman" w:eastAsiaTheme="minorEastAsia" w:hAnsi="Times New Roman"/>
          <w:color w:val="000000" w:themeColor="text1"/>
          <w:kern w:val="0"/>
          <w:sz w:val="21"/>
          <w:szCs w:val="21"/>
        </w:rPr>
        <w:t>4.6</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管理人对宏观经济、证券市场及行业走势的简要展望</w:t>
      </w:r>
      <w:bookmarkEnd w:id="120"/>
      <w:bookmarkEnd w:id="121"/>
      <w:bookmarkEnd w:id="122"/>
      <w:bookmarkEnd w:id="123"/>
      <w:bookmarkEnd w:id="124"/>
      <w:bookmarkEnd w:id="125"/>
    </w:p>
    <w:p w:rsidR="00887A23" w:rsidRDefault="00B95AF3">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展望后市，透过干扰市场的短暂</w:t>
      </w:r>
      <w:r>
        <w:rPr>
          <w:rFonts w:eastAsiaTheme="minorEastAsia"/>
          <w:color w:val="000000" w:themeColor="text1"/>
          <w:szCs w:val="21"/>
        </w:rPr>
        <w:t>“</w:t>
      </w:r>
      <w:r>
        <w:rPr>
          <w:rFonts w:eastAsiaTheme="minorEastAsia"/>
          <w:color w:val="000000" w:themeColor="text1"/>
          <w:szCs w:val="21"/>
        </w:rPr>
        <w:t>噪音</w:t>
      </w:r>
      <w:r>
        <w:rPr>
          <w:rFonts w:eastAsiaTheme="minorEastAsia"/>
          <w:color w:val="000000" w:themeColor="text1"/>
          <w:szCs w:val="21"/>
        </w:rPr>
        <w:t>”</w:t>
      </w:r>
      <w:r>
        <w:rPr>
          <w:rFonts w:eastAsiaTheme="minorEastAsia"/>
          <w:color w:val="000000" w:themeColor="text1"/>
          <w:szCs w:val="21"/>
        </w:rPr>
        <w:t>，我们还是预期全球处于温和增长的环境中，这一环境的特征包括：相对低的通胀压力，较宽松的全球货币环境。风险来自于美国对中国、欧洲等主要贸易伙伴的贸易摩擦，以及不可琢磨的美国对外政策和欧洲部分地区的地缘政治。全球经济增长的大背景没有发生逆转的迹象，美国引领全球稳定增长仍是大概率事件。</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预期全球增长的绝对数仍然可以维持正数，所谓衰退还离我们还很远，相对增速放缓已经可以预见，这将会导致市场投资者一系列的规避风险资产的组合调整，对风险资产价格不利。但当价格超跌后，也会孕育新的投资机会。</w:t>
      </w:r>
      <w:r w:rsidRPr="00E60957">
        <w:rPr>
          <w:rFonts w:eastAsiaTheme="minorEastAsia"/>
          <w:color w:val="000000" w:themeColor="text1"/>
          <w:szCs w:val="21"/>
        </w:rPr>
        <w:t>2019</w:t>
      </w:r>
      <w:r w:rsidRPr="00E60957">
        <w:rPr>
          <w:rFonts w:eastAsiaTheme="minorEastAsia"/>
          <w:color w:val="000000" w:themeColor="text1"/>
          <w:szCs w:val="21"/>
        </w:rPr>
        <w:t>年内美联储加息进程、中美贸易摩擦、英国脱欧等宏观政经事件仍存在诸多不确定性，本基金将保持分散、多元和高流动性来应对增长放缓的市场环境。</w:t>
      </w:r>
    </w:p>
    <w:p w:rsidR="007B62FA" w:rsidRPr="00E60957" w:rsidRDefault="009D1492" w:rsidP="009C3167">
      <w:pPr>
        <w:pStyle w:val="20"/>
        <w:spacing w:beforeLines="100" w:before="312" w:after="0"/>
        <w:rPr>
          <w:rFonts w:ascii="Times New Roman" w:eastAsiaTheme="minorEastAsia" w:hAnsi="Times New Roman"/>
          <w:color w:val="000000" w:themeColor="text1"/>
          <w:kern w:val="0"/>
          <w:sz w:val="21"/>
          <w:szCs w:val="21"/>
        </w:rPr>
      </w:pPr>
      <w:bookmarkStart w:id="126" w:name="_Toc247959457"/>
      <w:bookmarkStart w:id="127" w:name="_Toc225570083"/>
      <w:bookmarkStart w:id="128" w:name="_Toc352255979"/>
      <w:bookmarkStart w:id="129" w:name="_Toc352256047"/>
      <w:bookmarkStart w:id="130" w:name="_Toc352331225"/>
      <w:bookmarkStart w:id="131" w:name="_Toc362424003"/>
      <w:bookmarkStart w:id="132" w:name="_Toc374459265"/>
      <w:r w:rsidRPr="00E60957">
        <w:rPr>
          <w:rFonts w:ascii="Times New Roman" w:eastAsiaTheme="minorEastAsia" w:hAnsi="Times New Roman"/>
          <w:color w:val="000000" w:themeColor="text1"/>
          <w:kern w:val="0"/>
          <w:sz w:val="21"/>
          <w:szCs w:val="21"/>
        </w:rPr>
        <w:t>4.</w:t>
      </w:r>
      <w:r w:rsidR="004349D1">
        <w:rPr>
          <w:rFonts w:ascii="Times New Roman" w:eastAsiaTheme="minorEastAsia" w:hAnsi="Times New Roman" w:hint="eastAsia"/>
          <w:color w:val="000000" w:themeColor="text1"/>
          <w:kern w:val="0"/>
          <w:sz w:val="21"/>
          <w:szCs w:val="21"/>
        </w:rPr>
        <w:t>7</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管理人对报告期内基金估值程序等事项的说明</w:t>
      </w:r>
      <w:bookmarkEnd w:id="126"/>
      <w:bookmarkEnd w:id="127"/>
      <w:bookmarkEnd w:id="128"/>
      <w:bookmarkEnd w:id="129"/>
      <w:bookmarkEnd w:id="130"/>
      <w:bookmarkEnd w:id="131"/>
      <w:bookmarkEnd w:id="132"/>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7B62FA" w:rsidRPr="00E60957" w:rsidRDefault="009D1492" w:rsidP="009C3167">
      <w:pPr>
        <w:pStyle w:val="20"/>
        <w:spacing w:beforeLines="100" w:before="312" w:after="0"/>
        <w:rPr>
          <w:rFonts w:ascii="Times New Roman" w:eastAsiaTheme="minorEastAsia" w:hAnsi="Times New Roman"/>
          <w:color w:val="000000" w:themeColor="text1"/>
          <w:kern w:val="0"/>
          <w:sz w:val="21"/>
          <w:szCs w:val="21"/>
        </w:rPr>
      </w:pPr>
      <w:bookmarkStart w:id="133" w:name="_Toc247959458"/>
      <w:bookmarkStart w:id="134" w:name="_Toc225570084"/>
      <w:bookmarkStart w:id="135" w:name="_Toc352255980"/>
      <w:bookmarkStart w:id="136" w:name="_Toc352256048"/>
      <w:bookmarkStart w:id="137" w:name="_Toc352331226"/>
      <w:bookmarkStart w:id="138" w:name="_Toc362424004"/>
      <w:bookmarkStart w:id="139" w:name="_Toc374459266"/>
      <w:r w:rsidRPr="00E60957">
        <w:rPr>
          <w:rFonts w:ascii="Times New Roman" w:eastAsiaTheme="minorEastAsia" w:hAnsi="Times New Roman"/>
          <w:color w:val="000000" w:themeColor="text1"/>
          <w:kern w:val="0"/>
          <w:sz w:val="21"/>
          <w:szCs w:val="21"/>
        </w:rPr>
        <w:lastRenderedPageBreak/>
        <w:t>4.</w:t>
      </w:r>
      <w:r w:rsidR="004349D1">
        <w:rPr>
          <w:rFonts w:ascii="Times New Roman" w:eastAsiaTheme="minorEastAsia" w:hAnsi="Times New Roman" w:hint="eastAsia"/>
          <w:color w:val="000000" w:themeColor="text1"/>
          <w:kern w:val="0"/>
          <w:sz w:val="21"/>
          <w:szCs w:val="21"/>
        </w:rPr>
        <w:t>8</w:t>
      </w:r>
      <w:r w:rsidR="007B62FA" w:rsidRPr="00E60957">
        <w:rPr>
          <w:rFonts w:ascii="Times New Roman" w:eastAsiaTheme="minorEastAsia" w:hAnsi="Times New Roman"/>
          <w:color w:val="000000" w:themeColor="text1"/>
          <w:kern w:val="0"/>
          <w:sz w:val="21"/>
          <w:szCs w:val="21"/>
        </w:rPr>
        <w:t xml:space="preserve"> </w:t>
      </w:r>
      <w:r w:rsidR="007B62FA" w:rsidRPr="00E60957">
        <w:rPr>
          <w:rFonts w:ascii="Times New Roman" w:eastAsiaTheme="minorEastAsia" w:hAnsi="Times New Roman"/>
          <w:color w:val="000000" w:themeColor="text1"/>
          <w:kern w:val="0"/>
          <w:sz w:val="21"/>
          <w:szCs w:val="21"/>
        </w:rPr>
        <w:t>管理人对报告期内基金利润分配情况的说明</w:t>
      </w:r>
      <w:bookmarkEnd w:id="133"/>
      <w:bookmarkEnd w:id="134"/>
      <w:bookmarkEnd w:id="135"/>
      <w:bookmarkEnd w:id="136"/>
      <w:bookmarkEnd w:id="137"/>
      <w:bookmarkEnd w:id="138"/>
      <w:bookmarkEnd w:id="139"/>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报告期内，本基金未实施利润分配。</w:t>
      </w:r>
    </w:p>
    <w:p w:rsidR="00A7672E" w:rsidRPr="00E60957" w:rsidRDefault="00A7672E" w:rsidP="009C3167">
      <w:pPr>
        <w:pStyle w:val="20"/>
        <w:spacing w:beforeLines="100" w:before="312" w:after="0"/>
        <w:rPr>
          <w:rFonts w:eastAsiaTheme="minorEastAsia"/>
          <w:color w:val="000000" w:themeColor="text1"/>
          <w:szCs w:val="21"/>
        </w:rPr>
      </w:pPr>
      <w:r w:rsidRPr="00D66751">
        <w:rPr>
          <w:rFonts w:ascii="Times New Roman" w:eastAsiaTheme="minorEastAsia" w:hAnsi="Times New Roman"/>
          <w:color w:val="000000" w:themeColor="text1"/>
          <w:kern w:val="0"/>
          <w:sz w:val="21"/>
          <w:szCs w:val="21"/>
        </w:rPr>
        <w:t>4.</w:t>
      </w:r>
      <w:r w:rsidR="004349D1">
        <w:rPr>
          <w:rFonts w:ascii="Times New Roman" w:eastAsiaTheme="minorEastAsia" w:hAnsi="Times New Roman" w:hint="eastAsia"/>
          <w:color w:val="000000" w:themeColor="text1"/>
          <w:kern w:val="0"/>
          <w:sz w:val="21"/>
          <w:szCs w:val="21"/>
        </w:rPr>
        <w:t>9</w:t>
      </w:r>
      <w:r w:rsidR="00446D33" w:rsidRPr="00D66751">
        <w:rPr>
          <w:rFonts w:ascii="Times New Roman" w:eastAsiaTheme="minorEastAsia" w:hAnsi="Times New Roman" w:hint="eastAsia"/>
          <w:color w:val="000000" w:themeColor="text1"/>
          <w:kern w:val="0"/>
          <w:sz w:val="21"/>
          <w:szCs w:val="21"/>
        </w:rPr>
        <w:t xml:space="preserve"> </w:t>
      </w:r>
      <w:r w:rsidR="00446D33" w:rsidRPr="00D66751">
        <w:rPr>
          <w:rFonts w:ascii="Times New Roman" w:eastAsiaTheme="minorEastAsia" w:hAnsi="Times New Roman" w:hint="eastAsia"/>
          <w:color w:val="000000" w:themeColor="text1"/>
          <w:kern w:val="0"/>
          <w:sz w:val="21"/>
          <w:szCs w:val="21"/>
        </w:rPr>
        <w:t>报告期内管理人对本基金持有人数或基金资产净值预警情形的说明</w:t>
      </w:r>
    </w:p>
    <w:p w:rsidR="00A7672E" w:rsidRPr="00E60957" w:rsidRDefault="00A7672E" w:rsidP="00A7672E">
      <w:pPr>
        <w:spacing w:line="360" w:lineRule="auto"/>
        <w:ind w:firstLineChars="200" w:firstLine="420"/>
        <w:rPr>
          <w:rFonts w:eastAsiaTheme="minorEastAsia"/>
          <w:color w:val="000000" w:themeColor="text1"/>
          <w:szCs w:val="21"/>
        </w:rPr>
      </w:pPr>
      <w:r w:rsidRPr="00E60957">
        <w:rPr>
          <w:rFonts w:eastAsiaTheme="minorEastAsia"/>
          <w:color w:val="000000" w:themeColor="text1"/>
          <w:kern w:val="0"/>
          <w:szCs w:val="21"/>
        </w:rPr>
        <w:t>无。</w:t>
      </w:r>
    </w:p>
    <w:p w:rsidR="007B62FA" w:rsidRPr="00E60957" w:rsidRDefault="007B62FA" w:rsidP="009C3167">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140" w:name="_Toc225498263"/>
      <w:bookmarkStart w:id="141" w:name="_Toc352255982"/>
      <w:bookmarkStart w:id="142" w:name="_Toc352256050"/>
      <w:bookmarkStart w:id="143" w:name="_Toc352331228"/>
      <w:bookmarkStart w:id="144" w:name="_Toc362424006"/>
      <w:bookmarkStart w:id="145" w:name="_Toc374459268"/>
      <w:r w:rsidRPr="00E60957">
        <w:rPr>
          <w:rFonts w:eastAsiaTheme="minorEastAsia"/>
          <w:b/>
          <w:bCs/>
          <w:color w:val="000000" w:themeColor="text1"/>
          <w:sz w:val="21"/>
          <w:szCs w:val="21"/>
          <w:lang w:val="en-US"/>
        </w:rPr>
        <w:t>§</w:t>
      </w:r>
      <w:r w:rsidR="003E5E48" w:rsidRPr="00E60957">
        <w:rPr>
          <w:rFonts w:eastAsiaTheme="minorEastAsia"/>
          <w:b/>
          <w:bCs/>
          <w:color w:val="000000" w:themeColor="text1"/>
          <w:sz w:val="21"/>
          <w:szCs w:val="21"/>
          <w:lang w:val="en-US"/>
        </w:rPr>
        <w:t xml:space="preserve">5  </w:t>
      </w:r>
      <w:r w:rsidRPr="00E60957">
        <w:rPr>
          <w:rFonts w:eastAsiaTheme="minorEastAsia"/>
          <w:b/>
          <w:bCs/>
          <w:color w:val="000000" w:themeColor="text1"/>
          <w:sz w:val="21"/>
          <w:szCs w:val="21"/>
          <w:lang w:val="en-US"/>
        </w:rPr>
        <w:t>托管人报告</w:t>
      </w:r>
      <w:bookmarkEnd w:id="140"/>
      <w:bookmarkEnd w:id="141"/>
      <w:bookmarkEnd w:id="142"/>
      <w:bookmarkEnd w:id="143"/>
      <w:bookmarkEnd w:id="144"/>
      <w:bookmarkEnd w:id="145"/>
    </w:p>
    <w:p w:rsidR="007B62FA" w:rsidRPr="00E60957" w:rsidRDefault="007B62FA" w:rsidP="00C03E37">
      <w:pPr>
        <w:pStyle w:val="20"/>
        <w:spacing w:before="0" w:after="0"/>
        <w:rPr>
          <w:rFonts w:ascii="Times New Roman" w:eastAsiaTheme="minorEastAsia" w:hAnsi="Times New Roman"/>
          <w:color w:val="000000" w:themeColor="text1"/>
          <w:kern w:val="0"/>
          <w:sz w:val="21"/>
          <w:szCs w:val="21"/>
        </w:rPr>
      </w:pPr>
      <w:bookmarkStart w:id="146" w:name="_Toc225498264"/>
      <w:bookmarkStart w:id="147" w:name="_Toc352255983"/>
      <w:bookmarkStart w:id="148" w:name="_Toc352256051"/>
      <w:bookmarkStart w:id="149" w:name="_Toc352331229"/>
      <w:bookmarkStart w:id="150" w:name="_Toc362424007"/>
      <w:bookmarkStart w:id="151" w:name="_Toc374459269"/>
      <w:r w:rsidRPr="00E60957">
        <w:rPr>
          <w:rFonts w:ascii="Times New Roman" w:eastAsiaTheme="minorEastAsia" w:hAnsi="Times New Roman"/>
          <w:color w:val="000000" w:themeColor="text1"/>
          <w:kern w:val="0"/>
          <w:sz w:val="21"/>
          <w:szCs w:val="21"/>
        </w:rPr>
        <w:t xml:space="preserve">5.1 </w:t>
      </w:r>
      <w:r w:rsidRPr="00E60957">
        <w:rPr>
          <w:rFonts w:ascii="Times New Roman" w:eastAsiaTheme="minorEastAsia" w:hAnsi="Times New Roman"/>
          <w:color w:val="000000" w:themeColor="text1"/>
          <w:kern w:val="0"/>
          <w:sz w:val="21"/>
          <w:szCs w:val="21"/>
        </w:rPr>
        <w:t>报告期内本基金托管人遵规守信情况声明</w:t>
      </w:r>
      <w:bookmarkEnd w:id="146"/>
      <w:bookmarkEnd w:id="147"/>
      <w:bookmarkEnd w:id="148"/>
      <w:bookmarkEnd w:id="149"/>
      <w:bookmarkEnd w:id="150"/>
      <w:bookmarkEnd w:id="151"/>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招商银行具备完善的公司治理结构、内部稽核监控制度和风险控制制度，我行在履行托管职责中，严格遵守有关法律法规、托管协议的规定，尽职尽责地履行托管义务并安全保管托管资产。</w:t>
      </w:r>
    </w:p>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152" w:name="_Toc225498265"/>
      <w:bookmarkStart w:id="153" w:name="_Toc352255984"/>
      <w:bookmarkStart w:id="154" w:name="_Toc352256052"/>
      <w:bookmarkStart w:id="155" w:name="_Toc352331230"/>
      <w:bookmarkStart w:id="156" w:name="_Toc362424008"/>
      <w:bookmarkStart w:id="157" w:name="_Toc374459270"/>
      <w:r w:rsidRPr="00E60957">
        <w:rPr>
          <w:rFonts w:ascii="Times New Roman" w:eastAsiaTheme="minorEastAsia" w:hAnsi="Times New Roman"/>
          <w:color w:val="000000" w:themeColor="text1"/>
          <w:kern w:val="0"/>
          <w:sz w:val="21"/>
          <w:szCs w:val="21"/>
        </w:rPr>
        <w:t xml:space="preserve">5.2 </w:t>
      </w:r>
      <w:r w:rsidRPr="00E60957">
        <w:rPr>
          <w:rFonts w:ascii="Times New Roman" w:eastAsiaTheme="minorEastAsia" w:hAnsi="Times New Roman"/>
          <w:color w:val="000000" w:themeColor="text1"/>
          <w:kern w:val="0"/>
          <w:sz w:val="21"/>
          <w:szCs w:val="21"/>
        </w:rPr>
        <w:t>托管人对报告期内本基金投资运作遵规守信、净值计算、利润分配等情况的</w:t>
      </w:r>
      <w:bookmarkEnd w:id="152"/>
      <w:r w:rsidRPr="00E60957">
        <w:rPr>
          <w:rFonts w:ascii="Times New Roman" w:eastAsiaTheme="minorEastAsia" w:hAnsi="Times New Roman"/>
          <w:color w:val="000000" w:themeColor="text1"/>
          <w:kern w:val="0"/>
          <w:sz w:val="21"/>
          <w:szCs w:val="21"/>
        </w:rPr>
        <w:t>说明</w:t>
      </w:r>
      <w:bookmarkEnd w:id="153"/>
      <w:bookmarkEnd w:id="154"/>
      <w:bookmarkEnd w:id="155"/>
      <w:bookmarkEnd w:id="156"/>
      <w:bookmarkEnd w:id="157"/>
    </w:p>
    <w:p w:rsidR="00E33B47" w:rsidRDefault="00B95AF3">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招商银行根据法律法规、托管协议约定的投资监督条款，对托管产品的投资行为进行监督，并根据监管要求履行报告义务。</w:t>
      </w:r>
    </w:p>
    <w:p w:rsidR="00E33B47" w:rsidRDefault="00B95AF3">
      <w:pPr>
        <w:spacing w:line="360" w:lineRule="auto"/>
        <w:ind w:firstLineChars="200" w:firstLine="420"/>
        <w:rPr>
          <w:rFonts w:eastAsiaTheme="minorEastAsia"/>
          <w:color w:val="000000" w:themeColor="text1"/>
          <w:szCs w:val="21"/>
        </w:rPr>
      </w:pPr>
      <w:r>
        <w:rPr>
          <w:rFonts w:eastAsiaTheme="minorEastAsia"/>
          <w:color w:val="000000" w:themeColor="text1"/>
          <w:szCs w:val="21"/>
        </w:rPr>
        <w:t>招商银行按照托管协议约定的统一记账方法和会计处理原则，独立地设置、登录和保管本产品的全套账册，进行会计核算和资产估值并与管理人建立对账机制。</w:t>
      </w:r>
    </w:p>
    <w:p w:rsidR="00E33B47" w:rsidRDefault="00B95AF3">
      <w:pPr>
        <w:spacing w:line="360" w:lineRule="auto"/>
        <w:ind w:firstLineChars="200" w:firstLine="420"/>
        <w:rPr>
          <w:rFonts w:eastAsiaTheme="minorEastAsia"/>
          <w:color w:val="000000" w:themeColor="text1"/>
          <w:szCs w:val="21"/>
        </w:rPr>
      </w:pPr>
      <w:r>
        <w:rPr>
          <w:rFonts w:eastAsiaTheme="minorEastAsia"/>
          <w:color w:val="000000" w:themeColor="text1"/>
          <w:szCs w:val="21"/>
        </w:rPr>
        <w:t>本年度报告中利润分配情况真实、准确。</w:t>
      </w:r>
    </w:p>
    <w:p w:rsidR="007B62FA" w:rsidRPr="00E60957" w:rsidRDefault="007B62FA" w:rsidP="00E7046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本报告期内上投摩根全球多元配置基金未进行利润分配。</w:t>
      </w:r>
    </w:p>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158" w:name="_Toc225498266"/>
      <w:bookmarkStart w:id="159" w:name="_Toc352255985"/>
      <w:bookmarkStart w:id="160" w:name="_Toc352256053"/>
      <w:bookmarkStart w:id="161" w:name="_Toc352331231"/>
      <w:bookmarkStart w:id="162" w:name="_Toc362424009"/>
      <w:bookmarkStart w:id="163" w:name="_Toc374459271"/>
      <w:r w:rsidRPr="00E60957">
        <w:rPr>
          <w:rFonts w:ascii="Times New Roman" w:eastAsiaTheme="minorEastAsia" w:hAnsi="Times New Roman"/>
          <w:color w:val="000000" w:themeColor="text1"/>
          <w:kern w:val="0"/>
          <w:sz w:val="21"/>
          <w:szCs w:val="21"/>
        </w:rPr>
        <w:t xml:space="preserve">5.3 </w:t>
      </w:r>
      <w:r w:rsidRPr="00E60957">
        <w:rPr>
          <w:rFonts w:ascii="Times New Roman" w:eastAsiaTheme="minorEastAsia" w:hAnsi="Times New Roman"/>
          <w:color w:val="000000" w:themeColor="text1"/>
          <w:kern w:val="0"/>
          <w:sz w:val="21"/>
          <w:szCs w:val="21"/>
        </w:rPr>
        <w:t>托管人对本年度报告中财务信息等内容的真实、准确和完整发表意见</w:t>
      </w:r>
      <w:bookmarkEnd w:id="158"/>
      <w:bookmarkEnd w:id="159"/>
      <w:bookmarkEnd w:id="160"/>
      <w:bookmarkEnd w:id="161"/>
      <w:bookmarkEnd w:id="162"/>
      <w:bookmarkEnd w:id="163"/>
    </w:p>
    <w:p w:rsidR="007B62FA" w:rsidRPr="00E60957" w:rsidRDefault="007B62FA" w:rsidP="00C03E37">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本年度报告中财务指标、净值表现、财务会计报告、投资组合报告内容真实、准确，不存在虚假记载、误导性陈述或者重大遗漏。</w:t>
      </w:r>
    </w:p>
    <w:p w:rsidR="00312249" w:rsidRPr="00A73188" w:rsidRDefault="00312249" w:rsidP="009C3167">
      <w:pPr>
        <w:pStyle w:val="1"/>
        <w:keepNext/>
        <w:keepLines/>
        <w:widowControl w:val="0"/>
        <w:adjustRightInd w:val="0"/>
        <w:snapToGrid w:val="0"/>
        <w:spacing w:beforeLines="100" w:before="312" w:afterLines="100" w:after="312" w:line="360" w:lineRule="auto"/>
        <w:jc w:val="center"/>
        <w:rPr>
          <w:rFonts w:eastAsiaTheme="minorEastAsia"/>
          <w:b/>
          <w:bCs/>
          <w:color w:val="000000" w:themeColor="text1"/>
          <w:sz w:val="21"/>
          <w:szCs w:val="21"/>
          <w:lang w:val="en-US"/>
        </w:rPr>
      </w:pPr>
      <w:bookmarkStart w:id="164" w:name="_Toc245801814"/>
      <w:bookmarkStart w:id="165" w:name="_Toc247959464"/>
      <w:bookmarkStart w:id="166" w:name="_Toc352255986"/>
      <w:bookmarkStart w:id="167" w:name="_Toc352256054"/>
      <w:bookmarkStart w:id="168" w:name="_Toc352331232"/>
      <w:bookmarkStart w:id="169" w:name="_Toc362424010"/>
      <w:bookmarkStart w:id="170" w:name="_Toc374459272"/>
      <w:bookmarkStart w:id="171" w:name="_Toc352255990"/>
      <w:bookmarkStart w:id="172" w:name="_Toc352256058"/>
      <w:bookmarkStart w:id="173" w:name="_Toc352331236"/>
      <w:bookmarkStart w:id="174" w:name="_Toc362424014"/>
      <w:bookmarkStart w:id="175" w:name="_Toc374459276"/>
      <w:r w:rsidRPr="00A73188">
        <w:rPr>
          <w:rFonts w:eastAsiaTheme="minorEastAsia"/>
          <w:b/>
          <w:bCs/>
          <w:color w:val="000000" w:themeColor="text1"/>
          <w:sz w:val="21"/>
          <w:szCs w:val="21"/>
          <w:lang w:val="en-US"/>
        </w:rPr>
        <w:t xml:space="preserve">§6  </w:t>
      </w:r>
      <w:r w:rsidRPr="00A73188">
        <w:rPr>
          <w:rFonts w:eastAsiaTheme="minorEastAsia"/>
          <w:b/>
          <w:bCs/>
          <w:color w:val="000000" w:themeColor="text1"/>
          <w:sz w:val="21"/>
          <w:szCs w:val="21"/>
          <w:lang w:val="en-US"/>
        </w:rPr>
        <w:t>审计报告</w:t>
      </w:r>
      <w:bookmarkEnd w:id="164"/>
      <w:bookmarkEnd w:id="165"/>
      <w:bookmarkEnd w:id="166"/>
      <w:bookmarkEnd w:id="167"/>
      <w:bookmarkEnd w:id="168"/>
      <w:bookmarkEnd w:id="169"/>
      <w:bookmarkEnd w:id="170"/>
    </w:p>
    <w:p w:rsidR="004349D1" w:rsidRDefault="004349D1" w:rsidP="004349D1">
      <w:pPr>
        <w:spacing w:line="360" w:lineRule="auto"/>
        <w:rPr>
          <w:color w:val="000000" w:themeColor="text1"/>
          <w:szCs w:val="21"/>
        </w:rPr>
      </w:pPr>
      <w:r w:rsidRPr="00A73188">
        <w:rPr>
          <w:rFonts w:eastAsiaTheme="minorEastAsia"/>
          <w:color w:val="000000" w:themeColor="text1"/>
          <w:kern w:val="0"/>
          <w:szCs w:val="21"/>
        </w:rPr>
        <w:t>上投摩根全球多元配置证券投资基金</w:t>
      </w:r>
      <w:r w:rsidRPr="00A73188">
        <w:rPr>
          <w:rFonts w:eastAsiaTheme="minorEastAsia"/>
          <w:color w:val="000000" w:themeColor="text1"/>
          <w:kern w:val="0"/>
          <w:szCs w:val="21"/>
        </w:rPr>
        <w:t>(QDII)</w:t>
      </w:r>
      <w:r>
        <w:rPr>
          <w:color w:val="000000" w:themeColor="text1"/>
          <w:szCs w:val="21"/>
        </w:rPr>
        <w:t>201</w:t>
      </w:r>
      <w:r>
        <w:rPr>
          <w:rFonts w:hint="eastAsia"/>
          <w:color w:val="000000" w:themeColor="text1"/>
          <w:szCs w:val="21"/>
        </w:rPr>
        <w:t>8</w:t>
      </w:r>
      <w:r>
        <w:rPr>
          <w:rFonts w:hint="eastAsia"/>
          <w:color w:val="000000" w:themeColor="text1"/>
          <w:szCs w:val="21"/>
        </w:rPr>
        <w:t>年度财务会计报告已由普华永道中天会计师事务所</w:t>
      </w:r>
      <w:r>
        <w:rPr>
          <w:color w:val="000000" w:themeColor="text1"/>
          <w:szCs w:val="21"/>
        </w:rPr>
        <w:t>(</w:t>
      </w:r>
      <w:r>
        <w:rPr>
          <w:rFonts w:hint="eastAsia"/>
          <w:color w:val="000000" w:themeColor="text1"/>
          <w:szCs w:val="21"/>
        </w:rPr>
        <w:t>特殊普通合伙</w:t>
      </w:r>
      <w:r>
        <w:rPr>
          <w:color w:val="000000" w:themeColor="text1"/>
          <w:szCs w:val="21"/>
        </w:rPr>
        <w:t>)</w:t>
      </w:r>
      <w:r>
        <w:rPr>
          <w:rFonts w:hint="eastAsia"/>
          <w:color w:val="000000" w:themeColor="text1"/>
          <w:szCs w:val="21"/>
        </w:rPr>
        <w:t>审计、注册会计师薛竞、沈兆杰签字出具了“无保留意见的审计报告”（编号：</w:t>
      </w:r>
      <w:r w:rsidRPr="00A73188">
        <w:rPr>
          <w:rFonts w:eastAsiaTheme="minorEastAsia"/>
          <w:color w:val="000000" w:themeColor="text1"/>
          <w:kern w:val="0"/>
          <w:szCs w:val="21"/>
        </w:rPr>
        <w:t>普华永道中天审字</w:t>
      </w:r>
      <w:r w:rsidRPr="00A73188">
        <w:rPr>
          <w:rFonts w:eastAsiaTheme="minorEastAsia"/>
          <w:color w:val="000000" w:themeColor="text1"/>
          <w:kern w:val="0"/>
          <w:szCs w:val="21"/>
        </w:rPr>
        <w:t>(2019)</w:t>
      </w:r>
      <w:r w:rsidRPr="00A73188">
        <w:rPr>
          <w:rFonts w:eastAsiaTheme="minorEastAsia"/>
          <w:color w:val="000000" w:themeColor="text1"/>
          <w:kern w:val="0"/>
          <w:szCs w:val="21"/>
        </w:rPr>
        <w:t>第</w:t>
      </w:r>
      <w:r w:rsidRPr="00A73188">
        <w:rPr>
          <w:rFonts w:eastAsiaTheme="minorEastAsia"/>
          <w:color w:val="000000" w:themeColor="text1"/>
          <w:kern w:val="0"/>
          <w:szCs w:val="21"/>
        </w:rPr>
        <w:t>20769</w:t>
      </w:r>
      <w:r w:rsidRPr="00A73188">
        <w:rPr>
          <w:rFonts w:eastAsiaTheme="minorEastAsia"/>
          <w:color w:val="000000" w:themeColor="text1"/>
          <w:kern w:val="0"/>
          <w:szCs w:val="21"/>
        </w:rPr>
        <w:t>号</w:t>
      </w:r>
      <w:r>
        <w:rPr>
          <w:rFonts w:hint="eastAsia"/>
          <w:color w:val="000000" w:themeColor="text1"/>
          <w:szCs w:val="21"/>
        </w:rPr>
        <w:t>。</w:t>
      </w:r>
    </w:p>
    <w:p w:rsidR="004349D1" w:rsidRDefault="004349D1" w:rsidP="004349D1">
      <w:pPr>
        <w:spacing w:line="360" w:lineRule="auto"/>
        <w:rPr>
          <w:color w:val="000000" w:themeColor="text1"/>
          <w:szCs w:val="21"/>
        </w:rPr>
      </w:pPr>
      <w:r>
        <w:rPr>
          <w:rFonts w:hint="eastAsia"/>
          <w:color w:val="000000" w:themeColor="text1"/>
          <w:szCs w:val="21"/>
        </w:rPr>
        <w:t>投资者可通过登载于本基金管理人网站的年度报告正文查看审计报告全文。</w:t>
      </w:r>
    </w:p>
    <w:p w:rsidR="007B62FA" w:rsidRPr="00E60957" w:rsidRDefault="007B62FA" w:rsidP="009C3167">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r w:rsidRPr="00E60957">
        <w:rPr>
          <w:rFonts w:eastAsiaTheme="minorEastAsia"/>
          <w:b/>
          <w:bCs/>
          <w:color w:val="000000" w:themeColor="text1"/>
          <w:sz w:val="21"/>
          <w:szCs w:val="21"/>
          <w:lang w:val="en-US"/>
        </w:rPr>
        <w:lastRenderedPageBreak/>
        <w:t>§7</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年度财务报表</w:t>
      </w:r>
      <w:bookmarkEnd w:id="171"/>
      <w:bookmarkEnd w:id="172"/>
      <w:bookmarkEnd w:id="173"/>
      <w:bookmarkEnd w:id="174"/>
      <w:bookmarkEnd w:id="175"/>
    </w:p>
    <w:p w:rsidR="007B62FA" w:rsidRPr="00E60957" w:rsidRDefault="007B62FA" w:rsidP="00C03E37">
      <w:pPr>
        <w:pStyle w:val="20"/>
        <w:spacing w:before="0" w:after="0"/>
        <w:rPr>
          <w:rFonts w:ascii="Times New Roman" w:eastAsiaTheme="minorEastAsia" w:hAnsi="Times New Roman"/>
          <w:color w:val="000000" w:themeColor="text1"/>
          <w:kern w:val="0"/>
          <w:sz w:val="21"/>
          <w:szCs w:val="21"/>
        </w:rPr>
      </w:pPr>
      <w:bookmarkStart w:id="176" w:name="_Toc225498268"/>
      <w:bookmarkStart w:id="177" w:name="_Toc352255991"/>
      <w:bookmarkStart w:id="178" w:name="_Toc352256059"/>
      <w:bookmarkStart w:id="179" w:name="_Toc352331237"/>
      <w:bookmarkStart w:id="180" w:name="_Toc362424015"/>
      <w:bookmarkStart w:id="181" w:name="_Toc374459277"/>
      <w:r w:rsidRPr="00E60957">
        <w:rPr>
          <w:rFonts w:ascii="Times New Roman" w:eastAsiaTheme="minorEastAsia" w:hAnsi="Times New Roman"/>
          <w:color w:val="000000" w:themeColor="text1"/>
          <w:kern w:val="0"/>
          <w:sz w:val="21"/>
          <w:szCs w:val="21"/>
        </w:rPr>
        <w:t xml:space="preserve">7.1 </w:t>
      </w:r>
      <w:r w:rsidRPr="00E60957">
        <w:rPr>
          <w:rFonts w:ascii="Times New Roman" w:eastAsiaTheme="minorEastAsia" w:hAnsi="Times New Roman"/>
          <w:color w:val="000000" w:themeColor="text1"/>
          <w:kern w:val="0"/>
          <w:sz w:val="21"/>
          <w:szCs w:val="21"/>
        </w:rPr>
        <w:t>资产负债表</w:t>
      </w:r>
      <w:bookmarkEnd w:id="176"/>
      <w:bookmarkEnd w:id="177"/>
      <w:bookmarkEnd w:id="178"/>
      <w:bookmarkEnd w:id="179"/>
      <w:bookmarkEnd w:id="180"/>
      <w:bookmarkEnd w:id="181"/>
    </w:p>
    <w:p w:rsidR="007B62FA" w:rsidRPr="00E60957" w:rsidRDefault="007B62FA" w:rsidP="00C03E37">
      <w:pPr>
        <w:spacing w:line="360" w:lineRule="auto"/>
        <w:rPr>
          <w:rFonts w:eastAsiaTheme="minorEastAsia"/>
          <w:color w:val="000000" w:themeColor="text1"/>
          <w:szCs w:val="21"/>
        </w:rPr>
      </w:pPr>
      <w:r w:rsidRPr="00E60957">
        <w:rPr>
          <w:rFonts w:eastAsiaTheme="minorEastAsia"/>
          <w:color w:val="000000" w:themeColor="text1"/>
          <w:szCs w:val="21"/>
        </w:rPr>
        <w:t>会计主体：上投摩根全球多元配置证券投资基金</w:t>
      </w:r>
    </w:p>
    <w:p w:rsidR="007B62FA" w:rsidRPr="00E60957" w:rsidRDefault="007B62FA" w:rsidP="00C03E37">
      <w:pPr>
        <w:spacing w:line="360" w:lineRule="auto"/>
        <w:rPr>
          <w:rFonts w:eastAsiaTheme="minorEastAsia"/>
          <w:color w:val="000000" w:themeColor="text1"/>
          <w:szCs w:val="21"/>
        </w:rPr>
      </w:pPr>
      <w:r w:rsidRPr="00E60957">
        <w:rPr>
          <w:rFonts w:eastAsiaTheme="minorEastAsia"/>
          <w:color w:val="000000" w:themeColor="text1"/>
          <w:szCs w:val="21"/>
        </w:rPr>
        <w:t>报告截止日：</w:t>
      </w:r>
      <w:r w:rsidR="00ED2997" w:rsidRPr="00E60957">
        <w:rPr>
          <w:rFonts w:eastAsiaTheme="minorEastAsia"/>
          <w:color w:val="000000" w:themeColor="text1"/>
          <w:szCs w:val="21"/>
        </w:rPr>
        <w:t>2018</w:t>
      </w:r>
      <w:r w:rsidR="00ED2997" w:rsidRPr="00E60957">
        <w:rPr>
          <w:rFonts w:eastAsiaTheme="minorEastAsia"/>
          <w:color w:val="000000" w:themeColor="text1"/>
          <w:szCs w:val="21"/>
        </w:rPr>
        <w:t>年</w:t>
      </w:r>
      <w:r w:rsidR="00ED2997" w:rsidRPr="00E60957">
        <w:rPr>
          <w:rFonts w:eastAsiaTheme="minorEastAsia"/>
          <w:color w:val="000000" w:themeColor="text1"/>
          <w:szCs w:val="21"/>
        </w:rPr>
        <w:t>12</w:t>
      </w:r>
      <w:r w:rsidR="00ED2997" w:rsidRPr="00E60957">
        <w:rPr>
          <w:rFonts w:eastAsiaTheme="minorEastAsia"/>
          <w:color w:val="000000" w:themeColor="text1"/>
          <w:szCs w:val="21"/>
        </w:rPr>
        <w:t>月</w:t>
      </w:r>
      <w:r w:rsidR="00ED2997" w:rsidRPr="00E60957">
        <w:rPr>
          <w:rFonts w:eastAsiaTheme="minorEastAsia"/>
          <w:color w:val="000000" w:themeColor="text1"/>
          <w:szCs w:val="21"/>
        </w:rPr>
        <w:t>31</w:t>
      </w:r>
      <w:r w:rsidR="00ED2997" w:rsidRPr="00E60957">
        <w:rPr>
          <w:rFonts w:eastAsiaTheme="minorEastAsia"/>
          <w:color w:val="000000" w:themeColor="text1"/>
          <w:szCs w:val="21"/>
        </w:rPr>
        <w:t>日</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266"/>
        <w:gridCol w:w="2520"/>
        <w:gridCol w:w="2520"/>
      </w:tblGrid>
      <w:tr w:rsidR="00E60957" w:rsidRPr="00E60957" w:rsidTr="0046299F">
        <w:tc>
          <w:tcPr>
            <w:tcW w:w="2694" w:type="dxa"/>
            <w:vAlign w:val="center"/>
          </w:tcPr>
          <w:p w:rsidR="007B62FA" w:rsidRPr="00E60957" w:rsidRDefault="007B62FA" w:rsidP="00417F87">
            <w:pPr>
              <w:pStyle w:val="af6"/>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资产</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附注号</w:t>
            </w:r>
          </w:p>
        </w:tc>
        <w:tc>
          <w:tcPr>
            <w:tcW w:w="2520" w:type="dxa"/>
            <w:vAlign w:val="center"/>
          </w:tcPr>
          <w:p w:rsidR="007B62FA" w:rsidRPr="00E60957" w:rsidRDefault="007B62FA"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本期末</w:t>
            </w:r>
          </w:p>
          <w:p w:rsidR="007B62FA" w:rsidRPr="00E60957" w:rsidRDefault="00ED2997"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kern w:val="2"/>
                <w:sz w:val="21"/>
                <w:szCs w:val="21"/>
              </w:rPr>
              <w:t>2018</w:t>
            </w:r>
            <w:r w:rsidRPr="00E60957">
              <w:rPr>
                <w:rFonts w:ascii="Times New Roman" w:eastAsiaTheme="minorEastAsia" w:hAnsi="Times New Roman"/>
                <w:b/>
                <w:color w:val="000000" w:themeColor="text1"/>
                <w:kern w:val="2"/>
                <w:sz w:val="21"/>
                <w:szCs w:val="21"/>
              </w:rPr>
              <w:t>年</w:t>
            </w:r>
            <w:r w:rsidRPr="00E60957">
              <w:rPr>
                <w:rFonts w:ascii="Times New Roman" w:eastAsiaTheme="minorEastAsia" w:hAnsi="Times New Roman"/>
                <w:b/>
                <w:color w:val="000000" w:themeColor="text1"/>
                <w:kern w:val="2"/>
                <w:sz w:val="21"/>
                <w:szCs w:val="21"/>
              </w:rPr>
              <w:t>12</w:t>
            </w:r>
            <w:r w:rsidRPr="00E60957">
              <w:rPr>
                <w:rFonts w:ascii="Times New Roman" w:eastAsiaTheme="minorEastAsia" w:hAnsi="Times New Roman"/>
                <w:b/>
                <w:color w:val="000000" w:themeColor="text1"/>
                <w:kern w:val="2"/>
                <w:sz w:val="21"/>
                <w:szCs w:val="21"/>
              </w:rPr>
              <w:t>月</w:t>
            </w:r>
            <w:r w:rsidRPr="00E60957">
              <w:rPr>
                <w:rFonts w:ascii="Times New Roman" w:eastAsiaTheme="minorEastAsia" w:hAnsi="Times New Roman"/>
                <w:b/>
                <w:color w:val="000000" w:themeColor="text1"/>
                <w:kern w:val="2"/>
                <w:sz w:val="21"/>
                <w:szCs w:val="21"/>
              </w:rPr>
              <w:t>31</w:t>
            </w:r>
            <w:r w:rsidRPr="00E60957">
              <w:rPr>
                <w:rFonts w:ascii="Times New Roman" w:eastAsiaTheme="minorEastAsia" w:hAnsi="Times New Roman"/>
                <w:b/>
                <w:color w:val="000000" w:themeColor="text1"/>
                <w:kern w:val="2"/>
                <w:sz w:val="21"/>
                <w:szCs w:val="21"/>
              </w:rPr>
              <w:t>日</w:t>
            </w:r>
          </w:p>
        </w:tc>
        <w:tc>
          <w:tcPr>
            <w:tcW w:w="2520" w:type="dxa"/>
            <w:vAlign w:val="center"/>
          </w:tcPr>
          <w:p w:rsidR="007B62FA" w:rsidRPr="00E60957" w:rsidRDefault="007B62FA"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上年度末</w:t>
            </w:r>
          </w:p>
          <w:p w:rsidR="007B62FA" w:rsidRPr="00E60957" w:rsidRDefault="00ED2997" w:rsidP="00361EF8">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2017</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资产：</w:t>
            </w:r>
          </w:p>
        </w:tc>
        <w:tc>
          <w:tcPr>
            <w:tcW w:w="1266" w:type="dxa"/>
            <w:vAlign w:val="center"/>
          </w:tcPr>
          <w:p w:rsidR="007B62FA" w:rsidRPr="00E60957" w:rsidRDefault="007B62FA" w:rsidP="00417F87">
            <w:pPr>
              <w:widowControl/>
              <w:autoSpaceDE w:val="0"/>
              <w:autoSpaceDN w:val="0"/>
              <w:spacing w:line="360" w:lineRule="auto"/>
              <w:ind w:right="-15"/>
              <w:jc w:val="center"/>
              <w:textAlignment w:val="bottom"/>
              <w:rPr>
                <w:rFonts w:eastAsiaTheme="minorEastAsia"/>
                <w:b/>
                <w:color w:val="000000" w:themeColor="text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银行存款</w:t>
            </w:r>
          </w:p>
        </w:tc>
        <w:tc>
          <w:tcPr>
            <w:tcW w:w="1266" w:type="dxa"/>
            <w:vAlign w:val="center"/>
          </w:tcPr>
          <w:p w:rsidR="007B62FA" w:rsidRPr="00E60957" w:rsidRDefault="00E70468"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hint="eastAsia"/>
                <w:color w:val="000000" w:themeColor="text1"/>
                <w:szCs w:val="21"/>
              </w:rPr>
              <w:t>7.4.7.1</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88,987,052.45</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133,235,195.30</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结算备付金</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存出保证金</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交易性金融资产</w:t>
            </w:r>
          </w:p>
        </w:tc>
        <w:tc>
          <w:tcPr>
            <w:tcW w:w="1266" w:type="dxa"/>
            <w:vAlign w:val="center"/>
          </w:tcPr>
          <w:p w:rsidR="007B62FA"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7.4.7.2</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688,306,463.92</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995,599,388.78</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其中：股票投资</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D0372D">
            <w:pPr>
              <w:pStyle w:val="af6"/>
              <w:spacing w:line="360" w:lineRule="auto"/>
              <w:ind w:firstLineChars="300" w:firstLine="630"/>
              <w:jc w:val="both"/>
              <w:rPr>
                <w:rFonts w:ascii="Times New Roman" w:eastAsiaTheme="minorEastAsia" w:hAnsi="Times New Roman"/>
                <w:color w:val="000000" w:themeColor="text1"/>
                <w:sz w:val="21"/>
                <w:szCs w:val="21"/>
              </w:rPr>
            </w:pPr>
            <w:r w:rsidRPr="00E60957">
              <w:rPr>
                <w:rFonts w:ascii="Times New Roman" w:eastAsiaTheme="minorEastAsia" w:hAnsi="Times New Roman"/>
                <w:color w:val="000000" w:themeColor="text1"/>
                <w:sz w:val="21"/>
                <w:szCs w:val="21"/>
              </w:rPr>
              <w:t>基金投资</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688,306,463.92</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995,599,388.78</w:t>
            </w:r>
          </w:p>
        </w:tc>
      </w:tr>
      <w:tr w:rsidR="00E60957" w:rsidRPr="00E60957" w:rsidTr="0046299F">
        <w:tc>
          <w:tcPr>
            <w:tcW w:w="2694"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债券投资</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资产支持证券投资</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衍生金融资产</w:t>
            </w:r>
          </w:p>
        </w:tc>
        <w:tc>
          <w:tcPr>
            <w:tcW w:w="1266" w:type="dxa"/>
            <w:vAlign w:val="center"/>
          </w:tcPr>
          <w:p w:rsidR="006E49B9"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7.4.7.3</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买入返售金融资产</w:t>
            </w:r>
          </w:p>
        </w:tc>
        <w:tc>
          <w:tcPr>
            <w:tcW w:w="1266" w:type="dxa"/>
            <w:vAlign w:val="center"/>
          </w:tcPr>
          <w:p w:rsidR="006E49B9"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7.4.7.4</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应收证券清算款</w:t>
            </w:r>
          </w:p>
        </w:tc>
        <w:tc>
          <w:tcPr>
            <w:tcW w:w="1266" w:type="dxa"/>
            <w:vAlign w:val="center"/>
          </w:tcPr>
          <w:p w:rsidR="006E49B9" w:rsidRPr="00E60957" w:rsidRDefault="006E49B9"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应收利息</w:t>
            </w:r>
          </w:p>
        </w:tc>
        <w:tc>
          <w:tcPr>
            <w:tcW w:w="1266" w:type="dxa"/>
            <w:vAlign w:val="center"/>
          </w:tcPr>
          <w:p w:rsidR="006E49B9"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7.4.7.5</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3,938.70</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15,341.78</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应收股利</w:t>
            </w:r>
          </w:p>
        </w:tc>
        <w:tc>
          <w:tcPr>
            <w:tcW w:w="1266" w:type="dxa"/>
            <w:vAlign w:val="center"/>
          </w:tcPr>
          <w:p w:rsidR="006E49B9" w:rsidRPr="00E60957" w:rsidRDefault="006E49B9"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应收申购款</w:t>
            </w:r>
          </w:p>
        </w:tc>
        <w:tc>
          <w:tcPr>
            <w:tcW w:w="1266" w:type="dxa"/>
            <w:vAlign w:val="center"/>
          </w:tcPr>
          <w:p w:rsidR="006E49B9" w:rsidRPr="00E60957" w:rsidRDefault="006E49B9"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396,709.13</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15,230,738.76</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递延所得税资产</w:t>
            </w:r>
          </w:p>
        </w:tc>
        <w:tc>
          <w:tcPr>
            <w:tcW w:w="1266" w:type="dxa"/>
            <w:vAlign w:val="center"/>
          </w:tcPr>
          <w:p w:rsidR="006E49B9" w:rsidRPr="00E60957" w:rsidRDefault="006E49B9"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其他资产</w:t>
            </w:r>
          </w:p>
        </w:tc>
        <w:tc>
          <w:tcPr>
            <w:tcW w:w="1266" w:type="dxa"/>
            <w:vAlign w:val="center"/>
          </w:tcPr>
          <w:p w:rsidR="006E49B9"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7.4.7.6</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6E49B9" w:rsidRPr="00E60957" w:rsidRDefault="006E49B9" w:rsidP="00417F87">
            <w:pPr>
              <w:spacing w:line="360" w:lineRule="auto"/>
              <w:rPr>
                <w:rFonts w:eastAsiaTheme="minorEastAsia"/>
                <w:b/>
                <w:color w:val="000000" w:themeColor="text1"/>
                <w:szCs w:val="21"/>
              </w:rPr>
            </w:pPr>
            <w:r w:rsidRPr="00E60957">
              <w:rPr>
                <w:rFonts w:eastAsiaTheme="minorEastAsia"/>
                <w:b/>
                <w:color w:val="000000" w:themeColor="text1"/>
                <w:szCs w:val="21"/>
              </w:rPr>
              <w:t>资产总计</w:t>
            </w:r>
          </w:p>
        </w:tc>
        <w:tc>
          <w:tcPr>
            <w:tcW w:w="1266" w:type="dxa"/>
            <w:vAlign w:val="center"/>
          </w:tcPr>
          <w:p w:rsidR="006E49B9" w:rsidRPr="00E60957" w:rsidRDefault="006E49B9" w:rsidP="00417F87">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777,694,164.20</w:t>
            </w:r>
          </w:p>
        </w:tc>
        <w:tc>
          <w:tcPr>
            <w:tcW w:w="2520"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1,144,080,664.62</w:t>
            </w:r>
          </w:p>
        </w:tc>
      </w:tr>
      <w:tr w:rsidR="00E60957" w:rsidRPr="00E60957" w:rsidTr="0046299F">
        <w:tc>
          <w:tcPr>
            <w:tcW w:w="2694" w:type="dxa"/>
            <w:vAlign w:val="center"/>
          </w:tcPr>
          <w:p w:rsidR="007B62FA" w:rsidRPr="00E60957" w:rsidRDefault="007B62FA" w:rsidP="00417F87">
            <w:pPr>
              <w:pStyle w:val="af6"/>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负债和所有者权益</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附注号</w:t>
            </w:r>
          </w:p>
        </w:tc>
        <w:tc>
          <w:tcPr>
            <w:tcW w:w="2520" w:type="dxa"/>
            <w:vAlign w:val="center"/>
          </w:tcPr>
          <w:p w:rsidR="007B62FA" w:rsidRPr="00E60957" w:rsidRDefault="007B62FA"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本期末</w:t>
            </w:r>
          </w:p>
          <w:p w:rsidR="007B62FA" w:rsidRPr="00E60957" w:rsidRDefault="00ED2997"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kern w:val="2"/>
                <w:sz w:val="21"/>
                <w:szCs w:val="21"/>
              </w:rPr>
              <w:t>2018</w:t>
            </w:r>
            <w:r w:rsidRPr="00E60957">
              <w:rPr>
                <w:rFonts w:ascii="Times New Roman" w:eastAsiaTheme="minorEastAsia" w:hAnsi="Times New Roman"/>
                <w:b/>
                <w:color w:val="000000" w:themeColor="text1"/>
                <w:kern w:val="2"/>
                <w:sz w:val="21"/>
                <w:szCs w:val="21"/>
              </w:rPr>
              <w:t>年</w:t>
            </w:r>
            <w:r w:rsidRPr="00E60957">
              <w:rPr>
                <w:rFonts w:ascii="Times New Roman" w:eastAsiaTheme="minorEastAsia" w:hAnsi="Times New Roman"/>
                <w:b/>
                <w:color w:val="000000" w:themeColor="text1"/>
                <w:kern w:val="2"/>
                <w:sz w:val="21"/>
                <w:szCs w:val="21"/>
              </w:rPr>
              <w:t>12</w:t>
            </w:r>
            <w:r w:rsidRPr="00E60957">
              <w:rPr>
                <w:rFonts w:ascii="Times New Roman" w:eastAsiaTheme="minorEastAsia" w:hAnsi="Times New Roman"/>
                <w:b/>
                <w:color w:val="000000" w:themeColor="text1"/>
                <w:kern w:val="2"/>
                <w:sz w:val="21"/>
                <w:szCs w:val="21"/>
              </w:rPr>
              <w:t>月</w:t>
            </w:r>
            <w:r w:rsidRPr="00E60957">
              <w:rPr>
                <w:rFonts w:ascii="Times New Roman" w:eastAsiaTheme="minorEastAsia" w:hAnsi="Times New Roman"/>
                <w:b/>
                <w:color w:val="000000" w:themeColor="text1"/>
                <w:kern w:val="2"/>
                <w:sz w:val="21"/>
                <w:szCs w:val="21"/>
              </w:rPr>
              <w:t>31</w:t>
            </w:r>
            <w:r w:rsidRPr="00E60957">
              <w:rPr>
                <w:rFonts w:ascii="Times New Roman" w:eastAsiaTheme="minorEastAsia" w:hAnsi="Times New Roman"/>
                <w:b/>
                <w:color w:val="000000" w:themeColor="text1"/>
                <w:kern w:val="2"/>
                <w:sz w:val="21"/>
                <w:szCs w:val="21"/>
              </w:rPr>
              <w:t>日</w:t>
            </w:r>
          </w:p>
        </w:tc>
        <w:tc>
          <w:tcPr>
            <w:tcW w:w="2520" w:type="dxa"/>
            <w:vAlign w:val="center"/>
          </w:tcPr>
          <w:p w:rsidR="007B62FA" w:rsidRPr="00E60957" w:rsidRDefault="007B62FA"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上年度末</w:t>
            </w:r>
          </w:p>
          <w:p w:rsidR="007B62FA" w:rsidRPr="00E60957" w:rsidRDefault="00264252"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2017</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负债：</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lastRenderedPageBreak/>
              <w:t>短期借款</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交易性金融负债</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衍生金融负债</w:t>
            </w:r>
          </w:p>
        </w:tc>
        <w:tc>
          <w:tcPr>
            <w:tcW w:w="1266" w:type="dxa"/>
            <w:vAlign w:val="center"/>
          </w:tcPr>
          <w:p w:rsidR="007B62FA"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7.4.7.3</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卖出回购金融资产款</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应付证券清算款</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应付赎回款</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10,099,712.41</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19,776,225.91</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应付管理人报酬</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1,084,011.56</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1,494,513.01</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应付托管费</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169,376.81</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233,517.63</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应付销售服务费</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应付交易费用</w:t>
            </w:r>
          </w:p>
        </w:tc>
        <w:tc>
          <w:tcPr>
            <w:tcW w:w="1266" w:type="dxa"/>
            <w:vAlign w:val="center"/>
          </w:tcPr>
          <w:p w:rsidR="007B62FA"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7.4.7.7</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应交税费</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应付利息</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应付利润</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递延所得税负债</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其他负债</w:t>
            </w:r>
          </w:p>
        </w:tc>
        <w:tc>
          <w:tcPr>
            <w:tcW w:w="1266" w:type="dxa"/>
            <w:vAlign w:val="center"/>
          </w:tcPr>
          <w:p w:rsidR="007B62FA"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7.4.7.8</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186,185.54</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164,929.32</w:t>
            </w:r>
          </w:p>
        </w:tc>
      </w:tr>
      <w:tr w:rsidR="00E60957" w:rsidRPr="00E60957" w:rsidTr="0046299F">
        <w:tc>
          <w:tcPr>
            <w:tcW w:w="2694" w:type="dxa"/>
            <w:vAlign w:val="center"/>
          </w:tcPr>
          <w:p w:rsidR="007B62FA" w:rsidRPr="00E60957" w:rsidRDefault="007B62FA" w:rsidP="00417F87">
            <w:pPr>
              <w:pStyle w:val="af6"/>
              <w:spacing w:line="360" w:lineRule="auto"/>
              <w:jc w:val="both"/>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负债合计</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11,539,286.32</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21,669,185.87</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所有者权益：</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实收基金</w:t>
            </w:r>
          </w:p>
        </w:tc>
        <w:tc>
          <w:tcPr>
            <w:tcW w:w="1266" w:type="dxa"/>
            <w:vAlign w:val="center"/>
          </w:tcPr>
          <w:p w:rsidR="007B62FA"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7.4.7.9</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705,291,760.75</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999,549,127.15</w:t>
            </w:r>
          </w:p>
        </w:tc>
      </w:tr>
      <w:tr w:rsidR="00E60957" w:rsidRPr="00E60957" w:rsidTr="0046299F">
        <w:tc>
          <w:tcPr>
            <w:tcW w:w="2694"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未分配利润</w:t>
            </w:r>
          </w:p>
        </w:tc>
        <w:tc>
          <w:tcPr>
            <w:tcW w:w="1266" w:type="dxa"/>
            <w:vAlign w:val="center"/>
          </w:tcPr>
          <w:p w:rsidR="007B62FA"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7.4.7.10</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60,863,117.13</w:t>
            </w:r>
          </w:p>
        </w:tc>
        <w:tc>
          <w:tcPr>
            <w:tcW w:w="252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122,862,351.60</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所有者权益合计</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766,154,877.88</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1,122,411,478.75</w:t>
            </w:r>
          </w:p>
        </w:tc>
      </w:tr>
      <w:tr w:rsidR="00E60957" w:rsidRPr="00E60957" w:rsidTr="0046299F">
        <w:tc>
          <w:tcPr>
            <w:tcW w:w="2694"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t>负债和所有者权益总计</w:t>
            </w:r>
          </w:p>
        </w:tc>
        <w:tc>
          <w:tcPr>
            <w:tcW w:w="1266" w:type="dxa"/>
            <w:vAlign w:val="center"/>
          </w:tcPr>
          <w:p w:rsidR="007B62FA" w:rsidRPr="00E60957" w:rsidRDefault="007B62FA" w:rsidP="00417F87">
            <w:pPr>
              <w:pStyle w:val="af6"/>
              <w:spacing w:line="360" w:lineRule="auto"/>
              <w:jc w:val="center"/>
              <w:rPr>
                <w:rFonts w:ascii="Times New Roman" w:eastAsiaTheme="minorEastAsia" w:hAnsi="Times New Roman"/>
                <w:b/>
                <w:color w:val="000000" w:themeColor="text1"/>
                <w:sz w:val="21"/>
                <w:szCs w:val="21"/>
              </w:rPr>
            </w:pP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777,694,164.20</w:t>
            </w:r>
          </w:p>
        </w:tc>
        <w:tc>
          <w:tcPr>
            <w:tcW w:w="2520"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1,144,080,664.62</w:t>
            </w:r>
          </w:p>
        </w:tc>
      </w:tr>
    </w:tbl>
    <w:p w:rsidR="007B62FA" w:rsidRPr="00E60957" w:rsidRDefault="007B62FA" w:rsidP="00E70468">
      <w:pPr>
        <w:adjustRightInd w:val="0"/>
        <w:snapToGrid w:val="0"/>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注：报告截止日</w:t>
      </w:r>
      <w:r w:rsidRPr="00E60957">
        <w:rPr>
          <w:rFonts w:eastAsiaTheme="minorEastAsia"/>
          <w:color w:val="000000" w:themeColor="text1"/>
          <w:kern w:val="0"/>
          <w:szCs w:val="21"/>
        </w:rPr>
        <w:t>2018</w:t>
      </w:r>
      <w:r w:rsidRPr="00E60957">
        <w:rPr>
          <w:rFonts w:eastAsiaTheme="minorEastAsia"/>
          <w:color w:val="000000" w:themeColor="text1"/>
          <w:kern w:val="0"/>
          <w:szCs w:val="21"/>
        </w:rPr>
        <w:t>年</w:t>
      </w:r>
      <w:r w:rsidRPr="00E60957">
        <w:rPr>
          <w:rFonts w:eastAsiaTheme="minorEastAsia"/>
          <w:color w:val="000000" w:themeColor="text1"/>
          <w:kern w:val="0"/>
          <w:szCs w:val="21"/>
        </w:rPr>
        <w:t>12</w:t>
      </w:r>
      <w:r w:rsidRPr="00E60957">
        <w:rPr>
          <w:rFonts w:eastAsiaTheme="minorEastAsia"/>
          <w:color w:val="000000" w:themeColor="text1"/>
          <w:kern w:val="0"/>
          <w:szCs w:val="21"/>
        </w:rPr>
        <w:t>月</w:t>
      </w:r>
      <w:r w:rsidRPr="00E60957">
        <w:rPr>
          <w:rFonts w:eastAsiaTheme="minorEastAsia"/>
          <w:color w:val="000000" w:themeColor="text1"/>
          <w:kern w:val="0"/>
          <w:szCs w:val="21"/>
        </w:rPr>
        <w:t>31</w:t>
      </w:r>
      <w:r w:rsidRPr="00E60957">
        <w:rPr>
          <w:rFonts w:eastAsiaTheme="minorEastAsia"/>
          <w:color w:val="000000" w:themeColor="text1"/>
          <w:kern w:val="0"/>
          <w:szCs w:val="21"/>
        </w:rPr>
        <w:t>日</w:t>
      </w:r>
      <w:r w:rsidRPr="00E60957">
        <w:rPr>
          <w:rFonts w:eastAsiaTheme="minorEastAsia"/>
          <w:color w:val="000000" w:themeColor="text1"/>
          <w:kern w:val="0"/>
          <w:szCs w:val="21"/>
        </w:rPr>
        <w:t>,</w:t>
      </w:r>
      <w:r w:rsidRPr="00E60957">
        <w:rPr>
          <w:rFonts w:eastAsiaTheme="minorEastAsia"/>
          <w:color w:val="000000" w:themeColor="text1"/>
          <w:kern w:val="0"/>
          <w:szCs w:val="21"/>
        </w:rPr>
        <w:t>基金份额净值</w:t>
      </w:r>
      <w:r w:rsidRPr="00E60957">
        <w:rPr>
          <w:rFonts w:eastAsiaTheme="minorEastAsia"/>
          <w:color w:val="000000" w:themeColor="text1"/>
          <w:kern w:val="0"/>
          <w:szCs w:val="21"/>
        </w:rPr>
        <w:t>1.086</w:t>
      </w:r>
      <w:r w:rsidRPr="00E60957">
        <w:rPr>
          <w:rFonts w:eastAsiaTheme="minorEastAsia"/>
          <w:color w:val="000000" w:themeColor="text1"/>
          <w:kern w:val="0"/>
          <w:szCs w:val="21"/>
        </w:rPr>
        <w:t>元</w:t>
      </w:r>
      <w:r w:rsidRPr="00E60957">
        <w:rPr>
          <w:rFonts w:eastAsiaTheme="minorEastAsia"/>
          <w:color w:val="000000" w:themeColor="text1"/>
          <w:kern w:val="0"/>
          <w:szCs w:val="21"/>
        </w:rPr>
        <w:t>,</w:t>
      </w:r>
      <w:r w:rsidRPr="00E60957">
        <w:rPr>
          <w:rFonts w:eastAsiaTheme="minorEastAsia"/>
          <w:color w:val="000000" w:themeColor="text1"/>
          <w:kern w:val="0"/>
          <w:szCs w:val="21"/>
        </w:rPr>
        <w:t>基金份额总额</w:t>
      </w:r>
      <w:r w:rsidRPr="00E60957">
        <w:rPr>
          <w:rFonts w:eastAsiaTheme="minorEastAsia"/>
          <w:color w:val="000000" w:themeColor="text1"/>
          <w:kern w:val="0"/>
          <w:szCs w:val="21"/>
        </w:rPr>
        <w:t>705,291,760.75</w:t>
      </w:r>
      <w:r w:rsidRPr="00E60957">
        <w:rPr>
          <w:rFonts w:eastAsiaTheme="minorEastAsia"/>
          <w:color w:val="000000" w:themeColor="text1"/>
          <w:kern w:val="0"/>
          <w:szCs w:val="21"/>
        </w:rPr>
        <w:t>份。</w:t>
      </w:r>
    </w:p>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182" w:name="_Toc225498269"/>
      <w:bookmarkStart w:id="183" w:name="_Toc352255992"/>
      <w:bookmarkStart w:id="184" w:name="_Toc352256060"/>
      <w:bookmarkStart w:id="185" w:name="_Toc352331238"/>
      <w:bookmarkStart w:id="186" w:name="_Toc362424016"/>
      <w:bookmarkStart w:id="187" w:name="_Toc374459278"/>
      <w:r w:rsidRPr="00E60957">
        <w:rPr>
          <w:rFonts w:ascii="Times New Roman" w:eastAsiaTheme="minorEastAsia" w:hAnsi="Times New Roman"/>
          <w:color w:val="000000" w:themeColor="text1"/>
          <w:kern w:val="0"/>
          <w:sz w:val="21"/>
          <w:szCs w:val="21"/>
        </w:rPr>
        <w:t xml:space="preserve">7.2 </w:t>
      </w:r>
      <w:r w:rsidRPr="00E60957">
        <w:rPr>
          <w:rFonts w:ascii="Times New Roman" w:eastAsiaTheme="minorEastAsia" w:hAnsi="Times New Roman"/>
          <w:color w:val="000000" w:themeColor="text1"/>
          <w:kern w:val="0"/>
          <w:sz w:val="21"/>
          <w:szCs w:val="21"/>
        </w:rPr>
        <w:t>利润表</w:t>
      </w:r>
      <w:bookmarkEnd w:id="182"/>
      <w:bookmarkEnd w:id="183"/>
      <w:bookmarkEnd w:id="184"/>
      <w:bookmarkEnd w:id="185"/>
      <w:bookmarkEnd w:id="186"/>
      <w:bookmarkEnd w:id="187"/>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会计主体：</w:t>
      </w:r>
      <w:r w:rsidRPr="00E60957">
        <w:rPr>
          <w:rFonts w:eastAsiaTheme="minorEastAsia"/>
          <w:color w:val="000000" w:themeColor="text1"/>
          <w:kern w:val="0"/>
          <w:szCs w:val="21"/>
        </w:rPr>
        <w:t>上投摩根全球多元配置证券投资基金</w:t>
      </w:r>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本报告期：</w:t>
      </w:r>
      <w:r w:rsidR="00ED2997" w:rsidRPr="00E60957">
        <w:rPr>
          <w:rFonts w:eastAsiaTheme="minorEastAsia"/>
          <w:color w:val="000000" w:themeColor="text1"/>
          <w:kern w:val="0"/>
          <w:szCs w:val="21"/>
        </w:rPr>
        <w:t>2018</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日</w:t>
      </w:r>
      <w:r w:rsidRPr="00E60957">
        <w:rPr>
          <w:rFonts w:eastAsiaTheme="minorEastAsia"/>
          <w:color w:val="000000" w:themeColor="text1"/>
          <w:kern w:val="0"/>
          <w:szCs w:val="21"/>
        </w:rPr>
        <w:t>至</w:t>
      </w:r>
      <w:r w:rsidR="00ED2997" w:rsidRPr="00E60957">
        <w:rPr>
          <w:rFonts w:eastAsiaTheme="minorEastAsia"/>
          <w:color w:val="000000" w:themeColor="text1"/>
          <w:kern w:val="0"/>
          <w:szCs w:val="21"/>
        </w:rPr>
        <w:t>2018</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12</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31</w:t>
      </w:r>
      <w:r w:rsidR="00ED2997" w:rsidRPr="00E60957">
        <w:rPr>
          <w:rFonts w:eastAsiaTheme="minorEastAsia"/>
          <w:color w:val="000000" w:themeColor="text1"/>
          <w:kern w:val="0"/>
          <w:szCs w:val="21"/>
        </w:rPr>
        <w:t>日</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258"/>
        <w:gridCol w:w="2161"/>
        <w:gridCol w:w="2161"/>
      </w:tblGrid>
      <w:tr w:rsidR="00E60957" w:rsidRPr="00E60957" w:rsidTr="005958D1">
        <w:tc>
          <w:tcPr>
            <w:tcW w:w="3420" w:type="dxa"/>
            <w:vAlign w:val="center"/>
          </w:tcPr>
          <w:p w:rsidR="007B62FA" w:rsidRPr="00E60957" w:rsidRDefault="007B62FA" w:rsidP="00417F87">
            <w:pPr>
              <w:pStyle w:val="af6"/>
              <w:spacing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项目</w:t>
            </w:r>
          </w:p>
        </w:tc>
        <w:tc>
          <w:tcPr>
            <w:tcW w:w="1258" w:type="dxa"/>
            <w:vAlign w:val="center"/>
          </w:tcPr>
          <w:p w:rsidR="007B62FA" w:rsidRPr="00E60957" w:rsidRDefault="007B62FA"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附注号</w:t>
            </w:r>
          </w:p>
        </w:tc>
        <w:tc>
          <w:tcPr>
            <w:tcW w:w="2161" w:type="dxa"/>
            <w:vAlign w:val="center"/>
          </w:tcPr>
          <w:p w:rsidR="007B62FA" w:rsidRPr="00E60957" w:rsidRDefault="007B62FA"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本期</w:t>
            </w:r>
          </w:p>
          <w:p w:rsidR="007B62FA" w:rsidRPr="00E60957" w:rsidRDefault="00ED2997"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2018</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w:t>
            </w:r>
            <w:r w:rsidR="007B62FA" w:rsidRPr="00E60957">
              <w:rPr>
                <w:rFonts w:ascii="Times New Roman" w:eastAsiaTheme="minorEastAsia" w:hAnsi="Times New Roman"/>
                <w:b/>
                <w:color w:val="000000" w:themeColor="text1"/>
                <w:sz w:val="21"/>
                <w:szCs w:val="21"/>
              </w:rPr>
              <w:t>至</w:t>
            </w:r>
            <w:r w:rsidRPr="00E60957">
              <w:rPr>
                <w:rFonts w:ascii="Times New Roman" w:eastAsiaTheme="minorEastAsia" w:hAnsi="Times New Roman"/>
                <w:b/>
                <w:color w:val="000000" w:themeColor="text1"/>
                <w:sz w:val="21"/>
                <w:szCs w:val="21"/>
              </w:rPr>
              <w:lastRenderedPageBreak/>
              <w:t>2018</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c>
          <w:tcPr>
            <w:tcW w:w="2161" w:type="dxa"/>
            <w:vAlign w:val="center"/>
          </w:tcPr>
          <w:p w:rsidR="007B62FA" w:rsidRPr="00E60957" w:rsidRDefault="007B62FA"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lastRenderedPageBreak/>
              <w:t>上年度可比期间</w:t>
            </w:r>
          </w:p>
          <w:p w:rsidR="007B62FA" w:rsidRPr="00E60957" w:rsidRDefault="009A2393"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2017</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日至</w:t>
            </w:r>
            <w:r w:rsidRPr="00E60957">
              <w:rPr>
                <w:rFonts w:ascii="Times New Roman" w:eastAsiaTheme="minorEastAsia" w:hAnsi="Times New Roman"/>
                <w:b/>
                <w:color w:val="000000" w:themeColor="text1"/>
                <w:sz w:val="21"/>
                <w:szCs w:val="21"/>
              </w:rPr>
              <w:lastRenderedPageBreak/>
              <w:t>2017</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FE20CA">
        <w:tc>
          <w:tcPr>
            <w:tcW w:w="3420" w:type="dxa"/>
            <w:vAlign w:val="center"/>
          </w:tcPr>
          <w:p w:rsidR="007B62FA" w:rsidRPr="00E60957" w:rsidRDefault="007B62FA" w:rsidP="00417F87">
            <w:pPr>
              <w:spacing w:line="360" w:lineRule="auto"/>
              <w:rPr>
                <w:rFonts w:eastAsiaTheme="minorEastAsia"/>
                <w:b/>
                <w:color w:val="000000" w:themeColor="text1"/>
                <w:szCs w:val="21"/>
              </w:rPr>
            </w:pPr>
            <w:r w:rsidRPr="00E60957">
              <w:rPr>
                <w:rFonts w:eastAsiaTheme="minorEastAsia"/>
                <w:b/>
                <w:color w:val="000000" w:themeColor="text1"/>
                <w:szCs w:val="21"/>
              </w:rPr>
              <w:lastRenderedPageBreak/>
              <w:t>一、收入</w:t>
            </w:r>
          </w:p>
        </w:tc>
        <w:tc>
          <w:tcPr>
            <w:tcW w:w="1258" w:type="dxa"/>
            <w:vAlign w:val="center"/>
          </w:tcPr>
          <w:p w:rsidR="007B62FA" w:rsidRPr="00E60957" w:rsidRDefault="007B62FA" w:rsidP="00417F87">
            <w:pPr>
              <w:pStyle w:val="af6"/>
              <w:spacing w:line="360" w:lineRule="auto"/>
              <w:jc w:val="center"/>
              <w:rPr>
                <w:rFonts w:ascii="Times New Roman" w:eastAsiaTheme="minorEastAsia" w:hAnsi="Times New Roman"/>
                <w:b/>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-15,553,675.28</w:t>
            </w:r>
          </w:p>
        </w:tc>
        <w:tc>
          <w:tcPr>
            <w:tcW w:w="2161" w:type="dxa"/>
            <w:vAlign w:val="center"/>
          </w:tcPr>
          <w:p w:rsidR="007B62FA" w:rsidRPr="00E60957" w:rsidRDefault="007B62FA"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96,739,546.74</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1.</w:t>
            </w:r>
            <w:r w:rsidRPr="00E60957">
              <w:rPr>
                <w:rFonts w:eastAsiaTheme="minorEastAsia"/>
                <w:color w:val="000000" w:themeColor="text1"/>
                <w:szCs w:val="21"/>
              </w:rPr>
              <w:t>利息收入</w:t>
            </w:r>
          </w:p>
        </w:tc>
        <w:tc>
          <w:tcPr>
            <w:tcW w:w="1258"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601,261.81</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371,031.16</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其中：存款利息收入</w:t>
            </w:r>
          </w:p>
        </w:tc>
        <w:tc>
          <w:tcPr>
            <w:tcW w:w="1258" w:type="dxa"/>
            <w:vAlign w:val="center"/>
          </w:tcPr>
          <w:p w:rsidR="007B62FA"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7.4.7.11</w:t>
            </w:r>
          </w:p>
        </w:tc>
        <w:tc>
          <w:tcPr>
            <w:tcW w:w="2161" w:type="dxa"/>
            <w:vAlign w:val="center"/>
          </w:tcPr>
          <w:p w:rsidR="007B62FA" w:rsidRPr="00E60957" w:rsidRDefault="00BC10B0"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601,261.81</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371,007.42</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债券利息收入</w:t>
            </w:r>
          </w:p>
        </w:tc>
        <w:tc>
          <w:tcPr>
            <w:tcW w:w="1258"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资产支持证券利息收入</w:t>
            </w:r>
          </w:p>
        </w:tc>
        <w:tc>
          <w:tcPr>
            <w:tcW w:w="1258"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买入返售金融资产收入</w:t>
            </w:r>
          </w:p>
        </w:tc>
        <w:tc>
          <w:tcPr>
            <w:tcW w:w="1258"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250" w:firstLine="525"/>
              <w:rPr>
                <w:rFonts w:eastAsiaTheme="minorEastAsia"/>
                <w:color w:val="000000" w:themeColor="text1"/>
                <w:szCs w:val="21"/>
              </w:rPr>
            </w:pPr>
            <w:r w:rsidRPr="00E60957">
              <w:rPr>
                <w:rFonts w:eastAsiaTheme="minorEastAsia"/>
                <w:color w:val="000000" w:themeColor="text1"/>
                <w:szCs w:val="21"/>
              </w:rPr>
              <w:t>其他利息收入</w:t>
            </w:r>
          </w:p>
        </w:tc>
        <w:tc>
          <w:tcPr>
            <w:tcW w:w="1258"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BC10B0" w:rsidP="00417F87">
            <w:pPr>
              <w:spacing w:line="360" w:lineRule="auto"/>
              <w:jc w:val="right"/>
              <w:rPr>
                <w:rFonts w:eastAsiaTheme="minorEastAsia"/>
                <w:color w:val="000000" w:themeColor="text1"/>
                <w:szCs w:val="21"/>
              </w:rPr>
            </w:pPr>
            <w:r>
              <w:rPr>
                <w:rFonts w:eastAsiaTheme="minorEastAsia" w:hint="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23.74</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投资收益（损失以</w:t>
            </w:r>
            <w:r w:rsidRPr="00E60957">
              <w:rPr>
                <w:rFonts w:eastAsiaTheme="minorEastAsia"/>
                <w:color w:val="000000" w:themeColor="text1"/>
                <w:szCs w:val="21"/>
              </w:rPr>
              <w:t>“-”</w:t>
            </w:r>
            <w:r w:rsidRPr="00E60957">
              <w:rPr>
                <w:rFonts w:eastAsiaTheme="minorEastAsia"/>
                <w:color w:val="000000" w:themeColor="text1"/>
                <w:szCs w:val="21"/>
              </w:rPr>
              <w:t>填列）</w:t>
            </w:r>
          </w:p>
        </w:tc>
        <w:tc>
          <w:tcPr>
            <w:tcW w:w="1258"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59,436,420.92</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1,048,984.86</w:t>
            </w:r>
          </w:p>
        </w:tc>
      </w:tr>
      <w:tr w:rsidR="00E60957" w:rsidRPr="00E60957" w:rsidTr="00FE20CA">
        <w:tc>
          <w:tcPr>
            <w:tcW w:w="3420"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其中：股票投资收益</w:t>
            </w:r>
          </w:p>
        </w:tc>
        <w:tc>
          <w:tcPr>
            <w:tcW w:w="1258" w:type="dxa"/>
            <w:vAlign w:val="center"/>
          </w:tcPr>
          <w:p w:rsidR="007B62FA"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7.4.7.12</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基金投资收益</w:t>
            </w:r>
          </w:p>
        </w:tc>
        <w:tc>
          <w:tcPr>
            <w:tcW w:w="1258" w:type="dxa"/>
            <w:vAlign w:val="center"/>
          </w:tcPr>
          <w:p w:rsidR="007B62FA"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7.4.7.13</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59,436,420.92</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1,048,984.86</w:t>
            </w:r>
          </w:p>
        </w:tc>
      </w:tr>
      <w:tr w:rsidR="00E60957" w:rsidRPr="00E60957" w:rsidTr="00FE20CA">
        <w:tc>
          <w:tcPr>
            <w:tcW w:w="3420"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债券投资收益</w:t>
            </w:r>
          </w:p>
        </w:tc>
        <w:tc>
          <w:tcPr>
            <w:tcW w:w="1258" w:type="dxa"/>
            <w:vAlign w:val="center"/>
          </w:tcPr>
          <w:p w:rsidR="007B62FA"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7.4.7.14</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资产支持证券投资收益</w:t>
            </w:r>
          </w:p>
        </w:tc>
        <w:tc>
          <w:tcPr>
            <w:tcW w:w="1258" w:type="dxa"/>
            <w:vAlign w:val="center"/>
          </w:tcPr>
          <w:p w:rsidR="007B62FA" w:rsidRPr="00E60957" w:rsidRDefault="007B62FA"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衍生工具收益</w:t>
            </w:r>
          </w:p>
        </w:tc>
        <w:tc>
          <w:tcPr>
            <w:tcW w:w="1258" w:type="dxa"/>
            <w:vAlign w:val="center"/>
          </w:tcPr>
          <w:p w:rsidR="006E49B9"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7.4.7.15</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股利收益</w:t>
            </w:r>
          </w:p>
        </w:tc>
        <w:tc>
          <w:tcPr>
            <w:tcW w:w="1258" w:type="dxa"/>
            <w:vAlign w:val="center"/>
          </w:tcPr>
          <w:p w:rsidR="006E49B9"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7.4.7.16</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3.</w:t>
            </w:r>
            <w:r w:rsidRPr="00E60957">
              <w:rPr>
                <w:rFonts w:eastAsiaTheme="minorEastAsia"/>
                <w:color w:val="000000" w:themeColor="text1"/>
                <w:szCs w:val="21"/>
              </w:rPr>
              <w:t>公允价值变动收益（损失以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1258" w:type="dxa"/>
            <w:vAlign w:val="center"/>
          </w:tcPr>
          <w:p w:rsidR="006E49B9"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7.4.7.17</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-74,969,627.09</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97,160,142.39</w:t>
            </w:r>
          </w:p>
        </w:tc>
      </w:tr>
      <w:tr w:rsidR="00E60957" w:rsidRPr="00E60957" w:rsidTr="00FE20CA">
        <w:tc>
          <w:tcPr>
            <w:tcW w:w="3420" w:type="dxa"/>
            <w:vAlign w:val="center"/>
          </w:tcPr>
          <w:p w:rsidR="006E49B9" w:rsidRPr="00E60957" w:rsidRDefault="006E49B9" w:rsidP="00417F87">
            <w:pPr>
              <w:pStyle w:val="af6"/>
              <w:spacing w:line="360" w:lineRule="auto"/>
              <w:jc w:val="both"/>
              <w:rPr>
                <w:rFonts w:ascii="Times New Roman" w:eastAsiaTheme="minorEastAsia" w:hAnsi="Times New Roman"/>
                <w:color w:val="000000" w:themeColor="text1"/>
                <w:sz w:val="21"/>
                <w:szCs w:val="21"/>
              </w:rPr>
            </w:pPr>
            <w:r w:rsidRPr="00E60957">
              <w:rPr>
                <w:rFonts w:ascii="Times New Roman" w:eastAsiaTheme="minorEastAsia" w:hAnsi="Times New Roman"/>
                <w:color w:val="000000" w:themeColor="text1"/>
                <w:sz w:val="21"/>
                <w:szCs w:val="21"/>
              </w:rPr>
              <w:t>4.</w:t>
            </w:r>
            <w:r w:rsidRPr="00E60957">
              <w:rPr>
                <w:rFonts w:ascii="Times New Roman" w:eastAsiaTheme="minorEastAsia" w:hAnsi="Times New Roman"/>
                <w:color w:val="000000" w:themeColor="text1"/>
                <w:sz w:val="21"/>
                <w:szCs w:val="21"/>
              </w:rPr>
              <w:t>汇兑收益（损失以</w:t>
            </w:r>
            <w:r w:rsidRPr="00E60957">
              <w:rPr>
                <w:rFonts w:ascii="Times New Roman" w:eastAsiaTheme="minorEastAsia" w:hAnsi="Times New Roman"/>
                <w:color w:val="000000" w:themeColor="text1"/>
                <w:sz w:val="21"/>
                <w:szCs w:val="21"/>
              </w:rPr>
              <w:t>“</w:t>
            </w:r>
            <w:r w:rsidRPr="00E60957">
              <w:rPr>
                <w:rFonts w:ascii="Times New Roman" w:eastAsiaTheme="minorEastAsia" w:hAnsi="Times New Roman"/>
                <w:color w:val="000000" w:themeColor="text1"/>
                <w:sz w:val="21"/>
                <w:szCs w:val="21"/>
              </w:rPr>
              <w:t>－</w:t>
            </w:r>
            <w:r w:rsidRPr="00E60957">
              <w:rPr>
                <w:rFonts w:ascii="Times New Roman" w:eastAsiaTheme="minorEastAsia" w:hAnsi="Times New Roman"/>
                <w:color w:val="000000" w:themeColor="text1"/>
                <w:sz w:val="21"/>
                <w:szCs w:val="21"/>
              </w:rPr>
              <w:t>”</w:t>
            </w:r>
            <w:r w:rsidRPr="00E60957">
              <w:rPr>
                <w:rFonts w:ascii="Times New Roman" w:eastAsiaTheme="minorEastAsia" w:hAnsi="Times New Roman"/>
                <w:color w:val="000000" w:themeColor="text1"/>
                <w:sz w:val="21"/>
                <w:szCs w:val="21"/>
              </w:rPr>
              <w:t>号填列）</w:t>
            </w:r>
          </w:p>
        </w:tc>
        <w:tc>
          <w:tcPr>
            <w:tcW w:w="1258" w:type="dxa"/>
            <w:vAlign w:val="center"/>
          </w:tcPr>
          <w:p w:rsidR="006E49B9" w:rsidRPr="00E60957" w:rsidRDefault="006E49B9"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-1,605,452.45</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-2,777,607.11</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5.</w:t>
            </w:r>
            <w:r w:rsidRPr="00E60957">
              <w:rPr>
                <w:rFonts w:eastAsiaTheme="minorEastAsia"/>
                <w:color w:val="000000" w:themeColor="text1"/>
                <w:szCs w:val="21"/>
              </w:rPr>
              <w:t>其他收入（损失以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1258" w:type="dxa"/>
            <w:vAlign w:val="center"/>
          </w:tcPr>
          <w:p w:rsidR="006E49B9"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7.4.7.18</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983,721.53</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936,995.44</w:t>
            </w:r>
          </w:p>
        </w:tc>
      </w:tr>
      <w:tr w:rsidR="00E60957" w:rsidRPr="00E60957" w:rsidTr="00FE20CA">
        <w:tc>
          <w:tcPr>
            <w:tcW w:w="3420" w:type="dxa"/>
            <w:vAlign w:val="center"/>
          </w:tcPr>
          <w:p w:rsidR="006E49B9" w:rsidRPr="00E60957" w:rsidRDefault="006E49B9" w:rsidP="00417F87">
            <w:pPr>
              <w:spacing w:line="360" w:lineRule="auto"/>
              <w:rPr>
                <w:rFonts w:eastAsiaTheme="minorEastAsia"/>
                <w:b/>
                <w:color w:val="000000" w:themeColor="text1"/>
                <w:szCs w:val="21"/>
              </w:rPr>
            </w:pPr>
            <w:r w:rsidRPr="00E60957">
              <w:rPr>
                <w:rFonts w:eastAsiaTheme="minorEastAsia"/>
                <w:b/>
                <w:color w:val="000000" w:themeColor="text1"/>
                <w:szCs w:val="21"/>
              </w:rPr>
              <w:t>减：二、费用</w:t>
            </w:r>
          </w:p>
        </w:tc>
        <w:tc>
          <w:tcPr>
            <w:tcW w:w="1258" w:type="dxa"/>
            <w:vAlign w:val="center"/>
          </w:tcPr>
          <w:p w:rsidR="006E49B9" w:rsidRPr="00E60957" w:rsidRDefault="006E49B9" w:rsidP="00417F87">
            <w:pPr>
              <w:pStyle w:val="af6"/>
              <w:spacing w:line="360" w:lineRule="auto"/>
              <w:jc w:val="center"/>
              <w:rPr>
                <w:rFonts w:ascii="Times New Roman" w:eastAsiaTheme="minorEastAsia" w:hAnsi="Times New Roman"/>
                <w:b/>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18,738,307.80</w:t>
            </w:r>
          </w:p>
        </w:tc>
        <w:tc>
          <w:tcPr>
            <w:tcW w:w="2161" w:type="dxa"/>
            <w:vAlign w:val="center"/>
          </w:tcPr>
          <w:p w:rsidR="006E49B9" w:rsidRPr="00E60957" w:rsidRDefault="006E49B9"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14,272,328.84</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1</w:t>
            </w:r>
            <w:r w:rsidRPr="00E60957">
              <w:rPr>
                <w:rFonts w:eastAsiaTheme="minorEastAsia"/>
                <w:color w:val="000000" w:themeColor="text1"/>
                <w:szCs w:val="21"/>
              </w:rPr>
              <w:t>．管理人报酬</w:t>
            </w:r>
          </w:p>
        </w:tc>
        <w:tc>
          <w:tcPr>
            <w:tcW w:w="1258" w:type="dxa"/>
            <w:vAlign w:val="center"/>
          </w:tcPr>
          <w:p w:rsidR="006E49B9" w:rsidRPr="00E60957" w:rsidRDefault="006E49B9"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15,858,718.86</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11,941,259.83</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．托管费</w:t>
            </w:r>
          </w:p>
        </w:tc>
        <w:tc>
          <w:tcPr>
            <w:tcW w:w="1258" w:type="dxa"/>
            <w:vAlign w:val="center"/>
          </w:tcPr>
          <w:p w:rsidR="006E49B9" w:rsidRPr="00E60957" w:rsidRDefault="006E49B9"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2,477,924.86</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1,865,821.85</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3</w:t>
            </w:r>
            <w:r w:rsidRPr="00E60957">
              <w:rPr>
                <w:rFonts w:eastAsiaTheme="minorEastAsia"/>
                <w:color w:val="000000" w:themeColor="text1"/>
                <w:szCs w:val="21"/>
              </w:rPr>
              <w:t>．销售服务费</w:t>
            </w:r>
          </w:p>
        </w:tc>
        <w:tc>
          <w:tcPr>
            <w:tcW w:w="1258" w:type="dxa"/>
            <w:vAlign w:val="center"/>
          </w:tcPr>
          <w:p w:rsidR="006E49B9" w:rsidRPr="00E60957" w:rsidRDefault="006E49B9"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4</w:t>
            </w:r>
            <w:r w:rsidRPr="00E60957">
              <w:rPr>
                <w:rFonts w:eastAsiaTheme="minorEastAsia"/>
                <w:color w:val="000000" w:themeColor="text1"/>
                <w:szCs w:val="21"/>
              </w:rPr>
              <w:t>．交易费用</w:t>
            </w:r>
          </w:p>
        </w:tc>
        <w:tc>
          <w:tcPr>
            <w:tcW w:w="1258" w:type="dxa"/>
            <w:vAlign w:val="center"/>
          </w:tcPr>
          <w:p w:rsidR="006E49B9" w:rsidRPr="00E60957" w:rsidRDefault="00E7046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7.4.7.19</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5</w:t>
            </w:r>
            <w:r w:rsidRPr="00E60957">
              <w:rPr>
                <w:rFonts w:eastAsiaTheme="minorEastAsia"/>
                <w:color w:val="000000" w:themeColor="text1"/>
                <w:szCs w:val="21"/>
              </w:rPr>
              <w:t>．利息支出</w:t>
            </w:r>
          </w:p>
        </w:tc>
        <w:tc>
          <w:tcPr>
            <w:tcW w:w="1258" w:type="dxa"/>
            <w:vAlign w:val="center"/>
          </w:tcPr>
          <w:p w:rsidR="006E49B9" w:rsidRPr="00E60957" w:rsidRDefault="006E49B9"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E20CA">
        <w:tc>
          <w:tcPr>
            <w:tcW w:w="3420" w:type="dxa"/>
            <w:vAlign w:val="center"/>
          </w:tcPr>
          <w:p w:rsidR="006E49B9" w:rsidRPr="00E60957" w:rsidRDefault="006E49B9" w:rsidP="00417F87">
            <w:pPr>
              <w:spacing w:line="360" w:lineRule="auto"/>
              <w:rPr>
                <w:rFonts w:eastAsiaTheme="minorEastAsia"/>
                <w:color w:val="000000" w:themeColor="text1"/>
                <w:szCs w:val="21"/>
              </w:rPr>
            </w:pPr>
            <w:r w:rsidRPr="00E60957">
              <w:rPr>
                <w:rFonts w:eastAsiaTheme="minorEastAsia"/>
                <w:color w:val="000000" w:themeColor="text1"/>
                <w:szCs w:val="21"/>
              </w:rPr>
              <w:t>其中：卖出回购金融资产支出</w:t>
            </w:r>
          </w:p>
        </w:tc>
        <w:tc>
          <w:tcPr>
            <w:tcW w:w="1258" w:type="dxa"/>
            <w:vAlign w:val="center"/>
          </w:tcPr>
          <w:p w:rsidR="006E49B9" w:rsidRPr="00E60957" w:rsidRDefault="006E49B9"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6E49B9" w:rsidRPr="00E60957" w:rsidRDefault="006E49B9"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B576E8" w:rsidRPr="00E60957" w:rsidTr="002866F4">
        <w:tc>
          <w:tcPr>
            <w:tcW w:w="3420" w:type="dxa"/>
            <w:vAlign w:val="center"/>
          </w:tcPr>
          <w:p w:rsidR="00B576E8" w:rsidRPr="00905283" w:rsidRDefault="00B576E8" w:rsidP="00220C00">
            <w:pPr>
              <w:rPr>
                <w:rFonts w:eastAsiaTheme="minorEastAsia"/>
                <w:color w:val="000000"/>
                <w:szCs w:val="21"/>
              </w:rPr>
            </w:pPr>
            <w:r w:rsidRPr="00905283">
              <w:rPr>
                <w:rFonts w:eastAsiaTheme="minorEastAsia" w:hint="eastAsia"/>
                <w:color w:val="000000"/>
                <w:szCs w:val="21"/>
              </w:rPr>
              <w:t>6</w:t>
            </w:r>
            <w:r w:rsidRPr="00905283">
              <w:rPr>
                <w:rFonts w:eastAsiaTheme="minorEastAsia"/>
                <w:color w:val="000000"/>
                <w:szCs w:val="21"/>
              </w:rPr>
              <w:t>．</w:t>
            </w:r>
            <w:r w:rsidRPr="00905283">
              <w:rPr>
                <w:rFonts w:eastAsiaTheme="minorEastAsia" w:hint="eastAsia"/>
                <w:color w:val="000000"/>
                <w:szCs w:val="21"/>
              </w:rPr>
              <w:t>税金及附加</w:t>
            </w:r>
          </w:p>
        </w:tc>
        <w:tc>
          <w:tcPr>
            <w:tcW w:w="1258" w:type="dxa"/>
            <w:vAlign w:val="center"/>
          </w:tcPr>
          <w:p w:rsidR="00B576E8" w:rsidRPr="00905283" w:rsidRDefault="00B576E8" w:rsidP="00220C00">
            <w:pPr>
              <w:pStyle w:val="af6"/>
              <w:jc w:val="center"/>
              <w:rPr>
                <w:rFonts w:ascii="Times New Roman" w:eastAsiaTheme="minorEastAsia" w:hAnsi="Times New Roman"/>
                <w:color w:val="000000"/>
                <w:sz w:val="21"/>
                <w:szCs w:val="21"/>
              </w:rPr>
            </w:pPr>
          </w:p>
        </w:tc>
        <w:tc>
          <w:tcPr>
            <w:tcW w:w="2161" w:type="dxa"/>
            <w:vAlign w:val="bottom"/>
          </w:tcPr>
          <w:p w:rsidR="00B576E8" w:rsidRPr="00905283" w:rsidRDefault="00B576E8" w:rsidP="00220C00">
            <w:pPr>
              <w:jc w:val="right"/>
              <w:rPr>
                <w:rFonts w:eastAsiaTheme="minorEastAsia"/>
                <w:color w:val="000000"/>
                <w:szCs w:val="21"/>
              </w:rPr>
            </w:pPr>
            <w:r w:rsidRPr="00905283">
              <w:rPr>
                <w:rFonts w:eastAsiaTheme="minorEastAsia"/>
                <w:color w:val="000000"/>
                <w:szCs w:val="21"/>
              </w:rPr>
              <w:t>-</w:t>
            </w:r>
          </w:p>
        </w:tc>
        <w:tc>
          <w:tcPr>
            <w:tcW w:w="2161" w:type="dxa"/>
            <w:vAlign w:val="bottom"/>
          </w:tcPr>
          <w:p w:rsidR="00B576E8" w:rsidRPr="00905283" w:rsidRDefault="00B576E8" w:rsidP="00220C00">
            <w:pPr>
              <w:jc w:val="right"/>
              <w:rPr>
                <w:rFonts w:eastAsiaTheme="minorEastAsia"/>
                <w:color w:val="000000"/>
                <w:szCs w:val="21"/>
              </w:rPr>
            </w:pPr>
            <w:r w:rsidRPr="00905283">
              <w:rPr>
                <w:rFonts w:eastAsiaTheme="minorEastAsia"/>
                <w:color w:val="000000"/>
                <w:szCs w:val="21"/>
              </w:rPr>
              <w:t>-</w:t>
            </w:r>
          </w:p>
        </w:tc>
      </w:tr>
      <w:tr w:rsidR="00B576E8" w:rsidRPr="00E60957" w:rsidTr="00FE20CA">
        <w:tc>
          <w:tcPr>
            <w:tcW w:w="3420" w:type="dxa"/>
            <w:vAlign w:val="center"/>
          </w:tcPr>
          <w:p w:rsidR="00B576E8" w:rsidRPr="00E60957" w:rsidRDefault="00B576E8" w:rsidP="00417F87">
            <w:pPr>
              <w:spacing w:line="360" w:lineRule="auto"/>
              <w:rPr>
                <w:rFonts w:eastAsiaTheme="minorEastAsia"/>
                <w:color w:val="000000" w:themeColor="text1"/>
                <w:szCs w:val="21"/>
              </w:rPr>
            </w:pPr>
            <w:r>
              <w:rPr>
                <w:rFonts w:eastAsiaTheme="minorEastAsia" w:hint="eastAsia"/>
                <w:color w:val="000000" w:themeColor="text1"/>
                <w:szCs w:val="21"/>
              </w:rPr>
              <w:t>7</w:t>
            </w:r>
            <w:r w:rsidRPr="00E60957">
              <w:rPr>
                <w:rFonts w:eastAsiaTheme="minorEastAsia"/>
                <w:color w:val="000000" w:themeColor="text1"/>
                <w:szCs w:val="21"/>
              </w:rPr>
              <w:t>．其他费用</w:t>
            </w:r>
          </w:p>
        </w:tc>
        <w:tc>
          <w:tcPr>
            <w:tcW w:w="1258" w:type="dxa"/>
            <w:vAlign w:val="center"/>
          </w:tcPr>
          <w:p w:rsidR="00B576E8" w:rsidRPr="00E60957" w:rsidRDefault="00B576E8" w:rsidP="00417F87">
            <w:pPr>
              <w:pStyle w:val="af6"/>
              <w:spacing w:line="360" w:lineRule="auto"/>
              <w:jc w:val="center"/>
              <w:rPr>
                <w:rFonts w:ascii="Times New Roman" w:eastAsiaTheme="minorEastAsia" w:hAnsi="Times New Roman"/>
                <w:color w:val="000000" w:themeColor="text1"/>
                <w:sz w:val="21"/>
                <w:szCs w:val="21"/>
              </w:rPr>
            </w:pPr>
            <w:r w:rsidRPr="00E60957">
              <w:rPr>
                <w:rFonts w:ascii="Times New Roman" w:eastAsiaTheme="minorEastAsia" w:hAnsi="Times New Roman" w:hint="eastAsia"/>
                <w:color w:val="000000" w:themeColor="text1"/>
                <w:sz w:val="21"/>
                <w:szCs w:val="21"/>
              </w:rPr>
              <w:t>7.4.7.20</w:t>
            </w: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401,664.08</w:t>
            </w: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465,247.16</w:t>
            </w:r>
          </w:p>
        </w:tc>
      </w:tr>
      <w:tr w:rsidR="00B576E8" w:rsidRPr="00E60957" w:rsidTr="00FE20CA">
        <w:tc>
          <w:tcPr>
            <w:tcW w:w="3420" w:type="dxa"/>
            <w:vAlign w:val="center"/>
          </w:tcPr>
          <w:p w:rsidR="00B576E8" w:rsidRPr="00E60957" w:rsidRDefault="00B576E8" w:rsidP="00417F87">
            <w:pPr>
              <w:spacing w:line="360" w:lineRule="auto"/>
              <w:rPr>
                <w:rFonts w:eastAsiaTheme="minorEastAsia"/>
                <w:b/>
                <w:color w:val="000000" w:themeColor="text1"/>
                <w:szCs w:val="21"/>
              </w:rPr>
            </w:pPr>
            <w:r w:rsidRPr="00E60957">
              <w:rPr>
                <w:rFonts w:eastAsiaTheme="minorEastAsia"/>
                <w:b/>
                <w:color w:val="000000" w:themeColor="text1"/>
                <w:szCs w:val="21"/>
              </w:rPr>
              <w:t>三、利润总额（亏损总额以</w:t>
            </w:r>
            <w:r w:rsidRPr="00E60957">
              <w:rPr>
                <w:rFonts w:eastAsiaTheme="minorEastAsia"/>
                <w:b/>
                <w:color w:val="000000" w:themeColor="text1"/>
                <w:szCs w:val="21"/>
              </w:rPr>
              <w:t>“-”</w:t>
            </w:r>
            <w:r w:rsidRPr="00E60957">
              <w:rPr>
                <w:rFonts w:eastAsiaTheme="minorEastAsia"/>
                <w:b/>
                <w:color w:val="000000" w:themeColor="text1"/>
                <w:szCs w:val="21"/>
              </w:rPr>
              <w:t>号填</w:t>
            </w:r>
            <w:r w:rsidRPr="00E60957">
              <w:rPr>
                <w:rFonts w:eastAsiaTheme="minorEastAsia"/>
                <w:b/>
                <w:color w:val="000000" w:themeColor="text1"/>
                <w:szCs w:val="21"/>
              </w:rPr>
              <w:lastRenderedPageBreak/>
              <w:t>列）</w:t>
            </w:r>
          </w:p>
        </w:tc>
        <w:tc>
          <w:tcPr>
            <w:tcW w:w="1258" w:type="dxa"/>
            <w:vAlign w:val="center"/>
          </w:tcPr>
          <w:p w:rsidR="00B576E8" w:rsidRPr="00E60957" w:rsidRDefault="00B576E8" w:rsidP="00417F87">
            <w:pPr>
              <w:pStyle w:val="af6"/>
              <w:spacing w:line="360" w:lineRule="auto"/>
              <w:jc w:val="center"/>
              <w:rPr>
                <w:rFonts w:ascii="Times New Roman" w:eastAsiaTheme="minorEastAsia" w:hAnsi="Times New Roman"/>
                <w:b/>
                <w:color w:val="000000" w:themeColor="text1"/>
                <w:sz w:val="21"/>
                <w:szCs w:val="21"/>
              </w:rPr>
            </w:pP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-34,291,983.08</w:t>
            </w: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82,467,217.90</w:t>
            </w:r>
          </w:p>
        </w:tc>
      </w:tr>
      <w:tr w:rsidR="00B576E8" w:rsidRPr="00E60957" w:rsidTr="00FE20CA">
        <w:tc>
          <w:tcPr>
            <w:tcW w:w="3420" w:type="dxa"/>
            <w:vAlign w:val="center"/>
          </w:tcPr>
          <w:p w:rsidR="00B576E8" w:rsidRPr="00E60957" w:rsidRDefault="00B576E8" w:rsidP="00417F87">
            <w:pPr>
              <w:spacing w:line="360" w:lineRule="auto"/>
              <w:rPr>
                <w:rFonts w:eastAsiaTheme="minorEastAsia"/>
                <w:b/>
                <w:color w:val="000000" w:themeColor="text1"/>
                <w:szCs w:val="21"/>
              </w:rPr>
            </w:pPr>
            <w:r w:rsidRPr="00E60957">
              <w:rPr>
                <w:rFonts w:eastAsiaTheme="minorEastAsia"/>
                <w:color w:val="000000" w:themeColor="text1"/>
                <w:szCs w:val="21"/>
              </w:rPr>
              <w:lastRenderedPageBreak/>
              <w:t>减：所得税费用</w:t>
            </w:r>
          </w:p>
        </w:tc>
        <w:tc>
          <w:tcPr>
            <w:tcW w:w="1258" w:type="dxa"/>
            <w:vAlign w:val="center"/>
          </w:tcPr>
          <w:p w:rsidR="00B576E8" w:rsidRPr="00E60957" w:rsidRDefault="00B576E8" w:rsidP="00417F87">
            <w:pPr>
              <w:pStyle w:val="af6"/>
              <w:spacing w:line="360" w:lineRule="auto"/>
              <w:jc w:val="center"/>
              <w:rPr>
                <w:rFonts w:ascii="Times New Roman" w:eastAsiaTheme="minorEastAsia" w:hAnsi="Times New Roman"/>
                <w:color w:val="000000" w:themeColor="text1"/>
                <w:sz w:val="21"/>
                <w:szCs w:val="21"/>
              </w:rPr>
            </w:pP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61" w:type="dxa"/>
            <w:vAlign w:val="center"/>
          </w:tcPr>
          <w:p w:rsidR="00B576E8" w:rsidRPr="00E60957" w:rsidRDefault="00B576E8"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B576E8" w:rsidRPr="00E60957" w:rsidTr="00FE20CA">
        <w:tc>
          <w:tcPr>
            <w:tcW w:w="3420" w:type="dxa"/>
            <w:vAlign w:val="center"/>
          </w:tcPr>
          <w:p w:rsidR="00B576E8" w:rsidRPr="00E60957" w:rsidRDefault="00B576E8" w:rsidP="00417F87">
            <w:pPr>
              <w:spacing w:line="360" w:lineRule="auto"/>
              <w:rPr>
                <w:rFonts w:eastAsiaTheme="minorEastAsia"/>
                <w:b/>
                <w:color w:val="000000" w:themeColor="text1"/>
                <w:szCs w:val="21"/>
              </w:rPr>
            </w:pPr>
            <w:r w:rsidRPr="00E60957">
              <w:rPr>
                <w:rFonts w:eastAsiaTheme="minorEastAsia"/>
                <w:b/>
                <w:color w:val="000000" w:themeColor="text1"/>
                <w:szCs w:val="21"/>
              </w:rPr>
              <w:t>四、净利润（净亏损以</w:t>
            </w:r>
            <w:r w:rsidRPr="00E60957">
              <w:rPr>
                <w:rFonts w:eastAsiaTheme="minorEastAsia"/>
                <w:b/>
                <w:color w:val="000000" w:themeColor="text1"/>
                <w:szCs w:val="21"/>
              </w:rPr>
              <w:t>“-”</w:t>
            </w:r>
            <w:r w:rsidRPr="00E60957">
              <w:rPr>
                <w:rFonts w:eastAsiaTheme="minorEastAsia"/>
                <w:b/>
                <w:color w:val="000000" w:themeColor="text1"/>
                <w:szCs w:val="21"/>
              </w:rPr>
              <w:t>号填列）</w:t>
            </w:r>
          </w:p>
        </w:tc>
        <w:tc>
          <w:tcPr>
            <w:tcW w:w="1258" w:type="dxa"/>
            <w:vAlign w:val="center"/>
          </w:tcPr>
          <w:p w:rsidR="00B576E8" w:rsidRPr="00E60957" w:rsidRDefault="00B576E8" w:rsidP="00417F87">
            <w:pPr>
              <w:pStyle w:val="af6"/>
              <w:spacing w:line="360" w:lineRule="auto"/>
              <w:jc w:val="center"/>
              <w:rPr>
                <w:rFonts w:ascii="Times New Roman" w:eastAsiaTheme="minorEastAsia" w:hAnsi="Times New Roman"/>
                <w:b/>
                <w:color w:val="000000" w:themeColor="text1"/>
                <w:sz w:val="21"/>
                <w:szCs w:val="21"/>
              </w:rPr>
            </w:pP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-34,291,983.08</w:t>
            </w:r>
          </w:p>
        </w:tc>
        <w:tc>
          <w:tcPr>
            <w:tcW w:w="2161" w:type="dxa"/>
            <w:vAlign w:val="center"/>
          </w:tcPr>
          <w:p w:rsidR="00B576E8" w:rsidRPr="00E60957" w:rsidRDefault="00B576E8" w:rsidP="00417F87">
            <w:pPr>
              <w:spacing w:line="360" w:lineRule="auto"/>
              <w:jc w:val="right"/>
              <w:rPr>
                <w:rFonts w:eastAsiaTheme="minorEastAsia"/>
                <w:b/>
                <w:color w:val="000000" w:themeColor="text1"/>
                <w:szCs w:val="21"/>
              </w:rPr>
            </w:pPr>
            <w:r w:rsidRPr="00E60957">
              <w:rPr>
                <w:rFonts w:eastAsiaTheme="minorEastAsia"/>
                <w:b/>
                <w:color w:val="000000" w:themeColor="text1"/>
                <w:szCs w:val="21"/>
              </w:rPr>
              <w:t>82,467,217.90</w:t>
            </w:r>
          </w:p>
        </w:tc>
      </w:tr>
    </w:tbl>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188" w:name="_Toc225498270"/>
      <w:bookmarkStart w:id="189" w:name="_Toc352255993"/>
      <w:bookmarkStart w:id="190" w:name="_Toc352256061"/>
      <w:bookmarkStart w:id="191" w:name="_Toc352331239"/>
      <w:bookmarkStart w:id="192" w:name="_Toc362424017"/>
      <w:bookmarkStart w:id="193" w:name="_Toc374459279"/>
      <w:r w:rsidRPr="00E60957">
        <w:rPr>
          <w:rFonts w:ascii="Times New Roman" w:eastAsiaTheme="minorEastAsia" w:hAnsi="Times New Roman"/>
          <w:color w:val="000000" w:themeColor="text1"/>
          <w:kern w:val="0"/>
          <w:sz w:val="21"/>
          <w:szCs w:val="21"/>
        </w:rPr>
        <w:t xml:space="preserve">7.3 </w:t>
      </w:r>
      <w:r w:rsidRPr="00E60957">
        <w:rPr>
          <w:rFonts w:ascii="Times New Roman" w:eastAsiaTheme="minorEastAsia" w:hAnsi="Times New Roman"/>
          <w:color w:val="000000" w:themeColor="text1"/>
          <w:kern w:val="0"/>
          <w:sz w:val="21"/>
          <w:szCs w:val="21"/>
        </w:rPr>
        <w:t>所有者权益（基金净值）变动表</w:t>
      </w:r>
      <w:bookmarkEnd w:id="188"/>
      <w:bookmarkEnd w:id="189"/>
      <w:bookmarkEnd w:id="190"/>
      <w:bookmarkEnd w:id="191"/>
      <w:bookmarkEnd w:id="192"/>
      <w:bookmarkEnd w:id="193"/>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会计主体：</w:t>
      </w:r>
      <w:r w:rsidRPr="00E60957">
        <w:rPr>
          <w:rFonts w:eastAsiaTheme="minorEastAsia"/>
          <w:color w:val="000000" w:themeColor="text1"/>
          <w:kern w:val="0"/>
          <w:szCs w:val="21"/>
        </w:rPr>
        <w:t>上投摩根全球多元配置证券投资基金</w:t>
      </w:r>
    </w:p>
    <w:p w:rsidR="007B62FA" w:rsidRPr="00E60957" w:rsidRDefault="007B62FA" w:rsidP="00C03E37">
      <w:pPr>
        <w:spacing w:line="360" w:lineRule="auto"/>
        <w:rPr>
          <w:rFonts w:eastAsiaTheme="minorEastAsia"/>
          <w:color w:val="000000" w:themeColor="text1"/>
          <w:kern w:val="0"/>
          <w:szCs w:val="21"/>
        </w:rPr>
      </w:pPr>
      <w:r w:rsidRPr="00E60957">
        <w:rPr>
          <w:rFonts w:eastAsiaTheme="minorEastAsia"/>
          <w:color w:val="000000" w:themeColor="text1"/>
          <w:szCs w:val="21"/>
        </w:rPr>
        <w:t>本报告期：</w:t>
      </w:r>
      <w:r w:rsidR="00ED2997" w:rsidRPr="00E60957">
        <w:rPr>
          <w:rFonts w:eastAsiaTheme="minorEastAsia"/>
          <w:color w:val="000000" w:themeColor="text1"/>
          <w:kern w:val="0"/>
          <w:szCs w:val="21"/>
        </w:rPr>
        <w:t>2018</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1</w:t>
      </w:r>
      <w:r w:rsidR="00ED2997" w:rsidRPr="00E60957">
        <w:rPr>
          <w:rFonts w:eastAsiaTheme="minorEastAsia"/>
          <w:color w:val="000000" w:themeColor="text1"/>
          <w:kern w:val="0"/>
          <w:szCs w:val="21"/>
        </w:rPr>
        <w:t>日</w:t>
      </w:r>
      <w:r w:rsidRPr="00E60957">
        <w:rPr>
          <w:rFonts w:eastAsiaTheme="minorEastAsia"/>
          <w:color w:val="000000" w:themeColor="text1"/>
          <w:kern w:val="0"/>
          <w:szCs w:val="21"/>
        </w:rPr>
        <w:t>至</w:t>
      </w:r>
      <w:r w:rsidR="00ED2997" w:rsidRPr="00E60957">
        <w:rPr>
          <w:rFonts w:eastAsiaTheme="minorEastAsia"/>
          <w:color w:val="000000" w:themeColor="text1"/>
          <w:kern w:val="0"/>
          <w:szCs w:val="21"/>
        </w:rPr>
        <w:t>2018</w:t>
      </w:r>
      <w:r w:rsidR="00ED2997" w:rsidRPr="00E60957">
        <w:rPr>
          <w:rFonts w:eastAsiaTheme="minorEastAsia"/>
          <w:color w:val="000000" w:themeColor="text1"/>
          <w:kern w:val="0"/>
          <w:szCs w:val="21"/>
        </w:rPr>
        <w:t>年</w:t>
      </w:r>
      <w:r w:rsidR="00ED2997" w:rsidRPr="00E60957">
        <w:rPr>
          <w:rFonts w:eastAsiaTheme="minorEastAsia"/>
          <w:color w:val="000000" w:themeColor="text1"/>
          <w:kern w:val="0"/>
          <w:szCs w:val="21"/>
        </w:rPr>
        <w:t>12</w:t>
      </w:r>
      <w:r w:rsidR="00ED2997" w:rsidRPr="00E60957">
        <w:rPr>
          <w:rFonts w:eastAsiaTheme="minorEastAsia"/>
          <w:color w:val="000000" w:themeColor="text1"/>
          <w:kern w:val="0"/>
          <w:szCs w:val="21"/>
        </w:rPr>
        <w:t>月</w:t>
      </w:r>
      <w:r w:rsidR="00ED2997" w:rsidRPr="00E60957">
        <w:rPr>
          <w:rFonts w:eastAsiaTheme="minorEastAsia"/>
          <w:color w:val="000000" w:themeColor="text1"/>
          <w:kern w:val="0"/>
          <w:szCs w:val="21"/>
        </w:rPr>
        <w:t>31</w:t>
      </w:r>
      <w:r w:rsidR="00ED2997" w:rsidRPr="00E60957">
        <w:rPr>
          <w:rFonts w:eastAsiaTheme="minorEastAsia"/>
          <w:color w:val="000000" w:themeColor="text1"/>
          <w:kern w:val="0"/>
          <w:szCs w:val="21"/>
        </w:rPr>
        <w:t>日</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E60957" w:rsidRPr="00E60957" w:rsidTr="007D59D0">
        <w:tc>
          <w:tcPr>
            <w:tcW w:w="2552" w:type="dxa"/>
            <w:vMerge w:val="restart"/>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项目</w:t>
            </w:r>
          </w:p>
        </w:tc>
        <w:tc>
          <w:tcPr>
            <w:tcW w:w="6448" w:type="dxa"/>
            <w:gridSpan w:val="3"/>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本期</w:t>
            </w:r>
          </w:p>
          <w:p w:rsidR="007B62FA" w:rsidRPr="00E60957" w:rsidRDefault="00ED2997"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2018</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w:t>
            </w:r>
            <w:r w:rsidR="007B62FA" w:rsidRPr="00E60957">
              <w:rPr>
                <w:rFonts w:ascii="Times New Roman" w:eastAsiaTheme="minorEastAsia" w:hAnsi="Times New Roman"/>
                <w:b/>
                <w:color w:val="000000" w:themeColor="text1"/>
                <w:sz w:val="21"/>
                <w:szCs w:val="21"/>
              </w:rPr>
              <w:t>至</w:t>
            </w:r>
            <w:r w:rsidRPr="00E60957">
              <w:rPr>
                <w:rFonts w:ascii="Times New Roman" w:eastAsiaTheme="minorEastAsia" w:hAnsi="Times New Roman"/>
                <w:b/>
                <w:color w:val="000000" w:themeColor="text1"/>
                <w:sz w:val="21"/>
                <w:szCs w:val="21"/>
              </w:rPr>
              <w:t>2018</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7D59D0">
        <w:tc>
          <w:tcPr>
            <w:tcW w:w="2552" w:type="dxa"/>
            <w:vMerge/>
            <w:vAlign w:val="center"/>
          </w:tcPr>
          <w:p w:rsidR="007B62FA" w:rsidRPr="00E60957" w:rsidRDefault="007B62FA" w:rsidP="00417F87">
            <w:pPr>
              <w:widowControl/>
              <w:spacing w:line="360" w:lineRule="auto"/>
              <w:jc w:val="left"/>
              <w:rPr>
                <w:rFonts w:eastAsiaTheme="minorEastAsia"/>
                <w:b/>
                <w:color w:val="000000" w:themeColor="text1"/>
                <w:szCs w:val="21"/>
              </w:rPr>
            </w:pPr>
          </w:p>
        </w:tc>
        <w:tc>
          <w:tcPr>
            <w:tcW w:w="2149" w:type="dxa"/>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实收基金</w:t>
            </w:r>
          </w:p>
        </w:tc>
        <w:tc>
          <w:tcPr>
            <w:tcW w:w="2149" w:type="dxa"/>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未分配利润</w:t>
            </w:r>
          </w:p>
        </w:tc>
        <w:tc>
          <w:tcPr>
            <w:tcW w:w="215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所有者权益合计</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一、期初所有者权益（基金净值）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999,549,127.15</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122,862,351.60</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1,122,411,478.75</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二、本期经营活动产生的基金净值变动数（本期利润）</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-34,291,983.08</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-34,291,983.08</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三、本期基金份额交易产生的基金净值变动数（净值减少以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-294,257,366.40</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-27,707,251.39</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-321,964,617.79</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w:t>
            </w:r>
            <w:r w:rsidRPr="00E60957">
              <w:rPr>
                <w:rFonts w:eastAsiaTheme="minorEastAsia"/>
                <w:color w:val="000000" w:themeColor="text1"/>
                <w:szCs w:val="21"/>
              </w:rPr>
              <w:t>1.</w:t>
            </w:r>
            <w:r w:rsidRPr="00E60957">
              <w:rPr>
                <w:rFonts w:eastAsiaTheme="minorEastAsia"/>
                <w:color w:val="000000" w:themeColor="text1"/>
                <w:szCs w:val="21"/>
              </w:rPr>
              <w:t>基金申购款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424,322,306.09</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56,713,474.89</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481,035,780.98</w:t>
            </w:r>
          </w:p>
        </w:tc>
      </w:tr>
      <w:tr w:rsidR="00E60957" w:rsidRPr="00E60957" w:rsidTr="007D59D0">
        <w:tc>
          <w:tcPr>
            <w:tcW w:w="2552"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基金赎回款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-718,579,672.49</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-84,420,726.28</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-803,000,398.77</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四、本期向基金份额持有人分配利润产生的基金净值变动（净值减少以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7D59D0">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五、期末所有者权益（基金净值）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705,291,760.75</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60,863,117.13</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766,154,877.88</w:t>
            </w:r>
          </w:p>
        </w:tc>
      </w:tr>
      <w:tr w:rsidR="00E60957" w:rsidRPr="00E60957" w:rsidTr="00F226F1">
        <w:tc>
          <w:tcPr>
            <w:tcW w:w="2552"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项目</w:t>
            </w:r>
          </w:p>
        </w:tc>
        <w:tc>
          <w:tcPr>
            <w:tcW w:w="6448" w:type="dxa"/>
            <w:gridSpan w:val="3"/>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上年度可比期间</w:t>
            </w:r>
          </w:p>
          <w:p w:rsidR="007B62FA" w:rsidRPr="00E60957" w:rsidRDefault="009A2393" w:rsidP="00417F87">
            <w:pPr>
              <w:pStyle w:val="af6"/>
              <w:spacing w:before="0" w:beforeAutospacing="0" w:after="0" w:afterAutospacing="0" w:line="360" w:lineRule="auto"/>
              <w:jc w:val="center"/>
              <w:rPr>
                <w:rFonts w:ascii="Times New Roman" w:eastAsiaTheme="minorEastAsia" w:hAnsi="Times New Roman"/>
                <w:b/>
                <w:color w:val="000000" w:themeColor="text1"/>
                <w:sz w:val="21"/>
                <w:szCs w:val="21"/>
              </w:rPr>
            </w:pPr>
            <w:r w:rsidRPr="00E60957">
              <w:rPr>
                <w:rFonts w:ascii="Times New Roman" w:eastAsiaTheme="minorEastAsia" w:hAnsi="Times New Roman"/>
                <w:b/>
                <w:color w:val="000000" w:themeColor="text1"/>
                <w:sz w:val="21"/>
                <w:szCs w:val="21"/>
              </w:rPr>
              <w:t>2017</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1</w:t>
            </w:r>
            <w:r w:rsidRPr="00E60957">
              <w:rPr>
                <w:rFonts w:ascii="Times New Roman" w:eastAsiaTheme="minorEastAsia" w:hAnsi="Times New Roman"/>
                <w:b/>
                <w:color w:val="000000" w:themeColor="text1"/>
                <w:sz w:val="21"/>
                <w:szCs w:val="21"/>
              </w:rPr>
              <w:t>日至</w:t>
            </w:r>
            <w:r w:rsidRPr="00E60957">
              <w:rPr>
                <w:rFonts w:ascii="Times New Roman" w:eastAsiaTheme="minorEastAsia" w:hAnsi="Times New Roman"/>
                <w:b/>
                <w:color w:val="000000" w:themeColor="text1"/>
                <w:sz w:val="21"/>
                <w:szCs w:val="21"/>
              </w:rPr>
              <w:t>2017</w:t>
            </w:r>
            <w:r w:rsidRPr="00E60957">
              <w:rPr>
                <w:rFonts w:ascii="Times New Roman" w:eastAsiaTheme="minorEastAsia" w:hAnsi="Times New Roman"/>
                <w:b/>
                <w:color w:val="000000" w:themeColor="text1"/>
                <w:sz w:val="21"/>
                <w:szCs w:val="21"/>
              </w:rPr>
              <w:t>年</w:t>
            </w:r>
            <w:r w:rsidRPr="00E60957">
              <w:rPr>
                <w:rFonts w:ascii="Times New Roman" w:eastAsiaTheme="minorEastAsia" w:hAnsi="Times New Roman"/>
                <w:b/>
                <w:color w:val="000000" w:themeColor="text1"/>
                <w:sz w:val="21"/>
                <w:szCs w:val="21"/>
              </w:rPr>
              <w:t>12</w:t>
            </w:r>
            <w:r w:rsidRPr="00E60957">
              <w:rPr>
                <w:rFonts w:ascii="Times New Roman" w:eastAsiaTheme="minorEastAsia" w:hAnsi="Times New Roman"/>
                <w:b/>
                <w:color w:val="000000" w:themeColor="text1"/>
                <w:sz w:val="21"/>
                <w:szCs w:val="21"/>
              </w:rPr>
              <w:t>月</w:t>
            </w:r>
            <w:r w:rsidRPr="00E60957">
              <w:rPr>
                <w:rFonts w:ascii="Times New Roman" w:eastAsiaTheme="minorEastAsia" w:hAnsi="Times New Roman"/>
                <w:b/>
                <w:color w:val="000000" w:themeColor="text1"/>
                <w:sz w:val="21"/>
                <w:szCs w:val="21"/>
              </w:rPr>
              <w:t>31</w:t>
            </w:r>
            <w:r w:rsidRPr="00E60957">
              <w:rPr>
                <w:rFonts w:ascii="Times New Roman" w:eastAsiaTheme="minorEastAsia" w:hAnsi="Times New Roman"/>
                <w:b/>
                <w:color w:val="000000" w:themeColor="text1"/>
                <w:sz w:val="21"/>
                <w:szCs w:val="21"/>
              </w:rPr>
              <w:t>日</w:t>
            </w:r>
          </w:p>
        </w:tc>
      </w:tr>
      <w:tr w:rsidR="00E60957" w:rsidRPr="00E60957" w:rsidTr="00F226F1">
        <w:tc>
          <w:tcPr>
            <w:tcW w:w="2552"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2149"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实收基金</w:t>
            </w:r>
          </w:p>
        </w:tc>
        <w:tc>
          <w:tcPr>
            <w:tcW w:w="2149"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b/>
                <w:color w:val="000000" w:themeColor="text1"/>
                <w:szCs w:val="21"/>
              </w:rPr>
              <w:t>未分配利润</w:t>
            </w:r>
          </w:p>
        </w:tc>
        <w:tc>
          <w:tcPr>
            <w:tcW w:w="2150" w:type="dxa"/>
            <w:vAlign w:val="center"/>
          </w:tcPr>
          <w:p w:rsidR="007B62FA" w:rsidRPr="00E60957" w:rsidRDefault="007B62FA" w:rsidP="00417F87">
            <w:pPr>
              <w:spacing w:line="360" w:lineRule="auto"/>
              <w:jc w:val="center"/>
              <w:rPr>
                <w:rFonts w:eastAsiaTheme="minorEastAsia"/>
                <w:b/>
                <w:color w:val="000000" w:themeColor="text1"/>
                <w:szCs w:val="21"/>
              </w:rPr>
            </w:pPr>
            <w:r w:rsidRPr="00E60957">
              <w:rPr>
                <w:rFonts w:eastAsiaTheme="minorEastAsia"/>
                <w:b/>
                <w:color w:val="000000" w:themeColor="text1"/>
                <w:szCs w:val="21"/>
              </w:rPr>
              <w:t>所有者权益合计</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一、期初所有者权益（基金净值）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310,355,728.51</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-221,378.40</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310,134,350.11</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二、本期经营活动产生的基金净值变动数（本期利润）</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82,467,217.90</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82,467,217.90</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三、本期基金份额交易产生的基金净值变动数（净值减少以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689,193,398.64</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40,616,512.10</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729,809,910.74</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w:t>
            </w:r>
            <w:r w:rsidRPr="00E60957">
              <w:rPr>
                <w:rFonts w:eastAsiaTheme="minorEastAsia"/>
                <w:color w:val="000000" w:themeColor="text1"/>
                <w:szCs w:val="21"/>
              </w:rPr>
              <w:t>1.</w:t>
            </w:r>
            <w:r w:rsidRPr="00E60957">
              <w:rPr>
                <w:rFonts w:eastAsiaTheme="minorEastAsia"/>
                <w:color w:val="000000" w:themeColor="text1"/>
                <w:szCs w:val="21"/>
              </w:rPr>
              <w:t>基金申购款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1,069,865,118.19</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70,620,316.58</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1,140,485,434.77</w:t>
            </w:r>
          </w:p>
        </w:tc>
      </w:tr>
      <w:tr w:rsidR="00E60957" w:rsidRPr="00E60957" w:rsidTr="00F226F1">
        <w:tc>
          <w:tcPr>
            <w:tcW w:w="2552" w:type="dxa"/>
            <w:vAlign w:val="center"/>
          </w:tcPr>
          <w:p w:rsidR="007B62FA" w:rsidRPr="00E60957" w:rsidRDefault="007B62FA" w:rsidP="00D0372D">
            <w:pPr>
              <w:spacing w:line="360" w:lineRule="auto"/>
              <w:ind w:firstLineChars="300" w:firstLine="630"/>
              <w:rPr>
                <w:rFonts w:eastAsiaTheme="minorEastAsia"/>
                <w:color w:val="000000" w:themeColor="text1"/>
                <w:szCs w:val="21"/>
              </w:rPr>
            </w:pPr>
            <w:r w:rsidRPr="00E60957">
              <w:rPr>
                <w:rFonts w:eastAsiaTheme="minorEastAsia"/>
                <w:color w:val="000000" w:themeColor="text1"/>
                <w:szCs w:val="21"/>
              </w:rPr>
              <w:t>2.</w:t>
            </w:r>
            <w:r w:rsidRPr="00E60957">
              <w:rPr>
                <w:rFonts w:eastAsiaTheme="minorEastAsia"/>
                <w:color w:val="000000" w:themeColor="text1"/>
                <w:szCs w:val="21"/>
              </w:rPr>
              <w:t>基金赎回款</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-380,671,719.55</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-30,003,804.48</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-410,675,524.03</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四、本期向基金份额持有人分配利润产生的基金净值变动（净值减少以</w:t>
            </w:r>
            <w:r w:rsidRPr="00E60957">
              <w:rPr>
                <w:rFonts w:eastAsiaTheme="minorEastAsia"/>
                <w:color w:val="000000" w:themeColor="text1"/>
                <w:szCs w:val="21"/>
              </w:rPr>
              <w:t>“-”</w:t>
            </w:r>
            <w:r w:rsidRPr="00E60957">
              <w:rPr>
                <w:rFonts w:eastAsiaTheme="minorEastAsia"/>
                <w:color w:val="000000" w:themeColor="text1"/>
                <w:szCs w:val="21"/>
              </w:rPr>
              <w:t>号填列）</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F226F1">
        <w:tc>
          <w:tcPr>
            <w:tcW w:w="2552"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五、期末所有者权益（基金净值）</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999,549,127.15</w:t>
            </w:r>
          </w:p>
        </w:tc>
        <w:tc>
          <w:tcPr>
            <w:tcW w:w="21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122,862,351.60</w:t>
            </w:r>
          </w:p>
        </w:tc>
        <w:tc>
          <w:tcPr>
            <w:tcW w:w="2150"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1,122,411,478.75</w:t>
            </w:r>
          </w:p>
        </w:tc>
      </w:tr>
    </w:tbl>
    <w:p w:rsidR="00C53104" w:rsidRPr="00E60957" w:rsidRDefault="00C53104" w:rsidP="009C3167">
      <w:pPr>
        <w:spacing w:beforeLines="100" w:before="312" w:line="360" w:lineRule="auto"/>
        <w:rPr>
          <w:rFonts w:eastAsiaTheme="minorEastAsia"/>
          <w:color w:val="000000" w:themeColor="text1"/>
          <w:szCs w:val="21"/>
        </w:rPr>
      </w:pPr>
      <w:r w:rsidRPr="00E60957">
        <w:rPr>
          <w:rFonts w:eastAsiaTheme="minorEastAsia"/>
          <w:color w:val="000000" w:themeColor="text1"/>
          <w:szCs w:val="21"/>
        </w:rPr>
        <w:t>报表附注为财务报表的组成部分。</w:t>
      </w:r>
    </w:p>
    <w:p w:rsidR="00C53104" w:rsidRPr="00E60957" w:rsidRDefault="00C53104" w:rsidP="00C03E37">
      <w:pPr>
        <w:spacing w:line="360" w:lineRule="auto"/>
        <w:rPr>
          <w:rFonts w:eastAsiaTheme="minorEastAsia"/>
          <w:color w:val="000000" w:themeColor="text1"/>
          <w:szCs w:val="21"/>
        </w:rPr>
      </w:pPr>
      <w:r w:rsidRPr="00E60957">
        <w:rPr>
          <w:rFonts w:eastAsiaTheme="minorEastAsia"/>
          <w:color w:val="000000" w:themeColor="text1"/>
          <w:szCs w:val="21"/>
        </w:rPr>
        <w:t>本报告</w:t>
      </w:r>
      <w:r w:rsidR="003237EC" w:rsidRPr="00E60957">
        <w:rPr>
          <w:rFonts w:eastAsiaTheme="minorEastAsia"/>
          <w:color w:val="000000" w:themeColor="text1"/>
          <w:szCs w:val="21"/>
        </w:rPr>
        <w:t>页码（序号）从</w:t>
      </w:r>
      <w:r w:rsidRPr="00E60957">
        <w:rPr>
          <w:rFonts w:eastAsiaTheme="minorEastAsia"/>
          <w:color w:val="000000" w:themeColor="text1"/>
          <w:szCs w:val="21"/>
        </w:rPr>
        <w:t>7.1</w:t>
      </w:r>
      <w:r w:rsidRPr="00E60957">
        <w:rPr>
          <w:rFonts w:eastAsiaTheme="minorEastAsia"/>
          <w:color w:val="000000" w:themeColor="text1"/>
          <w:szCs w:val="21"/>
        </w:rPr>
        <w:t>至</w:t>
      </w:r>
      <w:r w:rsidRPr="00E60957">
        <w:rPr>
          <w:rFonts w:eastAsiaTheme="minorEastAsia"/>
          <w:color w:val="000000" w:themeColor="text1"/>
          <w:szCs w:val="21"/>
        </w:rPr>
        <w:t>7.4</w:t>
      </w:r>
      <w:r w:rsidRPr="00E60957">
        <w:rPr>
          <w:rFonts w:eastAsiaTheme="minorEastAsia"/>
          <w:color w:val="000000" w:themeColor="text1"/>
          <w:szCs w:val="21"/>
        </w:rPr>
        <w:t>，财务报表由下列负责人签署：</w:t>
      </w:r>
    </w:p>
    <w:p w:rsidR="007B62FA" w:rsidRPr="00E60957" w:rsidRDefault="004058FB" w:rsidP="001A74A1">
      <w:pPr>
        <w:spacing w:line="360" w:lineRule="auto"/>
        <w:rPr>
          <w:rFonts w:eastAsiaTheme="minorEastAsia"/>
          <w:color w:val="000000" w:themeColor="text1"/>
          <w:szCs w:val="21"/>
        </w:rPr>
      </w:pPr>
      <w:r w:rsidRPr="00E60957">
        <w:rPr>
          <w:rFonts w:eastAsiaTheme="minorEastAsia"/>
          <w:color w:val="000000" w:themeColor="text1"/>
          <w:szCs w:val="21"/>
        </w:rPr>
        <w:t>基金管理人</w:t>
      </w:r>
      <w:r w:rsidR="00C53104" w:rsidRPr="00E60957">
        <w:rPr>
          <w:rFonts w:eastAsiaTheme="minorEastAsia"/>
          <w:color w:val="000000" w:themeColor="text1"/>
          <w:szCs w:val="21"/>
        </w:rPr>
        <w:t>负责人：章硕麟，主管会计工作负责人：杨怡，会计机构负责人：张璐</w:t>
      </w:r>
    </w:p>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194" w:name="_Toc225498271"/>
      <w:bookmarkStart w:id="195" w:name="_Toc352255994"/>
      <w:bookmarkStart w:id="196" w:name="_Toc352256062"/>
      <w:bookmarkStart w:id="197" w:name="_Toc352331240"/>
      <w:bookmarkStart w:id="198" w:name="_Toc362424018"/>
      <w:bookmarkStart w:id="199" w:name="_Toc374459280"/>
      <w:r w:rsidRPr="00E60957">
        <w:rPr>
          <w:rFonts w:ascii="Times New Roman" w:eastAsiaTheme="minorEastAsia" w:hAnsi="Times New Roman"/>
          <w:color w:val="000000" w:themeColor="text1"/>
          <w:kern w:val="0"/>
          <w:sz w:val="21"/>
          <w:szCs w:val="21"/>
        </w:rPr>
        <w:t xml:space="preserve">7.4 </w:t>
      </w:r>
      <w:r w:rsidRPr="00E60957">
        <w:rPr>
          <w:rFonts w:ascii="Times New Roman" w:eastAsiaTheme="minorEastAsia" w:hAnsi="Times New Roman"/>
          <w:color w:val="000000" w:themeColor="text1"/>
          <w:kern w:val="0"/>
          <w:sz w:val="21"/>
          <w:szCs w:val="21"/>
        </w:rPr>
        <w:t>报表附注</w:t>
      </w:r>
      <w:bookmarkEnd w:id="194"/>
      <w:bookmarkEnd w:id="195"/>
      <w:bookmarkEnd w:id="196"/>
      <w:bookmarkEnd w:id="197"/>
      <w:bookmarkEnd w:id="198"/>
      <w:bookmarkEnd w:id="199"/>
    </w:p>
    <w:p w:rsidR="007B62FA" w:rsidRPr="00E60957" w:rsidRDefault="007B62FA" w:rsidP="00C03E3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基金基本情况</w:t>
      </w:r>
    </w:p>
    <w:p w:rsidR="009C3167" w:rsidRPr="009C3167" w:rsidRDefault="009C3167" w:rsidP="009C3167">
      <w:pPr>
        <w:autoSpaceDE w:val="0"/>
        <w:autoSpaceDN w:val="0"/>
        <w:adjustRightInd w:val="0"/>
        <w:spacing w:line="360" w:lineRule="auto"/>
        <w:jc w:val="left"/>
        <w:rPr>
          <w:rFonts w:eastAsiaTheme="minorEastAsia"/>
          <w:color w:val="000000" w:themeColor="text1"/>
          <w:kern w:val="0"/>
          <w:szCs w:val="21"/>
          <w:lang w:val="en-GB"/>
        </w:rPr>
      </w:pPr>
      <w:r w:rsidRPr="009C3167">
        <w:rPr>
          <w:rFonts w:eastAsiaTheme="minorEastAsia" w:hint="eastAsia"/>
          <w:color w:val="000000" w:themeColor="text1"/>
          <w:kern w:val="0"/>
          <w:szCs w:val="21"/>
          <w:lang w:val="en-GB"/>
        </w:rPr>
        <w:t>上投摩根全球多元配置证券投资基金</w:t>
      </w:r>
      <w:r w:rsidRPr="009C3167">
        <w:rPr>
          <w:rFonts w:eastAsiaTheme="minorEastAsia" w:hint="eastAsia"/>
          <w:color w:val="000000" w:themeColor="text1"/>
          <w:kern w:val="0"/>
          <w:szCs w:val="21"/>
          <w:lang w:val="en-GB"/>
        </w:rPr>
        <w:t>(QDII)(</w:t>
      </w:r>
      <w:r w:rsidRPr="009C3167">
        <w:rPr>
          <w:rFonts w:eastAsiaTheme="minorEastAsia" w:hint="eastAsia"/>
          <w:color w:val="000000" w:themeColor="text1"/>
          <w:kern w:val="0"/>
          <w:szCs w:val="21"/>
          <w:lang w:val="en-GB"/>
        </w:rPr>
        <w:t>以下简称“本基金”</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经中国证券监督管理委员会</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以下简称“中国证监会”</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证监许可</w:t>
      </w:r>
      <w:r w:rsidRPr="009C3167">
        <w:rPr>
          <w:rFonts w:eastAsiaTheme="minorEastAsia" w:hint="eastAsia"/>
          <w:color w:val="000000" w:themeColor="text1"/>
          <w:kern w:val="0"/>
          <w:szCs w:val="21"/>
          <w:lang w:val="en-GB"/>
        </w:rPr>
        <w:t>[2016]2235</w:t>
      </w:r>
      <w:r w:rsidRPr="009C3167">
        <w:rPr>
          <w:rFonts w:eastAsiaTheme="minorEastAsia" w:hint="eastAsia"/>
          <w:color w:val="000000" w:themeColor="text1"/>
          <w:kern w:val="0"/>
          <w:szCs w:val="21"/>
          <w:lang w:val="en-GB"/>
        </w:rPr>
        <w:t>号《关于准予上投摩根全球多元配置证券投资基金</w:t>
      </w:r>
      <w:r w:rsidRPr="009C3167">
        <w:rPr>
          <w:rFonts w:eastAsiaTheme="minorEastAsia" w:hint="eastAsia"/>
          <w:color w:val="000000" w:themeColor="text1"/>
          <w:kern w:val="0"/>
          <w:szCs w:val="21"/>
          <w:lang w:val="en-GB"/>
        </w:rPr>
        <w:t>(QDII)</w:t>
      </w:r>
      <w:r w:rsidRPr="009C3167">
        <w:rPr>
          <w:rFonts w:eastAsiaTheme="minorEastAsia" w:hint="eastAsia"/>
          <w:color w:val="000000" w:themeColor="text1"/>
          <w:kern w:val="0"/>
          <w:szCs w:val="21"/>
          <w:lang w:val="en-GB"/>
        </w:rPr>
        <w:t>注册的批复》核准，由上投摩根基金管理有限公司依照《中华人民共和国证券投资基金法》和《上投摩根全球多元配置证券投资基金</w:t>
      </w:r>
      <w:r w:rsidRPr="009C3167">
        <w:rPr>
          <w:rFonts w:eastAsiaTheme="minorEastAsia" w:hint="eastAsia"/>
          <w:color w:val="000000" w:themeColor="text1"/>
          <w:kern w:val="0"/>
          <w:szCs w:val="21"/>
          <w:lang w:val="en-GB"/>
        </w:rPr>
        <w:t>(QDII)</w:t>
      </w:r>
      <w:r w:rsidRPr="009C3167">
        <w:rPr>
          <w:rFonts w:eastAsiaTheme="minorEastAsia" w:hint="eastAsia"/>
          <w:color w:val="000000" w:themeColor="text1"/>
          <w:kern w:val="0"/>
          <w:szCs w:val="21"/>
          <w:lang w:val="en-GB"/>
        </w:rPr>
        <w:t>基金合同》负责公开募集。本基金为契约型开放式基金，存续期限不定，首次设立募集不包括认购资金利息共募集人民币</w:t>
      </w:r>
      <w:r w:rsidRPr="009C3167">
        <w:rPr>
          <w:rFonts w:eastAsiaTheme="minorEastAsia" w:hint="eastAsia"/>
          <w:color w:val="000000" w:themeColor="text1"/>
          <w:kern w:val="0"/>
          <w:szCs w:val="21"/>
          <w:lang w:val="en-GB"/>
        </w:rPr>
        <w:t>181,159,643.09</w:t>
      </w:r>
      <w:r w:rsidRPr="009C3167">
        <w:rPr>
          <w:rFonts w:eastAsiaTheme="minorEastAsia" w:hint="eastAsia"/>
          <w:color w:val="000000" w:themeColor="text1"/>
          <w:kern w:val="0"/>
          <w:szCs w:val="21"/>
          <w:lang w:val="en-GB"/>
        </w:rPr>
        <w:t>元和美元</w:t>
      </w:r>
      <w:r w:rsidRPr="009C3167">
        <w:rPr>
          <w:rFonts w:eastAsiaTheme="minorEastAsia" w:hint="eastAsia"/>
          <w:color w:val="000000" w:themeColor="text1"/>
          <w:kern w:val="0"/>
          <w:szCs w:val="21"/>
          <w:lang w:val="en-GB"/>
        </w:rPr>
        <w:t>18,724,451.43</w:t>
      </w:r>
      <w:r w:rsidRPr="009C3167">
        <w:rPr>
          <w:rFonts w:eastAsiaTheme="minorEastAsia" w:hint="eastAsia"/>
          <w:color w:val="000000" w:themeColor="text1"/>
          <w:kern w:val="0"/>
          <w:szCs w:val="21"/>
          <w:lang w:val="en-GB"/>
        </w:rPr>
        <w:t>元，美元按照募集期最后一日</w:t>
      </w:r>
      <w:r w:rsidRPr="009C3167">
        <w:rPr>
          <w:rFonts w:eastAsiaTheme="minorEastAsia" w:hint="eastAsia"/>
          <w:color w:val="000000" w:themeColor="text1"/>
          <w:kern w:val="0"/>
          <w:szCs w:val="21"/>
          <w:lang w:val="en-GB"/>
        </w:rPr>
        <w:t>(2016</w:t>
      </w:r>
      <w:r w:rsidRPr="009C3167">
        <w:rPr>
          <w:rFonts w:eastAsiaTheme="minorEastAsia" w:hint="eastAsia"/>
          <w:color w:val="000000" w:themeColor="text1"/>
          <w:kern w:val="0"/>
          <w:szCs w:val="21"/>
          <w:lang w:val="en-GB"/>
        </w:rPr>
        <w:t>年</w:t>
      </w:r>
      <w:r w:rsidRPr="009C3167">
        <w:rPr>
          <w:rFonts w:eastAsiaTheme="minorEastAsia" w:hint="eastAsia"/>
          <w:color w:val="000000" w:themeColor="text1"/>
          <w:kern w:val="0"/>
          <w:szCs w:val="21"/>
          <w:lang w:val="en-GB"/>
        </w:rPr>
        <w:t>12</w:t>
      </w:r>
      <w:r w:rsidRPr="009C3167">
        <w:rPr>
          <w:rFonts w:eastAsiaTheme="minorEastAsia" w:hint="eastAsia"/>
          <w:color w:val="000000" w:themeColor="text1"/>
          <w:kern w:val="0"/>
          <w:szCs w:val="21"/>
          <w:lang w:val="en-GB"/>
        </w:rPr>
        <w:t>月</w:t>
      </w:r>
      <w:r w:rsidRPr="009C3167">
        <w:rPr>
          <w:rFonts w:eastAsiaTheme="minorEastAsia" w:hint="eastAsia"/>
          <w:color w:val="000000" w:themeColor="text1"/>
          <w:kern w:val="0"/>
          <w:szCs w:val="21"/>
          <w:lang w:val="en-GB"/>
        </w:rPr>
        <w:t>9</w:t>
      </w:r>
      <w:r w:rsidRPr="009C3167">
        <w:rPr>
          <w:rFonts w:eastAsiaTheme="minorEastAsia" w:hint="eastAsia"/>
          <w:color w:val="000000" w:themeColor="text1"/>
          <w:kern w:val="0"/>
          <w:szCs w:val="21"/>
          <w:lang w:val="en-GB"/>
        </w:rPr>
        <w:t>日</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中国人民银行最新公布的人民币对美元</w:t>
      </w:r>
      <w:r w:rsidRPr="009C3167">
        <w:rPr>
          <w:rFonts w:eastAsiaTheme="minorEastAsia" w:hint="eastAsia"/>
          <w:color w:val="000000" w:themeColor="text1"/>
          <w:kern w:val="0"/>
          <w:szCs w:val="21"/>
          <w:lang w:val="en-GB"/>
        </w:rPr>
        <w:lastRenderedPageBreak/>
        <w:t>汇率中间价折算后募集资本合计为人民币</w:t>
      </w:r>
      <w:r w:rsidRPr="009C3167">
        <w:rPr>
          <w:rFonts w:eastAsiaTheme="minorEastAsia" w:hint="eastAsia"/>
          <w:color w:val="000000" w:themeColor="text1"/>
          <w:kern w:val="0"/>
          <w:szCs w:val="21"/>
          <w:lang w:val="en-GB"/>
        </w:rPr>
        <w:t>310,305,930.96</w:t>
      </w:r>
      <w:r w:rsidRPr="009C3167">
        <w:rPr>
          <w:rFonts w:eastAsiaTheme="minorEastAsia" w:hint="eastAsia"/>
          <w:color w:val="000000" w:themeColor="text1"/>
          <w:kern w:val="0"/>
          <w:szCs w:val="21"/>
          <w:lang w:val="en-GB"/>
        </w:rPr>
        <w:t>元，业经普华永道中天会计师事务所</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特殊普通合伙</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普华永道中天验字</w:t>
      </w:r>
      <w:r w:rsidRPr="009C3167">
        <w:rPr>
          <w:rFonts w:eastAsiaTheme="minorEastAsia" w:hint="eastAsia"/>
          <w:color w:val="000000" w:themeColor="text1"/>
          <w:kern w:val="0"/>
          <w:szCs w:val="21"/>
          <w:lang w:val="en-GB"/>
        </w:rPr>
        <w:t>(2016)</w:t>
      </w:r>
      <w:r w:rsidRPr="009C3167">
        <w:rPr>
          <w:rFonts w:eastAsiaTheme="minorEastAsia" w:hint="eastAsia"/>
          <w:color w:val="000000" w:themeColor="text1"/>
          <w:kern w:val="0"/>
          <w:szCs w:val="21"/>
          <w:lang w:val="en-GB"/>
        </w:rPr>
        <w:t>第</w:t>
      </w:r>
      <w:r w:rsidRPr="009C3167">
        <w:rPr>
          <w:rFonts w:eastAsiaTheme="minorEastAsia" w:hint="eastAsia"/>
          <w:color w:val="000000" w:themeColor="text1"/>
          <w:kern w:val="0"/>
          <w:szCs w:val="21"/>
          <w:lang w:val="en-GB"/>
        </w:rPr>
        <w:t>1592</w:t>
      </w:r>
      <w:r w:rsidRPr="009C3167">
        <w:rPr>
          <w:rFonts w:eastAsiaTheme="minorEastAsia" w:hint="eastAsia"/>
          <w:color w:val="000000" w:themeColor="text1"/>
          <w:kern w:val="0"/>
          <w:szCs w:val="21"/>
          <w:lang w:val="en-GB"/>
        </w:rPr>
        <w:t>号验资报告予以验证。经向中国证监会备案，《上投摩根全球多元配置证券投资基金</w:t>
      </w:r>
      <w:r w:rsidRPr="009C3167">
        <w:rPr>
          <w:rFonts w:eastAsiaTheme="minorEastAsia" w:hint="eastAsia"/>
          <w:color w:val="000000" w:themeColor="text1"/>
          <w:kern w:val="0"/>
          <w:szCs w:val="21"/>
          <w:lang w:val="en-GB"/>
        </w:rPr>
        <w:t>(QDII)</w:t>
      </w:r>
      <w:r w:rsidRPr="009C3167">
        <w:rPr>
          <w:rFonts w:eastAsiaTheme="minorEastAsia" w:hint="eastAsia"/>
          <w:color w:val="000000" w:themeColor="text1"/>
          <w:kern w:val="0"/>
          <w:szCs w:val="21"/>
          <w:lang w:val="en-GB"/>
        </w:rPr>
        <w:t>基金合同》于</w:t>
      </w:r>
      <w:r w:rsidRPr="009C3167">
        <w:rPr>
          <w:rFonts w:eastAsiaTheme="minorEastAsia" w:hint="eastAsia"/>
          <w:color w:val="000000" w:themeColor="text1"/>
          <w:kern w:val="0"/>
          <w:szCs w:val="21"/>
          <w:lang w:val="en-GB"/>
        </w:rPr>
        <w:t>2016</w:t>
      </w:r>
      <w:r w:rsidRPr="009C3167">
        <w:rPr>
          <w:rFonts w:eastAsiaTheme="minorEastAsia" w:hint="eastAsia"/>
          <w:color w:val="000000" w:themeColor="text1"/>
          <w:kern w:val="0"/>
          <w:szCs w:val="21"/>
          <w:lang w:val="en-GB"/>
        </w:rPr>
        <w:t>年</w:t>
      </w:r>
      <w:r w:rsidRPr="009C3167">
        <w:rPr>
          <w:rFonts w:eastAsiaTheme="minorEastAsia" w:hint="eastAsia"/>
          <w:color w:val="000000" w:themeColor="text1"/>
          <w:kern w:val="0"/>
          <w:szCs w:val="21"/>
          <w:lang w:val="en-GB"/>
        </w:rPr>
        <w:t>12</w:t>
      </w:r>
      <w:r w:rsidRPr="009C3167">
        <w:rPr>
          <w:rFonts w:eastAsiaTheme="minorEastAsia" w:hint="eastAsia"/>
          <w:color w:val="000000" w:themeColor="text1"/>
          <w:kern w:val="0"/>
          <w:szCs w:val="21"/>
          <w:lang w:val="en-GB"/>
        </w:rPr>
        <w:t>月</w:t>
      </w:r>
      <w:r w:rsidRPr="009C3167">
        <w:rPr>
          <w:rFonts w:eastAsiaTheme="minorEastAsia" w:hint="eastAsia"/>
          <w:color w:val="000000" w:themeColor="text1"/>
          <w:kern w:val="0"/>
          <w:szCs w:val="21"/>
          <w:lang w:val="en-GB"/>
        </w:rPr>
        <w:t>19</w:t>
      </w:r>
      <w:r w:rsidRPr="009C3167">
        <w:rPr>
          <w:rFonts w:eastAsiaTheme="minorEastAsia" w:hint="eastAsia"/>
          <w:color w:val="000000" w:themeColor="text1"/>
          <w:kern w:val="0"/>
          <w:szCs w:val="21"/>
          <w:lang w:val="en-GB"/>
        </w:rPr>
        <w:t>日正式生效，基金合同生效日的基金份额总额为</w:t>
      </w:r>
      <w:r w:rsidRPr="009C3167">
        <w:rPr>
          <w:rFonts w:eastAsiaTheme="minorEastAsia" w:hint="eastAsia"/>
          <w:color w:val="000000" w:themeColor="text1"/>
          <w:kern w:val="0"/>
          <w:szCs w:val="21"/>
          <w:lang w:val="en-GB"/>
        </w:rPr>
        <w:t>310,355,728.51</w:t>
      </w:r>
      <w:r w:rsidRPr="009C3167">
        <w:rPr>
          <w:rFonts w:eastAsiaTheme="minorEastAsia" w:hint="eastAsia"/>
          <w:color w:val="000000" w:themeColor="text1"/>
          <w:kern w:val="0"/>
          <w:szCs w:val="21"/>
          <w:lang w:val="en-GB"/>
        </w:rPr>
        <w:t>份基金份额，其中认购资金利息折合</w:t>
      </w:r>
      <w:r w:rsidRPr="009C3167">
        <w:rPr>
          <w:rFonts w:eastAsiaTheme="minorEastAsia" w:hint="eastAsia"/>
          <w:color w:val="000000" w:themeColor="text1"/>
          <w:kern w:val="0"/>
          <w:szCs w:val="21"/>
          <w:lang w:val="en-GB"/>
        </w:rPr>
        <w:t>49,797.55</w:t>
      </w:r>
      <w:r w:rsidRPr="009C3167">
        <w:rPr>
          <w:rFonts w:eastAsiaTheme="minorEastAsia" w:hint="eastAsia"/>
          <w:color w:val="000000" w:themeColor="text1"/>
          <w:kern w:val="0"/>
          <w:szCs w:val="21"/>
          <w:lang w:val="en-GB"/>
        </w:rPr>
        <w:t>份基金份额。本基金的基金管理人为上投摩根基金管理有限公司，基金托管人为招商银行股份有限公司，境外资产托管人为香港上海汇丰银行有限公司。</w:t>
      </w:r>
    </w:p>
    <w:p w:rsidR="009C3167" w:rsidRPr="009C3167" w:rsidRDefault="009C3167" w:rsidP="009C3167">
      <w:pPr>
        <w:autoSpaceDE w:val="0"/>
        <w:autoSpaceDN w:val="0"/>
        <w:adjustRightInd w:val="0"/>
        <w:spacing w:line="360" w:lineRule="auto"/>
        <w:jc w:val="left"/>
        <w:rPr>
          <w:rFonts w:eastAsiaTheme="minorEastAsia"/>
          <w:color w:val="000000" w:themeColor="text1"/>
          <w:kern w:val="0"/>
          <w:szCs w:val="21"/>
          <w:lang w:val="en-GB"/>
        </w:rPr>
      </w:pPr>
    </w:p>
    <w:p w:rsidR="009C3167" w:rsidRPr="009C3167" w:rsidRDefault="009C3167" w:rsidP="009C3167">
      <w:pPr>
        <w:autoSpaceDE w:val="0"/>
        <w:autoSpaceDN w:val="0"/>
        <w:adjustRightInd w:val="0"/>
        <w:spacing w:line="360" w:lineRule="auto"/>
        <w:jc w:val="left"/>
        <w:rPr>
          <w:rFonts w:eastAsiaTheme="minorEastAsia"/>
          <w:color w:val="000000" w:themeColor="text1"/>
          <w:kern w:val="0"/>
          <w:szCs w:val="21"/>
          <w:lang w:val="en-GB"/>
        </w:rPr>
      </w:pPr>
      <w:r w:rsidRPr="009C3167">
        <w:rPr>
          <w:rFonts w:eastAsiaTheme="minorEastAsia" w:hint="eastAsia"/>
          <w:color w:val="000000" w:themeColor="text1"/>
          <w:kern w:val="0"/>
          <w:szCs w:val="21"/>
          <w:lang w:val="en-GB"/>
        </w:rPr>
        <w:t>根据《上投摩根全球多元配置证券投资基金</w:t>
      </w:r>
      <w:r w:rsidRPr="009C3167">
        <w:rPr>
          <w:rFonts w:eastAsiaTheme="minorEastAsia" w:hint="eastAsia"/>
          <w:color w:val="000000" w:themeColor="text1"/>
          <w:kern w:val="0"/>
          <w:szCs w:val="21"/>
          <w:lang w:val="en-GB"/>
        </w:rPr>
        <w:t>(QDII)</w:t>
      </w:r>
      <w:r w:rsidRPr="009C3167">
        <w:rPr>
          <w:rFonts w:eastAsiaTheme="minorEastAsia" w:hint="eastAsia"/>
          <w:color w:val="000000" w:themeColor="text1"/>
          <w:kern w:val="0"/>
          <w:szCs w:val="21"/>
          <w:lang w:val="en-GB"/>
        </w:rPr>
        <w:t>基金合同》和《上投摩根全球多元配置证券投资基金</w:t>
      </w:r>
      <w:r w:rsidRPr="009C3167">
        <w:rPr>
          <w:rFonts w:eastAsiaTheme="minorEastAsia" w:hint="eastAsia"/>
          <w:color w:val="000000" w:themeColor="text1"/>
          <w:kern w:val="0"/>
          <w:szCs w:val="21"/>
          <w:lang w:val="en-GB"/>
        </w:rPr>
        <w:t>(QDII)</w:t>
      </w:r>
      <w:r w:rsidRPr="009C3167">
        <w:rPr>
          <w:rFonts w:eastAsiaTheme="minorEastAsia" w:hint="eastAsia"/>
          <w:color w:val="000000" w:themeColor="text1"/>
          <w:kern w:val="0"/>
          <w:szCs w:val="21"/>
          <w:lang w:val="en-GB"/>
        </w:rPr>
        <w:t>招募说明书》的有关规定，本基金根据认购</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申购、赎回使用货币的不同，将基金份额分为不同的类别。以人民币计价并进行认购</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申购、赎回的份额类别称为人民币份额；以美元计价并进行认购</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申购、赎回的份额类别称为美元份额，美元份额又分为美元现钞份额和美元现汇份额。人民币份额、美元现钞份额和美元现汇份额分别设置代码，分别公布基金份额净值。</w:t>
      </w:r>
    </w:p>
    <w:p w:rsidR="009C3167" w:rsidRPr="009C3167" w:rsidRDefault="009C3167" w:rsidP="009C3167">
      <w:pPr>
        <w:autoSpaceDE w:val="0"/>
        <w:autoSpaceDN w:val="0"/>
        <w:adjustRightInd w:val="0"/>
        <w:spacing w:line="360" w:lineRule="auto"/>
        <w:jc w:val="left"/>
        <w:rPr>
          <w:rFonts w:eastAsiaTheme="minorEastAsia"/>
          <w:color w:val="000000" w:themeColor="text1"/>
          <w:kern w:val="0"/>
          <w:szCs w:val="21"/>
          <w:lang w:val="en-GB"/>
        </w:rPr>
      </w:pPr>
    </w:p>
    <w:p w:rsidR="009C3167" w:rsidRPr="009C3167" w:rsidRDefault="009C3167" w:rsidP="009C3167">
      <w:pPr>
        <w:autoSpaceDE w:val="0"/>
        <w:autoSpaceDN w:val="0"/>
        <w:adjustRightInd w:val="0"/>
        <w:spacing w:line="360" w:lineRule="auto"/>
        <w:jc w:val="left"/>
        <w:rPr>
          <w:rFonts w:eastAsiaTheme="minorEastAsia"/>
          <w:color w:val="000000" w:themeColor="text1"/>
          <w:kern w:val="0"/>
          <w:szCs w:val="21"/>
          <w:lang w:val="en-GB"/>
        </w:rPr>
      </w:pPr>
      <w:r w:rsidRPr="009C3167">
        <w:rPr>
          <w:rFonts w:eastAsiaTheme="minorEastAsia" w:hint="eastAsia"/>
          <w:color w:val="000000" w:themeColor="text1"/>
          <w:kern w:val="0"/>
          <w:szCs w:val="21"/>
          <w:lang w:val="en-GB"/>
        </w:rPr>
        <w:t>根据《中华人民共和国证券投资基金法》和《上投摩根全球多元配置证券投资基金</w:t>
      </w:r>
      <w:r w:rsidRPr="009C3167">
        <w:rPr>
          <w:rFonts w:eastAsiaTheme="minorEastAsia" w:hint="eastAsia"/>
          <w:color w:val="000000" w:themeColor="text1"/>
          <w:kern w:val="0"/>
          <w:szCs w:val="21"/>
          <w:lang w:val="en-GB"/>
        </w:rPr>
        <w:t>(QDII)</w:t>
      </w:r>
      <w:r w:rsidRPr="009C3167">
        <w:rPr>
          <w:rFonts w:eastAsiaTheme="minorEastAsia" w:hint="eastAsia"/>
          <w:color w:val="000000" w:themeColor="text1"/>
          <w:kern w:val="0"/>
          <w:szCs w:val="21"/>
          <w:lang w:val="en-GB"/>
        </w:rPr>
        <w:t>基金合同》的有关规定，本基金的投资范围为已与中国证监会签署双边监管合作谅解备忘录的国家或地区证券监管机构登记注册的公募基金</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包括开放式基金和交易型开放式指数基金</w:t>
      </w:r>
      <w:r w:rsidRPr="009C3167">
        <w:rPr>
          <w:rFonts w:eastAsiaTheme="minorEastAsia" w:hint="eastAsia"/>
          <w:color w:val="000000" w:themeColor="text1"/>
          <w:kern w:val="0"/>
          <w:szCs w:val="21"/>
          <w:lang w:val="en-GB"/>
        </w:rPr>
        <w:t>(ETF))</w:t>
      </w:r>
      <w:r w:rsidRPr="009C3167">
        <w:rPr>
          <w:rFonts w:eastAsiaTheme="minorEastAsia" w:hint="eastAsia"/>
          <w:color w:val="000000" w:themeColor="text1"/>
          <w:kern w:val="0"/>
          <w:szCs w:val="21"/>
          <w:lang w:val="en-GB"/>
        </w:rPr>
        <w:t>；已与中国证监会签署双边监管合作谅解备忘录的国家或地区证券市场挂牌交易的普通股、优先股、存托凭证、房地产信托凭证；政府债券、公司债券、可转换债券、住房按揭支持证券、资产支持证券等固定收益投资工具；银行存款、可转让存单、银行承兑汇票、银行票据、商业票据、回购协议、短期政府债券等货币市场工具；与固定收益、股权、信用、商品指数、基金等标的物挂钩的结构性投资产品；远期合约、互换及在已与中国证监会签署双边监管合作谅解备忘录的国家或地区交易所上市交易的权证、期权、期货等金融衍生产品；以及法律法规或中国证监会允许基金投资的其他金融工具，但须符合中国证监会相关规定。本基金投资于已与中国证监会签署双边监管合作谅解备忘录的国家或地区证券监管机构登记注册的公募基金</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包括开放式基金和交易型开放式指数基金</w:t>
      </w:r>
      <w:r w:rsidRPr="009C3167">
        <w:rPr>
          <w:rFonts w:eastAsiaTheme="minorEastAsia" w:hint="eastAsia"/>
          <w:color w:val="000000" w:themeColor="text1"/>
          <w:kern w:val="0"/>
          <w:szCs w:val="21"/>
          <w:lang w:val="en-GB"/>
        </w:rPr>
        <w:t>(ETF))</w:t>
      </w:r>
      <w:r w:rsidRPr="009C3167">
        <w:rPr>
          <w:rFonts w:eastAsiaTheme="minorEastAsia" w:hint="eastAsia"/>
          <w:color w:val="000000" w:themeColor="text1"/>
          <w:kern w:val="0"/>
          <w:szCs w:val="21"/>
          <w:lang w:val="en-GB"/>
        </w:rPr>
        <w:t>的市值不低于基金资产的</w:t>
      </w:r>
      <w:r w:rsidRPr="009C3167">
        <w:rPr>
          <w:rFonts w:eastAsiaTheme="minorEastAsia" w:hint="eastAsia"/>
          <w:color w:val="000000" w:themeColor="text1"/>
          <w:kern w:val="0"/>
          <w:szCs w:val="21"/>
          <w:lang w:val="en-GB"/>
        </w:rPr>
        <w:t>80%</w:t>
      </w:r>
      <w:r w:rsidRPr="009C3167">
        <w:rPr>
          <w:rFonts w:eastAsiaTheme="minorEastAsia" w:hint="eastAsia"/>
          <w:color w:val="000000" w:themeColor="text1"/>
          <w:kern w:val="0"/>
          <w:szCs w:val="21"/>
          <w:lang w:val="en-GB"/>
        </w:rPr>
        <w:t>，投资于权证类产品的比例不低于基金资产的</w:t>
      </w:r>
      <w:r w:rsidRPr="009C3167">
        <w:rPr>
          <w:rFonts w:eastAsiaTheme="minorEastAsia" w:hint="eastAsia"/>
          <w:color w:val="000000" w:themeColor="text1"/>
          <w:kern w:val="0"/>
          <w:szCs w:val="21"/>
          <w:lang w:val="en-GB"/>
        </w:rPr>
        <w:t>50%</w:t>
      </w:r>
      <w:r w:rsidRPr="009C3167">
        <w:rPr>
          <w:rFonts w:eastAsiaTheme="minorEastAsia" w:hint="eastAsia"/>
          <w:color w:val="000000" w:themeColor="text1"/>
          <w:kern w:val="0"/>
          <w:szCs w:val="21"/>
          <w:lang w:val="en-GB"/>
        </w:rPr>
        <w:t>，并保持不低于基金资产净值</w:t>
      </w:r>
      <w:r w:rsidRPr="009C3167">
        <w:rPr>
          <w:rFonts w:eastAsiaTheme="minorEastAsia" w:hint="eastAsia"/>
          <w:color w:val="000000" w:themeColor="text1"/>
          <w:kern w:val="0"/>
          <w:szCs w:val="21"/>
          <w:lang w:val="en-GB"/>
        </w:rPr>
        <w:t>5%</w:t>
      </w:r>
      <w:r w:rsidRPr="009C3167">
        <w:rPr>
          <w:rFonts w:eastAsiaTheme="minorEastAsia" w:hint="eastAsia"/>
          <w:color w:val="000000" w:themeColor="text1"/>
          <w:kern w:val="0"/>
          <w:szCs w:val="21"/>
          <w:lang w:val="en-GB"/>
        </w:rPr>
        <w:t>的现金或到期日在一年以内的政府债券，其中现金类资产不包括结算备付金、存出保证金、应收申购款等。本基金的业绩比较基准为：</w:t>
      </w:r>
      <w:r w:rsidRPr="009C3167">
        <w:rPr>
          <w:rFonts w:eastAsiaTheme="minorEastAsia" w:hint="eastAsia"/>
          <w:color w:val="000000" w:themeColor="text1"/>
          <w:kern w:val="0"/>
          <w:szCs w:val="21"/>
          <w:lang w:val="en-GB"/>
        </w:rPr>
        <w:t>MSCI</w:t>
      </w:r>
      <w:r w:rsidRPr="009C3167">
        <w:rPr>
          <w:rFonts w:eastAsiaTheme="minorEastAsia" w:hint="eastAsia"/>
          <w:color w:val="000000" w:themeColor="text1"/>
          <w:kern w:val="0"/>
          <w:szCs w:val="21"/>
          <w:lang w:val="en-GB"/>
        </w:rPr>
        <w:t>全球指数</w:t>
      </w:r>
      <w:r w:rsidRPr="009C3167">
        <w:rPr>
          <w:rFonts w:eastAsiaTheme="minorEastAsia" w:hint="eastAsia"/>
          <w:color w:val="000000" w:themeColor="text1"/>
          <w:kern w:val="0"/>
          <w:szCs w:val="21"/>
          <w:lang w:val="en-GB"/>
        </w:rPr>
        <w:t>(MSCI ACWI)</w:t>
      </w:r>
      <w:r w:rsidRPr="009C3167">
        <w:rPr>
          <w:rFonts w:eastAsiaTheme="minorEastAsia"/>
          <w:color w:val="000000" w:themeColor="text1"/>
          <w:kern w:val="0"/>
          <w:szCs w:val="21"/>
          <w:lang w:val="en-GB"/>
        </w:rPr>
        <w:t xml:space="preserve"> </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80%+</w:t>
      </w:r>
      <w:r w:rsidRPr="009C3167">
        <w:rPr>
          <w:rFonts w:eastAsiaTheme="minorEastAsia" w:hint="eastAsia"/>
          <w:color w:val="000000" w:themeColor="text1"/>
          <w:kern w:val="0"/>
          <w:szCs w:val="21"/>
          <w:lang w:val="en-GB"/>
        </w:rPr>
        <w:t>摩根大通全球债券指数</w:t>
      </w:r>
      <w:r w:rsidRPr="009C3167">
        <w:rPr>
          <w:rFonts w:eastAsiaTheme="minorEastAsia" w:hint="eastAsia"/>
          <w:color w:val="000000" w:themeColor="text1"/>
          <w:kern w:val="0"/>
          <w:szCs w:val="21"/>
          <w:lang w:val="en-GB"/>
        </w:rPr>
        <w:t>(JP Morgan Global Aggregate Bond Index)</w:t>
      </w:r>
      <w:r w:rsidRPr="009C3167">
        <w:rPr>
          <w:rFonts w:eastAsiaTheme="minorEastAsia" w:hint="eastAsia"/>
          <w:color w:val="000000" w:themeColor="text1"/>
          <w:kern w:val="0"/>
          <w:szCs w:val="21"/>
          <w:lang w:val="en-GB"/>
        </w:rPr>
        <w:t>×</w:t>
      </w:r>
      <w:r w:rsidRPr="009C3167">
        <w:rPr>
          <w:rFonts w:eastAsiaTheme="minorEastAsia" w:hint="eastAsia"/>
          <w:color w:val="000000" w:themeColor="text1"/>
          <w:kern w:val="0"/>
          <w:szCs w:val="21"/>
          <w:lang w:val="en-GB"/>
        </w:rPr>
        <w:t>20%</w:t>
      </w:r>
      <w:r w:rsidRPr="009C3167">
        <w:rPr>
          <w:rFonts w:eastAsiaTheme="minorEastAsia" w:hint="eastAsia"/>
          <w:color w:val="000000" w:themeColor="text1"/>
          <w:kern w:val="0"/>
          <w:szCs w:val="21"/>
          <w:lang w:val="en-GB"/>
        </w:rPr>
        <w:t>。</w:t>
      </w:r>
    </w:p>
    <w:p w:rsidR="007B1004" w:rsidRPr="009C3167" w:rsidRDefault="007B1004" w:rsidP="007B1004">
      <w:pPr>
        <w:autoSpaceDE w:val="0"/>
        <w:autoSpaceDN w:val="0"/>
        <w:adjustRightInd w:val="0"/>
        <w:spacing w:line="360" w:lineRule="auto"/>
        <w:jc w:val="left"/>
        <w:rPr>
          <w:rFonts w:eastAsiaTheme="minorEastAsia"/>
          <w:color w:val="000000" w:themeColor="text1"/>
          <w:kern w:val="0"/>
          <w:szCs w:val="21"/>
          <w:lang w:val="en-GB"/>
        </w:rPr>
      </w:pPr>
    </w:p>
    <w:p w:rsidR="007B62FA" w:rsidRPr="00E60957" w:rsidRDefault="007B1004" w:rsidP="001A74A1">
      <w:pPr>
        <w:widowControl/>
        <w:spacing w:line="360" w:lineRule="auto"/>
        <w:ind w:firstLineChars="200" w:firstLine="420"/>
        <w:rPr>
          <w:rFonts w:eastAsiaTheme="minorEastAsia"/>
          <w:color w:val="000000" w:themeColor="text1"/>
          <w:kern w:val="0"/>
          <w:szCs w:val="21"/>
        </w:rPr>
      </w:pPr>
      <w:r w:rsidRPr="007B1004">
        <w:rPr>
          <w:rFonts w:eastAsiaTheme="minorEastAsia" w:hint="eastAsia"/>
          <w:color w:val="000000" w:themeColor="text1"/>
          <w:kern w:val="0"/>
          <w:szCs w:val="21"/>
          <w:lang w:val="en-GB"/>
        </w:rPr>
        <w:t>本财务报表由本基金的基金管理人上投摩根基金管理有限公司于</w:t>
      </w:r>
      <w:r w:rsidRPr="007B1004">
        <w:rPr>
          <w:rFonts w:eastAsiaTheme="minorEastAsia" w:hint="eastAsia"/>
          <w:color w:val="000000" w:themeColor="text1"/>
          <w:kern w:val="0"/>
          <w:szCs w:val="21"/>
          <w:lang w:val="en-GB"/>
        </w:rPr>
        <w:t>20</w:t>
      </w:r>
      <w:r w:rsidRPr="007B1004">
        <w:rPr>
          <w:rFonts w:eastAsiaTheme="minorEastAsia"/>
          <w:color w:val="000000" w:themeColor="text1"/>
          <w:kern w:val="0"/>
          <w:szCs w:val="21"/>
          <w:lang w:val="en-GB"/>
        </w:rPr>
        <w:t>1</w:t>
      </w:r>
      <w:r w:rsidR="009C3167">
        <w:rPr>
          <w:rFonts w:eastAsiaTheme="minorEastAsia" w:hint="eastAsia"/>
          <w:color w:val="000000" w:themeColor="text1"/>
          <w:kern w:val="0"/>
          <w:szCs w:val="21"/>
          <w:lang w:val="en-GB"/>
        </w:rPr>
        <w:t>9</w:t>
      </w:r>
      <w:r w:rsidRPr="007B1004">
        <w:rPr>
          <w:rFonts w:eastAsiaTheme="minorEastAsia" w:hint="eastAsia"/>
          <w:color w:val="000000" w:themeColor="text1"/>
          <w:kern w:val="0"/>
          <w:szCs w:val="21"/>
          <w:lang w:val="en-GB"/>
        </w:rPr>
        <w:t>年</w:t>
      </w:r>
      <w:r w:rsidRPr="007B1004">
        <w:rPr>
          <w:rFonts w:eastAsiaTheme="minorEastAsia"/>
          <w:color w:val="000000" w:themeColor="text1"/>
          <w:kern w:val="0"/>
          <w:szCs w:val="21"/>
          <w:lang w:val="en-GB"/>
        </w:rPr>
        <w:t>3</w:t>
      </w:r>
      <w:r w:rsidRPr="007B1004">
        <w:rPr>
          <w:rFonts w:eastAsiaTheme="minorEastAsia" w:hint="eastAsia"/>
          <w:color w:val="000000" w:themeColor="text1"/>
          <w:kern w:val="0"/>
          <w:szCs w:val="21"/>
          <w:lang w:val="en-GB"/>
        </w:rPr>
        <w:t>月</w:t>
      </w:r>
      <w:r w:rsidR="009C3167">
        <w:rPr>
          <w:rFonts w:eastAsiaTheme="minorEastAsia"/>
          <w:color w:val="000000" w:themeColor="text1"/>
          <w:kern w:val="0"/>
          <w:szCs w:val="21"/>
          <w:lang w:val="en-GB"/>
        </w:rPr>
        <w:t>2</w:t>
      </w:r>
      <w:r w:rsidR="009C3167">
        <w:rPr>
          <w:rFonts w:eastAsiaTheme="minorEastAsia" w:hint="eastAsia"/>
          <w:color w:val="000000" w:themeColor="text1"/>
          <w:kern w:val="0"/>
          <w:szCs w:val="21"/>
          <w:lang w:val="en-GB"/>
        </w:rPr>
        <w:t>6</w:t>
      </w:r>
      <w:r w:rsidRPr="007B1004">
        <w:rPr>
          <w:rFonts w:eastAsiaTheme="minorEastAsia" w:hint="eastAsia"/>
          <w:color w:val="000000" w:themeColor="text1"/>
          <w:kern w:val="0"/>
          <w:szCs w:val="21"/>
          <w:lang w:val="en-GB"/>
        </w:rPr>
        <w:t>日批准报出。</w:t>
      </w:r>
    </w:p>
    <w:p w:rsidR="007B62FA" w:rsidRPr="00E60957" w:rsidRDefault="007B62FA" w:rsidP="009C3167">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lastRenderedPageBreak/>
        <w:t>7.4.2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会计报表的编制基础</w:t>
      </w:r>
    </w:p>
    <w:p w:rsidR="00046482" w:rsidRPr="00046482" w:rsidRDefault="00046482" w:rsidP="00046482">
      <w:pPr>
        <w:widowControl/>
        <w:spacing w:line="360" w:lineRule="auto"/>
        <w:ind w:firstLineChars="200" w:firstLine="420"/>
        <w:rPr>
          <w:rFonts w:eastAsiaTheme="minorEastAsia"/>
          <w:color w:val="000000" w:themeColor="text1"/>
          <w:kern w:val="0"/>
          <w:szCs w:val="21"/>
          <w:lang w:val="en-GB"/>
        </w:rPr>
      </w:pPr>
      <w:r w:rsidRPr="00046482">
        <w:rPr>
          <w:rFonts w:eastAsiaTheme="minorEastAsia"/>
          <w:color w:val="000000" w:themeColor="text1"/>
          <w:kern w:val="0"/>
          <w:szCs w:val="21"/>
          <w:lang w:val="en-GB"/>
        </w:rPr>
        <w:t>本基金的财务报表按照财政部于</w:t>
      </w:r>
      <w:r w:rsidRPr="00046482">
        <w:rPr>
          <w:rFonts w:eastAsiaTheme="minorEastAsia"/>
          <w:color w:val="000000" w:themeColor="text1"/>
          <w:kern w:val="0"/>
          <w:szCs w:val="21"/>
          <w:lang w:val="en-GB"/>
        </w:rPr>
        <w:t>2006</w:t>
      </w:r>
      <w:r w:rsidRPr="00046482">
        <w:rPr>
          <w:rFonts w:eastAsiaTheme="minorEastAsia"/>
          <w:color w:val="000000" w:themeColor="text1"/>
          <w:kern w:val="0"/>
          <w:szCs w:val="21"/>
          <w:lang w:val="en-GB"/>
        </w:rPr>
        <w:t>年</w:t>
      </w:r>
      <w:r w:rsidRPr="00046482">
        <w:rPr>
          <w:rFonts w:eastAsiaTheme="minorEastAsia"/>
          <w:color w:val="000000" w:themeColor="text1"/>
          <w:kern w:val="0"/>
          <w:szCs w:val="21"/>
          <w:lang w:val="en-GB"/>
        </w:rPr>
        <w:t>2</w:t>
      </w:r>
      <w:r w:rsidRPr="00046482">
        <w:rPr>
          <w:rFonts w:eastAsiaTheme="minorEastAsia"/>
          <w:color w:val="000000" w:themeColor="text1"/>
          <w:kern w:val="0"/>
          <w:szCs w:val="21"/>
          <w:lang w:val="en-GB"/>
        </w:rPr>
        <w:t>月</w:t>
      </w:r>
      <w:r w:rsidRPr="00046482">
        <w:rPr>
          <w:rFonts w:eastAsiaTheme="minorEastAsia"/>
          <w:color w:val="000000" w:themeColor="text1"/>
          <w:kern w:val="0"/>
          <w:szCs w:val="21"/>
          <w:lang w:val="en-GB"/>
        </w:rPr>
        <w:t>15</w:t>
      </w:r>
      <w:r w:rsidRPr="00046482">
        <w:rPr>
          <w:rFonts w:eastAsiaTheme="minorEastAsia"/>
          <w:color w:val="000000" w:themeColor="text1"/>
          <w:kern w:val="0"/>
          <w:szCs w:val="21"/>
          <w:lang w:val="en-GB"/>
        </w:rPr>
        <w:t>日</w:t>
      </w:r>
      <w:r w:rsidRPr="00046482">
        <w:rPr>
          <w:rFonts w:eastAsiaTheme="minorEastAsia" w:hint="eastAsia"/>
          <w:color w:val="000000" w:themeColor="text1"/>
          <w:kern w:val="0"/>
          <w:szCs w:val="21"/>
          <w:lang w:val="en-GB"/>
        </w:rPr>
        <w:t>及以后期间</w:t>
      </w:r>
      <w:r w:rsidRPr="00046482">
        <w:rPr>
          <w:rFonts w:eastAsiaTheme="minorEastAsia"/>
          <w:color w:val="000000" w:themeColor="text1"/>
          <w:kern w:val="0"/>
          <w:szCs w:val="21"/>
          <w:lang w:val="en-GB"/>
        </w:rPr>
        <w:t>颁布的《企业会计准则－基本准则》</w:t>
      </w:r>
      <w:r w:rsidRPr="00046482">
        <w:rPr>
          <w:rFonts w:eastAsiaTheme="minorEastAsia" w:hint="eastAsia"/>
          <w:color w:val="000000" w:themeColor="text1"/>
          <w:kern w:val="0"/>
          <w:szCs w:val="21"/>
          <w:lang w:val="en-GB"/>
        </w:rPr>
        <w:t>、各</w:t>
      </w:r>
      <w:r w:rsidRPr="00046482">
        <w:rPr>
          <w:rFonts w:eastAsiaTheme="minorEastAsia"/>
          <w:color w:val="000000" w:themeColor="text1"/>
          <w:kern w:val="0"/>
          <w:szCs w:val="21"/>
          <w:lang w:val="en-GB"/>
        </w:rPr>
        <w:t>项具体会计准则及其他相关规定</w:t>
      </w:r>
      <w:r w:rsidRPr="00046482">
        <w:rPr>
          <w:rFonts w:eastAsiaTheme="minorEastAsia"/>
          <w:color w:val="000000" w:themeColor="text1"/>
          <w:kern w:val="0"/>
          <w:szCs w:val="21"/>
          <w:lang w:val="en-GB"/>
        </w:rPr>
        <w:t>(</w:t>
      </w:r>
      <w:r w:rsidRPr="00046482">
        <w:rPr>
          <w:rFonts w:eastAsiaTheme="minorEastAsia"/>
          <w:color w:val="000000" w:themeColor="text1"/>
          <w:kern w:val="0"/>
          <w:szCs w:val="21"/>
          <w:lang w:val="en-GB"/>
        </w:rPr>
        <w:t>以下合称</w:t>
      </w:r>
      <w:r w:rsidRPr="00046482">
        <w:rPr>
          <w:rFonts w:eastAsiaTheme="minorEastAsia" w:hint="eastAsia"/>
          <w:color w:val="000000" w:themeColor="text1"/>
          <w:kern w:val="0"/>
          <w:szCs w:val="21"/>
          <w:lang w:val="en-GB"/>
        </w:rPr>
        <w:t>“</w:t>
      </w:r>
      <w:r w:rsidRPr="00046482">
        <w:rPr>
          <w:rFonts w:eastAsiaTheme="minorEastAsia"/>
          <w:color w:val="000000" w:themeColor="text1"/>
          <w:kern w:val="0"/>
          <w:szCs w:val="21"/>
          <w:lang w:val="en-GB"/>
        </w:rPr>
        <w:t>企业会计准则</w:t>
      </w:r>
      <w:r w:rsidRPr="00046482">
        <w:rPr>
          <w:rFonts w:eastAsiaTheme="minorEastAsia" w:hint="eastAsia"/>
          <w:color w:val="000000" w:themeColor="text1"/>
          <w:kern w:val="0"/>
          <w:szCs w:val="21"/>
          <w:lang w:val="en-GB"/>
        </w:rPr>
        <w:t>”</w:t>
      </w:r>
      <w:r w:rsidRPr="00046482">
        <w:rPr>
          <w:rFonts w:eastAsiaTheme="minorEastAsia"/>
          <w:color w:val="000000" w:themeColor="text1"/>
          <w:kern w:val="0"/>
          <w:szCs w:val="21"/>
          <w:lang w:val="en-GB"/>
        </w:rPr>
        <w:t>)</w:t>
      </w:r>
      <w:r w:rsidRPr="00046482">
        <w:rPr>
          <w:rFonts w:eastAsiaTheme="minorEastAsia"/>
          <w:color w:val="000000" w:themeColor="text1"/>
          <w:kern w:val="0"/>
          <w:szCs w:val="21"/>
          <w:lang w:val="en-GB"/>
        </w:rPr>
        <w:t>、中国证监会</w:t>
      </w:r>
      <w:r w:rsidRPr="00046482">
        <w:rPr>
          <w:rFonts w:eastAsiaTheme="minorEastAsia" w:hint="eastAsia"/>
          <w:color w:val="000000" w:themeColor="text1"/>
          <w:kern w:val="0"/>
          <w:szCs w:val="21"/>
          <w:lang w:val="en-GB"/>
        </w:rPr>
        <w:t>颁布的</w:t>
      </w:r>
      <w:r w:rsidRPr="00046482">
        <w:rPr>
          <w:rFonts w:eastAsiaTheme="minorEastAsia"/>
          <w:color w:val="000000" w:themeColor="text1"/>
          <w:kern w:val="0"/>
          <w:szCs w:val="21"/>
          <w:lang w:val="en-GB"/>
        </w:rPr>
        <w:t>《证券投资基金信息披露</w:t>
      </w:r>
      <w:r w:rsidRPr="00046482">
        <w:rPr>
          <w:rFonts w:eastAsiaTheme="minorEastAsia"/>
          <w:color w:val="000000" w:themeColor="text1"/>
          <w:kern w:val="0"/>
          <w:szCs w:val="21"/>
          <w:lang w:val="en-GB"/>
        </w:rPr>
        <w:t>XBRL</w:t>
      </w:r>
      <w:r w:rsidRPr="00046482">
        <w:rPr>
          <w:rFonts w:eastAsiaTheme="minorEastAsia"/>
          <w:color w:val="000000" w:themeColor="text1"/>
          <w:kern w:val="0"/>
          <w:szCs w:val="21"/>
          <w:lang w:val="en-GB"/>
        </w:rPr>
        <w:t>模板第</w:t>
      </w:r>
      <w:r w:rsidRPr="00046482">
        <w:rPr>
          <w:rFonts w:eastAsiaTheme="minorEastAsia"/>
          <w:color w:val="000000" w:themeColor="text1"/>
          <w:kern w:val="0"/>
          <w:szCs w:val="21"/>
          <w:lang w:val="en-GB"/>
        </w:rPr>
        <w:t>3</w:t>
      </w:r>
      <w:r w:rsidRPr="00046482">
        <w:rPr>
          <w:rFonts w:eastAsiaTheme="minorEastAsia"/>
          <w:color w:val="000000" w:themeColor="text1"/>
          <w:kern w:val="0"/>
          <w:szCs w:val="21"/>
          <w:lang w:val="en-GB"/>
        </w:rPr>
        <w:t>号</w:t>
      </w:r>
      <w:r w:rsidRPr="00046482">
        <w:rPr>
          <w:rFonts w:eastAsiaTheme="minorEastAsia"/>
          <w:color w:val="000000" w:themeColor="text1"/>
          <w:kern w:val="0"/>
          <w:szCs w:val="21"/>
          <w:lang w:val="en-GB"/>
        </w:rPr>
        <w:t>&lt;</w:t>
      </w:r>
      <w:r w:rsidRPr="00046482">
        <w:rPr>
          <w:rFonts w:eastAsiaTheme="minorEastAsia"/>
          <w:color w:val="000000" w:themeColor="text1"/>
          <w:kern w:val="0"/>
          <w:szCs w:val="21"/>
          <w:lang w:val="en-GB"/>
        </w:rPr>
        <w:t>年度报告和半年度报告</w:t>
      </w:r>
      <w:r w:rsidRPr="00046482">
        <w:rPr>
          <w:rFonts w:eastAsiaTheme="minorEastAsia"/>
          <w:color w:val="000000" w:themeColor="text1"/>
          <w:kern w:val="0"/>
          <w:szCs w:val="21"/>
          <w:lang w:val="en-GB"/>
        </w:rPr>
        <w:t>&gt;</w:t>
      </w:r>
      <w:r w:rsidRPr="00046482">
        <w:rPr>
          <w:rFonts w:eastAsiaTheme="minorEastAsia"/>
          <w:color w:val="000000" w:themeColor="text1"/>
          <w:kern w:val="0"/>
          <w:szCs w:val="21"/>
          <w:lang w:val="en-GB"/>
        </w:rPr>
        <w:t>》、中国证券</w:t>
      </w:r>
      <w:r w:rsidRPr="00046482">
        <w:rPr>
          <w:rFonts w:eastAsiaTheme="minorEastAsia" w:hint="eastAsia"/>
          <w:color w:val="000000" w:themeColor="text1"/>
          <w:kern w:val="0"/>
          <w:szCs w:val="21"/>
          <w:lang w:val="en-GB"/>
        </w:rPr>
        <w:t>投资基金</w:t>
      </w:r>
      <w:r w:rsidRPr="00046482">
        <w:rPr>
          <w:rFonts w:eastAsiaTheme="minorEastAsia"/>
          <w:color w:val="000000" w:themeColor="text1"/>
          <w:kern w:val="0"/>
          <w:szCs w:val="21"/>
          <w:lang w:val="en-GB"/>
        </w:rPr>
        <w:t>业协会</w:t>
      </w:r>
      <w:r w:rsidRPr="00046482">
        <w:rPr>
          <w:rFonts w:eastAsiaTheme="minorEastAsia" w:hint="eastAsia"/>
          <w:color w:val="000000" w:themeColor="text1"/>
          <w:kern w:val="0"/>
          <w:szCs w:val="21"/>
          <w:lang w:val="en-GB"/>
        </w:rPr>
        <w:t>(</w:t>
      </w:r>
      <w:r w:rsidRPr="00046482">
        <w:rPr>
          <w:rFonts w:eastAsiaTheme="minorEastAsia" w:hint="eastAsia"/>
          <w:color w:val="000000" w:themeColor="text1"/>
          <w:kern w:val="0"/>
          <w:szCs w:val="21"/>
          <w:lang w:val="en-GB"/>
        </w:rPr>
        <w:t>以下简称“中国基金业协会”</w:t>
      </w:r>
      <w:r w:rsidRPr="00046482">
        <w:rPr>
          <w:rFonts w:eastAsiaTheme="minorEastAsia" w:hint="eastAsia"/>
          <w:color w:val="000000" w:themeColor="text1"/>
          <w:kern w:val="0"/>
          <w:szCs w:val="21"/>
          <w:lang w:val="en-GB"/>
        </w:rPr>
        <w:t>)</w:t>
      </w:r>
      <w:r w:rsidRPr="00046482">
        <w:rPr>
          <w:rFonts w:eastAsiaTheme="minorEastAsia"/>
          <w:color w:val="000000" w:themeColor="text1"/>
          <w:kern w:val="0"/>
          <w:szCs w:val="21"/>
          <w:lang w:val="en-GB"/>
        </w:rPr>
        <w:t>颁布的《证券投资基金会计核算业务指引》、《上投摩根全球多元配置证券投资基金</w:t>
      </w:r>
      <w:r w:rsidRPr="00046482">
        <w:rPr>
          <w:rFonts w:eastAsiaTheme="minorEastAsia"/>
          <w:color w:val="000000" w:themeColor="text1"/>
          <w:kern w:val="0"/>
          <w:szCs w:val="21"/>
          <w:lang w:val="en-GB"/>
        </w:rPr>
        <w:t>(QDII)</w:t>
      </w:r>
      <w:r w:rsidRPr="00046482">
        <w:rPr>
          <w:rFonts w:eastAsiaTheme="minorEastAsia"/>
          <w:color w:val="000000" w:themeColor="text1"/>
          <w:kern w:val="0"/>
          <w:szCs w:val="21"/>
          <w:lang w:val="en-GB"/>
        </w:rPr>
        <w:t>基金合同》和在财务报表附注</w:t>
      </w:r>
      <w:r w:rsidRPr="00046482">
        <w:rPr>
          <w:rFonts w:eastAsiaTheme="minorEastAsia"/>
          <w:color w:val="000000" w:themeColor="text1"/>
          <w:kern w:val="0"/>
          <w:szCs w:val="21"/>
          <w:lang w:val="en-GB"/>
        </w:rPr>
        <w:t>7.4.4</w:t>
      </w:r>
      <w:r w:rsidRPr="00046482">
        <w:rPr>
          <w:rFonts w:eastAsiaTheme="minorEastAsia"/>
          <w:color w:val="000000" w:themeColor="text1"/>
          <w:kern w:val="0"/>
          <w:szCs w:val="21"/>
          <w:lang w:val="en-GB"/>
        </w:rPr>
        <w:t>所列示的中国证监会</w:t>
      </w:r>
      <w:r w:rsidRPr="00046482">
        <w:rPr>
          <w:rFonts w:eastAsiaTheme="minorEastAsia" w:hint="eastAsia"/>
          <w:color w:val="000000" w:themeColor="text1"/>
          <w:kern w:val="0"/>
          <w:szCs w:val="21"/>
          <w:lang w:val="en-GB"/>
        </w:rPr>
        <w:t>、中国基金业协会</w:t>
      </w:r>
      <w:r w:rsidRPr="00046482">
        <w:rPr>
          <w:rFonts w:eastAsiaTheme="minorEastAsia"/>
          <w:color w:val="000000" w:themeColor="text1"/>
          <w:kern w:val="0"/>
          <w:szCs w:val="21"/>
          <w:lang w:val="en-GB"/>
        </w:rPr>
        <w:t>发布的有关规定及允许的基金行业实务操作编制。</w:t>
      </w:r>
    </w:p>
    <w:p w:rsidR="00046482" w:rsidRPr="00046482" w:rsidRDefault="00046482" w:rsidP="00046482">
      <w:pPr>
        <w:widowControl/>
        <w:spacing w:line="360" w:lineRule="auto"/>
        <w:ind w:firstLineChars="200" w:firstLine="420"/>
        <w:rPr>
          <w:rFonts w:eastAsiaTheme="minorEastAsia"/>
          <w:color w:val="000000" w:themeColor="text1"/>
          <w:kern w:val="0"/>
          <w:szCs w:val="21"/>
          <w:lang w:val="en-GB"/>
        </w:rPr>
      </w:pPr>
    </w:p>
    <w:p w:rsidR="007B62FA" w:rsidRPr="00E60957" w:rsidRDefault="00046482" w:rsidP="00046482">
      <w:pPr>
        <w:widowControl/>
        <w:spacing w:line="360" w:lineRule="auto"/>
        <w:ind w:firstLineChars="200" w:firstLine="420"/>
        <w:rPr>
          <w:rFonts w:eastAsiaTheme="minorEastAsia"/>
          <w:color w:val="000000" w:themeColor="text1"/>
          <w:kern w:val="0"/>
          <w:szCs w:val="21"/>
        </w:rPr>
      </w:pPr>
      <w:r w:rsidRPr="00046482">
        <w:rPr>
          <w:rFonts w:eastAsiaTheme="minorEastAsia" w:hint="eastAsia"/>
          <w:color w:val="000000" w:themeColor="text1"/>
          <w:kern w:val="0"/>
          <w:szCs w:val="21"/>
          <w:lang w:val="en-GB"/>
        </w:rPr>
        <w:t>本财务报表以持续经营为基础编制。</w:t>
      </w:r>
    </w:p>
    <w:p w:rsidR="007B62FA" w:rsidRPr="00E60957" w:rsidRDefault="007B62FA" w:rsidP="009C3167">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7.4.3</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遵循企业会计准则及其他有关规定的声明</w:t>
      </w:r>
    </w:p>
    <w:p w:rsidR="004349D1" w:rsidRDefault="00046482" w:rsidP="004349D1">
      <w:pPr>
        <w:spacing w:line="360" w:lineRule="auto"/>
        <w:rPr>
          <w:b/>
          <w:color w:val="000000" w:themeColor="text1"/>
          <w:szCs w:val="21"/>
        </w:rPr>
      </w:pPr>
      <w:r>
        <w:rPr>
          <w:rFonts w:eastAsiaTheme="minorEastAsia" w:hint="eastAsia"/>
          <w:color w:val="000000" w:themeColor="text1"/>
          <w:kern w:val="0"/>
          <w:szCs w:val="21"/>
          <w:lang w:val="en-GB"/>
        </w:rPr>
        <w:t xml:space="preserve">    </w:t>
      </w:r>
      <w:r w:rsidRPr="00046482">
        <w:rPr>
          <w:rFonts w:eastAsiaTheme="minorEastAsia"/>
          <w:color w:val="000000" w:themeColor="text1"/>
          <w:kern w:val="0"/>
          <w:szCs w:val="21"/>
          <w:lang w:val="en-GB"/>
        </w:rPr>
        <w:t>本基金</w:t>
      </w:r>
      <w:r w:rsidRPr="00046482">
        <w:rPr>
          <w:rFonts w:eastAsiaTheme="minorEastAsia"/>
          <w:color w:val="000000" w:themeColor="text1"/>
          <w:kern w:val="0"/>
          <w:szCs w:val="21"/>
          <w:lang w:val="en-GB"/>
        </w:rPr>
        <w:t xml:space="preserve"> 2018</w:t>
      </w:r>
      <w:r w:rsidRPr="00046482">
        <w:rPr>
          <w:rFonts w:eastAsiaTheme="minorEastAsia"/>
          <w:color w:val="000000" w:themeColor="text1"/>
          <w:kern w:val="0"/>
          <w:szCs w:val="21"/>
          <w:lang w:val="en-GB"/>
        </w:rPr>
        <w:t>年度的财务报表符合企业会计准则的要求，真实、完整地反映了本基金</w:t>
      </w:r>
      <w:r w:rsidRPr="00046482">
        <w:rPr>
          <w:rFonts w:eastAsiaTheme="minorEastAsia"/>
          <w:color w:val="000000" w:themeColor="text1"/>
          <w:kern w:val="0"/>
          <w:szCs w:val="21"/>
          <w:lang w:val="en-GB"/>
        </w:rPr>
        <w:t xml:space="preserve"> 2018</w:t>
      </w:r>
      <w:r w:rsidRPr="00046482">
        <w:rPr>
          <w:rFonts w:eastAsiaTheme="minorEastAsia"/>
          <w:color w:val="000000" w:themeColor="text1"/>
          <w:kern w:val="0"/>
          <w:szCs w:val="21"/>
          <w:lang w:val="en-GB"/>
        </w:rPr>
        <w:t>年</w:t>
      </w:r>
      <w:r w:rsidRPr="00046482">
        <w:rPr>
          <w:rFonts w:eastAsiaTheme="minorEastAsia"/>
          <w:color w:val="000000" w:themeColor="text1"/>
          <w:kern w:val="0"/>
          <w:szCs w:val="21"/>
          <w:lang w:val="en-GB"/>
        </w:rPr>
        <w:t>12</w:t>
      </w:r>
      <w:r w:rsidRPr="00046482">
        <w:rPr>
          <w:rFonts w:eastAsiaTheme="minorEastAsia"/>
          <w:color w:val="000000" w:themeColor="text1"/>
          <w:kern w:val="0"/>
          <w:szCs w:val="21"/>
          <w:lang w:val="en-GB"/>
        </w:rPr>
        <w:t>月</w:t>
      </w:r>
      <w:r w:rsidRPr="00046482">
        <w:rPr>
          <w:rFonts w:eastAsiaTheme="minorEastAsia"/>
          <w:color w:val="000000" w:themeColor="text1"/>
          <w:kern w:val="0"/>
          <w:szCs w:val="21"/>
          <w:lang w:val="en-GB"/>
        </w:rPr>
        <w:t>31</w:t>
      </w:r>
      <w:r w:rsidRPr="00046482">
        <w:rPr>
          <w:rFonts w:eastAsiaTheme="minorEastAsia"/>
          <w:color w:val="000000" w:themeColor="text1"/>
          <w:kern w:val="0"/>
          <w:szCs w:val="21"/>
          <w:lang w:val="en-GB"/>
        </w:rPr>
        <w:t>日的财务状况以及</w:t>
      </w:r>
      <w:r w:rsidRPr="00046482">
        <w:rPr>
          <w:rFonts w:eastAsiaTheme="minorEastAsia"/>
          <w:color w:val="000000" w:themeColor="text1"/>
          <w:kern w:val="0"/>
          <w:szCs w:val="21"/>
          <w:lang w:val="en-GB"/>
        </w:rPr>
        <w:t>2018</w:t>
      </w:r>
      <w:r w:rsidRPr="00046482">
        <w:rPr>
          <w:rFonts w:eastAsiaTheme="minorEastAsia"/>
          <w:color w:val="000000" w:themeColor="text1"/>
          <w:kern w:val="0"/>
          <w:szCs w:val="21"/>
          <w:lang w:val="en-GB"/>
        </w:rPr>
        <w:t>年度的经营成果和基金净值变动情况等有关信息。</w:t>
      </w:r>
    </w:p>
    <w:p w:rsidR="00DC2323" w:rsidRDefault="00DC2323" w:rsidP="004349D1">
      <w:pPr>
        <w:spacing w:line="360" w:lineRule="auto"/>
        <w:rPr>
          <w:b/>
          <w:color w:val="000000" w:themeColor="text1"/>
          <w:szCs w:val="21"/>
        </w:rPr>
      </w:pPr>
    </w:p>
    <w:p w:rsidR="004349D1" w:rsidRPr="00DA3772" w:rsidRDefault="004349D1" w:rsidP="004349D1">
      <w:pPr>
        <w:spacing w:line="360" w:lineRule="auto"/>
        <w:rPr>
          <w:b/>
          <w:color w:val="000000" w:themeColor="text1"/>
          <w:szCs w:val="21"/>
        </w:rPr>
      </w:pPr>
      <w:r w:rsidRPr="00DA3772">
        <w:rPr>
          <w:b/>
          <w:color w:val="000000" w:themeColor="text1"/>
          <w:szCs w:val="21"/>
        </w:rPr>
        <w:t>7.4.4</w:t>
      </w:r>
      <w:r w:rsidRPr="00DA3772">
        <w:rPr>
          <w:rFonts w:hint="eastAsia"/>
          <w:b/>
          <w:color w:val="000000" w:themeColor="text1"/>
          <w:szCs w:val="21"/>
        </w:rPr>
        <w:t>本报告期所采用的会计政策、会计估计与最近一期年度报告相一致的说明</w:t>
      </w:r>
    </w:p>
    <w:p w:rsidR="004349D1" w:rsidRPr="00DA3772" w:rsidRDefault="004349D1" w:rsidP="004349D1">
      <w:pPr>
        <w:spacing w:line="360" w:lineRule="auto"/>
        <w:rPr>
          <w:color w:val="000000" w:themeColor="text1"/>
          <w:szCs w:val="21"/>
        </w:rPr>
      </w:pPr>
      <w:r w:rsidRPr="00DA3772">
        <w:rPr>
          <w:rFonts w:hint="eastAsia"/>
          <w:color w:val="000000" w:themeColor="text1"/>
          <w:szCs w:val="21"/>
        </w:rPr>
        <w:t xml:space="preserve">    </w:t>
      </w:r>
      <w:r w:rsidRPr="00DA3772">
        <w:rPr>
          <w:rFonts w:hint="eastAsia"/>
          <w:color w:val="000000" w:themeColor="text1"/>
          <w:szCs w:val="21"/>
        </w:rPr>
        <w:t>本基金本报告期所采用的会计政策、会计估计与最近一期年度报告相一致。</w:t>
      </w:r>
    </w:p>
    <w:p w:rsidR="007B62FA" w:rsidRPr="00E60957" w:rsidRDefault="007B62FA" w:rsidP="009C3167">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会计政策和会计估计变更以及差错更正的说明</w:t>
      </w:r>
    </w:p>
    <w:p w:rsidR="007B62FA" w:rsidRPr="00E60957" w:rsidRDefault="007B62FA" w:rsidP="00C03E37">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7.4.5.1</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会计政策变更的说明</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本基金本报告期未发生会计政策变更。</w:t>
      </w:r>
    </w:p>
    <w:p w:rsidR="007B62FA" w:rsidRPr="00E60957" w:rsidRDefault="007B62FA" w:rsidP="009C3167">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7.4.5.2</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会计估计变更的说明</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本基金本报告期未发生会计估计变更。</w:t>
      </w:r>
    </w:p>
    <w:p w:rsidR="007B62FA" w:rsidRPr="00E60957" w:rsidRDefault="007B62FA" w:rsidP="009C3167">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7.4.5.3</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差错更正的说明</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本基金在本报告期间无须说明的会计差错更正。</w:t>
      </w:r>
    </w:p>
    <w:p w:rsidR="007B62FA" w:rsidRPr="00E60957" w:rsidRDefault="007B62FA" w:rsidP="009C3167">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7.4.6</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税项</w:t>
      </w:r>
    </w:p>
    <w:p w:rsidR="00117680" w:rsidRPr="00117680" w:rsidRDefault="00117680" w:rsidP="00117680">
      <w:pPr>
        <w:widowControl/>
        <w:spacing w:line="360" w:lineRule="auto"/>
        <w:ind w:firstLineChars="200" w:firstLine="420"/>
        <w:rPr>
          <w:rFonts w:eastAsiaTheme="minorEastAsia"/>
          <w:color w:val="000000" w:themeColor="text1"/>
          <w:kern w:val="0"/>
          <w:szCs w:val="21"/>
        </w:rPr>
      </w:pPr>
      <w:r w:rsidRPr="00117680">
        <w:rPr>
          <w:rFonts w:eastAsiaTheme="minorEastAsia" w:hint="eastAsia"/>
          <w:color w:val="000000" w:themeColor="text1"/>
          <w:kern w:val="0"/>
          <w:szCs w:val="21"/>
          <w:lang w:val="en-GB"/>
        </w:rPr>
        <w:t>根</w:t>
      </w:r>
      <w:r w:rsidRPr="00117680">
        <w:rPr>
          <w:rFonts w:eastAsiaTheme="minorEastAsia" w:hint="eastAsia"/>
          <w:color w:val="000000" w:themeColor="text1"/>
          <w:kern w:val="0"/>
          <w:szCs w:val="21"/>
        </w:rPr>
        <w:t>据财政部、国家税务总局财税</w:t>
      </w:r>
      <w:r w:rsidRPr="00117680">
        <w:rPr>
          <w:rFonts w:eastAsiaTheme="minorEastAsia" w:hint="eastAsia"/>
          <w:color w:val="000000" w:themeColor="text1"/>
          <w:kern w:val="0"/>
          <w:szCs w:val="21"/>
        </w:rPr>
        <w:t>[2008]1</w:t>
      </w:r>
      <w:r w:rsidRPr="00117680">
        <w:rPr>
          <w:rFonts w:eastAsiaTheme="minorEastAsia" w:hint="eastAsia"/>
          <w:color w:val="000000" w:themeColor="text1"/>
          <w:kern w:val="0"/>
          <w:szCs w:val="21"/>
        </w:rPr>
        <w:t>号《关于企业所得税若干优惠政策的通知》、财税</w:t>
      </w:r>
      <w:r w:rsidRPr="00117680">
        <w:rPr>
          <w:rFonts w:eastAsiaTheme="minorEastAsia" w:hint="eastAsia"/>
          <w:color w:val="000000" w:themeColor="text1"/>
          <w:kern w:val="0"/>
          <w:szCs w:val="21"/>
        </w:rPr>
        <w:t>[2016]36</w:t>
      </w:r>
      <w:r w:rsidRPr="00117680">
        <w:rPr>
          <w:rFonts w:eastAsiaTheme="minorEastAsia" w:hint="eastAsia"/>
          <w:color w:val="000000" w:themeColor="text1"/>
          <w:kern w:val="0"/>
          <w:szCs w:val="21"/>
        </w:rPr>
        <w:t>号《关于全面推开营业税改征增值税试点的通知》、财税</w:t>
      </w:r>
      <w:r w:rsidRPr="00117680">
        <w:rPr>
          <w:rFonts w:eastAsiaTheme="minorEastAsia" w:hint="eastAsia"/>
          <w:color w:val="000000" w:themeColor="text1"/>
          <w:kern w:val="0"/>
          <w:szCs w:val="21"/>
        </w:rPr>
        <w:t>[2016]46</w:t>
      </w:r>
      <w:r w:rsidRPr="00117680">
        <w:rPr>
          <w:rFonts w:eastAsiaTheme="minorEastAsia" w:hint="eastAsia"/>
          <w:color w:val="000000" w:themeColor="text1"/>
          <w:kern w:val="0"/>
          <w:szCs w:val="21"/>
        </w:rPr>
        <w:t>号《关于进一步明确全面推开营改增试点金融业有关政策的通知》、财税</w:t>
      </w:r>
      <w:r w:rsidRPr="00117680">
        <w:rPr>
          <w:rFonts w:eastAsiaTheme="minorEastAsia" w:hint="eastAsia"/>
          <w:color w:val="000000" w:themeColor="text1"/>
          <w:kern w:val="0"/>
          <w:szCs w:val="21"/>
        </w:rPr>
        <w:t>[2016]70</w:t>
      </w:r>
      <w:r w:rsidRPr="00117680">
        <w:rPr>
          <w:rFonts w:eastAsiaTheme="minorEastAsia" w:hint="eastAsia"/>
          <w:color w:val="000000" w:themeColor="text1"/>
          <w:kern w:val="0"/>
          <w:szCs w:val="21"/>
        </w:rPr>
        <w:t>号《关于金融机构同业往来等增值税政策的补充</w:t>
      </w:r>
      <w:r w:rsidRPr="00117680">
        <w:rPr>
          <w:rFonts w:eastAsiaTheme="minorEastAsia" w:hint="eastAsia"/>
          <w:color w:val="000000" w:themeColor="text1"/>
          <w:kern w:val="0"/>
          <w:szCs w:val="21"/>
        </w:rPr>
        <w:lastRenderedPageBreak/>
        <w:t>通知》、财税</w:t>
      </w:r>
      <w:r w:rsidRPr="00117680">
        <w:rPr>
          <w:rFonts w:eastAsiaTheme="minorEastAsia" w:hint="eastAsia"/>
          <w:color w:val="000000" w:themeColor="text1"/>
          <w:kern w:val="0"/>
          <w:szCs w:val="21"/>
        </w:rPr>
        <w:t>[2016]140</w:t>
      </w:r>
      <w:r w:rsidRPr="00117680">
        <w:rPr>
          <w:rFonts w:eastAsiaTheme="minorEastAsia" w:hint="eastAsia"/>
          <w:color w:val="000000" w:themeColor="text1"/>
          <w:kern w:val="0"/>
          <w:szCs w:val="21"/>
        </w:rPr>
        <w:t>号《关于明确金融</w:t>
      </w:r>
      <w:r w:rsidRPr="00117680">
        <w:rPr>
          <w:rFonts w:eastAsiaTheme="minorEastAsia" w:hint="eastAsia"/>
          <w:color w:val="000000" w:themeColor="text1"/>
          <w:kern w:val="0"/>
          <w:szCs w:val="21"/>
        </w:rPr>
        <w:t xml:space="preserve"> </w:t>
      </w:r>
      <w:r w:rsidRPr="00117680">
        <w:rPr>
          <w:rFonts w:eastAsiaTheme="minorEastAsia" w:hint="eastAsia"/>
          <w:color w:val="000000" w:themeColor="text1"/>
          <w:kern w:val="0"/>
          <w:szCs w:val="21"/>
        </w:rPr>
        <w:t>房地产开发</w:t>
      </w:r>
      <w:r w:rsidRPr="00117680">
        <w:rPr>
          <w:rFonts w:eastAsiaTheme="minorEastAsia" w:hint="eastAsia"/>
          <w:color w:val="000000" w:themeColor="text1"/>
          <w:kern w:val="0"/>
          <w:szCs w:val="21"/>
        </w:rPr>
        <w:t xml:space="preserve"> </w:t>
      </w:r>
      <w:r w:rsidRPr="00117680">
        <w:rPr>
          <w:rFonts w:eastAsiaTheme="minorEastAsia" w:hint="eastAsia"/>
          <w:color w:val="000000" w:themeColor="text1"/>
          <w:kern w:val="0"/>
          <w:szCs w:val="21"/>
        </w:rPr>
        <w:t>教育辅助服务等增值税政策的通知》、财税</w:t>
      </w:r>
      <w:r w:rsidRPr="00117680">
        <w:rPr>
          <w:rFonts w:eastAsiaTheme="minorEastAsia" w:hint="eastAsia"/>
          <w:color w:val="000000" w:themeColor="text1"/>
          <w:kern w:val="0"/>
          <w:szCs w:val="21"/>
        </w:rPr>
        <w:t>[2017]2</w:t>
      </w:r>
      <w:r w:rsidRPr="00117680">
        <w:rPr>
          <w:rFonts w:eastAsiaTheme="minorEastAsia" w:hint="eastAsia"/>
          <w:color w:val="000000" w:themeColor="text1"/>
          <w:kern w:val="0"/>
          <w:szCs w:val="21"/>
        </w:rPr>
        <w:t>号《关于资管产品增值税政策有关问题的补充通知》、财税</w:t>
      </w:r>
      <w:r w:rsidRPr="00117680">
        <w:rPr>
          <w:rFonts w:eastAsiaTheme="minorEastAsia" w:hint="eastAsia"/>
          <w:color w:val="000000" w:themeColor="text1"/>
          <w:kern w:val="0"/>
          <w:szCs w:val="21"/>
        </w:rPr>
        <w:t>[2017]56</w:t>
      </w:r>
      <w:r w:rsidRPr="00117680">
        <w:rPr>
          <w:rFonts w:eastAsiaTheme="minorEastAsia" w:hint="eastAsia"/>
          <w:color w:val="000000" w:themeColor="text1"/>
          <w:kern w:val="0"/>
          <w:szCs w:val="21"/>
        </w:rPr>
        <w:t>号《关于资管产品增值税有关问题的通知》、财税</w:t>
      </w:r>
      <w:r w:rsidRPr="00117680">
        <w:rPr>
          <w:rFonts w:eastAsiaTheme="minorEastAsia" w:hint="eastAsia"/>
          <w:color w:val="000000" w:themeColor="text1"/>
          <w:kern w:val="0"/>
          <w:szCs w:val="21"/>
        </w:rPr>
        <w:t>[2017]90</w:t>
      </w:r>
      <w:r w:rsidRPr="00117680">
        <w:rPr>
          <w:rFonts w:eastAsiaTheme="minorEastAsia" w:hint="eastAsia"/>
          <w:color w:val="000000" w:themeColor="text1"/>
          <w:kern w:val="0"/>
          <w:szCs w:val="21"/>
        </w:rPr>
        <w:t>号《关于租入固定资产进项税额抵扣等增值税政策的通知》及其他相关境内外财税法规和实务操作，主要税项列示如下：</w:t>
      </w:r>
    </w:p>
    <w:p w:rsidR="00117680" w:rsidRPr="00117680" w:rsidRDefault="00117680" w:rsidP="00117680">
      <w:pPr>
        <w:widowControl/>
        <w:spacing w:line="360" w:lineRule="auto"/>
        <w:ind w:firstLineChars="200" w:firstLine="420"/>
        <w:rPr>
          <w:rFonts w:eastAsiaTheme="minorEastAsia"/>
          <w:color w:val="000000" w:themeColor="text1"/>
          <w:kern w:val="0"/>
          <w:szCs w:val="21"/>
        </w:rPr>
      </w:pPr>
    </w:p>
    <w:p w:rsidR="00117680" w:rsidRPr="00117680" w:rsidRDefault="00117680" w:rsidP="00117680">
      <w:pPr>
        <w:widowControl/>
        <w:spacing w:line="360" w:lineRule="auto"/>
        <w:ind w:firstLineChars="200" w:firstLine="420"/>
        <w:rPr>
          <w:rFonts w:eastAsiaTheme="minorEastAsia"/>
          <w:color w:val="000000" w:themeColor="text1"/>
          <w:kern w:val="0"/>
          <w:szCs w:val="21"/>
        </w:rPr>
      </w:pPr>
      <w:r w:rsidRPr="00117680">
        <w:rPr>
          <w:rFonts w:eastAsiaTheme="minorEastAsia" w:hint="eastAsia"/>
          <w:color w:val="000000" w:themeColor="text1"/>
          <w:kern w:val="0"/>
          <w:szCs w:val="21"/>
        </w:rPr>
        <w:t>(1)</w:t>
      </w:r>
      <w:r w:rsidRPr="00117680">
        <w:rPr>
          <w:rFonts w:eastAsiaTheme="minorEastAsia" w:hint="eastAsia"/>
          <w:color w:val="000000" w:themeColor="text1"/>
          <w:kern w:val="0"/>
          <w:szCs w:val="21"/>
        </w:rPr>
        <w:tab/>
      </w:r>
      <w:r w:rsidRPr="00117680">
        <w:rPr>
          <w:rFonts w:eastAsiaTheme="minorEastAsia" w:hint="eastAsia"/>
          <w:color w:val="000000" w:themeColor="text1"/>
          <w:kern w:val="0"/>
          <w:szCs w:val="21"/>
        </w:rPr>
        <w:t>资管产品运营过程中发生的增值税应税行为，以资管产品管理人为增值税纳税人。资管产品管理人运营资管产品过程中发生的增值税应税行为，暂适用简易计税方法，按照</w:t>
      </w:r>
      <w:r w:rsidRPr="00117680">
        <w:rPr>
          <w:rFonts w:eastAsiaTheme="minorEastAsia" w:hint="eastAsia"/>
          <w:color w:val="000000" w:themeColor="text1"/>
          <w:kern w:val="0"/>
          <w:szCs w:val="21"/>
        </w:rPr>
        <w:t>3%</w:t>
      </w:r>
      <w:r w:rsidRPr="00117680">
        <w:rPr>
          <w:rFonts w:eastAsiaTheme="minorEastAsia" w:hint="eastAsia"/>
          <w:color w:val="000000" w:themeColor="text1"/>
          <w:kern w:val="0"/>
          <w:szCs w:val="21"/>
        </w:rPr>
        <w:t>的征收率缴纳增值税。对资管产品在</w:t>
      </w:r>
      <w:r w:rsidRPr="00117680">
        <w:rPr>
          <w:rFonts w:eastAsiaTheme="minorEastAsia" w:hint="eastAsia"/>
          <w:color w:val="000000" w:themeColor="text1"/>
          <w:kern w:val="0"/>
          <w:szCs w:val="21"/>
        </w:rPr>
        <w:t>2018</w:t>
      </w:r>
      <w:r w:rsidRPr="00117680">
        <w:rPr>
          <w:rFonts w:eastAsiaTheme="minorEastAsia" w:hint="eastAsia"/>
          <w:color w:val="000000" w:themeColor="text1"/>
          <w:kern w:val="0"/>
          <w:szCs w:val="21"/>
        </w:rPr>
        <w:t>年</w:t>
      </w:r>
      <w:r w:rsidRPr="00117680">
        <w:rPr>
          <w:rFonts w:eastAsiaTheme="minorEastAsia" w:hint="eastAsia"/>
          <w:color w:val="000000" w:themeColor="text1"/>
          <w:kern w:val="0"/>
          <w:szCs w:val="21"/>
        </w:rPr>
        <w:t>1</w:t>
      </w:r>
      <w:r w:rsidRPr="00117680">
        <w:rPr>
          <w:rFonts w:eastAsiaTheme="minorEastAsia" w:hint="eastAsia"/>
          <w:color w:val="000000" w:themeColor="text1"/>
          <w:kern w:val="0"/>
          <w:szCs w:val="21"/>
        </w:rPr>
        <w:t>月</w:t>
      </w:r>
      <w:r w:rsidRPr="00117680">
        <w:rPr>
          <w:rFonts w:eastAsiaTheme="minorEastAsia" w:hint="eastAsia"/>
          <w:color w:val="000000" w:themeColor="text1"/>
          <w:kern w:val="0"/>
          <w:szCs w:val="21"/>
        </w:rPr>
        <w:t>1</w:t>
      </w:r>
      <w:r w:rsidRPr="00117680">
        <w:rPr>
          <w:rFonts w:eastAsiaTheme="minorEastAsia" w:hint="eastAsia"/>
          <w:color w:val="000000" w:themeColor="text1"/>
          <w:kern w:val="0"/>
          <w:szCs w:val="21"/>
        </w:rPr>
        <w:t>日前运营过程中发生的增值税应税行为，未缴纳增值税的，不再缴纳；已缴纳增值税的，已纳税额从资管产品管理人以后月份的增值税应纳税额中抵减。</w:t>
      </w:r>
    </w:p>
    <w:p w:rsidR="00117680" w:rsidRPr="00117680" w:rsidRDefault="00117680" w:rsidP="00117680">
      <w:pPr>
        <w:widowControl/>
        <w:spacing w:line="360" w:lineRule="auto"/>
        <w:ind w:firstLineChars="200" w:firstLine="420"/>
        <w:rPr>
          <w:rFonts w:eastAsiaTheme="minorEastAsia"/>
          <w:color w:val="000000" w:themeColor="text1"/>
          <w:kern w:val="0"/>
          <w:szCs w:val="21"/>
        </w:rPr>
      </w:pPr>
    </w:p>
    <w:p w:rsidR="00117680" w:rsidRPr="00117680" w:rsidRDefault="00117680" w:rsidP="00117680">
      <w:pPr>
        <w:widowControl/>
        <w:spacing w:line="360" w:lineRule="auto"/>
        <w:ind w:firstLineChars="200" w:firstLine="420"/>
        <w:rPr>
          <w:rFonts w:eastAsiaTheme="minorEastAsia"/>
          <w:color w:val="000000" w:themeColor="text1"/>
          <w:kern w:val="0"/>
          <w:szCs w:val="21"/>
        </w:rPr>
      </w:pPr>
      <w:r w:rsidRPr="00117680">
        <w:rPr>
          <w:rFonts w:eastAsiaTheme="minorEastAsia" w:hint="eastAsia"/>
          <w:color w:val="000000" w:themeColor="text1"/>
          <w:kern w:val="0"/>
          <w:szCs w:val="21"/>
        </w:rPr>
        <w:t>对证券投资基金管理人运用基金买卖股票、债券的转让收入免征增值税，对金融同业往来利息收入亦免征增值税。资管产品管理人运营资管产品提供的贷款服务，以</w:t>
      </w:r>
      <w:r w:rsidRPr="00117680">
        <w:rPr>
          <w:rFonts w:eastAsiaTheme="minorEastAsia" w:hint="eastAsia"/>
          <w:color w:val="000000" w:themeColor="text1"/>
          <w:kern w:val="0"/>
          <w:szCs w:val="21"/>
        </w:rPr>
        <w:t>2018</w:t>
      </w:r>
      <w:r w:rsidRPr="00117680">
        <w:rPr>
          <w:rFonts w:eastAsiaTheme="minorEastAsia" w:hint="eastAsia"/>
          <w:color w:val="000000" w:themeColor="text1"/>
          <w:kern w:val="0"/>
          <w:szCs w:val="21"/>
        </w:rPr>
        <w:t>年</w:t>
      </w:r>
      <w:r w:rsidRPr="00117680">
        <w:rPr>
          <w:rFonts w:eastAsiaTheme="minorEastAsia" w:hint="eastAsia"/>
          <w:color w:val="000000" w:themeColor="text1"/>
          <w:kern w:val="0"/>
          <w:szCs w:val="21"/>
        </w:rPr>
        <w:t>1</w:t>
      </w:r>
      <w:r w:rsidRPr="00117680">
        <w:rPr>
          <w:rFonts w:eastAsiaTheme="minorEastAsia" w:hint="eastAsia"/>
          <w:color w:val="000000" w:themeColor="text1"/>
          <w:kern w:val="0"/>
          <w:szCs w:val="21"/>
        </w:rPr>
        <w:t>月</w:t>
      </w:r>
      <w:r w:rsidRPr="00117680">
        <w:rPr>
          <w:rFonts w:eastAsiaTheme="minorEastAsia" w:hint="eastAsia"/>
          <w:color w:val="000000" w:themeColor="text1"/>
          <w:kern w:val="0"/>
          <w:szCs w:val="21"/>
        </w:rPr>
        <w:t>1</w:t>
      </w:r>
      <w:r w:rsidRPr="00117680">
        <w:rPr>
          <w:rFonts w:eastAsiaTheme="minorEastAsia" w:hint="eastAsia"/>
          <w:color w:val="000000" w:themeColor="text1"/>
          <w:kern w:val="0"/>
          <w:szCs w:val="21"/>
        </w:rPr>
        <w:t>日起产生的利息及利息性质的收入为销售额。资管产品管理人运营资管产品转让</w:t>
      </w:r>
      <w:r w:rsidRPr="00117680">
        <w:rPr>
          <w:rFonts w:eastAsiaTheme="minorEastAsia" w:hint="eastAsia"/>
          <w:color w:val="000000" w:themeColor="text1"/>
          <w:kern w:val="0"/>
          <w:szCs w:val="21"/>
        </w:rPr>
        <w:t>2017</w:t>
      </w:r>
      <w:r w:rsidRPr="00117680">
        <w:rPr>
          <w:rFonts w:eastAsiaTheme="minorEastAsia" w:hint="eastAsia"/>
          <w:color w:val="000000" w:themeColor="text1"/>
          <w:kern w:val="0"/>
          <w:szCs w:val="21"/>
        </w:rPr>
        <w:t>年</w:t>
      </w:r>
      <w:r w:rsidRPr="00117680">
        <w:rPr>
          <w:rFonts w:eastAsiaTheme="minorEastAsia" w:hint="eastAsia"/>
          <w:color w:val="000000" w:themeColor="text1"/>
          <w:kern w:val="0"/>
          <w:szCs w:val="21"/>
        </w:rPr>
        <w:t>12</w:t>
      </w:r>
      <w:r w:rsidRPr="00117680">
        <w:rPr>
          <w:rFonts w:eastAsiaTheme="minorEastAsia" w:hint="eastAsia"/>
          <w:color w:val="000000" w:themeColor="text1"/>
          <w:kern w:val="0"/>
          <w:szCs w:val="21"/>
        </w:rPr>
        <w:t>月</w:t>
      </w:r>
      <w:r w:rsidRPr="00117680">
        <w:rPr>
          <w:rFonts w:eastAsiaTheme="minorEastAsia" w:hint="eastAsia"/>
          <w:color w:val="000000" w:themeColor="text1"/>
          <w:kern w:val="0"/>
          <w:szCs w:val="21"/>
        </w:rPr>
        <w:t>31</w:t>
      </w:r>
      <w:r w:rsidRPr="00117680">
        <w:rPr>
          <w:rFonts w:eastAsiaTheme="minorEastAsia" w:hint="eastAsia"/>
          <w:color w:val="000000" w:themeColor="text1"/>
          <w:kern w:val="0"/>
          <w:szCs w:val="21"/>
        </w:rPr>
        <w:t>日前取得的基金、非货物期货，可以选择按照实际买入价计算销售额，或者以</w:t>
      </w:r>
      <w:r w:rsidRPr="00117680">
        <w:rPr>
          <w:rFonts w:eastAsiaTheme="minorEastAsia" w:hint="eastAsia"/>
          <w:color w:val="000000" w:themeColor="text1"/>
          <w:kern w:val="0"/>
          <w:szCs w:val="21"/>
        </w:rPr>
        <w:t>2017</w:t>
      </w:r>
      <w:r w:rsidRPr="00117680">
        <w:rPr>
          <w:rFonts w:eastAsiaTheme="minorEastAsia" w:hint="eastAsia"/>
          <w:color w:val="000000" w:themeColor="text1"/>
          <w:kern w:val="0"/>
          <w:szCs w:val="21"/>
        </w:rPr>
        <w:t>年最后一个交易日的基金份额净值、非货物期货结算价格作为买入价计算销售额。</w:t>
      </w:r>
    </w:p>
    <w:p w:rsidR="00117680" w:rsidRPr="00117680" w:rsidRDefault="00117680" w:rsidP="00117680">
      <w:pPr>
        <w:widowControl/>
        <w:spacing w:line="360" w:lineRule="auto"/>
        <w:ind w:firstLineChars="200" w:firstLine="420"/>
        <w:rPr>
          <w:rFonts w:eastAsiaTheme="minorEastAsia"/>
          <w:color w:val="000000" w:themeColor="text1"/>
          <w:kern w:val="0"/>
          <w:szCs w:val="21"/>
        </w:rPr>
      </w:pPr>
    </w:p>
    <w:p w:rsidR="00117680" w:rsidRPr="00117680" w:rsidRDefault="00117680" w:rsidP="00117680">
      <w:pPr>
        <w:widowControl/>
        <w:spacing w:line="360" w:lineRule="auto"/>
        <w:ind w:firstLineChars="200" w:firstLine="420"/>
        <w:rPr>
          <w:rFonts w:eastAsiaTheme="minorEastAsia"/>
          <w:color w:val="000000" w:themeColor="text1"/>
          <w:kern w:val="0"/>
          <w:szCs w:val="21"/>
        </w:rPr>
      </w:pPr>
      <w:r w:rsidRPr="00117680">
        <w:rPr>
          <w:rFonts w:eastAsiaTheme="minorEastAsia" w:hint="eastAsia"/>
          <w:color w:val="000000" w:themeColor="text1"/>
          <w:kern w:val="0"/>
          <w:szCs w:val="21"/>
        </w:rPr>
        <w:t>(2)</w:t>
      </w:r>
      <w:r w:rsidRPr="00117680">
        <w:rPr>
          <w:rFonts w:eastAsiaTheme="minorEastAsia" w:hint="eastAsia"/>
          <w:color w:val="000000" w:themeColor="text1"/>
          <w:kern w:val="0"/>
          <w:szCs w:val="21"/>
        </w:rPr>
        <w:tab/>
      </w:r>
      <w:r w:rsidRPr="00117680">
        <w:rPr>
          <w:rFonts w:eastAsiaTheme="minorEastAsia" w:hint="eastAsia"/>
          <w:color w:val="000000" w:themeColor="text1"/>
          <w:kern w:val="0"/>
          <w:szCs w:val="21"/>
        </w:rPr>
        <w:t>目前基金取得的源自境外的差价收入，其涉及的境外所得税税收政策，按照相关国家或地区税收法律和法规执行，在境内暂不征收企业所得税。</w:t>
      </w:r>
    </w:p>
    <w:p w:rsidR="00117680" w:rsidRPr="00117680" w:rsidRDefault="00117680" w:rsidP="00117680">
      <w:pPr>
        <w:widowControl/>
        <w:spacing w:line="360" w:lineRule="auto"/>
        <w:ind w:firstLineChars="200" w:firstLine="420"/>
        <w:rPr>
          <w:rFonts w:eastAsiaTheme="minorEastAsia"/>
          <w:color w:val="000000" w:themeColor="text1"/>
          <w:kern w:val="0"/>
          <w:szCs w:val="21"/>
        </w:rPr>
      </w:pPr>
    </w:p>
    <w:p w:rsidR="00117680" w:rsidRPr="00117680" w:rsidRDefault="00117680" w:rsidP="00117680">
      <w:pPr>
        <w:widowControl/>
        <w:spacing w:line="360" w:lineRule="auto"/>
        <w:ind w:firstLineChars="200" w:firstLine="420"/>
        <w:rPr>
          <w:rFonts w:eastAsiaTheme="minorEastAsia"/>
          <w:color w:val="000000" w:themeColor="text1"/>
          <w:kern w:val="0"/>
          <w:szCs w:val="21"/>
        </w:rPr>
      </w:pPr>
      <w:r w:rsidRPr="00117680">
        <w:rPr>
          <w:rFonts w:eastAsiaTheme="minorEastAsia" w:hint="eastAsia"/>
          <w:color w:val="000000" w:themeColor="text1"/>
          <w:kern w:val="0"/>
          <w:szCs w:val="21"/>
        </w:rPr>
        <w:t>(3)</w:t>
      </w:r>
      <w:r w:rsidRPr="00117680">
        <w:rPr>
          <w:rFonts w:eastAsiaTheme="minorEastAsia" w:hint="eastAsia"/>
          <w:color w:val="000000" w:themeColor="text1"/>
          <w:kern w:val="0"/>
          <w:szCs w:val="21"/>
        </w:rPr>
        <w:tab/>
      </w:r>
      <w:r w:rsidRPr="00117680">
        <w:rPr>
          <w:rFonts w:eastAsiaTheme="minorEastAsia" w:hint="eastAsia"/>
          <w:color w:val="000000" w:themeColor="text1"/>
          <w:kern w:val="0"/>
          <w:szCs w:val="21"/>
        </w:rPr>
        <w:t>目前基金取得的源自境外的股利收益，其涉及的境外所得税税收政策，按照相关国家或地区税收法律和法规执行，在境内暂不征收个人所得税和企业所得税。</w:t>
      </w:r>
    </w:p>
    <w:p w:rsidR="00117680" w:rsidRPr="00117680" w:rsidRDefault="00117680" w:rsidP="00117680">
      <w:pPr>
        <w:widowControl/>
        <w:spacing w:line="360" w:lineRule="auto"/>
        <w:ind w:firstLineChars="200" w:firstLine="420"/>
        <w:rPr>
          <w:rFonts w:eastAsiaTheme="minorEastAsia"/>
          <w:color w:val="000000" w:themeColor="text1"/>
          <w:kern w:val="0"/>
          <w:szCs w:val="21"/>
        </w:rPr>
      </w:pPr>
    </w:p>
    <w:p w:rsidR="00887A23" w:rsidRPr="006779BD" w:rsidRDefault="00117680" w:rsidP="00117680">
      <w:pPr>
        <w:widowControl/>
        <w:spacing w:line="360" w:lineRule="auto"/>
        <w:ind w:firstLineChars="200" w:firstLine="420"/>
        <w:rPr>
          <w:rFonts w:eastAsiaTheme="minorEastAsia"/>
          <w:color w:val="000000" w:themeColor="text1"/>
          <w:kern w:val="0"/>
          <w:szCs w:val="21"/>
        </w:rPr>
      </w:pPr>
      <w:r w:rsidRPr="00117680">
        <w:rPr>
          <w:rFonts w:eastAsiaTheme="minorEastAsia" w:hint="eastAsia"/>
          <w:color w:val="000000" w:themeColor="text1"/>
          <w:kern w:val="0"/>
          <w:szCs w:val="21"/>
        </w:rPr>
        <w:t>(4)</w:t>
      </w:r>
      <w:r w:rsidRPr="00117680">
        <w:rPr>
          <w:rFonts w:eastAsiaTheme="minorEastAsia" w:hint="eastAsia"/>
          <w:color w:val="000000" w:themeColor="text1"/>
          <w:kern w:val="0"/>
          <w:szCs w:val="21"/>
        </w:rPr>
        <w:tab/>
      </w:r>
      <w:r w:rsidRPr="00117680">
        <w:rPr>
          <w:rFonts w:eastAsiaTheme="minorEastAsia" w:hint="eastAsia"/>
          <w:color w:val="000000" w:themeColor="text1"/>
          <w:kern w:val="0"/>
          <w:szCs w:val="21"/>
        </w:rPr>
        <w:t>本基金的城市维护建设税、教育费附加和地方教育费附加等税费按照实际缴纳增值税额的适用比例计算缴纳。</w:t>
      </w:r>
    </w:p>
    <w:p w:rsidR="007B62FA" w:rsidRPr="00E60957" w:rsidRDefault="007B62FA" w:rsidP="001A74A1">
      <w:pPr>
        <w:widowControl/>
        <w:spacing w:line="360" w:lineRule="auto"/>
        <w:ind w:firstLineChars="200" w:firstLine="420"/>
        <w:rPr>
          <w:rFonts w:eastAsiaTheme="minorEastAsia"/>
          <w:color w:val="000000" w:themeColor="text1"/>
          <w:kern w:val="0"/>
          <w:szCs w:val="21"/>
        </w:rPr>
      </w:pPr>
    </w:p>
    <w:p w:rsidR="007B62FA" w:rsidRPr="00E60957" w:rsidRDefault="007B62FA" w:rsidP="009C3167">
      <w:pPr>
        <w:spacing w:beforeLines="100" w:before="312" w:line="360" w:lineRule="auto"/>
        <w:rPr>
          <w:rFonts w:eastAsiaTheme="minorEastAsia"/>
          <w:b/>
          <w:color w:val="000000" w:themeColor="text1"/>
          <w:kern w:val="0"/>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7</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E60957" w:rsidRPr="00E60957" w:rsidTr="007C55F6">
        <w:tc>
          <w:tcPr>
            <w:tcW w:w="4820"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关联方名称</w:t>
            </w:r>
          </w:p>
        </w:tc>
        <w:tc>
          <w:tcPr>
            <w:tcW w:w="4180"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与本基金的关系</w:t>
            </w:r>
          </w:p>
        </w:tc>
      </w:tr>
      <w:tr w:rsidR="00E33B47">
        <w:tc>
          <w:tcPr>
            <w:tcW w:w="4820" w:type="dxa"/>
            <w:vAlign w:val="center"/>
          </w:tcPr>
          <w:p w:rsidR="00E33B47" w:rsidRDefault="00B95AF3">
            <w:pPr>
              <w:jc w:val="left"/>
            </w:pPr>
            <w:r>
              <w:rPr>
                <w:rFonts w:eastAsiaTheme="minorEastAsia"/>
                <w:color w:val="000000" w:themeColor="text1"/>
                <w:szCs w:val="21"/>
              </w:rPr>
              <w:t>上投摩根基金管理有限公司</w:t>
            </w:r>
            <w:r>
              <w:rPr>
                <w:rFonts w:eastAsiaTheme="minorEastAsia"/>
                <w:color w:val="000000" w:themeColor="text1"/>
                <w:szCs w:val="21"/>
              </w:rPr>
              <w:t>(“</w:t>
            </w:r>
            <w:r>
              <w:rPr>
                <w:rFonts w:eastAsiaTheme="minorEastAsia"/>
                <w:color w:val="000000" w:themeColor="text1"/>
                <w:szCs w:val="21"/>
              </w:rPr>
              <w:t>上投摩根</w:t>
            </w:r>
            <w:r>
              <w:rPr>
                <w:rFonts w:eastAsiaTheme="minorEastAsia"/>
                <w:color w:val="000000" w:themeColor="text1"/>
                <w:szCs w:val="21"/>
              </w:rPr>
              <w:t>”)</w:t>
            </w:r>
          </w:p>
        </w:tc>
        <w:tc>
          <w:tcPr>
            <w:tcW w:w="4180" w:type="dxa"/>
            <w:vAlign w:val="center"/>
          </w:tcPr>
          <w:p w:rsidR="00E33B47" w:rsidRDefault="00B95AF3">
            <w:pPr>
              <w:jc w:val="center"/>
            </w:pPr>
            <w:r>
              <w:rPr>
                <w:rFonts w:eastAsiaTheme="minorEastAsia"/>
                <w:color w:val="000000" w:themeColor="text1"/>
                <w:szCs w:val="21"/>
              </w:rPr>
              <w:t>基金管理人、注册登记机构、基金销售机构</w:t>
            </w:r>
          </w:p>
        </w:tc>
      </w:tr>
      <w:tr w:rsidR="00E33B47">
        <w:tc>
          <w:tcPr>
            <w:tcW w:w="4820" w:type="dxa"/>
            <w:vAlign w:val="center"/>
          </w:tcPr>
          <w:p w:rsidR="00E33B47" w:rsidRDefault="00B95AF3">
            <w:pPr>
              <w:jc w:val="left"/>
            </w:pPr>
            <w:r>
              <w:rPr>
                <w:rFonts w:eastAsiaTheme="minorEastAsia"/>
                <w:color w:val="000000" w:themeColor="text1"/>
                <w:szCs w:val="21"/>
              </w:rPr>
              <w:t>招商银行股份有限公司</w:t>
            </w:r>
            <w:r>
              <w:rPr>
                <w:rFonts w:eastAsiaTheme="minorEastAsia"/>
                <w:color w:val="000000" w:themeColor="text1"/>
                <w:szCs w:val="21"/>
              </w:rPr>
              <w:t>(“</w:t>
            </w:r>
            <w:r>
              <w:rPr>
                <w:rFonts w:eastAsiaTheme="minorEastAsia"/>
                <w:color w:val="000000" w:themeColor="text1"/>
                <w:szCs w:val="21"/>
              </w:rPr>
              <w:t>招商银行</w:t>
            </w:r>
            <w:r>
              <w:rPr>
                <w:rFonts w:eastAsiaTheme="minorEastAsia"/>
                <w:color w:val="000000" w:themeColor="text1"/>
                <w:szCs w:val="21"/>
              </w:rPr>
              <w:t>”)</w:t>
            </w:r>
          </w:p>
        </w:tc>
        <w:tc>
          <w:tcPr>
            <w:tcW w:w="4180" w:type="dxa"/>
            <w:vAlign w:val="center"/>
          </w:tcPr>
          <w:p w:rsidR="00E33B47" w:rsidRDefault="00B95AF3">
            <w:pPr>
              <w:jc w:val="center"/>
            </w:pPr>
            <w:r>
              <w:rPr>
                <w:rFonts w:eastAsiaTheme="minorEastAsia"/>
                <w:color w:val="000000" w:themeColor="text1"/>
                <w:szCs w:val="21"/>
              </w:rPr>
              <w:t>基金托管人、基金销售机构</w:t>
            </w:r>
          </w:p>
        </w:tc>
      </w:tr>
      <w:tr w:rsidR="00E33B47">
        <w:tc>
          <w:tcPr>
            <w:tcW w:w="4820" w:type="dxa"/>
            <w:vAlign w:val="center"/>
          </w:tcPr>
          <w:p w:rsidR="00E33B47" w:rsidRDefault="00B95AF3">
            <w:pPr>
              <w:jc w:val="left"/>
            </w:pPr>
            <w:r>
              <w:rPr>
                <w:rFonts w:eastAsiaTheme="minorEastAsia"/>
                <w:color w:val="000000" w:themeColor="text1"/>
                <w:szCs w:val="21"/>
              </w:rPr>
              <w:t>香港上海汇丰银行有限公司</w:t>
            </w:r>
            <w:r>
              <w:rPr>
                <w:rFonts w:eastAsiaTheme="minorEastAsia"/>
                <w:color w:val="000000" w:themeColor="text1"/>
                <w:szCs w:val="21"/>
              </w:rPr>
              <w:t>(“</w:t>
            </w:r>
            <w:r>
              <w:rPr>
                <w:rFonts w:eastAsiaTheme="minorEastAsia"/>
                <w:color w:val="000000" w:themeColor="text1"/>
                <w:szCs w:val="21"/>
              </w:rPr>
              <w:t>汇丰银行</w:t>
            </w:r>
            <w:r>
              <w:rPr>
                <w:rFonts w:eastAsiaTheme="minorEastAsia"/>
                <w:color w:val="000000" w:themeColor="text1"/>
                <w:szCs w:val="21"/>
              </w:rPr>
              <w:t>”)</w:t>
            </w:r>
          </w:p>
        </w:tc>
        <w:tc>
          <w:tcPr>
            <w:tcW w:w="4180" w:type="dxa"/>
            <w:vAlign w:val="center"/>
          </w:tcPr>
          <w:p w:rsidR="00E33B47" w:rsidRDefault="00B95AF3">
            <w:pPr>
              <w:jc w:val="center"/>
            </w:pPr>
            <w:r>
              <w:rPr>
                <w:rFonts w:eastAsiaTheme="minorEastAsia"/>
                <w:color w:val="000000" w:themeColor="text1"/>
                <w:szCs w:val="21"/>
              </w:rPr>
              <w:t>境外资产托管人</w:t>
            </w:r>
          </w:p>
        </w:tc>
      </w:tr>
      <w:tr w:rsidR="00E33B47">
        <w:tc>
          <w:tcPr>
            <w:tcW w:w="4820" w:type="dxa"/>
            <w:vAlign w:val="center"/>
          </w:tcPr>
          <w:p w:rsidR="00E33B47" w:rsidRDefault="00B95AF3">
            <w:pPr>
              <w:jc w:val="left"/>
            </w:pPr>
            <w:r>
              <w:rPr>
                <w:rFonts w:eastAsiaTheme="minorEastAsia"/>
                <w:color w:val="000000" w:themeColor="text1"/>
                <w:szCs w:val="21"/>
              </w:rPr>
              <w:lastRenderedPageBreak/>
              <w:t>上海国际信托有限公司</w:t>
            </w:r>
            <w:r>
              <w:rPr>
                <w:rFonts w:eastAsiaTheme="minorEastAsia"/>
                <w:color w:val="000000" w:themeColor="text1"/>
                <w:szCs w:val="21"/>
              </w:rPr>
              <w:t>(“</w:t>
            </w:r>
            <w:r>
              <w:rPr>
                <w:rFonts w:eastAsiaTheme="minorEastAsia"/>
                <w:color w:val="000000" w:themeColor="text1"/>
                <w:szCs w:val="21"/>
              </w:rPr>
              <w:t>上海信托</w:t>
            </w:r>
            <w:r>
              <w:rPr>
                <w:rFonts w:eastAsiaTheme="minorEastAsia"/>
                <w:color w:val="000000" w:themeColor="text1"/>
                <w:szCs w:val="21"/>
              </w:rPr>
              <w:t>”)</w:t>
            </w:r>
          </w:p>
        </w:tc>
        <w:tc>
          <w:tcPr>
            <w:tcW w:w="4180" w:type="dxa"/>
            <w:vAlign w:val="center"/>
          </w:tcPr>
          <w:p w:rsidR="00E33B47" w:rsidRDefault="00B95AF3">
            <w:pPr>
              <w:jc w:val="center"/>
            </w:pPr>
            <w:r>
              <w:rPr>
                <w:rFonts w:eastAsiaTheme="minorEastAsia"/>
                <w:color w:val="000000" w:themeColor="text1"/>
                <w:szCs w:val="21"/>
              </w:rPr>
              <w:t>基金管理人的股东</w:t>
            </w:r>
          </w:p>
        </w:tc>
      </w:tr>
      <w:tr w:rsidR="00E33B47">
        <w:tc>
          <w:tcPr>
            <w:tcW w:w="4820" w:type="dxa"/>
            <w:vAlign w:val="center"/>
          </w:tcPr>
          <w:p w:rsidR="00E33B47" w:rsidRDefault="00B95AF3">
            <w:pPr>
              <w:jc w:val="left"/>
            </w:pPr>
            <w:r>
              <w:rPr>
                <w:rFonts w:eastAsiaTheme="minorEastAsia"/>
                <w:color w:val="000000" w:themeColor="text1"/>
                <w:szCs w:val="21"/>
              </w:rPr>
              <w:t>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w:t>
            </w:r>
          </w:p>
        </w:tc>
        <w:tc>
          <w:tcPr>
            <w:tcW w:w="4180" w:type="dxa"/>
            <w:vAlign w:val="center"/>
          </w:tcPr>
          <w:p w:rsidR="00E33B47" w:rsidRDefault="00B95AF3">
            <w:pPr>
              <w:jc w:val="center"/>
            </w:pPr>
            <w:r>
              <w:rPr>
                <w:rFonts w:eastAsiaTheme="minorEastAsia"/>
                <w:color w:val="000000" w:themeColor="text1"/>
                <w:szCs w:val="21"/>
              </w:rPr>
              <w:t>基金管理人的股东</w:t>
            </w:r>
          </w:p>
        </w:tc>
      </w:tr>
      <w:tr w:rsidR="00E33B47">
        <w:tc>
          <w:tcPr>
            <w:tcW w:w="4820" w:type="dxa"/>
            <w:vAlign w:val="center"/>
          </w:tcPr>
          <w:p w:rsidR="00E33B47" w:rsidRDefault="00B95AF3">
            <w:pPr>
              <w:jc w:val="left"/>
            </w:pPr>
            <w:r>
              <w:rPr>
                <w:rFonts w:eastAsiaTheme="minorEastAsia"/>
                <w:color w:val="000000" w:themeColor="text1"/>
                <w:szCs w:val="21"/>
              </w:rPr>
              <w:t>上海浦东发展银行股份有限公司</w:t>
            </w:r>
            <w:r>
              <w:rPr>
                <w:rFonts w:eastAsiaTheme="minorEastAsia"/>
                <w:color w:val="000000" w:themeColor="text1"/>
                <w:szCs w:val="21"/>
              </w:rPr>
              <w:t>(“</w:t>
            </w:r>
            <w:r>
              <w:rPr>
                <w:rFonts w:eastAsiaTheme="minorEastAsia"/>
                <w:color w:val="000000" w:themeColor="text1"/>
                <w:szCs w:val="21"/>
              </w:rPr>
              <w:t>浦发银行</w:t>
            </w:r>
            <w:r>
              <w:rPr>
                <w:rFonts w:eastAsiaTheme="minorEastAsia"/>
                <w:color w:val="000000" w:themeColor="text1"/>
                <w:szCs w:val="21"/>
              </w:rPr>
              <w:t>”)</w:t>
            </w:r>
          </w:p>
        </w:tc>
        <w:tc>
          <w:tcPr>
            <w:tcW w:w="4180" w:type="dxa"/>
            <w:vAlign w:val="center"/>
          </w:tcPr>
          <w:p w:rsidR="00E33B47" w:rsidRDefault="00B95AF3">
            <w:pPr>
              <w:jc w:val="center"/>
            </w:pPr>
            <w:r>
              <w:rPr>
                <w:rFonts w:eastAsiaTheme="minorEastAsia"/>
                <w:color w:val="000000" w:themeColor="text1"/>
                <w:szCs w:val="21"/>
              </w:rPr>
              <w:t>基金管理人的股东上海国际信托有限公司的控股股东、基金销售机构</w:t>
            </w:r>
          </w:p>
        </w:tc>
      </w:tr>
      <w:tr w:rsidR="00E33B47">
        <w:tc>
          <w:tcPr>
            <w:tcW w:w="4820" w:type="dxa"/>
            <w:vAlign w:val="center"/>
          </w:tcPr>
          <w:p w:rsidR="00E33B47" w:rsidRDefault="00B95AF3">
            <w:pPr>
              <w:jc w:val="left"/>
            </w:pPr>
            <w:r>
              <w:rPr>
                <w:rFonts w:eastAsiaTheme="minorEastAsia"/>
                <w:color w:val="000000" w:themeColor="text1"/>
                <w:szCs w:val="21"/>
              </w:rPr>
              <w:t>尚腾资本管理有限公司</w:t>
            </w:r>
          </w:p>
        </w:tc>
        <w:tc>
          <w:tcPr>
            <w:tcW w:w="4180" w:type="dxa"/>
            <w:vAlign w:val="center"/>
          </w:tcPr>
          <w:p w:rsidR="00E33B47" w:rsidRDefault="00B95AF3">
            <w:pPr>
              <w:jc w:val="center"/>
            </w:pPr>
            <w:r>
              <w:rPr>
                <w:rFonts w:eastAsiaTheme="minorEastAsia"/>
                <w:color w:val="000000" w:themeColor="text1"/>
                <w:szCs w:val="21"/>
              </w:rPr>
              <w:t>基金管理人的子公司</w:t>
            </w:r>
          </w:p>
        </w:tc>
      </w:tr>
      <w:tr w:rsidR="00E33B47">
        <w:tc>
          <w:tcPr>
            <w:tcW w:w="4820" w:type="dxa"/>
            <w:vAlign w:val="center"/>
          </w:tcPr>
          <w:p w:rsidR="00E33B47" w:rsidRDefault="00B95AF3">
            <w:pPr>
              <w:jc w:val="left"/>
            </w:pPr>
            <w:r>
              <w:rPr>
                <w:rFonts w:eastAsiaTheme="minorEastAsia"/>
                <w:color w:val="000000" w:themeColor="text1"/>
                <w:szCs w:val="21"/>
              </w:rPr>
              <w:t>上投摩根资产管理</w:t>
            </w:r>
            <w:r>
              <w:rPr>
                <w:rFonts w:eastAsiaTheme="minorEastAsia"/>
                <w:color w:val="000000" w:themeColor="text1"/>
                <w:szCs w:val="21"/>
              </w:rPr>
              <w:t>(</w:t>
            </w:r>
            <w:r>
              <w:rPr>
                <w:rFonts w:eastAsiaTheme="minorEastAsia"/>
                <w:color w:val="000000" w:themeColor="text1"/>
                <w:szCs w:val="21"/>
              </w:rPr>
              <w:t>香港</w:t>
            </w:r>
            <w:r>
              <w:rPr>
                <w:rFonts w:eastAsiaTheme="minorEastAsia"/>
                <w:color w:val="000000" w:themeColor="text1"/>
                <w:szCs w:val="21"/>
              </w:rPr>
              <w:t>)</w:t>
            </w:r>
            <w:r>
              <w:rPr>
                <w:rFonts w:eastAsiaTheme="minorEastAsia"/>
                <w:color w:val="000000" w:themeColor="text1"/>
                <w:szCs w:val="21"/>
              </w:rPr>
              <w:t>有限公司</w:t>
            </w:r>
          </w:p>
        </w:tc>
        <w:tc>
          <w:tcPr>
            <w:tcW w:w="4180" w:type="dxa"/>
            <w:vAlign w:val="center"/>
          </w:tcPr>
          <w:p w:rsidR="00E33B47" w:rsidRDefault="00B95AF3">
            <w:pPr>
              <w:jc w:val="center"/>
            </w:pPr>
            <w:r>
              <w:rPr>
                <w:rFonts w:eastAsiaTheme="minorEastAsia"/>
                <w:color w:val="000000" w:themeColor="text1"/>
                <w:szCs w:val="21"/>
              </w:rPr>
              <w:t>基金管理人的子公司</w:t>
            </w:r>
          </w:p>
        </w:tc>
      </w:tr>
      <w:tr w:rsidR="00E33B47">
        <w:tc>
          <w:tcPr>
            <w:tcW w:w="4820" w:type="dxa"/>
            <w:vAlign w:val="center"/>
          </w:tcPr>
          <w:p w:rsidR="00E33B47" w:rsidRDefault="00B95AF3">
            <w:pPr>
              <w:jc w:val="left"/>
            </w:pPr>
            <w:r>
              <w:rPr>
                <w:rFonts w:eastAsiaTheme="minorEastAsia"/>
                <w:color w:val="000000" w:themeColor="text1"/>
                <w:szCs w:val="21"/>
              </w:rPr>
              <w:t>上海国利货币经纪有限公司</w:t>
            </w:r>
          </w:p>
        </w:tc>
        <w:tc>
          <w:tcPr>
            <w:tcW w:w="4180" w:type="dxa"/>
            <w:vAlign w:val="center"/>
          </w:tcPr>
          <w:p w:rsidR="00E33B47" w:rsidRDefault="00B95AF3">
            <w:pPr>
              <w:jc w:val="center"/>
            </w:pPr>
            <w:r>
              <w:rPr>
                <w:rFonts w:eastAsiaTheme="minorEastAsia"/>
                <w:color w:val="000000" w:themeColor="text1"/>
                <w:szCs w:val="21"/>
              </w:rPr>
              <w:t>基金管理人的股东上海国际信托有限公司控制的公司</w:t>
            </w:r>
          </w:p>
        </w:tc>
      </w:tr>
      <w:tr w:rsidR="00E33B47">
        <w:tc>
          <w:tcPr>
            <w:tcW w:w="4820" w:type="dxa"/>
            <w:vAlign w:val="center"/>
          </w:tcPr>
          <w:p w:rsidR="00E33B47" w:rsidRDefault="00B95AF3">
            <w:pPr>
              <w:jc w:val="left"/>
            </w:pPr>
            <w:r>
              <w:rPr>
                <w:rFonts w:eastAsiaTheme="minorEastAsia"/>
                <w:color w:val="000000" w:themeColor="text1"/>
                <w:szCs w:val="21"/>
              </w:rPr>
              <w:t>上信资产管理有限公司</w:t>
            </w:r>
          </w:p>
        </w:tc>
        <w:tc>
          <w:tcPr>
            <w:tcW w:w="4180" w:type="dxa"/>
            <w:vAlign w:val="center"/>
          </w:tcPr>
          <w:p w:rsidR="00E33B47" w:rsidRDefault="00B95AF3">
            <w:pPr>
              <w:jc w:val="center"/>
            </w:pPr>
            <w:r>
              <w:rPr>
                <w:rFonts w:eastAsiaTheme="minorEastAsia"/>
                <w:color w:val="000000" w:themeColor="text1"/>
                <w:szCs w:val="21"/>
              </w:rPr>
              <w:t>基金管理人的股东上海国际信托有限公司控制的公司</w:t>
            </w:r>
          </w:p>
        </w:tc>
      </w:tr>
      <w:tr w:rsidR="00E33B47">
        <w:tc>
          <w:tcPr>
            <w:tcW w:w="4820" w:type="dxa"/>
            <w:vAlign w:val="center"/>
          </w:tcPr>
          <w:p w:rsidR="00E33B47" w:rsidRDefault="00B95AF3">
            <w:pPr>
              <w:jc w:val="left"/>
            </w:pPr>
            <w:r>
              <w:rPr>
                <w:rFonts w:eastAsiaTheme="minorEastAsia"/>
                <w:color w:val="000000" w:themeColor="text1"/>
                <w:szCs w:val="21"/>
              </w:rPr>
              <w:t>J.P. Morgan Securities Limited.</w:t>
            </w:r>
          </w:p>
        </w:tc>
        <w:tc>
          <w:tcPr>
            <w:tcW w:w="4180" w:type="dxa"/>
            <w:vAlign w:val="center"/>
          </w:tcPr>
          <w:p w:rsidR="00E33B47" w:rsidRDefault="00B95AF3">
            <w:pPr>
              <w:jc w:val="center"/>
            </w:pPr>
            <w:r>
              <w:rPr>
                <w:rFonts w:eastAsiaTheme="minorEastAsia"/>
                <w:color w:val="000000" w:themeColor="text1"/>
                <w:szCs w:val="21"/>
              </w:rPr>
              <w:t>境外证券经纪商</w:t>
            </w:r>
          </w:p>
        </w:tc>
      </w:tr>
      <w:tr w:rsidR="00E33B47">
        <w:tc>
          <w:tcPr>
            <w:tcW w:w="4820" w:type="dxa"/>
            <w:vAlign w:val="center"/>
          </w:tcPr>
          <w:p w:rsidR="00E33B47" w:rsidRDefault="00B95AF3">
            <w:pPr>
              <w:jc w:val="left"/>
            </w:pPr>
            <w:r>
              <w:rPr>
                <w:rFonts w:eastAsiaTheme="minorEastAsia"/>
                <w:color w:val="000000" w:themeColor="text1"/>
                <w:szCs w:val="21"/>
              </w:rPr>
              <w:t>J.P. Morgan 8CS Investments (GP) Limited</w:t>
            </w:r>
          </w:p>
        </w:tc>
        <w:tc>
          <w:tcPr>
            <w:tcW w:w="4180" w:type="dxa"/>
            <w:vAlign w:val="center"/>
          </w:tcPr>
          <w:p w:rsidR="00E33B47" w:rsidRDefault="00B95AF3">
            <w:pPr>
              <w:jc w:val="center"/>
            </w:pPr>
            <w:r>
              <w:rPr>
                <w:rFonts w:eastAsiaTheme="minorEastAsia"/>
                <w:color w:val="000000" w:themeColor="text1"/>
                <w:szCs w:val="21"/>
              </w:rPr>
              <w:t>基金管理人的股东摩根资产管理</w:t>
            </w:r>
            <w:r>
              <w:rPr>
                <w:rFonts w:eastAsiaTheme="minorEastAsia"/>
                <w:color w:val="000000" w:themeColor="text1"/>
                <w:szCs w:val="21"/>
              </w:rPr>
              <w:t>(</w:t>
            </w:r>
            <w:r>
              <w:rPr>
                <w:rFonts w:eastAsiaTheme="minorEastAsia"/>
                <w:color w:val="000000" w:themeColor="text1"/>
                <w:szCs w:val="21"/>
              </w:rPr>
              <w:t>英国</w:t>
            </w:r>
            <w:r>
              <w:rPr>
                <w:rFonts w:eastAsiaTheme="minorEastAsia"/>
                <w:color w:val="000000" w:themeColor="text1"/>
                <w:szCs w:val="21"/>
              </w:rPr>
              <w:t>)</w:t>
            </w:r>
            <w:r>
              <w:rPr>
                <w:rFonts w:eastAsiaTheme="minorEastAsia"/>
                <w:color w:val="000000" w:themeColor="text1"/>
                <w:szCs w:val="21"/>
              </w:rPr>
              <w:t>有限公司控制的公司</w:t>
            </w:r>
          </w:p>
        </w:tc>
      </w:tr>
    </w:tbl>
    <w:p w:rsidR="00E33B47" w:rsidRDefault="00B95AF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注：下述关联交易均在正常业务范围内按一般商业条款订立。</w:t>
      </w:r>
    </w:p>
    <w:p w:rsidR="007B62FA" w:rsidRPr="00E60957" w:rsidRDefault="007B62FA" w:rsidP="009C3167">
      <w:pPr>
        <w:spacing w:beforeLines="100" w:before="312" w:line="360" w:lineRule="auto"/>
        <w:rPr>
          <w:rFonts w:eastAsiaTheme="minorEastAsia"/>
          <w:b/>
          <w:color w:val="000000" w:themeColor="text1"/>
          <w:kern w:val="0"/>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8</w:t>
      </w:r>
      <w:r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本报告期及上年度可比期间的关联方交易</w:t>
      </w:r>
    </w:p>
    <w:p w:rsidR="007B62FA" w:rsidRPr="00E60957" w:rsidRDefault="007B62FA" w:rsidP="009138EB">
      <w:pPr>
        <w:autoSpaceDE w:val="0"/>
        <w:autoSpaceDN w:val="0"/>
        <w:adjustRightInd w:val="0"/>
        <w:spacing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8</w:t>
      </w:r>
      <w:r w:rsidRPr="00E60957">
        <w:rPr>
          <w:rFonts w:eastAsiaTheme="minorEastAsia"/>
          <w:b/>
          <w:bCs/>
          <w:color w:val="000000" w:themeColor="text1"/>
          <w:kern w:val="0"/>
          <w:szCs w:val="21"/>
        </w:rPr>
        <w:t>.1</w:t>
      </w:r>
      <w:r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通过关联方交易单元进行的交易</w:t>
      </w:r>
    </w:p>
    <w:p w:rsidR="007B62FA" w:rsidRPr="00E60957" w:rsidRDefault="007B62FA" w:rsidP="009C3167">
      <w:pPr>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8</w:t>
      </w:r>
      <w:r w:rsidRPr="00E60957">
        <w:rPr>
          <w:rFonts w:eastAsiaTheme="minorEastAsia"/>
          <w:b/>
          <w:bCs/>
          <w:color w:val="000000" w:themeColor="text1"/>
          <w:kern w:val="0"/>
          <w:szCs w:val="21"/>
        </w:rPr>
        <w:t>.1.1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应支付关联方的佣金</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9C3167">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8</w:t>
      </w:r>
      <w:r w:rsidRPr="00E60957">
        <w:rPr>
          <w:rFonts w:eastAsiaTheme="minorEastAsia"/>
          <w:b/>
          <w:bCs/>
          <w:color w:val="000000" w:themeColor="text1"/>
          <w:kern w:val="0"/>
          <w:szCs w:val="21"/>
        </w:rPr>
        <w:t>.2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关联方报酬</w:t>
      </w:r>
    </w:p>
    <w:p w:rsidR="007B62FA" w:rsidRPr="00E60957" w:rsidRDefault="007B62FA" w:rsidP="00192ECC">
      <w:pPr>
        <w:autoSpaceDE w:val="0"/>
        <w:autoSpaceDN w:val="0"/>
        <w:adjustRightInd w:val="0"/>
        <w:spacing w:before="29"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8</w:t>
      </w:r>
      <w:r w:rsidRPr="00E60957">
        <w:rPr>
          <w:rFonts w:eastAsiaTheme="minorEastAsia"/>
          <w:b/>
          <w:bCs/>
          <w:color w:val="000000" w:themeColor="text1"/>
          <w:kern w:val="0"/>
          <w:szCs w:val="21"/>
        </w:rPr>
        <w:t>.2.1</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基金管理费</w:t>
      </w:r>
    </w:p>
    <w:p w:rsidR="007B62FA" w:rsidRPr="00E60957"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E60957">
        <w:rPr>
          <w:rFonts w:eastAsiaTheme="minorEastAsia"/>
          <w:color w:val="000000" w:themeColor="text1"/>
          <w:szCs w:val="21"/>
        </w:rPr>
        <w:t>单位：</w:t>
      </w:r>
      <w:r w:rsidRPr="00E60957">
        <w:rPr>
          <w:rFonts w:eastAsiaTheme="minorEastAsia"/>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E60957" w:rsidRPr="00E60957" w:rsidTr="007E1697">
        <w:tc>
          <w:tcPr>
            <w:tcW w:w="382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2017</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2017</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7E1697">
        <w:tc>
          <w:tcPr>
            <w:tcW w:w="3828"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当期发生的基金应支付的管理费</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15,858,718.86</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11,941,259.83</w:t>
            </w:r>
          </w:p>
        </w:tc>
      </w:tr>
      <w:tr w:rsidR="00E60957" w:rsidRPr="00E60957" w:rsidTr="007E1697">
        <w:tc>
          <w:tcPr>
            <w:tcW w:w="3828"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其中：支付销售机构的客户维护费</w:t>
            </w:r>
          </w:p>
        </w:tc>
        <w:tc>
          <w:tcPr>
            <w:tcW w:w="2586" w:type="dxa"/>
            <w:vAlign w:val="center"/>
          </w:tcPr>
          <w:p w:rsidR="007B62FA" w:rsidRPr="00E60957" w:rsidRDefault="00B95AF3" w:rsidP="00417F87">
            <w:pPr>
              <w:spacing w:line="360" w:lineRule="auto"/>
              <w:jc w:val="right"/>
              <w:rPr>
                <w:rFonts w:eastAsiaTheme="minorEastAsia"/>
                <w:color w:val="000000" w:themeColor="text1"/>
                <w:szCs w:val="21"/>
              </w:rPr>
            </w:pPr>
            <w:r w:rsidRPr="004F3FAD">
              <w:rPr>
                <w:rFonts w:eastAsiaTheme="minorEastAsia" w:hint="eastAsia"/>
                <w:color w:val="000000" w:themeColor="text1"/>
                <w:szCs w:val="21"/>
              </w:rPr>
              <w:t>5,791,232.40</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4,121,874.30</w:t>
            </w:r>
          </w:p>
        </w:tc>
      </w:tr>
    </w:tbl>
    <w:p w:rsidR="00E33B47" w:rsidRDefault="00B95AF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注：支付基金管理人上投摩根基金管理有限公司的管理人报酬按前一日基金资产净值</w:t>
      </w:r>
      <w:r>
        <w:rPr>
          <w:rFonts w:eastAsiaTheme="minorEastAsia"/>
          <w:color w:val="000000" w:themeColor="text1"/>
          <w:szCs w:val="21"/>
        </w:rPr>
        <w:t>1.6%</w:t>
      </w:r>
      <w:r>
        <w:rPr>
          <w:rFonts w:eastAsiaTheme="minorEastAsia"/>
          <w:color w:val="000000" w:themeColor="text1"/>
          <w:szCs w:val="21"/>
        </w:rPr>
        <w:t>的年费率计提，逐日累计至每月月底，按月支付。其计算公式为：</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日管理人报酬＝前一日基金资产净值</w:t>
      </w:r>
      <w:r w:rsidRPr="00E60957">
        <w:rPr>
          <w:rFonts w:eastAsiaTheme="minorEastAsia"/>
          <w:color w:val="000000" w:themeColor="text1"/>
          <w:szCs w:val="21"/>
        </w:rPr>
        <w:t xml:space="preserve"> X 1.6% / </w:t>
      </w:r>
      <w:r w:rsidRPr="00E60957">
        <w:rPr>
          <w:rFonts w:eastAsiaTheme="minorEastAsia"/>
          <w:color w:val="000000" w:themeColor="text1"/>
          <w:szCs w:val="21"/>
        </w:rPr>
        <w:t>当年天数。</w:t>
      </w:r>
    </w:p>
    <w:p w:rsidR="007B62FA" w:rsidRPr="00E60957" w:rsidRDefault="007B62FA" w:rsidP="009C3167">
      <w:pPr>
        <w:autoSpaceDE w:val="0"/>
        <w:autoSpaceDN w:val="0"/>
        <w:adjustRightInd w:val="0"/>
        <w:spacing w:beforeLines="100" w:before="312" w:line="360" w:lineRule="auto"/>
        <w:jc w:val="left"/>
        <w:rPr>
          <w:rFonts w:eastAsiaTheme="minorEastAsia"/>
          <w:b/>
          <w:color w:val="000000" w:themeColor="text1"/>
          <w:kern w:val="0"/>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8</w:t>
      </w:r>
      <w:r w:rsidRPr="00E60957">
        <w:rPr>
          <w:rFonts w:eastAsiaTheme="minorEastAsia"/>
          <w:b/>
          <w:bCs/>
          <w:color w:val="000000" w:themeColor="text1"/>
          <w:kern w:val="0"/>
          <w:szCs w:val="21"/>
        </w:rPr>
        <w:t>.2.2</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kern w:val="0"/>
          <w:szCs w:val="21"/>
        </w:rPr>
        <w:t>基金托管费</w:t>
      </w:r>
    </w:p>
    <w:p w:rsidR="007B62FA" w:rsidRPr="00E60957"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E60957">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586"/>
        <w:gridCol w:w="2586"/>
      </w:tblGrid>
      <w:tr w:rsidR="00E60957" w:rsidRPr="00E60957" w:rsidTr="00D55AD2">
        <w:tc>
          <w:tcPr>
            <w:tcW w:w="382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lastRenderedPageBreak/>
              <w:t>项目</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2586" w:type="dxa"/>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2017</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2017</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D55AD2">
        <w:tc>
          <w:tcPr>
            <w:tcW w:w="3828"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当期发生的基金应支付的托管费</w:t>
            </w:r>
          </w:p>
        </w:tc>
        <w:tc>
          <w:tcPr>
            <w:tcW w:w="2586" w:type="dxa"/>
            <w:vAlign w:val="center"/>
          </w:tcPr>
          <w:p w:rsidR="007B62FA" w:rsidRPr="00E60957" w:rsidRDefault="007B62FA" w:rsidP="00417F87">
            <w:pPr>
              <w:spacing w:line="360" w:lineRule="auto"/>
              <w:jc w:val="right"/>
              <w:rPr>
                <w:rFonts w:eastAsiaTheme="minorEastAsia"/>
                <w:color w:val="000000" w:themeColor="text1"/>
                <w:kern w:val="0"/>
                <w:szCs w:val="21"/>
              </w:rPr>
            </w:pPr>
            <w:r w:rsidRPr="00E60957">
              <w:rPr>
                <w:rFonts w:eastAsiaTheme="minorEastAsia"/>
                <w:color w:val="000000" w:themeColor="text1"/>
                <w:szCs w:val="21"/>
              </w:rPr>
              <w:t>2,477,924.86</w:t>
            </w:r>
          </w:p>
        </w:tc>
        <w:tc>
          <w:tcPr>
            <w:tcW w:w="2586"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1,865,821.85</w:t>
            </w:r>
          </w:p>
        </w:tc>
      </w:tr>
    </w:tbl>
    <w:p w:rsidR="00E33B47" w:rsidRDefault="00B95AF3">
      <w:pPr>
        <w:widowControl/>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注：支付基金托管人招商银行的托管费按前一日基金资产净值</w:t>
      </w:r>
      <w:r>
        <w:rPr>
          <w:rFonts w:eastAsiaTheme="minorEastAsia"/>
          <w:color w:val="000000" w:themeColor="text1"/>
          <w:szCs w:val="21"/>
        </w:rPr>
        <w:t>0.25%</w:t>
      </w:r>
      <w:r>
        <w:rPr>
          <w:rFonts w:eastAsiaTheme="minorEastAsia"/>
          <w:color w:val="000000" w:themeColor="text1"/>
          <w:szCs w:val="21"/>
        </w:rPr>
        <w:t>的年费率计提，逐日累计至每月月底，按月支付。其计算公式为：</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日托管费＝前一日基金资产净值</w:t>
      </w:r>
      <w:r w:rsidRPr="00E60957">
        <w:rPr>
          <w:rFonts w:eastAsiaTheme="minorEastAsia"/>
          <w:color w:val="000000" w:themeColor="text1"/>
          <w:szCs w:val="21"/>
        </w:rPr>
        <w:t xml:space="preserve"> X 0.25% / </w:t>
      </w:r>
      <w:r w:rsidRPr="00E60957">
        <w:rPr>
          <w:rFonts w:eastAsiaTheme="minorEastAsia"/>
          <w:color w:val="000000" w:themeColor="text1"/>
          <w:szCs w:val="21"/>
        </w:rPr>
        <w:t>当年天数。</w:t>
      </w:r>
    </w:p>
    <w:p w:rsidR="007B62FA" w:rsidRPr="00E60957" w:rsidRDefault="007B62FA" w:rsidP="009C3167">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8</w:t>
      </w:r>
      <w:r w:rsidRPr="00E60957">
        <w:rPr>
          <w:rFonts w:eastAsiaTheme="minorEastAsia"/>
          <w:b/>
          <w:bCs/>
          <w:color w:val="000000" w:themeColor="text1"/>
          <w:kern w:val="0"/>
          <w:szCs w:val="21"/>
        </w:rPr>
        <w:t>.3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与关联方进行银行间同业市场的债券</w:t>
      </w:r>
      <w:r w:rsidRPr="00E60957">
        <w:rPr>
          <w:rFonts w:eastAsiaTheme="minorEastAsia"/>
          <w:b/>
          <w:bCs/>
          <w:color w:val="000000" w:themeColor="text1"/>
          <w:szCs w:val="21"/>
        </w:rPr>
        <w:t>(</w:t>
      </w:r>
      <w:r w:rsidRPr="00E60957">
        <w:rPr>
          <w:rFonts w:eastAsiaTheme="minorEastAsia"/>
          <w:b/>
          <w:bCs/>
          <w:color w:val="000000" w:themeColor="text1"/>
          <w:szCs w:val="21"/>
        </w:rPr>
        <w:t>含回购</w:t>
      </w:r>
      <w:r w:rsidRPr="00E60957">
        <w:rPr>
          <w:rFonts w:eastAsiaTheme="minorEastAsia"/>
          <w:b/>
          <w:bCs/>
          <w:color w:val="000000" w:themeColor="text1"/>
          <w:szCs w:val="21"/>
        </w:rPr>
        <w:t>)</w:t>
      </w:r>
      <w:r w:rsidRPr="00E60957">
        <w:rPr>
          <w:rFonts w:eastAsiaTheme="minorEastAsia"/>
          <w:b/>
          <w:bCs/>
          <w:color w:val="000000" w:themeColor="text1"/>
          <w:szCs w:val="21"/>
        </w:rPr>
        <w:t>交易</w:t>
      </w:r>
    </w:p>
    <w:p w:rsidR="007B62FA" w:rsidRPr="00E60957" w:rsidRDefault="00AE30D0" w:rsidP="00215394">
      <w:pPr>
        <w:tabs>
          <w:tab w:val="left" w:pos="426"/>
        </w:tabs>
        <w:spacing w:line="360" w:lineRule="auto"/>
        <w:ind w:firstLineChars="200" w:firstLine="420"/>
        <w:jc w:val="left"/>
        <w:rPr>
          <w:rFonts w:eastAsiaTheme="minorEastAsia"/>
          <w:color w:val="000000" w:themeColor="text1"/>
          <w:kern w:val="0"/>
          <w:szCs w:val="21"/>
        </w:rPr>
      </w:pPr>
      <w:r w:rsidRPr="00E60957">
        <w:rPr>
          <w:rFonts w:eastAsiaTheme="minorEastAsia"/>
          <w:color w:val="000000" w:themeColor="text1"/>
          <w:kern w:val="0"/>
          <w:szCs w:val="21"/>
        </w:rPr>
        <w:t>无。</w:t>
      </w:r>
    </w:p>
    <w:p w:rsidR="007B62FA" w:rsidRPr="00E60957" w:rsidRDefault="007B62FA" w:rsidP="009C3167">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8</w:t>
      </w:r>
      <w:r w:rsidRPr="00E60957">
        <w:rPr>
          <w:rFonts w:eastAsiaTheme="minorEastAsia"/>
          <w:b/>
          <w:bCs/>
          <w:color w:val="000000" w:themeColor="text1"/>
          <w:kern w:val="0"/>
          <w:szCs w:val="21"/>
        </w:rPr>
        <w:t>.4</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各关联方投资本基金的情况</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9C3167">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8</w:t>
      </w:r>
      <w:r w:rsidRPr="00E60957">
        <w:rPr>
          <w:rFonts w:eastAsiaTheme="minorEastAsia"/>
          <w:b/>
          <w:bCs/>
          <w:color w:val="000000" w:themeColor="text1"/>
          <w:kern w:val="0"/>
          <w:szCs w:val="21"/>
        </w:rPr>
        <w:t>.5</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由关联方保管的银行存款余额及当期产生的利息收入</w:t>
      </w:r>
    </w:p>
    <w:p w:rsidR="007B62FA" w:rsidRPr="00E60957" w:rsidRDefault="007B62FA" w:rsidP="00417F87">
      <w:pPr>
        <w:autoSpaceDE w:val="0"/>
        <w:autoSpaceDN w:val="0"/>
        <w:adjustRightInd w:val="0"/>
        <w:spacing w:before="29" w:line="360" w:lineRule="auto"/>
        <w:ind w:left="15" w:right="210"/>
        <w:jc w:val="right"/>
        <w:rPr>
          <w:rFonts w:eastAsiaTheme="minorEastAsia"/>
          <w:color w:val="000000" w:themeColor="text1"/>
          <w:kern w:val="0"/>
          <w:szCs w:val="21"/>
        </w:rPr>
      </w:pPr>
      <w:r w:rsidRPr="00E60957">
        <w:rPr>
          <w:rFonts w:eastAsiaTheme="minorEastAsia"/>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E60957" w:rsidRPr="00E60957" w:rsidTr="00F17B8D">
        <w:tc>
          <w:tcPr>
            <w:tcW w:w="2694"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关联方名称</w:t>
            </w:r>
          </w:p>
        </w:tc>
        <w:tc>
          <w:tcPr>
            <w:tcW w:w="3153" w:type="dxa"/>
            <w:gridSpan w:val="2"/>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本期</w:t>
            </w:r>
          </w:p>
          <w:p w:rsidR="007B62FA" w:rsidRPr="00E60957" w:rsidRDefault="00ED2997" w:rsidP="00417F87">
            <w:pPr>
              <w:widowControl/>
              <w:autoSpaceDE w:val="0"/>
              <w:autoSpaceDN w:val="0"/>
              <w:spacing w:line="360" w:lineRule="auto"/>
              <w:ind w:right="-15"/>
              <w:jc w:val="center"/>
              <w:textAlignment w:val="bottom"/>
              <w:rPr>
                <w:rFonts w:eastAsiaTheme="minorEastAsia"/>
                <w:color w:val="000000" w:themeColor="text1"/>
                <w:szCs w:val="21"/>
              </w:rPr>
            </w:pP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w:t>
            </w:r>
            <w:r w:rsidR="007B62FA" w:rsidRPr="00E60957">
              <w:rPr>
                <w:rFonts w:eastAsiaTheme="minorEastAsia"/>
                <w:color w:val="000000" w:themeColor="text1"/>
                <w:szCs w:val="21"/>
              </w:rPr>
              <w:t>至</w:t>
            </w:r>
            <w:r w:rsidRPr="00E60957">
              <w:rPr>
                <w:rFonts w:eastAsiaTheme="minorEastAsia"/>
                <w:color w:val="000000" w:themeColor="text1"/>
                <w:szCs w:val="21"/>
              </w:rPr>
              <w:t>2018</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c>
          <w:tcPr>
            <w:tcW w:w="3153" w:type="dxa"/>
            <w:gridSpan w:val="2"/>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上年度可比期间</w:t>
            </w:r>
          </w:p>
          <w:p w:rsidR="007B62FA" w:rsidRPr="00E60957" w:rsidRDefault="009A2393" w:rsidP="00417F87">
            <w:pPr>
              <w:widowControl/>
              <w:autoSpaceDE w:val="0"/>
              <w:autoSpaceDN w:val="0"/>
              <w:spacing w:line="360" w:lineRule="auto"/>
              <w:ind w:right="-15"/>
              <w:jc w:val="center"/>
              <w:textAlignment w:val="bottom"/>
              <w:rPr>
                <w:rFonts w:eastAsiaTheme="minorEastAsia"/>
                <w:color w:val="000000" w:themeColor="text1"/>
                <w:kern w:val="0"/>
                <w:szCs w:val="21"/>
              </w:rPr>
            </w:pPr>
            <w:r w:rsidRPr="00E60957">
              <w:rPr>
                <w:rFonts w:eastAsiaTheme="minorEastAsia"/>
                <w:color w:val="000000" w:themeColor="text1"/>
                <w:szCs w:val="21"/>
              </w:rPr>
              <w:t>2017</w:t>
            </w:r>
            <w:r w:rsidRPr="00E60957">
              <w:rPr>
                <w:rFonts w:eastAsiaTheme="minorEastAsia"/>
                <w:color w:val="000000" w:themeColor="text1"/>
                <w:szCs w:val="21"/>
              </w:rPr>
              <w:t>年</w:t>
            </w:r>
            <w:r w:rsidRPr="00E60957">
              <w:rPr>
                <w:rFonts w:eastAsiaTheme="minorEastAsia"/>
                <w:color w:val="000000" w:themeColor="text1"/>
                <w:szCs w:val="21"/>
              </w:rPr>
              <w:t>1</w:t>
            </w:r>
            <w:r w:rsidRPr="00E60957">
              <w:rPr>
                <w:rFonts w:eastAsiaTheme="minorEastAsia"/>
                <w:color w:val="000000" w:themeColor="text1"/>
                <w:szCs w:val="21"/>
              </w:rPr>
              <w:t>月</w:t>
            </w:r>
            <w:r w:rsidRPr="00E60957">
              <w:rPr>
                <w:rFonts w:eastAsiaTheme="minorEastAsia"/>
                <w:color w:val="000000" w:themeColor="text1"/>
                <w:szCs w:val="21"/>
              </w:rPr>
              <w:t>1</w:t>
            </w:r>
            <w:r w:rsidRPr="00E60957">
              <w:rPr>
                <w:rFonts w:eastAsiaTheme="minorEastAsia"/>
                <w:color w:val="000000" w:themeColor="text1"/>
                <w:szCs w:val="21"/>
              </w:rPr>
              <w:t>日至</w:t>
            </w:r>
            <w:r w:rsidRPr="00E60957">
              <w:rPr>
                <w:rFonts w:eastAsiaTheme="minorEastAsia"/>
                <w:color w:val="000000" w:themeColor="text1"/>
                <w:szCs w:val="21"/>
              </w:rPr>
              <w:t>2017</w:t>
            </w:r>
            <w:r w:rsidRPr="00E60957">
              <w:rPr>
                <w:rFonts w:eastAsiaTheme="minorEastAsia"/>
                <w:color w:val="000000" w:themeColor="text1"/>
                <w:szCs w:val="21"/>
              </w:rPr>
              <w:t>年</w:t>
            </w:r>
            <w:r w:rsidRPr="00E60957">
              <w:rPr>
                <w:rFonts w:eastAsiaTheme="minorEastAsia"/>
                <w:color w:val="000000" w:themeColor="text1"/>
                <w:szCs w:val="21"/>
              </w:rPr>
              <w:t>12</w:t>
            </w:r>
            <w:r w:rsidRPr="00E60957">
              <w:rPr>
                <w:rFonts w:eastAsiaTheme="minorEastAsia"/>
                <w:color w:val="000000" w:themeColor="text1"/>
                <w:szCs w:val="21"/>
              </w:rPr>
              <w:t>月</w:t>
            </w:r>
            <w:r w:rsidRPr="00E60957">
              <w:rPr>
                <w:rFonts w:eastAsiaTheme="minorEastAsia"/>
                <w:color w:val="000000" w:themeColor="text1"/>
                <w:szCs w:val="21"/>
              </w:rPr>
              <w:t>31</w:t>
            </w:r>
            <w:r w:rsidRPr="00E60957">
              <w:rPr>
                <w:rFonts w:eastAsiaTheme="minorEastAsia"/>
                <w:color w:val="000000" w:themeColor="text1"/>
                <w:szCs w:val="21"/>
              </w:rPr>
              <w:t>日</w:t>
            </w:r>
          </w:p>
        </w:tc>
      </w:tr>
      <w:tr w:rsidR="00E60957" w:rsidRPr="00E60957" w:rsidTr="00F17B8D">
        <w:tc>
          <w:tcPr>
            <w:tcW w:w="2694"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1417"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期末余额</w:t>
            </w:r>
          </w:p>
        </w:tc>
        <w:tc>
          <w:tcPr>
            <w:tcW w:w="1736"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当期利息收入</w:t>
            </w:r>
          </w:p>
        </w:tc>
        <w:tc>
          <w:tcPr>
            <w:tcW w:w="1383"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期末余额</w:t>
            </w:r>
          </w:p>
        </w:tc>
        <w:tc>
          <w:tcPr>
            <w:tcW w:w="177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当期利息收入</w:t>
            </w:r>
          </w:p>
        </w:tc>
      </w:tr>
      <w:tr w:rsidR="00E33B47">
        <w:tc>
          <w:tcPr>
            <w:tcW w:w="2694" w:type="dxa"/>
            <w:vAlign w:val="center"/>
          </w:tcPr>
          <w:p w:rsidR="00E33B47" w:rsidRDefault="00B95AF3">
            <w:pPr>
              <w:jc w:val="left"/>
            </w:pPr>
            <w:r>
              <w:rPr>
                <w:rFonts w:eastAsiaTheme="minorEastAsia"/>
                <w:color w:val="000000" w:themeColor="text1"/>
                <w:szCs w:val="21"/>
              </w:rPr>
              <w:t>招商银行</w:t>
            </w:r>
          </w:p>
        </w:tc>
        <w:tc>
          <w:tcPr>
            <w:tcW w:w="1417" w:type="dxa"/>
            <w:vAlign w:val="center"/>
          </w:tcPr>
          <w:p w:rsidR="00E33B47" w:rsidRDefault="00B95AF3">
            <w:pPr>
              <w:jc w:val="right"/>
            </w:pPr>
            <w:r>
              <w:rPr>
                <w:rFonts w:eastAsiaTheme="minorEastAsia"/>
                <w:color w:val="000000" w:themeColor="text1"/>
                <w:szCs w:val="21"/>
              </w:rPr>
              <w:t>22,356,368.43</w:t>
            </w:r>
          </w:p>
        </w:tc>
        <w:tc>
          <w:tcPr>
            <w:tcW w:w="1736" w:type="dxa"/>
            <w:vAlign w:val="center"/>
          </w:tcPr>
          <w:p w:rsidR="00E33B47" w:rsidRDefault="00B95AF3">
            <w:pPr>
              <w:jc w:val="right"/>
            </w:pPr>
            <w:r>
              <w:rPr>
                <w:rFonts w:eastAsiaTheme="minorEastAsia"/>
                <w:color w:val="000000" w:themeColor="text1"/>
                <w:szCs w:val="21"/>
              </w:rPr>
              <w:t>319,686.88</w:t>
            </w:r>
          </w:p>
        </w:tc>
        <w:tc>
          <w:tcPr>
            <w:tcW w:w="1383" w:type="dxa"/>
            <w:vAlign w:val="center"/>
          </w:tcPr>
          <w:p w:rsidR="00E33B47" w:rsidRDefault="00B95AF3">
            <w:pPr>
              <w:jc w:val="right"/>
            </w:pPr>
            <w:r>
              <w:rPr>
                <w:rFonts w:eastAsiaTheme="minorEastAsia"/>
                <w:color w:val="000000" w:themeColor="text1"/>
                <w:szCs w:val="21"/>
              </w:rPr>
              <w:t>119,204,583.64</w:t>
            </w:r>
          </w:p>
        </w:tc>
        <w:tc>
          <w:tcPr>
            <w:tcW w:w="1770" w:type="dxa"/>
            <w:vAlign w:val="center"/>
          </w:tcPr>
          <w:p w:rsidR="00E33B47" w:rsidRDefault="00B95AF3">
            <w:pPr>
              <w:jc w:val="right"/>
            </w:pPr>
            <w:r>
              <w:rPr>
                <w:rFonts w:eastAsiaTheme="minorEastAsia"/>
                <w:color w:val="000000" w:themeColor="text1"/>
                <w:szCs w:val="21"/>
              </w:rPr>
              <w:t>371,007.42</w:t>
            </w:r>
          </w:p>
        </w:tc>
      </w:tr>
      <w:tr w:rsidR="00E33B47">
        <w:tc>
          <w:tcPr>
            <w:tcW w:w="2694" w:type="dxa"/>
            <w:vAlign w:val="center"/>
          </w:tcPr>
          <w:p w:rsidR="00E33B47" w:rsidRDefault="00B95AF3">
            <w:pPr>
              <w:jc w:val="left"/>
            </w:pPr>
            <w:r>
              <w:rPr>
                <w:rFonts w:eastAsiaTheme="minorEastAsia"/>
                <w:color w:val="000000" w:themeColor="text1"/>
                <w:szCs w:val="21"/>
              </w:rPr>
              <w:t>汇丰银行</w:t>
            </w:r>
          </w:p>
        </w:tc>
        <w:tc>
          <w:tcPr>
            <w:tcW w:w="1417" w:type="dxa"/>
            <w:vAlign w:val="center"/>
          </w:tcPr>
          <w:p w:rsidR="00E33B47" w:rsidRDefault="00B95AF3">
            <w:pPr>
              <w:jc w:val="right"/>
            </w:pPr>
            <w:r>
              <w:rPr>
                <w:rFonts w:eastAsiaTheme="minorEastAsia"/>
                <w:color w:val="000000" w:themeColor="text1"/>
                <w:szCs w:val="21"/>
              </w:rPr>
              <w:t>66,630,684.02</w:t>
            </w:r>
          </w:p>
        </w:tc>
        <w:tc>
          <w:tcPr>
            <w:tcW w:w="1736" w:type="dxa"/>
            <w:vAlign w:val="center"/>
          </w:tcPr>
          <w:p w:rsidR="00E33B47" w:rsidRDefault="00E95ADF">
            <w:pPr>
              <w:jc w:val="right"/>
            </w:pPr>
            <w:r>
              <w:rPr>
                <w:rFonts w:eastAsiaTheme="minorEastAsia"/>
                <w:color w:val="000000" w:themeColor="text1"/>
                <w:szCs w:val="21"/>
              </w:rPr>
              <w:t>281,362.41</w:t>
            </w:r>
          </w:p>
        </w:tc>
        <w:tc>
          <w:tcPr>
            <w:tcW w:w="1383" w:type="dxa"/>
            <w:vAlign w:val="center"/>
          </w:tcPr>
          <w:p w:rsidR="00E33B47" w:rsidRDefault="00B95AF3">
            <w:pPr>
              <w:jc w:val="right"/>
            </w:pPr>
            <w:r>
              <w:rPr>
                <w:rFonts w:eastAsiaTheme="minorEastAsia"/>
                <w:color w:val="000000" w:themeColor="text1"/>
                <w:szCs w:val="21"/>
              </w:rPr>
              <w:t>14,030,611.66</w:t>
            </w:r>
          </w:p>
        </w:tc>
        <w:tc>
          <w:tcPr>
            <w:tcW w:w="1770" w:type="dxa"/>
            <w:vAlign w:val="center"/>
          </w:tcPr>
          <w:p w:rsidR="00E33B47" w:rsidRDefault="00B95AF3">
            <w:pPr>
              <w:jc w:val="right"/>
            </w:pPr>
            <w:r>
              <w:rPr>
                <w:rFonts w:eastAsiaTheme="minorEastAsia"/>
                <w:color w:val="000000" w:themeColor="text1"/>
                <w:szCs w:val="21"/>
              </w:rPr>
              <w:t>-</w:t>
            </w:r>
          </w:p>
        </w:tc>
      </w:tr>
    </w:tbl>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注：本基金的银行存款分别由基金托管人招商银行和境外资产托管人汇丰银行保管，按适用利率计息。</w:t>
      </w:r>
    </w:p>
    <w:p w:rsidR="00AB007B" w:rsidRPr="00A73188" w:rsidRDefault="00AB007B" w:rsidP="009C3167">
      <w:pPr>
        <w:adjustRightInd w:val="0"/>
        <w:snapToGrid w:val="0"/>
        <w:spacing w:beforeLines="100" w:before="312" w:line="360" w:lineRule="auto"/>
        <w:rPr>
          <w:rFonts w:eastAsiaTheme="minorEastAsia"/>
          <w:b/>
          <w:color w:val="000000" w:themeColor="text1"/>
          <w:szCs w:val="21"/>
        </w:rPr>
      </w:pPr>
      <w:r w:rsidRPr="00A73188">
        <w:rPr>
          <w:rFonts w:eastAsiaTheme="minorEastAsia"/>
          <w:b/>
          <w:bCs/>
          <w:color w:val="000000" w:themeColor="text1"/>
          <w:kern w:val="0"/>
          <w:szCs w:val="21"/>
        </w:rPr>
        <w:t>7.4.</w:t>
      </w:r>
      <w:r w:rsidR="004349D1">
        <w:rPr>
          <w:rFonts w:eastAsiaTheme="minorEastAsia" w:hint="eastAsia"/>
          <w:b/>
          <w:bCs/>
          <w:color w:val="000000" w:themeColor="text1"/>
          <w:kern w:val="0"/>
          <w:szCs w:val="21"/>
        </w:rPr>
        <w:t>8</w:t>
      </w:r>
      <w:r w:rsidRPr="00A73188">
        <w:rPr>
          <w:rFonts w:eastAsiaTheme="minorEastAsia"/>
          <w:b/>
          <w:bCs/>
          <w:color w:val="000000" w:themeColor="text1"/>
          <w:kern w:val="0"/>
          <w:szCs w:val="21"/>
        </w:rPr>
        <w:t xml:space="preserve">.6 </w:t>
      </w:r>
      <w:r w:rsidRPr="00A73188">
        <w:rPr>
          <w:rFonts w:eastAsiaTheme="minorEastAsia"/>
          <w:b/>
          <w:color w:val="000000" w:themeColor="text1"/>
          <w:szCs w:val="21"/>
        </w:rPr>
        <w:t>其他关联交易事项的说明</w:t>
      </w:r>
    </w:p>
    <w:p w:rsidR="00AB007B" w:rsidRPr="00A73188" w:rsidRDefault="00AB007B" w:rsidP="00AB007B">
      <w:pPr>
        <w:widowControl/>
        <w:spacing w:line="360" w:lineRule="auto"/>
        <w:ind w:firstLineChars="200" w:firstLine="420"/>
        <w:rPr>
          <w:rFonts w:eastAsiaTheme="minorEastAsia"/>
          <w:color w:val="000000" w:themeColor="text1"/>
          <w:kern w:val="0"/>
          <w:szCs w:val="21"/>
        </w:rPr>
      </w:pPr>
      <w:r w:rsidRPr="00A73188">
        <w:rPr>
          <w:rFonts w:eastAsiaTheme="minorEastAsia"/>
          <w:color w:val="000000" w:themeColor="text1"/>
          <w:kern w:val="0"/>
          <w:szCs w:val="21"/>
        </w:rPr>
        <w:t>无。</w:t>
      </w:r>
    </w:p>
    <w:p w:rsidR="007B62FA" w:rsidRPr="00E60957" w:rsidRDefault="007B62FA" w:rsidP="009C3167">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9</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期末（</w:t>
      </w:r>
      <w:r w:rsidR="00ED2997" w:rsidRPr="00E60957">
        <w:rPr>
          <w:rFonts w:eastAsiaTheme="minorEastAsia"/>
          <w:b/>
          <w:bCs/>
          <w:color w:val="000000" w:themeColor="text1"/>
          <w:szCs w:val="21"/>
        </w:rPr>
        <w:t>2018</w:t>
      </w:r>
      <w:r w:rsidR="00ED2997" w:rsidRPr="00E60957">
        <w:rPr>
          <w:rFonts w:eastAsiaTheme="minorEastAsia"/>
          <w:b/>
          <w:bCs/>
          <w:color w:val="000000" w:themeColor="text1"/>
          <w:szCs w:val="21"/>
        </w:rPr>
        <w:t>年</w:t>
      </w:r>
      <w:r w:rsidR="00ED2997" w:rsidRPr="00E60957">
        <w:rPr>
          <w:rFonts w:eastAsiaTheme="minorEastAsia"/>
          <w:b/>
          <w:bCs/>
          <w:color w:val="000000" w:themeColor="text1"/>
          <w:szCs w:val="21"/>
        </w:rPr>
        <w:t>12</w:t>
      </w:r>
      <w:r w:rsidR="00ED2997" w:rsidRPr="00E60957">
        <w:rPr>
          <w:rFonts w:eastAsiaTheme="minorEastAsia"/>
          <w:b/>
          <w:bCs/>
          <w:color w:val="000000" w:themeColor="text1"/>
          <w:szCs w:val="21"/>
        </w:rPr>
        <w:t>月</w:t>
      </w:r>
      <w:r w:rsidR="00ED2997" w:rsidRPr="00E60957">
        <w:rPr>
          <w:rFonts w:eastAsiaTheme="minorEastAsia"/>
          <w:b/>
          <w:bCs/>
          <w:color w:val="000000" w:themeColor="text1"/>
          <w:szCs w:val="21"/>
        </w:rPr>
        <w:t>31</w:t>
      </w:r>
      <w:r w:rsidR="00ED2997" w:rsidRPr="00E60957">
        <w:rPr>
          <w:rFonts w:eastAsiaTheme="minorEastAsia"/>
          <w:b/>
          <w:bCs/>
          <w:color w:val="000000" w:themeColor="text1"/>
          <w:szCs w:val="21"/>
        </w:rPr>
        <w:t>日</w:t>
      </w:r>
      <w:r w:rsidRPr="00E60957">
        <w:rPr>
          <w:rFonts w:eastAsiaTheme="minorEastAsia"/>
          <w:b/>
          <w:bCs/>
          <w:color w:val="000000" w:themeColor="text1"/>
          <w:szCs w:val="21"/>
        </w:rPr>
        <w:t>）本基金持有的流通受限证券</w:t>
      </w:r>
    </w:p>
    <w:p w:rsidR="007B62FA" w:rsidRPr="00E60957" w:rsidRDefault="007B62FA" w:rsidP="009138EB">
      <w:pPr>
        <w:spacing w:line="360" w:lineRule="auto"/>
        <w:rPr>
          <w:rFonts w:eastAsiaTheme="minorEastAsia"/>
          <w:b/>
          <w:bCs/>
          <w:color w:val="000000" w:themeColor="text1"/>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9</w:t>
      </w:r>
      <w:r w:rsidRPr="00E60957">
        <w:rPr>
          <w:rFonts w:eastAsiaTheme="minorEastAsia"/>
          <w:b/>
          <w:bCs/>
          <w:color w:val="000000" w:themeColor="text1"/>
          <w:kern w:val="0"/>
          <w:szCs w:val="21"/>
        </w:rPr>
        <w:t>.1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因认购新发</w:t>
      </w:r>
      <w:r w:rsidRPr="00E60957">
        <w:rPr>
          <w:rFonts w:eastAsiaTheme="minorEastAsia"/>
          <w:b/>
          <w:bCs/>
          <w:color w:val="000000" w:themeColor="text1"/>
          <w:szCs w:val="21"/>
        </w:rPr>
        <w:t>/</w:t>
      </w:r>
      <w:r w:rsidRPr="00E60957">
        <w:rPr>
          <w:rFonts w:eastAsiaTheme="minorEastAsia"/>
          <w:b/>
          <w:bCs/>
          <w:color w:val="000000" w:themeColor="text1"/>
          <w:szCs w:val="21"/>
        </w:rPr>
        <w:t>增发证券而于期末持有的流通受限证券</w:t>
      </w:r>
    </w:p>
    <w:p w:rsidR="007B62FA"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9C3167">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lastRenderedPageBreak/>
        <w:t>7.4.</w:t>
      </w:r>
      <w:r w:rsidR="004349D1">
        <w:rPr>
          <w:rFonts w:eastAsiaTheme="minorEastAsia" w:hint="eastAsia"/>
          <w:b/>
          <w:bCs/>
          <w:color w:val="000000" w:themeColor="text1"/>
          <w:kern w:val="0"/>
          <w:szCs w:val="21"/>
        </w:rPr>
        <w:t>9</w:t>
      </w:r>
      <w:r w:rsidRPr="00E60957">
        <w:rPr>
          <w:rFonts w:eastAsiaTheme="minorEastAsia"/>
          <w:b/>
          <w:bCs/>
          <w:color w:val="000000" w:themeColor="text1"/>
          <w:kern w:val="0"/>
          <w:szCs w:val="21"/>
        </w:rPr>
        <w:t>.2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期末持有的暂时停牌等流通受限股票</w:t>
      </w:r>
    </w:p>
    <w:p w:rsidR="0012764F" w:rsidRPr="00E60957" w:rsidRDefault="007B62FA" w:rsidP="00215394">
      <w:pPr>
        <w:widowControl/>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9C3167">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9</w:t>
      </w:r>
      <w:r w:rsidRPr="00E60957">
        <w:rPr>
          <w:rFonts w:eastAsiaTheme="minorEastAsia"/>
          <w:b/>
          <w:bCs/>
          <w:color w:val="000000" w:themeColor="text1"/>
          <w:kern w:val="0"/>
          <w:szCs w:val="21"/>
        </w:rPr>
        <w:t>.3</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期末债券正回购交易中作为抵押的债券</w:t>
      </w:r>
    </w:p>
    <w:p w:rsidR="007B62FA" w:rsidRPr="00E60957" w:rsidRDefault="007B62FA" w:rsidP="009138EB">
      <w:pPr>
        <w:spacing w:line="360" w:lineRule="auto"/>
        <w:rPr>
          <w:rFonts w:eastAsiaTheme="minorEastAsia"/>
          <w:b/>
          <w:bCs/>
          <w:color w:val="000000" w:themeColor="text1"/>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9</w:t>
      </w:r>
      <w:r w:rsidRPr="00E60957">
        <w:rPr>
          <w:rFonts w:eastAsiaTheme="minorEastAsia"/>
          <w:b/>
          <w:bCs/>
          <w:color w:val="000000" w:themeColor="text1"/>
          <w:kern w:val="0"/>
          <w:szCs w:val="21"/>
        </w:rPr>
        <w:t>.3.1</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银行间市场债券正回购</w:t>
      </w:r>
    </w:p>
    <w:p w:rsidR="007B62FA" w:rsidRPr="00E60957" w:rsidRDefault="007B62FA" w:rsidP="00D0372D">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9C3167">
      <w:pPr>
        <w:spacing w:beforeLines="100" w:before="312" w:line="360" w:lineRule="auto"/>
        <w:rPr>
          <w:rFonts w:eastAsiaTheme="minorEastAsia"/>
          <w:b/>
          <w:bCs/>
          <w:color w:val="000000" w:themeColor="text1"/>
          <w:szCs w:val="21"/>
        </w:rPr>
      </w:pPr>
      <w:r w:rsidRPr="00E60957">
        <w:rPr>
          <w:rFonts w:eastAsiaTheme="minorEastAsia"/>
          <w:b/>
          <w:bCs/>
          <w:color w:val="000000" w:themeColor="text1"/>
          <w:kern w:val="0"/>
          <w:szCs w:val="21"/>
        </w:rPr>
        <w:t>7.4.</w:t>
      </w:r>
      <w:r w:rsidR="004349D1">
        <w:rPr>
          <w:rFonts w:eastAsiaTheme="minorEastAsia" w:hint="eastAsia"/>
          <w:b/>
          <w:bCs/>
          <w:color w:val="000000" w:themeColor="text1"/>
          <w:kern w:val="0"/>
          <w:szCs w:val="21"/>
        </w:rPr>
        <w:t>9</w:t>
      </w:r>
      <w:r w:rsidRPr="00E60957">
        <w:rPr>
          <w:rFonts w:eastAsiaTheme="minorEastAsia"/>
          <w:b/>
          <w:bCs/>
          <w:color w:val="000000" w:themeColor="text1"/>
          <w:kern w:val="0"/>
          <w:szCs w:val="21"/>
        </w:rPr>
        <w:t>.3.2</w:t>
      </w:r>
      <w:r w:rsidR="002D0B5F" w:rsidRPr="00E60957">
        <w:rPr>
          <w:rFonts w:eastAsiaTheme="minorEastAsia"/>
          <w:b/>
          <w:bCs/>
          <w:color w:val="000000" w:themeColor="text1"/>
          <w:kern w:val="0"/>
          <w:szCs w:val="21"/>
        </w:rPr>
        <w:t xml:space="preserve"> </w:t>
      </w:r>
      <w:r w:rsidRPr="00E60957">
        <w:rPr>
          <w:rFonts w:eastAsiaTheme="minorEastAsia"/>
          <w:b/>
          <w:bCs/>
          <w:color w:val="000000" w:themeColor="text1"/>
          <w:szCs w:val="21"/>
        </w:rPr>
        <w:t>交易所市场债券正回购</w:t>
      </w:r>
    </w:p>
    <w:p w:rsidR="007B62FA" w:rsidRPr="00E60957" w:rsidRDefault="007B62FA" w:rsidP="00215394">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无。</w:t>
      </w:r>
    </w:p>
    <w:p w:rsidR="007B62FA" w:rsidRPr="00E60957" w:rsidRDefault="007B62FA" w:rsidP="009C3167">
      <w:pPr>
        <w:adjustRightInd w:val="0"/>
        <w:snapToGrid w:val="0"/>
        <w:spacing w:beforeLines="100" w:before="312" w:line="360" w:lineRule="auto"/>
        <w:rPr>
          <w:rFonts w:eastAsiaTheme="minorEastAsia"/>
          <w:b/>
          <w:color w:val="000000" w:themeColor="text1"/>
          <w:szCs w:val="21"/>
        </w:rPr>
      </w:pPr>
      <w:r w:rsidRPr="00E60957">
        <w:rPr>
          <w:rFonts w:eastAsiaTheme="minorEastAsia"/>
          <w:b/>
          <w:bCs/>
          <w:color w:val="000000" w:themeColor="text1"/>
          <w:kern w:val="0"/>
          <w:szCs w:val="21"/>
        </w:rPr>
        <w:t>7.4.1</w:t>
      </w:r>
      <w:r w:rsidR="004349D1">
        <w:rPr>
          <w:rFonts w:eastAsiaTheme="minorEastAsia" w:hint="eastAsia"/>
          <w:b/>
          <w:bCs/>
          <w:color w:val="000000" w:themeColor="text1"/>
          <w:kern w:val="0"/>
          <w:szCs w:val="21"/>
        </w:rPr>
        <w:t>0</w:t>
      </w:r>
      <w:r w:rsidR="002D0B5F" w:rsidRPr="00E60957">
        <w:rPr>
          <w:rFonts w:eastAsiaTheme="minorEastAsia"/>
          <w:b/>
          <w:bCs/>
          <w:color w:val="000000" w:themeColor="text1"/>
          <w:kern w:val="0"/>
          <w:szCs w:val="21"/>
        </w:rPr>
        <w:t xml:space="preserve"> </w:t>
      </w:r>
      <w:r w:rsidRPr="00E60957">
        <w:rPr>
          <w:rFonts w:eastAsiaTheme="minorEastAsia"/>
          <w:b/>
          <w:color w:val="000000" w:themeColor="text1"/>
          <w:szCs w:val="21"/>
        </w:rPr>
        <w:t>有助于理解和分析会计报表需要说明的其他事项</w:t>
      </w: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公允价值</w:t>
      </w:r>
    </w:p>
    <w:p w:rsidR="00E33B47" w:rsidRDefault="00E33B47">
      <w:pPr>
        <w:widowControl/>
        <w:spacing w:line="360" w:lineRule="auto"/>
        <w:ind w:firstLineChars="200" w:firstLine="420"/>
        <w:rPr>
          <w:rFonts w:eastAsiaTheme="minorEastAsia"/>
          <w:color w:val="000000" w:themeColor="text1"/>
          <w:szCs w:val="21"/>
        </w:rPr>
      </w:pP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(a) </w:t>
      </w:r>
      <w:r>
        <w:rPr>
          <w:rFonts w:eastAsiaTheme="minorEastAsia"/>
          <w:color w:val="000000" w:themeColor="text1"/>
          <w:szCs w:val="21"/>
        </w:rPr>
        <w:t>金融工具公允价值的计量方法</w:t>
      </w: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公允价值计量结果所属的层次，由对公允价值计量整体而言具有重要意义的输入值所属的最低层次决定：</w:t>
      </w:r>
    </w:p>
    <w:p w:rsidR="00E33B47" w:rsidRDefault="00E33B47">
      <w:pPr>
        <w:widowControl/>
        <w:spacing w:line="360" w:lineRule="auto"/>
        <w:ind w:firstLineChars="200" w:firstLine="420"/>
        <w:rPr>
          <w:rFonts w:eastAsiaTheme="minorEastAsia"/>
          <w:color w:val="000000" w:themeColor="text1"/>
          <w:szCs w:val="21"/>
        </w:rPr>
      </w:pP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第一层次：相同资产或负债在活跃市场上未经调整的报价。</w:t>
      </w: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第二层次：除第一层次输入值外相关资产或负债直接或间接可观察的输入值。</w:t>
      </w: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第三层次：相关资产或负债的不可观察输入值。</w:t>
      </w:r>
    </w:p>
    <w:p w:rsidR="00E33B47" w:rsidRDefault="00E33B47">
      <w:pPr>
        <w:widowControl/>
        <w:spacing w:line="360" w:lineRule="auto"/>
        <w:ind w:firstLineChars="200" w:firstLine="420"/>
        <w:rPr>
          <w:rFonts w:eastAsiaTheme="minorEastAsia"/>
          <w:color w:val="000000" w:themeColor="text1"/>
          <w:szCs w:val="21"/>
        </w:rPr>
      </w:pP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(b) </w:t>
      </w:r>
      <w:r>
        <w:rPr>
          <w:rFonts w:eastAsiaTheme="minorEastAsia"/>
          <w:color w:val="000000" w:themeColor="text1"/>
          <w:szCs w:val="21"/>
        </w:rPr>
        <w:t>持续的以公允价值计量的金融工具</w:t>
      </w:r>
    </w:p>
    <w:p w:rsidR="00E33B47" w:rsidRDefault="00E33B47">
      <w:pPr>
        <w:widowControl/>
        <w:spacing w:line="360" w:lineRule="auto"/>
        <w:ind w:firstLineChars="200" w:firstLine="420"/>
        <w:rPr>
          <w:rFonts w:eastAsiaTheme="minorEastAsia"/>
          <w:color w:val="000000" w:themeColor="text1"/>
          <w:szCs w:val="21"/>
        </w:rPr>
      </w:pP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 </w:t>
      </w:r>
      <w:r>
        <w:rPr>
          <w:rFonts w:eastAsiaTheme="minorEastAsia"/>
          <w:color w:val="000000" w:themeColor="text1"/>
          <w:szCs w:val="21"/>
        </w:rPr>
        <w:t>各层次金融工具公允价值</w:t>
      </w: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日，本基金持有的以公允价值计量的金融工具中属于第一层次的余额为</w:t>
      </w:r>
      <w:r>
        <w:rPr>
          <w:rFonts w:eastAsiaTheme="minorEastAsia"/>
          <w:color w:val="000000" w:themeColor="text1"/>
          <w:szCs w:val="21"/>
        </w:rPr>
        <w:t>688,306,463.92</w:t>
      </w:r>
      <w:r>
        <w:rPr>
          <w:rFonts w:eastAsiaTheme="minorEastAsia"/>
          <w:color w:val="000000" w:themeColor="text1"/>
          <w:szCs w:val="21"/>
        </w:rPr>
        <w:t>元，无属于第二层次或第三层次的余额</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日：第一层次的余额为</w:t>
      </w:r>
      <w:r>
        <w:rPr>
          <w:rFonts w:eastAsiaTheme="minorEastAsia"/>
          <w:color w:val="000000" w:themeColor="text1"/>
          <w:szCs w:val="21"/>
        </w:rPr>
        <w:t>995,599,388.78</w:t>
      </w:r>
      <w:r>
        <w:rPr>
          <w:rFonts w:eastAsiaTheme="minorEastAsia"/>
          <w:color w:val="000000" w:themeColor="text1"/>
          <w:szCs w:val="21"/>
        </w:rPr>
        <w:t>元，无第二层次或第三层次</w:t>
      </w:r>
      <w:r>
        <w:rPr>
          <w:rFonts w:eastAsiaTheme="minorEastAsia"/>
          <w:color w:val="000000" w:themeColor="text1"/>
          <w:szCs w:val="21"/>
        </w:rPr>
        <w:t>)</w:t>
      </w:r>
      <w:r>
        <w:rPr>
          <w:rFonts w:eastAsiaTheme="minorEastAsia"/>
          <w:color w:val="000000" w:themeColor="text1"/>
          <w:szCs w:val="21"/>
        </w:rPr>
        <w:t>。</w:t>
      </w:r>
    </w:p>
    <w:p w:rsidR="00E33B47" w:rsidRDefault="00E33B47">
      <w:pPr>
        <w:widowControl/>
        <w:spacing w:line="360" w:lineRule="auto"/>
        <w:ind w:firstLineChars="200" w:firstLine="420"/>
        <w:rPr>
          <w:rFonts w:eastAsiaTheme="minorEastAsia"/>
          <w:color w:val="000000" w:themeColor="text1"/>
          <w:szCs w:val="21"/>
        </w:rPr>
      </w:pP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(ii) </w:t>
      </w:r>
      <w:r>
        <w:rPr>
          <w:rFonts w:eastAsiaTheme="minorEastAsia"/>
          <w:color w:val="000000" w:themeColor="text1"/>
          <w:szCs w:val="21"/>
        </w:rPr>
        <w:t>公允价值所属各层次间的重大变动</w:t>
      </w: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本基金本期及上年度可比期间持有的以公允价值计量的金融工具的公允价值所属层次未发生重大变动。</w:t>
      </w:r>
    </w:p>
    <w:p w:rsidR="00E33B47" w:rsidRDefault="00E33B47">
      <w:pPr>
        <w:widowControl/>
        <w:spacing w:line="360" w:lineRule="auto"/>
        <w:ind w:firstLineChars="200" w:firstLine="420"/>
        <w:rPr>
          <w:rFonts w:eastAsiaTheme="minorEastAsia"/>
          <w:color w:val="000000" w:themeColor="text1"/>
          <w:szCs w:val="21"/>
        </w:rPr>
      </w:pP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 (iii)</w:t>
      </w:r>
      <w:r>
        <w:rPr>
          <w:rFonts w:eastAsiaTheme="minorEastAsia"/>
          <w:color w:val="000000" w:themeColor="text1"/>
          <w:szCs w:val="21"/>
        </w:rPr>
        <w:tab/>
      </w:r>
      <w:r>
        <w:rPr>
          <w:rFonts w:eastAsiaTheme="minorEastAsia"/>
          <w:color w:val="000000" w:themeColor="text1"/>
          <w:szCs w:val="21"/>
        </w:rPr>
        <w:t>第三层次公允价值余额及本期变动金额</w:t>
      </w: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无。</w:t>
      </w:r>
    </w:p>
    <w:p w:rsidR="00E33B47" w:rsidRDefault="00E33B47">
      <w:pPr>
        <w:widowControl/>
        <w:spacing w:line="360" w:lineRule="auto"/>
        <w:ind w:firstLineChars="200" w:firstLine="420"/>
        <w:rPr>
          <w:rFonts w:eastAsiaTheme="minorEastAsia"/>
          <w:color w:val="000000" w:themeColor="text1"/>
          <w:szCs w:val="21"/>
        </w:rPr>
      </w:pPr>
    </w:p>
    <w:p w:rsidR="00E33B47" w:rsidRDefault="00E33B47">
      <w:pPr>
        <w:widowControl/>
        <w:spacing w:line="360" w:lineRule="auto"/>
        <w:ind w:firstLineChars="200" w:firstLine="420"/>
        <w:rPr>
          <w:rFonts w:eastAsiaTheme="minorEastAsia"/>
          <w:color w:val="000000" w:themeColor="text1"/>
          <w:szCs w:val="21"/>
        </w:rPr>
      </w:pP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(c) </w:t>
      </w:r>
      <w:r>
        <w:rPr>
          <w:rFonts w:eastAsiaTheme="minorEastAsia"/>
          <w:color w:val="000000" w:themeColor="text1"/>
          <w:szCs w:val="21"/>
        </w:rPr>
        <w:t>非持续的以公允价值计量的金融工具</w:t>
      </w: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日，本基金未持有非持续的以公允价值计量的金融资产</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w:t>
      </w:r>
      <w:r>
        <w:rPr>
          <w:rFonts w:eastAsiaTheme="minorEastAsia"/>
          <w:color w:val="000000" w:themeColor="text1"/>
          <w:szCs w:val="21"/>
        </w:rPr>
        <w:t>31</w:t>
      </w:r>
      <w:r>
        <w:rPr>
          <w:rFonts w:eastAsiaTheme="minorEastAsia"/>
          <w:color w:val="000000" w:themeColor="text1"/>
          <w:szCs w:val="21"/>
        </w:rPr>
        <w:t>日：同</w:t>
      </w:r>
      <w:r>
        <w:rPr>
          <w:rFonts w:eastAsiaTheme="minorEastAsia"/>
          <w:color w:val="000000" w:themeColor="text1"/>
          <w:szCs w:val="21"/>
        </w:rPr>
        <w:t>)</w:t>
      </w:r>
      <w:r>
        <w:rPr>
          <w:rFonts w:eastAsiaTheme="minorEastAsia"/>
          <w:color w:val="000000" w:themeColor="text1"/>
          <w:szCs w:val="21"/>
        </w:rPr>
        <w:t>。</w:t>
      </w:r>
    </w:p>
    <w:p w:rsidR="00E33B47" w:rsidRDefault="00E33B47">
      <w:pPr>
        <w:widowControl/>
        <w:spacing w:line="360" w:lineRule="auto"/>
        <w:ind w:firstLineChars="200" w:firstLine="420"/>
        <w:rPr>
          <w:rFonts w:eastAsiaTheme="minorEastAsia"/>
          <w:color w:val="000000" w:themeColor="text1"/>
          <w:szCs w:val="21"/>
        </w:rPr>
      </w:pP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(d) </w:t>
      </w:r>
      <w:r>
        <w:rPr>
          <w:rFonts w:eastAsiaTheme="minorEastAsia"/>
          <w:color w:val="000000" w:themeColor="text1"/>
          <w:szCs w:val="21"/>
        </w:rPr>
        <w:t>不以公允价值计量的金融工具</w:t>
      </w:r>
    </w:p>
    <w:p w:rsidR="00E33B47" w:rsidRDefault="00B95AF3">
      <w:pPr>
        <w:widowControl/>
        <w:spacing w:line="360" w:lineRule="auto"/>
        <w:ind w:firstLineChars="200" w:firstLine="420"/>
        <w:rPr>
          <w:rFonts w:eastAsiaTheme="minorEastAsia"/>
          <w:color w:val="000000" w:themeColor="text1"/>
          <w:szCs w:val="21"/>
        </w:rPr>
      </w:pPr>
      <w:r>
        <w:rPr>
          <w:rFonts w:eastAsiaTheme="minorEastAsia"/>
          <w:color w:val="000000" w:themeColor="text1"/>
          <w:szCs w:val="21"/>
        </w:rPr>
        <w:t>不以公允价值计量的金融资产和负债主要包括应收款项和其他金融负债，其账面价值与公允价值相差很小。</w:t>
      </w:r>
    </w:p>
    <w:p w:rsidR="00E33B47" w:rsidRDefault="00E33B47">
      <w:pPr>
        <w:widowControl/>
        <w:spacing w:line="360" w:lineRule="auto"/>
        <w:ind w:firstLineChars="200" w:firstLine="420"/>
        <w:rPr>
          <w:rFonts w:eastAsiaTheme="minorEastAsia"/>
          <w:color w:val="000000" w:themeColor="text1"/>
          <w:szCs w:val="21"/>
        </w:rPr>
      </w:pPr>
    </w:p>
    <w:p w:rsidR="007B62FA" w:rsidRPr="00E60957" w:rsidRDefault="007B62FA" w:rsidP="00602A38">
      <w:pPr>
        <w:widowControl/>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 xml:space="preserve">(2) </w:t>
      </w:r>
      <w:r w:rsidRPr="00E60957">
        <w:rPr>
          <w:rFonts w:eastAsiaTheme="minorEastAsia"/>
          <w:color w:val="000000" w:themeColor="text1"/>
          <w:szCs w:val="21"/>
        </w:rPr>
        <w:t>除所得税和公允价值外，截至资产负债表日本基金无需要说明的其他重要事项。</w:t>
      </w:r>
    </w:p>
    <w:p w:rsidR="007B62FA" w:rsidRPr="00E60957" w:rsidRDefault="007B62FA" w:rsidP="009C3167">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00" w:name="_Toc225498272"/>
      <w:bookmarkStart w:id="201" w:name="_Toc352255995"/>
      <w:bookmarkStart w:id="202" w:name="_Toc352256063"/>
      <w:bookmarkStart w:id="203" w:name="_Toc352331241"/>
      <w:bookmarkStart w:id="204" w:name="_Toc362424019"/>
      <w:bookmarkStart w:id="205" w:name="_Toc374459281"/>
      <w:r w:rsidRPr="00E60957">
        <w:rPr>
          <w:rFonts w:eastAsiaTheme="minorEastAsia"/>
          <w:b/>
          <w:bCs/>
          <w:color w:val="000000" w:themeColor="text1"/>
          <w:sz w:val="21"/>
          <w:szCs w:val="21"/>
          <w:lang w:val="en-US"/>
        </w:rPr>
        <w:t>§8</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投资组合报告</w:t>
      </w:r>
      <w:bookmarkEnd w:id="200"/>
      <w:bookmarkEnd w:id="201"/>
      <w:bookmarkEnd w:id="202"/>
      <w:bookmarkEnd w:id="203"/>
      <w:bookmarkEnd w:id="204"/>
      <w:bookmarkEnd w:id="205"/>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206" w:name="_Toc225498273"/>
      <w:bookmarkStart w:id="207" w:name="_Toc352255996"/>
      <w:bookmarkStart w:id="208" w:name="_Toc352256064"/>
      <w:bookmarkStart w:id="209" w:name="_Toc352331242"/>
      <w:bookmarkStart w:id="210" w:name="_Toc362424020"/>
      <w:bookmarkStart w:id="211" w:name="_Toc374459282"/>
      <w:r w:rsidRPr="00E60957">
        <w:rPr>
          <w:rFonts w:ascii="Times New Roman" w:eastAsiaTheme="minorEastAsia" w:hAnsi="Times New Roman"/>
          <w:bCs w:val="0"/>
          <w:color w:val="000000" w:themeColor="text1"/>
          <w:kern w:val="0"/>
          <w:sz w:val="21"/>
          <w:szCs w:val="21"/>
        </w:rPr>
        <w:t>8.1</w:t>
      </w:r>
      <w:r w:rsidR="002D0B5F" w:rsidRPr="00E60957">
        <w:rPr>
          <w:rFonts w:ascii="Times New Roman" w:eastAsiaTheme="minorEastAsia" w:hAnsi="Times New Roman"/>
          <w:bCs w:val="0"/>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期末基金资产组合情况</w:t>
      </w:r>
      <w:bookmarkEnd w:id="206"/>
      <w:bookmarkEnd w:id="207"/>
      <w:bookmarkEnd w:id="208"/>
      <w:bookmarkEnd w:id="209"/>
      <w:bookmarkEnd w:id="210"/>
      <w:bookmarkEnd w:id="211"/>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kern w:val="0"/>
          <w:szCs w:val="21"/>
        </w:rPr>
      </w:pPr>
      <w:r w:rsidRPr="00E609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8"/>
        <w:gridCol w:w="3420"/>
        <w:gridCol w:w="2520"/>
        <w:gridCol w:w="1980"/>
      </w:tblGrid>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34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项目</w:t>
            </w:r>
          </w:p>
        </w:tc>
        <w:tc>
          <w:tcPr>
            <w:tcW w:w="25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金额</w:t>
            </w:r>
          </w:p>
        </w:tc>
        <w:tc>
          <w:tcPr>
            <w:tcW w:w="198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占基金总资产的比例（</w:t>
            </w:r>
            <w:r w:rsidRPr="00E60957">
              <w:rPr>
                <w:rFonts w:eastAsiaTheme="minorEastAsia"/>
                <w:color w:val="000000" w:themeColor="text1"/>
                <w:szCs w:val="21"/>
              </w:rPr>
              <w:t>%</w:t>
            </w:r>
            <w:r w:rsidRPr="00E60957">
              <w:rPr>
                <w:rFonts w:eastAsiaTheme="minorEastAsia"/>
                <w:color w:val="000000" w:themeColor="text1"/>
                <w:szCs w:val="21"/>
              </w:rPr>
              <w:t>）</w:t>
            </w:r>
          </w:p>
        </w:tc>
      </w:tr>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1</w:t>
            </w:r>
          </w:p>
        </w:tc>
        <w:tc>
          <w:tcPr>
            <w:tcW w:w="3420"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权益投资</w:t>
            </w:r>
          </w:p>
        </w:tc>
        <w:tc>
          <w:tcPr>
            <w:tcW w:w="252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其中：普通股</w:t>
            </w:r>
          </w:p>
        </w:tc>
        <w:tc>
          <w:tcPr>
            <w:tcW w:w="252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7B62FA" w:rsidRPr="00E60957" w:rsidRDefault="007B62FA" w:rsidP="00417F87">
            <w:pPr>
              <w:spacing w:line="360" w:lineRule="auto"/>
              <w:jc w:val="center"/>
              <w:rPr>
                <w:rFonts w:eastAsiaTheme="minorEastAsia"/>
                <w:color w:val="000000" w:themeColor="text1"/>
                <w:szCs w:val="21"/>
              </w:rPr>
            </w:pPr>
          </w:p>
        </w:tc>
        <w:tc>
          <w:tcPr>
            <w:tcW w:w="3420" w:type="dxa"/>
            <w:vAlign w:val="center"/>
          </w:tcPr>
          <w:p w:rsidR="007B62FA" w:rsidRPr="00E60957" w:rsidRDefault="007B62FA" w:rsidP="00D0372D">
            <w:pPr>
              <w:spacing w:line="360" w:lineRule="auto"/>
              <w:ind w:leftChars="50" w:left="105" w:firstLineChars="300" w:firstLine="630"/>
              <w:rPr>
                <w:rFonts w:eastAsiaTheme="minorEastAsia"/>
                <w:color w:val="000000" w:themeColor="text1"/>
                <w:szCs w:val="21"/>
              </w:rPr>
            </w:pPr>
            <w:r w:rsidRPr="00E60957">
              <w:rPr>
                <w:rFonts w:eastAsiaTheme="minorEastAsia"/>
                <w:color w:val="000000" w:themeColor="text1"/>
                <w:szCs w:val="21"/>
              </w:rPr>
              <w:t>存托凭证</w:t>
            </w:r>
          </w:p>
        </w:tc>
        <w:tc>
          <w:tcPr>
            <w:tcW w:w="252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74A69">
            <w:pPr>
              <w:spacing w:before="29" w:line="360" w:lineRule="auto"/>
              <w:ind w:left="17" w:firstLineChars="350" w:firstLine="735"/>
              <w:jc w:val="left"/>
              <w:rPr>
                <w:rFonts w:eastAsiaTheme="minorEastAsia"/>
                <w:color w:val="000000" w:themeColor="text1"/>
                <w:szCs w:val="21"/>
              </w:rPr>
            </w:pPr>
            <w:r w:rsidRPr="00E60957">
              <w:rPr>
                <w:rFonts w:eastAsiaTheme="minorEastAsia"/>
                <w:color w:val="000000" w:themeColor="text1"/>
                <w:szCs w:val="21"/>
              </w:rPr>
              <w:t>优先股</w:t>
            </w:r>
          </w:p>
        </w:tc>
        <w:tc>
          <w:tcPr>
            <w:tcW w:w="252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74A69">
            <w:pPr>
              <w:spacing w:before="29" w:line="360" w:lineRule="auto"/>
              <w:ind w:left="17" w:firstLineChars="350" w:firstLine="735"/>
              <w:jc w:val="left"/>
              <w:rPr>
                <w:rFonts w:eastAsiaTheme="minorEastAsia"/>
                <w:color w:val="000000" w:themeColor="text1"/>
                <w:szCs w:val="21"/>
              </w:rPr>
            </w:pPr>
            <w:r w:rsidRPr="00E60957">
              <w:rPr>
                <w:rFonts w:eastAsiaTheme="minorEastAsia"/>
                <w:color w:val="000000" w:themeColor="text1"/>
                <w:szCs w:val="21"/>
              </w:rPr>
              <w:t>房地产信托</w:t>
            </w:r>
            <w:r w:rsidR="00B1057D" w:rsidRPr="00E60957">
              <w:rPr>
                <w:rFonts w:eastAsiaTheme="minorEastAsia"/>
                <w:color w:val="000000" w:themeColor="text1"/>
                <w:szCs w:val="21"/>
              </w:rPr>
              <w:t>凭证</w:t>
            </w:r>
          </w:p>
        </w:tc>
        <w:tc>
          <w:tcPr>
            <w:tcW w:w="252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center"/>
          </w:tcPr>
          <w:p w:rsidR="00831232" w:rsidRPr="00E60957" w:rsidRDefault="00831232" w:rsidP="0026196C">
            <w:pPr>
              <w:spacing w:before="29" w:line="360" w:lineRule="auto"/>
              <w:ind w:left="17"/>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w:t>
            </w:r>
          </w:p>
        </w:tc>
        <w:tc>
          <w:tcPr>
            <w:tcW w:w="3420" w:type="dxa"/>
            <w:vAlign w:val="center"/>
          </w:tcPr>
          <w:p w:rsidR="00831232" w:rsidRPr="00E60957" w:rsidRDefault="00831232" w:rsidP="00417F87">
            <w:pPr>
              <w:spacing w:line="360" w:lineRule="auto"/>
              <w:ind w:leftChars="49" w:left="103"/>
              <w:rPr>
                <w:rFonts w:eastAsiaTheme="minorEastAsia"/>
                <w:color w:val="000000" w:themeColor="text1"/>
                <w:szCs w:val="21"/>
              </w:rPr>
            </w:pPr>
            <w:r w:rsidRPr="00E60957">
              <w:rPr>
                <w:rFonts w:eastAsiaTheme="minorEastAsia"/>
                <w:color w:val="000000" w:themeColor="text1"/>
                <w:szCs w:val="21"/>
              </w:rPr>
              <w:t>基金投资</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688,306,463.92</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88.51</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3</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固定收益投资</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其中：债券</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74A69">
            <w:pPr>
              <w:spacing w:line="360" w:lineRule="auto"/>
              <w:ind w:leftChars="50" w:left="105" w:firstLineChars="300" w:firstLine="630"/>
              <w:rPr>
                <w:rFonts w:eastAsiaTheme="minorEastAsia"/>
                <w:color w:val="000000" w:themeColor="text1"/>
                <w:szCs w:val="21"/>
              </w:rPr>
            </w:pPr>
            <w:r w:rsidRPr="00E60957">
              <w:rPr>
                <w:rFonts w:eastAsiaTheme="minorEastAsia"/>
                <w:color w:val="000000" w:themeColor="text1"/>
                <w:szCs w:val="21"/>
              </w:rPr>
              <w:t>资产支持证券</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lastRenderedPageBreak/>
              <w:t>4</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金融衍生品投资</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其中：远期</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 xml:space="preserve">      </w:t>
            </w:r>
            <w:r w:rsidRPr="00E60957">
              <w:rPr>
                <w:rFonts w:eastAsiaTheme="minorEastAsia"/>
                <w:color w:val="000000" w:themeColor="text1"/>
                <w:szCs w:val="21"/>
              </w:rPr>
              <w:t>期货</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 xml:space="preserve">      </w:t>
            </w:r>
            <w:r w:rsidRPr="00E60957">
              <w:rPr>
                <w:rFonts w:eastAsiaTheme="minorEastAsia"/>
                <w:color w:val="000000" w:themeColor="text1"/>
                <w:szCs w:val="21"/>
              </w:rPr>
              <w:t>期权</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 xml:space="preserve">      </w:t>
            </w:r>
            <w:r w:rsidRPr="00E60957">
              <w:rPr>
                <w:rFonts w:eastAsiaTheme="minorEastAsia"/>
                <w:color w:val="000000" w:themeColor="text1"/>
                <w:szCs w:val="21"/>
              </w:rPr>
              <w:t>权证</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5</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买入返售金融资产</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其中：买断式回购的买入返售金融资产</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6</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货币市场工具</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474A69">
        <w:tc>
          <w:tcPr>
            <w:tcW w:w="938" w:type="dxa"/>
            <w:vAlign w:val="center"/>
          </w:tcPr>
          <w:p w:rsidR="00831232" w:rsidRPr="00E60957" w:rsidRDefault="00831232"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7</w:t>
            </w:r>
          </w:p>
        </w:tc>
        <w:tc>
          <w:tcPr>
            <w:tcW w:w="3420" w:type="dxa"/>
            <w:vAlign w:val="center"/>
          </w:tcPr>
          <w:p w:rsidR="00831232" w:rsidRPr="00E60957" w:rsidRDefault="00831232"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银行存款和结算备付金合计</w:t>
            </w:r>
          </w:p>
        </w:tc>
        <w:tc>
          <w:tcPr>
            <w:tcW w:w="252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88,987,052.45</w:t>
            </w:r>
          </w:p>
        </w:tc>
        <w:tc>
          <w:tcPr>
            <w:tcW w:w="1980" w:type="dxa"/>
            <w:vAlign w:val="bottom"/>
          </w:tcPr>
          <w:p w:rsidR="00831232" w:rsidRPr="00E60957" w:rsidRDefault="00831232"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11.44</w:t>
            </w:r>
          </w:p>
        </w:tc>
      </w:tr>
      <w:tr w:rsidR="00E60957" w:rsidRPr="00E60957" w:rsidTr="00474A69">
        <w:tc>
          <w:tcPr>
            <w:tcW w:w="938" w:type="dxa"/>
            <w:vAlign w:val="center"/>
          </w:tcPr>
          <w:p w:rsidR="00692972" w:rsidRPr="00E60957" w:rsidRDefault="00692972" w:rsidP="001A74A1">
            <w:pPr>
              <w:spacing w:before="29" w:line="360" w:lineRule="auto"/>
              <w:ind w:left="17"/>
              <w:jc w:val="center"/>
              <w:rPr>
                <w:rFonts w:eastAsiaTheme="minorEastAsia"/>
                <w:color w:val="000000" w:themeColor="text1"/>
                <w:szCs w:val="21"/>
              </w:rPr>
            </w:pPr>
            <w:r w:rsidRPr="00E60957">
              <w:rPr>
                <w:rFonts w:eastAsiaTheme="minorEastAsia"/>
                <w:color w:val="000000" w:themeColor="text1"/>
                <w:szCs w:val="21"/>
              </w:rPr>
              <w:t>8</w:t>
            </w:r>
          </w:p>
        </w:tc>
        <w:tc>
          <w:tcPr>
            <w:tcW w:w="3420" w:type="dxa"/>
            <w:vAlign w:val="center"/>
          </w:tcPr>
          <w:p w:rsidR="00692972" w:rsidRPr="00E60957" w:rsidRDefault="00692972" w:rsidP="001A74A1">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其他各项资产</w:t>
            </w:r>
          </w:p>
        </w:tc>
        <w:tc>
          <w:tcPr>
            <w:tcW w:w="252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400,647.83</w:t>
            </w:r>
          </w:p>
        </w:tc>
        <w:tc>
          <w:tcPr>
            <w:tcW w:w="198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0.05</w:t>
            </w:r>
          </w:p>
        </w:tc>
      </w:tr>
      <w:tr w:rsidR="00E60957" w:rsidRPr="00E60957" w:rsidTr="00474A69">
        <w:tc>
          <w:tcPr>
            <w:tcW w:w="938" w:type="dxa"/>
            <w:vAlign w:val="center"/>
          </w:tcPr>
          <w:p w:rsidR="00692972" w:rsidRPr="00E60957" w:rsidRDefault="00692972" w:rsidP="001A74A1">
            <w:pPr>
              <w:spacing w:before="29" w:line="360" w:lineRule="auto"/>
              <w:ind w:left="17"/>
              <w:jc w:val="center"/>
              <w:rPr>
                <w:rFonts w:eastAsiaTheme="minorEastAsia"/>
                <w:color w:val="000000" w:themeColor="text1"/>
                <w:szCs w:val="21"/>
              </w:rPr>
            </w:pPr>
            <w:r w:rsidRPr="00E60957">
              <w:rPr>
                <w:rFonts w:eastAsiaTheme="minorEastAsia"/>
                <w:color w:val="000000" w:themeColor="text1"/>
                <w:szCs w:val="21"/>
              </w:rPr>
              <w:t>9</w:t>
            </w:r>
          </w:p>
        </w:tc>
        <w:tc>
          <w:tcPr>
            <w:tcW w:w="3420" w:type="dxa"/>
            <w:vAlign w:val="center"/>
          </w:tcPr>
          <w:p w:rsidR="00692972" w:rsidRPr="00E60957" w:rsidRDefault="00692972" w:rsidP="001A74A1">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合计</w:t>
            </w:r>
          </w:p>
        </w:tc>
        <w:tc>
          <w:tcPr>
            <w:tcW w:w="252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777,694,164.20</w:t>
            </w:r>
          </w:p>
        </w:tc>
        <w:tc>
          <w:tcPr>
            <w:tcW w:w="1980" w:type="dxa"/>
            <w:vAlign w:val="center"/>
          </w:tcPr>
          <w:p w:rsidR="00692972" w:rsidRPr="00E60957" w:rsidRDefault="00692972" w:rsidP="001A74A1">
            <w:pPr>
              <w:spacing w:line="360" w:lineRule="auto"/>
              <w:jc w:val="right"/>
              <w:rPr>
                <w:rFonts w:eastAsiaTheme="minorEastAsia"/>
                <w:color w:val="000000" w:themeColor="text1"/>
                <w:szCs w:val="21"/>
              </w:rPr>
            </w:pPr>
            <w:r w:rsidRPr="00E60957">
              <w:rPr>
                <w:rFonts w:eastAsiaTheme="minorEastAsia"/>
                <w:color w:val="000000" w:themeColor="text1"/>
                <w:szCs w:val="21"/>
              </w:rPr>
              <w:t>100.00</w:t>
            </w:r>
          </w:p>
        </w:tc>
      </w:tr>
    </w:tbl>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212" w:name="_Toc374459283"/>
      <w:r w:rsidRPr="00E60957">
        <w:rPr>
          <w:rFonts w:ascii="Times New Roman" w:eastAsiaTheme="minorEastAsia" w:hAnsi="Times New Roman"/>
          <w:color w:val="000000" w:themeColor="text1"/>
          <w:kern w:val="0"/>
          <w:sz w:val="21"/>
          <w:szCs w:val="21"/>
        </w:rPr>
        <w:t>8.2</w:t>
      </w:r>
      <w:r w:rsidR="002D0B5F"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期末在各个国家（地区）证券市场的权益投资分布</w:t>
      </w:r>
      <w:bookmarkEnd w:id="212"/>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本报告期末本基金未持有权益投资。</w:t>
      </w:r>
    </w:p>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213" w:name="_Toc224618378"/>
      <w:bookmarkStart w:id="214" w:name="_Toc248233025"/>
      <w:bookmarkStart w:id="215" w:name="_Toc249790557"/>
      <w:bookmarkStart w:id="216" w:name="_Toc286929758"/>
      <w:bookmarkStart w:id="217" w:name="_Toc352255997"/>
      <w:bookmarkStart w:id="218" w:name="_Toc352256065"/>
      <w:bookmarkStart w:id="219" w:name="_Toc352331243"/>
      <w:bookmarkStart w:id="220" w:name="_Toc362424021"/>
      <w:bookmarkStart w:id="221" w:name="_Toc374459284"/>
      <w:r w:rsidRPr="00E60957">
        <w:rPr>
          <w:rFonts w:ascii="Times New Roman" w:eastAsiaTheme="minorEastAsia" w:hAnsi="Times New Roman"/>
          <w:color w:val="000000" w:themeColor="text1"/>
          <w:kern w:val="0"/>
          <w:sz w:val="21"/>
          <w:szCs w:val="21"/>
        </w:rPr>
        <w:t>8.3</w:t>
      </w:r>
      <w:r w:rsidR="002D0B5F"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期末按行业分类的权益投资组合</w:t>
      </w:r>
      <w:bookmarkEnd w:id="213"/>
      <w:bookmarkEnd w:id="214"/>
      <w:bookmarkEnd w:id="215"/>
      <w:bookmarkEnd w:id="216"/>
      <w:bookmarkEnd w:id="217"/>
      <w:bookmarkEnd w:id="218"/>
      <w:bookmarkEnd w:id="219"/>
      <w:bookmarkEnd w:id="220"/>
      <w:bookmarkEnd w:id="221"/>
    </w:p>
    <w:p w:rsidR="00B83412" w:rsidRPr="00E60957" w:rsidRDefault="00B83412"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本报告期末本基金未持有权益投资。</w:t>
      </w:r>
    </w:p>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222" w:name="_Toc224618380"/>
      <w:bookmarkStart w:id="223" w:name="_Toc248233027"/>
      <w:bookmarkStart w:id="224" w:name="_Toc249790559"/>
      <w:bookmarkStart w:id="225" w:name="_Toc286929760"/>
      <w:bookmarkStart w:id="226" w:name="_Toc352255999"/>
      <w:bookmarkStart w:id="227" w:name="_Toc352256067"/>
      <w:bookmarkStart w:id="228" w:name="_Toc352331245"/>
      <w:bookmarkStart w:id="229" w:name="_Toc362424023"/>
      <w:bookmarkStart w:id="230" w:name="_Toc374459286"/>
      <w:r w:rsidRPr="00E60957">
        <w:rPr>
          <w:rFonts w:ascii="Times New Roman" w:eastAsiaTheme="minorEastAsia" w:hAnsi="Times New Roman"/>
          <w:color w:val="000000" w:themeColor="text1"/>
          <w:kern w:val="0"/>
          <w:sz w:val="21"/>
          <w:szCs w:val="21"/>
        </w:rPr>
        <w:t>8.4</w:t>
      </w:r>
      <w:r w:rsidR="002D0B5F" w:rsidRPr="00E60957">
        <w:rPr>
          <w:rFonts w:ascii="Times New Roman" w:eastAsiaTheme="minorEastAsia" w:hAnsi="Times New Roman"/>
          <w:color w:val="000000" w:themeColor="text1"/>
          <w:kern w:val="0"/>
          <w:sz w:val="21"/>
          <w:szCs w:val="21"/>
        </w:rPr>
        <w:t xml:space="preserve"> </w:t>
      </w:r>
      <w:r w:rsidR="00E61C71" w:rsidRPr="00E60957">
        <w:rPr>
          <w:rFonts w:ascii="Times New Roman" w:eastAsiaTheme="minorEastAsia" w:hAnsi="Times New Roman"/>
          <w:color w:val="000000" w:themeColor="text1"/>
          <w:kern w:val="0"/>
          <w:sz w:val="21"/>
          <w:szCs w:val="21"/>
        </w:rPr>
        <w:t>报告期内权益</w:t>
      </w:r>
      <w:r w:rsidRPr="00E60957">
        <w:rPr>
          <w:rFonts w:ascii="Times New Roman" w:eastAsiaTheme="minorEastAsia" w:hAnsi="Times New Roman"/>
          <w:color w:val="000000" w:themeColor="text1"/>
          <w:kern w:val="0"/>
          <w:sz w:val="21"/>
          <w:szCs w:val="21"/>
        </w:rPr>
        <w:t>投资组合的重大变动</w:t>
      </w:r>
      <w:bookmarkEnd w:id="222"/>
      <w:bookmarkEnd w:id="223"/>
      <w:bookmarkEnd w:id="224"/>
      <w:bookmarkEnd w:id="225"/>
      <w:bookmarkEnd w:id="226"/>
      <w:bookmarkEnd w:id="227"/>
      <w:bookmarkEnd w:id="228"/>
      <w:bookmarkEnd w:id="229"/>
      <w:bookmarkEnd w:id="230"/>
    </w:p>
    <w:p w:rsidR="007B62FA" w:rsidRPr="00E60957" w:rsidRDefault="007B62FA" w:rsidP="00602A38">
      <w:pPr>
        <w:autoSpaceDE w:val="0"/>
        <w:autoSpaceDN w:val="0"/>
        <w:adjustRightInd w:val="0"/>
        <w:snapToGrid w:val="0"/>
        <w:spacing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8.4.1</w:t>
      </w:r>
      <w:r w:rsidR="002D0B5F"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累计买入金额超出</w:t>
      </w:r>
      <w:r w:rsidR="008E1045" w:rsidRPr="00E60957">
        <w:rPr>
          <w:rFonts w:eastAsiaTheme="minorEastAsia"/>
          <w:b/>
          <w:color w:val="000000" w:themeColor="text1"/>
          <w:kern w:val="0"/>
          <w:szCs w:val="21"/>
        </w:rPr>
        <w:t>期初</w:t>
      </w:r>
      <w:r w:rsidRPr="00E60957">
        <w:rPr>
          <w:rFonts w:eastAsiaTheme="minorEastAsia"/>
          <w:b/>
          <w:color w:val="000000" w:themeColor="text1"/>
          <w:kern w:val="0"/>
          <w:szCs w:val="21"/>
        </w:rPr>
        <w:t>基金资产净值</w:t>
      </w:r>
      <w:r w:rsidR="007B3B2A" w:rsidRPr="00E60957">
        <w:rPr>
          <w:rFonts w:eastAsiaTheme="minorEastAsia"/>
          <w:b/>
          <w:color w:val="000000" w:themeColor="text1"/>
          <w:szCs w:val="21"/>
        </w:rPr>
        <w:t>2%</w:t>
      </w:r>
      <w:r w:rsidRPr="00E60957">
        <w:rPr>
          <w:rFonts w:eastAsiaTheme="minorEastAsia"/>
          <w:b/>
          <w:color w:val="000000" w:themeColor="text1"/>
          <w:kern w:val="0"/>
          <w:szCs w:val="21"/>
        </w:rPr>
        <w:t>或前</w:t>
      </w:r>
      <w:r w:rsidRPr="00E60957">
        <w:rPr>
          <w:rFonts w:eastAsiaTheme="minorEastAsia"/>
          <w:b/>
          <w:color w:val="000000" w:themeColor="text1"/>
          <w:kern w:val="0"/>
          <w:szCs w:val="21"/>
        </w:rPr>
        <w:t>20</w:t>
      </w:r>
      <w:r w:rsidRPr="00E60957">
        <w:rPr>
          <w:rFonts w:eastAsiaTheme="minorEastAsia"/>
          <w:b/>
          <w:color w:val="000000" w:themeColor="text1"/>
          <w:kern w:val="0"/>
          <w:szCs w:val="21"/>
        </w:rPr>
        <w:t>名的权益投资明细</w:t>
      </w:r>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本报告期末本基金未持有权益投资。</w:t>
      </w:r>
    </w:p>
    <w:p w:rsidR="007B62FA" w:rsidRPr="00E60957" w:rsidRDefault="007B62FA" w:rsidP="009C3167">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8.4.2</w:t>
      </w:r>
      <w:r w:rsidR="002D0B5F"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累计卖出金额超出</w:t>
      </w:r>
      <w:r w:rsidR="008E1045" w:rsidRPr="00E60957">
        <w:rPr>
          <w:rFonts w:eastAsiaTheme="minorEastAsia"/>
          <w:b/>
          <w:color w:val="000000" w:themeColor="text1"/>
          <w:kern w:val="0"/>
          <w:szCs w:val="21"/>
        </w:rPr>
        <w:t>期初</w:t>
      </w:r>
      <w:r w:rsidRPr="00E60957">
        <w:rPr>
          <w:rFonts w:eastAsiaTheme="minorEastAsia"/>
          <w:b/>
          <w:color w:val="000000" w:themeColor="text1"/>
          <w:kern w:val="0"/>
          <w:szCs w:val="21"/>
        </w:rPr>
        <w:t>基金资产净值</w:t>
      </w:r>
      <w:r w:rsidR="007B3B2A" w:rsidRPr="00E60957">
        <w:rPr>
          <w:rFonts w:eastAsiaTheme="minorEastAsia"/>
          <w:b/>
          <w:color w:val="000000" w:themeColor="text1"/>
          <w:szCs w:val="21"/>
        </w:rPr>
        <w:t>2%</w:t>
      </w:r>
      <w:r w:rsidRPr="00E60957">
        <w:rPr>
          <w:rFonts w:eastAsiaTheme="minorEastAsia"/>
          <w:b/>
          <w:color w:val="000000" w:themeColor="text1"/>
          <w:kern w:val="0"/>
          <w:szCs w:val="21"/>
        </w:rPr>
        <w:t>或前</w:t>
      </w:r>
      <w:r w:rsidRPr="00E60957">
        <w:rPr>
          <w:rFonts w:eastAsiaTheme="minorEastAsia"/>
          <w:b/>
          <w:color w:val="000000" w:themeColor="text1"/>
          <w:kern w:val="0"/>
          <w:szCs w:val="21"/>
        </w:rPr>
        <w:t>20</w:t>
      </w:r>
      <w:r w:rsidRPr="00E60957">
        <w:rPr>
          <w:rFonts w:eastAsiaTheme="minorEastAsia"/>
          <w:b/>
          <w:color w:val="000000" w:themeColor="text1"/>
          <w:kern w:val="0"/>
          <w:szCs w:val="21"/>
        </w:rPr>
        <w:t>名的权益投资明细</w:t>
      </w:r>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本报告期末本基金未持有权益投资。</w:t>
      </w:r>
    </w:p>
    <w:p w:rsidR="007B62FA" w:rsidRPr="00E60957" w:rsidRDefault="007B62FA" w:rsidP="009C3167">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kern w:val="0"/>
          <w:szCs w:val="21"/>
        </w:rPr>
        <w:t>8.4.3</w:t>
      </w:r>
      <w:r w:rsidR="002D0B5F" w:rsidRPr="00E60957">
        <w:rPr>
          <w:rFonts w:eastAsiaTheme="minorEastAsia"/>
          <w:b/>
          <w:color w:val="000000" w:themeColor="text1"/>
          <w:kern w:val="0"/>
          <w:szCs w:val="21"/>
        </w:rPr>
        <w:t xml:space="preserve"> </w:t>
      </w:r>
      <w:r w:rsidRPr="00E60957">
        <w:rPr>
          <w:rFonts w:eastAsiaTheme="minorEastAsia"/>
          <w:b/>
          <w:color w:val="000000" w:themeColor="text1"/>
          <w:kern w:val="0"/>
          <w:szCs w:val="21"/>
        </w:rPr>
        <w:t>权益投资的买入成本总额及卖出收入总额</w:t>
      </w:r>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本报告期末本基金未持有权益投资。</w:t>
      </w:r>
    </w:p>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231" w:name="_Toc224618382"/>
      <w:bookmarkStart w:id="232" w:name="_Toc248233029"/>
      <w:bookmarkStart w:id="233" w:name="_Toc249790561"/>
      <w:bookmarkStart w:id="234" w:name="_Toc286929762"/>
      <w:bookmarkStart w:id="235" w:name="_Toc352256001"/>
      <w:bookmarkStart w:id="236" w:name="_Toc352256069"/>
      <w:bookmarkStart w:id="237" w:name="_Toc352331247"/>
      <w:bookmarkStart w:id="238" w:name="_Toc362424025"/>
      <w:bookmarkStart w:id="239" w:name="_Toc374459288"/>
      <w:r w:rsidRPr="00E60957">
        <w:rPr>
          <w:rFonts w:ascii="Times New Roman" w:eastAsiaTheme="minorEastAsia" w:hAnsi="Times New Roman"/>
          <w:color w:val="000000" w:themeColor="text1"/>
          <w:kern w:val="0"/>
          <w:sz w:val="21"/>
          <w:szCs w:val="21"/>
        </w:rPr>
        <w:t>8.5</w:t>
      </w:r>
      <w:r w:rsidRPr="00E60957">
        <w:rPr>
          <w:rFonts w:ascii="Times New Roman" w:eastAsiaTheme="minorEastAsia" w:hAnsi="Times New Roman"/>
          <w:color w:val="000000" w:themeColor="text1"/>
          <w:kern w:val="0"/>
          <w:sz w:val="21"/>
          <w:szCs w:val="21"/>
        </w:rPr>
        <w:t>期末按公允价值占基金资产净值比例大小排名的前五名债券投资明细</w:t>
      </w:r>
      <w:bookmarkEnd w:id="231"/>
      <w:bookmarkEnd w:id="232"/>
      <w:bookmarkEnd w:id="233"/>
      <w:bookmarkEnd w:id="234"/>
      <w:bookmarkEnd w:id="235"/>
      <w:bookmarkEnd w:id="236"/>
      <w:bookmarkEnd w:id="237"/>
      <w:bookmarkEnd w:id="238"/>
      <w:bookmarkEnd w:id="239"/>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本基金本报告期末未持有债券。</w:t>
      </w:r>
    </w:p>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240" w:name="_Toc224618383"/>
      <w:bookmarkStart w:id="241" w:name="_Toc248233030"/>
      <w:bookmarkStart w:id="242" w:name="_Toc249790562"/>
      <w:bookmarkStart w:id="243" w:name="_Toc286929763"/>
      <w:bookmarkStart w:id="244" w:name="_Toc352256002"/>
      <w:bookmarkStart w:id="245" w:name="_Toc352256070"/>
      <w:bookmarkStart w:id="246" w:name="_Toc352331248"/>
      <w:bookmarkStart w:id="247" w:name="_Toc362424026"/>
      <w:bookmarkStart w:id="248" w:name="_Toc374459289"/>
      <w:r w:rsidRPr="00E60957">
        <w:rPr>
          <w:rFonts w:ascii="Times New Roman" w:eastAsiaTheme="minorEastAsia" w:hAnsi="Times New Roman"/>
          <w:color w:val="000000" w:themeColor="text1"/>
          <w:kern w:val="0"/>
          <w:sz w:val="21"/>
          <w:szCs w:val="21"/>
        </w:rPr>
        <w:lastRenderedPageBreak/>
        <w:t>8.6</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期末按公允价值占基金资产净值比例大小排名的</w:t>
      </w:r>
      <w:r w:rsidR="004349D1">
        <w:rPr>
          <w:rFonts w:ascii="Times New Roman" w:eastAsiaTheme="minorEastAsia" w:hAnsi="Times New Roman" w:hint="eastAsia"/>
          <w:color w:val="000000" w:themeColor="text1"/>
          <w:kern w:val="0"/>
          <w:sz w:val="21"/>
          <w:szCs w:val="21"/>
        </w:rPr>
        <w:t>前十名</w:t>
      </w:r>
      <w:r w:rsidRPr="00E60957">
        <w:rPr>
          <w:rFonts w:ascii="Times New Roman" w:eastAsiaTheme="minorEastAsia" w:hAnsi="Times New Roman"/>
          <w:color w:val="000000" w:themeColor="text1"/>
          <w:kern w:val="0"/>
          <w:sz w:val="21"/>
          <w:szCs w:val="21"/>
        </w:rPr>
        <w:t>资产支持证券投资明细</w:t>
      </w:r>
      <w:bookmarkEnd w:id="240"/>
      <w:bookmarkEnd w:id="241"/>
      <w:bookmarkEnd w:id="242"/>
      <w:bookmarkEnd w:id="243"/>
      <w:bookmarkEnd w:id="244"/>
      <w:bookmarkEnd w:id="245"/>
      <w:bookmarkEnd w:id="246"/>
      <w:bookmarkEnd w:id="247"/>
      <w:bookmarkEnd w:id="248"/>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本基金本报告期末未持有资产支持证券。</w:t>
      </w:r>
    </w:p>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249" w:name="_Toc224618384"/>
      <w:bookmarkStart w:id="250" w:name="_Toc248233031"/>
      <w:bookmarkStart w:id="251" w:name="_Toc249790563"/>
      <w:bookmarkStart w:id="252" w:name="_Toc286929764"/>
      <w:bookmarkStart w:id="253" w:name="_Toc352256003"/>
      <w:bookmarkStart w:id="254" w:name="_Toc352256071"/>
      <w:bookmarkStart w:id="255" w:name="_Toc352331249"/>
      <w:bookmarkStart w:id="256" w:name="_Toc362424027"/>
      <w:bookmarkStart w:id="257" w:name="_Toc374459290"/>
      <w:r w:rsidRPr="00E60957">
        <w:rPr>
          <w:rFonts w:ascii="Times New Roman" w:eastAsiaTheme="minorEastAsia" w:hAnsi="Times New Roman"/>
          <w:color w:val="000000" w:themeColor="text1"/>
          <w:kern w:val="0"/>
          <w:sz w:val="21"/>
          <w:szCs w:val="21"/>
        </w:rPr>
        <w:t>8.7</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期末按公允价值占基金资产净值比例大小排名的前五名金融衍生品投资明细</w:t>
      </w:r>
      <w:bookmarkEnd w:id="249"/>
      <w:bookmarkEnd w:id="250"/>
      <w:bookmarkEnd w:id="251"/>
      <w:bookmarkEnd w:id="252"/>
      <w:bookmarkEnd w:id="253"/>
      <w:bookmarkEnd w:id="254"/>
      <w:bookmarkEnd w:id="255"/>
      <w:bookmarkEnd w:id="256"/>
      <w:bookmarkEnd w:id="257"/>
    </w:p>
    <w:p w:rsidR="007B62FA" w:rsidRPr="00E60957" w:rsidRDefault="007B62FA" w:rsidP="00474A69">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本基金本报告期末未持有金融衍生品。</w:t>
      </w:r>
    </w:p>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258" w:name="_Toc248233032"/>
      <w:bookmarkStart w:id="259" w:name="_Toc249790564"/>
      <w:bookmarkStart w:id="260" w:name="_Toc286929765"/>
      <w:bookmarkStart w:id="261" w:name="_Toc352256004"/>
      <w:bookmarkStart w:id="262" w:name="_Toc352256072"/>
      <w:bookmarkStart w:id="263" w:name="_Toc352331250"/>
      <w:bookmarkStart w:id="264" w:name="_Toc362424028"/>
      <w:bookmarkStart w:id="265" w:name="_Toc374459291"/>
      <w:r w:rsidRPr="00E60957">
        <w:rPr>
          <w:rFonts w:ascii="Times New Roman" w:eastAsiaTheme="minorEastAsia" w:hAnsi="Times New Roman"/>
          <w:color w:val="000000" w:themeColor="text1"/>
          <w:kern w:val="0"/>
          <w:sz w:val="21"/>
          <w:szCs w:val="21"/>
        </w:rPr>
        <w:t>8.8</w:t>
      </w:r>
      <w:bookmarkStart w:id="266" w:name="_Toc224618385"/>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期末按公允价值占基金资产净值比例大小排序的前十名基金投资明细</w:t>
      </w:r>
      <w:bookmarkEnd w:id="258"/>
      <w:bookmarkEnd w:id="259"/>
      <w:bookmarkEnd w:id="260"/>
      <w:bookmarkEnd w:id="261"/>
      <w:bookmarkEnd w:id="262"/>
      <w:bookmarkEnd w:id="263"/>
      <w:bookmarkEnd w:id="264"/>
      <w:bookmarkEnd w:id="265"/>
      <w:bookmarkEnd w:id="266"/>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1433"/>
        <w:gridCol w:w="1250"/>
        <w:gridCol w:w="870"/>
        <w:gridCol w:w="1428"/>
        <w:gridCol w:w="2249"/>
        <w:gridCol w:w="1416"/>
      </w:tblGrid>
      <w:tr w:rsidR="00E60957" w:rsidRPr="00E60957" w:rsidTr="00EB69F4">
        <w:tc>
          <w:tcPr>
            <w:tcW w:w="71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1433"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w:t>
            </w:r>
          </w:p>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名称</w:t>
            </w:r>
          </w:p>
        </w:tc>
        <w:tc>
          <w:tcPr>
            <w:tcW w:w="125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w:t>
            </w:r>
          </w:p>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类型</w:t>
            </w:r>
          </w:p>
        </w:tc>
        <w:tc>
          <w:tcPr>
            <w:tcW w:w="87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运作</w:t>
            </w:r>
          </w:p>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方式</w:t>
            </w:r>
          </w:p>
        </w:tc>
        <w:tc>
          <w:tcPr>
            <w:tcW w:w="1428"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管理人</w:t>
            </w:r>
          </w:p>
        </w:tc>
        <w:tc>
          <w:tcPr>
            <w:tcW w:w="2249"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公允价值</w:t>
            </w:r>
          </w:p>
        </w:tc>
        <w:tc>
          <w:tcPr>
            <w:tcW w:w="1416"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占基金资产净值比例</w:t>
            </w:r>
            <w:r w:rsidRPr="00E60957">
              <w:rPr>
                <w:rFonts w:eastAsiaTheme="minorEastAsia"/>
                <w:color w:val="000000" w:themeColor="text1"/>
                <w:szCs w:val="21"/>
              </w:rPr>
              <w:t>(%)</w:t>
            </w:r>
          </w:p>
        </w:tc>
      </w:tr>
      <w:tr w:rsidR="00E33B47">
        <w:tc>
          <w:tcPr>
            <w:tcW w:w="710" w:type="dxa"/>
            <w:vAlign w:val="center"/>
          </w:tcPr>
          <w:p w:rsidR="00E33B47" w:rsidRDefault="00B95AF3">
            <w:pPr>
              <w:jc w:val="center"/>
            </w:pPr>
            <w:r>
              <w:rPr>
                <w:rFonts w:eastAsiaTheme="minorEastAsia"/>
                <w:color w:val="000000" w:themeColor="text1"/>
                <w:szCs w:val="21"/>
              </w:rPr>
              <w:t>1</w:t>
            </w:r>
          </w:p>
        </w:tc>
        <w:tc>
          <w:tcPr>
            <w:tcW w:w="1433" w:type="dxa"/>
            <w:vAlign w:val="center"/>
          </w:tcPr>
          <w:p w:rsidR="00E33B47" w:rsidRDefault="00B95AF3">
            <w:pPr>
              <w:jc w:val="center"/>
            </w:pPr>
            <w:r>
              <w:rPr>
                <w:rFonts w:eastAsiaTheme="minorEastAsia"/>
                <w:color w:val="000000" w:themeColor="text1"/>
                <w:szCs w:val="21"/>
              </w:rPr>
              <w:t>JPMF-US Aggregate Bond Fund</w:t>
            </w:r>
          </w:p>
        </w:tc>
        <w:tc>
          <w:tcPr>
            <w:tcW w:w="1250" w:type="dxa"/>
            <w:vAlign w:val="center"/>
          </w:tcPr>
          <w:p w:rsidR="00E33B47" w:rsidRDefault="00B95AF3">
            <w:pPr>
              <w:jc w:val="center"/>
            </w:pPr>
            <w:r>
              <w:rPr>
                <w:rFonts w:eastAsiaTheme="minorEastAsia"/>
                <w:color w:val="000000" w:themeColor="text1"/>
                <w:szCs w:val="21"/>
              </w:rPr>
              <w:t>债券型</w:t>
            </w:r>
          </w:p>
        </w:tc>
        <w:tc>
          <w:tcPr>
            <w:tcW w:w="870" w:type="dxa"/>
            <w:vAlign w:val="center"/>
          </w:tcPr>
          <w:p w:rsidR="00E33B47" w:rsidRDefault="00B95AF3">
            <w:pPr>
              <w:jc w:val="center"/>
            </w:pPr>
            <w:r>
              <w:rPr>
                <w:rFonts w:eastAsiaTheme="minorEastAsia"/>
                <w:color w:val="000000" w:themeColor="text1"/>
                <w:szCs w:val="21"/>
              </w:rPr>
              <w:t>开放式</w:t>
            </w:r>
          </w:p>
        </w:tc>
        <w:tc>
          <w:tcPr>
            <w:tcW w:w="1428" w:type="dxa"/>
            <w:vAlign w:val="center"/>
          </w:tcPr>
          <w:p w:rsidR="00E33B47" w:rsidRDefault="00B95AF3">
            <w:pPr>
              <w:jc w:val="center"/>
            </w:pPr>
            <w:r>
              <w:rPr>
                <w:rFonts w:eastAsiaTheme="minorEastAsia"/>
                <w:color w:val="000000" w:themeColor="text1"/>
                <w:szCs w:val="21"/>
              </w:rPr>
              <w:t>JPMorgan Asset Management (Europe) S.á r.l.</w:t>
            </w:r>
          </w:p>
        </w:tc>
        <w:tc>
          <w:tcPr>
            <w:tcW w:w="2249" w:type="dxa"/>
            <w:vAlign w:val="center"/>
          </w:tcPr>
          <w:p w:rsidR="00E33B47" w:rsidRDefault="00B95AF3">
            <w:pPr>
              <w:jc w:val="right"/>
            </w:pPr>
            <w:r>
              <w:rPr>
                <w:rFonts w:eastAsiaTheme="minorEastAsia"/>
                <w:color w:val="000000" w:themeColor="text1"/>
                <w:szCs w:val="21"/>
              </w:rPr>
              <w:t>148,139,536.51</w:t>
            </w:r>
          </w:p>
        </w:tc>
        <w:tc>
          <w:tcPr>
            <w:tcW w:w="1416" w:type="dxa"/>
            <w:vAlign w:val="center"/>
          </w:tcPr>
          <w:p w:rsidR="00E33B47" w:rsidRDefault="00B95AF3">
            <w:pPr>
              <w:jc w:val="right"/>
            </w:pPr>
            <w:r>
              <w:rPr>
                <w:rFonts w:eastAsiaTheme="minorEastAsia"/>
                <w:color w:val="000000" w:themeColor="text1"/>
                <w:szCs w:val="21"/>
              </w:rPr>
              <w:t>19.34</w:t>
            </w:r>
          </w:p>
        </w:tc>
      </w:tr>
      <w:tr w:rsidR="00E33B47">
        <w:tc>
          <w:tcPr>
            <w:tcW w:w="710" w:type="dxa"/>
            <w:vAlign w:val="center"/>
          </w:tcPr>
          <w:p w:rsidR="00E33B47" w:rsidRDefault="00B95AF3">
            <w:pPr>
              <w:jc w:val="center"/>
            </w:pPr>
            <w:r>
              <w:rPr>
                <w:rFonts w:eastAsiaTheme="minorEastAsia"/>
                <w:color w:val="000000" w:themeColor="text1"/>
                <w:szCs w:val="21"/>
              </w:rPr>
              <w:t>2</w:t>
            </w:r>
          </w:p>
        </w:tc>
        <w:tc>
          <w:tcPr>
            <w:tcW w:w="1433" w:type="dxa"/>
            <w:vAlign w:val="center"/>
          </w:tcPr>
          <w:p w:rsidR="00E33B47" w:rsidRDefault="00B95AF3">
            <w:pPr>
              <w:jc w:val="center"/>
            </w:pPr>
            <w:r>
              <w:rPr>
                <w:rFonts w:eastAsiaTheme="minorEastAsia"/>
                <w:color w:val="000000" w:themeColor="text1"/>
                <w:szCs w:val="21"/>
              </w:rPr>
              <w:t>JPMorgan SAR Global Bond Fund</w:t>
            </w:r>
          </w:p>
        </w:tc>
        <w:tc>
          <w:tcPr>
            <w:tcW w:w="1250" w:type="dxa"/>
            <w:vAlign w:val="center"/>
          </w:tcPr>
          <w:p w:rsidR="00E33B47" w:rsidRDefault="00B95AF3">
            <w:pPr>
              <w:jc w:val="center"/>
            </w:pPr>
            <w:r>
              <w:rPr>
                <w:rFonts w:eastAsiaTheme="minorEastAsia"/>
                <w:color w:val="000000" w:themeColor="text1"/>
                <w:szCs w:val="21"/>
              </w:rPr>
              <w:t>债券型</w:t>
            </w:r>
          </w:p>
        </w:tc>
        <w:tc>
          <w:tcPr>
            <w:tcW w:w="870" w:type="dxa"/>
            <w:vAlign w:val="center"/>
          </w:tcPr>
          <w:p w:rsidR="00E33B47" w:rsidRDefault="00B95AF3">
            <w:pPr>
              <w:jc w:val="center"/>
            </w:pPr>
            <w:r>
              <w:rPr>
                <w:rFonts w:eastAsiaTheme="minorEastAsia"/>
                <w:color w:val="000000" w:themeColor="text1"/>
                <w:szCs w:val="21"/>
              </w:rPr>
              <w:t>开放式</w:t>
            </w:r>
          </w:p>
        </w:tc>
        <w:tc>
          <w:tcPr>
            <w:tcW w:w="1428" w:type="dxa"/>
            <w:vAlign w:val="center"/>
          </w:tcPr>
          <w:p w:rsidR="00E33B47" w:rsidRDefault="00B95AF3">
            <w:pPr>
              <w:jc w:val="center"/>
            </w:pPr>
            <w:r>
              <w:rPr>
                <w:rFonts w:eastAsiaTheme="minorEastAsia"/>
                <w:color w:val="000000" w:themeColor="text1"/>
                <w:szCs w:val="21"/>
              </w:rPr>
              <w:t>JF Asset Management Limited (Part of the JPMorgan Chase &amp; Co, group of companies)</w:t>
            </w:r>
          </w:p>
        </w:tc>
        <w:tc>
          <w:tcPr>
            <w:tcW w:w="2249" w:type="dxa"/>
            <w:vAlign w:val="center"/>
          </w:tcPr>
          <w:p w:rsidR="00E33B47" w:rsidRDefault="00B95AF3">
            <w:pPr>
              <w:jc w:val="right"/>
            </w:pPr>
            <w:r>
              <w:rPr>
                <w:rFonts w:eastAsiaTheme="minorEastAsia"/>
                <w:color w:val="000000" w:themeColor="text1"/>
                <w:szCs w:val="21"/>
              </w:rPr>
              <w:t>110,463,203.98</w:t>
            </w:r>
          </w:p>
        </w:tc>
        <w:tc>
          <w:tcPr>
            <w:tcW w:w="1416" w:type="dxa"/>
            <w:vAlign w:val="center"/>
          </w:tcPr>
          <w:p w:rsidR="00E33B47" w:rsidRDefault="00B95AF3">
            <w:pPr>
              <w:jc w:val="right"/>
            </w:pPr>
            <w:r>
              <w:rPr>
                <w:rFonts w:eastAsiaTheme="minorEastAsia"/>
                <w:color w:val="000000" w:themeColor="text1"/>
                <w:szCs w:val="21"/>
              </w:rPr>
              <w:t>14.42</w:t>
            </w:r>
          </w:p>
        </w:tc>
      </w:tr>
      <w:tr w:rsidR="00E33B47">
        <w:tc>
          <w:tcPr>
            <w:tcW w:w="710" w:type="dxa"/>
            <w:vAlign w:val="center"/>
          </w:tcPr>
          <w:p w:rsidR="00E33B47" w:rsidRDefault="00B95AF3">
            <w:pPr>
              <w:jc w:val="center"/>
            </w:pPr>
            <w:r>
              <w:rPr>
                <w:rFonts w:eastAsiaTheme="minorEastAsia"/>
                <w:color w:val="000000" w:themeColor="text1"/>
                <w:szCs w:val="21"/>
              </w:rPr>
              <w:t>3</w:t>
            </w:r>
          </w:p>
        </w:tc>
        <w:tc>
          <w:tcPr>
            <w:tcW w:w="1433" w:type="dxa"/>
            <w:vAlign w:val="center"/>
          </w:tcPr>
          <w:p w:rsidR="00E33B47" w:rsidRDefault="00B95AF3">
            <w:pPr>
              <w:jc w:val="center"/>
            </w:pPr>
            <w:r>
              <w:rPr>
                <w:rFonts w:eastAsiaTheme="minorEastAsia"/>
                <w:color w:val="000000" w:themeColor="text1"/>
                <w:szCs w:val="21"/>
              </w:rPr>
              <w:t>JPMF-JPM US Value Fund</w:t>
            </w:r>
          </w:p>
        </w:tc>
        <w:tc>
          <w:tcPr>
            <w:tcW w:w="1250" w:type="dxa"/>
            <w:vAlign w:val="center"/>
          </w:tcPr>
          <w:p w:rsidR="00E33B47" w:rsidRDefault="00B95AF3">
            <w:pPr>
              <w:jc w:val="center"/>
            </w:pPr>
            <w:r>
              <w:rPr>
                <w:rFonts w:eastAsiaTheme="minorEastAsia"/>
                <w:color w:val="000000" w:themeColor="text1"/>
                <w:szCs w:val="21"/>
              </w:rPr>
              <w:t>股票型</w:t>
            </w:r>
          </w:p>
        </w:tc>
        <w:tc>
          <w:tcPr>
            <w:tcW w:w="870" w:type="dxa"/>
            <w:vAlign w:val="center"/>
          </w:tcPr>
          <w:p w:rsidR="00E33B47" w:rsidRDefault="00B95AF3">
            <w:pPr>
              <w:jc w:val="center"/>
            </w:pPr>
            <w:r>
              <w:rPr>
                <w:rFonts w:eastAsiaTheme="minorEastAsia"/>
                <w:color w:val="000000" w:themeColor="text1"/>
                <w:szCs w:val="21"/>
              </w:rPr>
              <w:t>开放式</w:t>
            </w:r>
          </w:p>
        </w:tc>
        <w:tc>
          <w:tcPr>
            <w:tcW w:w="1428" w:type="dxa"/>
            <w:vAlign w:val="center"/>
          </w:tcPr>
          <w:p w:rsidR="00E33B47" w:rsidRDefault="00B95AF3">
            <w:pPr>
              <w:jc w:val="center"/>
            </w:pPr>
            <w:r>
              <w:rPr>
                <w:rFonts w:eastAsiaTheme="minorEastAsia"/>
                <w:color w:val="000000" w:themeColor="text1"/>
                <w:szCs w:val="21"/>
              </w:rPr>
              <w:t>JPMorgan Asset Management (Europe) S.á r.l.</w:t>
            </w:r>
          </w:p>
        </w:tc>
        <w:tc>
          <w:tcPr>
            <w:tcW w:w="2249" w:type="dxa"/>
            <w:vAlign w:val="center"/>
          </w:tcPr>
          <w:p w:rsidR="00E33B47" w:rsidRDefault="00B95AF3">
            <w:pPr>
              <w:jc w:val="right"/>
            </w:pPr>
            <w:r>
              <w:rPr>
                <w:rFonts w:eastAsiaTheme="minorEastAsia"/>
                <w:color w:val="000000" w:themeColor="text1"/>
                <w:szCs w:val="21"/>
              </w:rPr>
              <w:t>98,310,604.38</w:t>
            </w:r>
          </w:p>
        </w:tc>
        <w:tc>
          <w:tcPr>
            <w:tcW w:w="1416" w:type="dxa"/>
            <w:vAlign w:val="center"/>
          </w:tcPr>
          <w:p w:rsidR="00E33B47" w:rsidRDefault="00B95AF3">
            <w:pPr>
              <w:jc w:val="right"/>
            </w:pPr>
            <w:r>
              <w:rPr>
                <w:rFonts w:eastAsiaTheme="minorEastAsia"/>
                <w:color w:val="000000" w:themeColor="text1"/>
                <w:szCs w:val="21"/>
              </w:rPr>
              <w:t>12.83</w:t>
            </w:r>
          </w:p>
        </w:tc>
      </w:tr>
      <w:tr w:rsidR="00E33B47">
        <w:tc>
          <w:tcPr>
            <w:tcW w:w="710" w:type="dxa"/>
            <w:vAlign w:val="center"/>
          </w:tcPr>
          <w:p w:rsidR="00E33B47" w:rsidRDefault="00B95AF3">
            <w:pPr>
              <w:jc w:val="center"/>
            </w:pPr>
            <w:r>
              <w:rPr>
                <w:rFonts w:eastAsiaTheme="minorEastAsia"/>
                <w:color w:val="000000" w:themeColor="text1"/>
                <w:szCs w:val="21"/>
              </w:rPr>
              <w:t>4</w:t>
            </w:r>
          </w:p>
        </w:tc>
        <w:tc>
          <w:tcPr>
            <w:tcW w:w="1433" w:type="dxa"/>
            <w:vAlign w:val="center"/>
          </w:tcPr>
          <w:p w:rsidR="00E33B47" w:rsidRDefault="00B95AF3">
            <w:pPr>
              <w:jc w:val="center"/>
            </w:pPr>
            <w:r>
              <w:rPr>
                <w:rFonts w:eastAsiaTheme="minorEastAsia"/>
                <w:color w:val="000000" w:themeColor="text1"/>
                <w:szCs w:val="21"/>
              </w:rPr>
              <w:t>JPMF-JPM US Growth Fund</w:t>
            </w:r>
          </w:p>
        </w:tc>
        <w:tc>
          <w:tcPr>
            <w:tcW w:w="1250" w:type="dxa"/>
            <w:vAlign w:val="center"/>
          </w:tcPr>
          <w:p w:rsidR="00E33B47" w:rsidRDefault="00B95AF3">
            <w:pPr>
              <w:jc w:val="center"/>
            </w:pPr>
            <w:r>
              <w:rPr>
                <w:rFonts w:eastAsiaTheme="minorEastAsia"/>
                <w:color w:val="000000" w:themeColor="text1"/>
                <w:szCs w:val="21"/>
              </w:rPr>
              <w:t>股票型</w:t>
            </w:r>
          </w:p>
        </w:tc>
        <w:tc>
          <w:tcPr>
            <w:tcW w:w="870" w:type="dxa"/>
            <w:vAlign w:val="center"/>
          </w:tcPr>
          <w:p w:rsidR="00E33B47" w:rsidRDefault="00B95AF3">
            <w:pPr>
              <w:jc w:val="center"/>
            </w:pPr>
            <w:r>
              <w:rPr>
                <w:rFonts w:eastAsiaTheme="minorEastAsia"/>
                <w:color w:val="000000" w:themeColor="text1"/>
                <w:szCs w:val="21"/>
              </w:rPr>
              <w:t>开放式</w:t>
            </w:r>
          </w:p>
        </w:tc>
        <w:tc>
          <w:tcPr>
            <w:tcW w:w="1428" w:type="dxa"/>
            <w:vAlign w:val="center"/>
          </w:tcPr>
          <w:p w:rsidR="00E33B47" w:rsidRDefault="00B95AF3">
            <w:pPr>
              <w:jc w:val="center"/>
            </w:pPr>
            <w:r>
              <w:rPr>
                <w:rFonts w:eastAsiaTheme="minorEastAsia"/>
                <w:color w:val="000000" w:themeColor="text1"/>
                <w:szCs w:val="21"/>
              </w:rPr>
              <w:t>JPMorgan Asset Management (Europe) S.á r.l.</w:t>
            </w:r>
          </w:p>
        </w:tc>
        <w:tc>
          <w:tcPr>
            <w:tcW w:w="2249" w:type="dxa"/>
            <w:vAlign w:val="center"/>
          </w:tcPr>
          <w:p w:rsidR="00E33B47" w:rsidRDefault="00B95AF3">
            <w:pPr>
              <w:jc w:val="right"/>
            </w:pPr>
            <w:r>
              <w:rPr>
                <w:rFonts w:eastAsiaTheme="minorEastAsia"/>
                <w:color w:val="000000" w:themeColor="text1"/>
                <w:szCs w:val="21"/>
              </w:rPr>
              <w:t>84,674,729.99</w:t>
            </w:r>
          </w:p>
        </w:tc>
        <w:tc>
          <w:tcPr>
            <w:tcW w:w="1416" w:type="dxa"/>
            <w:vAlign w:val="center"/>
          </w:tcPr>
          <w:p w:rsidR="00E33B47" w:rsidRDefault="00B95AF3">
            <w:pPr>
              <w:jc w:val="right"/>
            </w:pPr>
            <w:r>
              <w:rPr>
                <w:rFonts w:eastAsiaTheme="minorEastAsia"/>
                <w:color w:val="000000" w:themeColor="text1"/>
                <w:szCs w:val="21"/>
              </w:rPr>
              <w:t>11.05</w:t>
            </w:r>
          </w:p>
        </w:tc>
      </w:tr>
      <w:tr w:rsidR="00E33B47">
        <w:tc>
          <w:tcPr>
            <w:tcW w:w="710" w:type="dxa"/>
            <w:vAlign w:val="center"/>
          </w:tcPr>
          <w:p w:rsidR="00E33B47" w:rsidRDefault="00B95AF3">
            <w:pPr>
              <w:jc w:val="center"/>
            </w:pPr>
            <w:r>
              <w:rPr>
                <w:rFonts w:eastAsiaTheme="minorEastAsia"/>
                <w:color w:val="000000" w:themeColor="text1"/>
                <w:szCs w:val="21"/>
              </w:rPr>
              <w:t>5</w:t>
            </w:r>
          </w:p>
        </w:tc>
        <w:tc>
          <w:tcPr>
            <w:tcW w:w="1433" w:type="dxa"/>
            <w:vAlign w:val="center"/>
          </w:tcPr>
          <w:p w:rsidR="00E33B47" w:rsidRDefault="00B95AF3">
            <w:pPr>
              <w:jc w:val="center"/>
            </w:pPr>
            <w:r>
              <w:rPr>
                <w:rFonts w:eastAsiaTheme="minorEastAsia"/>
                <w:color w:val="000000" w:themeColor="text1"/>
                <w:szCs w:val="21"/>
              </w:rPr>
              <w:t>JPMF-JPM US Equity All Cap Fund</w:t>
            </w:r>
          </w:p>
        </w:tc>
        <w:tc>
          <w:tcPr>
            <w:tcW w:w="1250" w:type="dxa"/>
            <w:vAlign w:val="center"/>
          </w:tcPr>
          <w:p w:rsidR="00E33B47" w:rsidRDefault="00B95AF3">
            <w:pPr>
              <w:jc w:val="center"/>
            </w:pPr>
            <w:r>
              <w:rPr>
                <w:rFonts w:eastAsiaTheme="minorEastAsia"/>
                <w:color w:val="000000" w:themeColor="text1"/>
                <w:szCs w:val="21"/>
              </w:rPr>
              <w:t>股票型</w:t>
            </w:r>
          </w:p>
        </w:tc>
        <w:tc>
          <w:tcPr>
            <w:tcW w:w="870" w:type="dxa"/>
            <w:vAlign w:val="center"/>
          </w:tcPr>
          <w:p w:rsidR="00E33B47" w:rsidRDefault="00B95AF3">
            <w:pPr>
              <w:jc w:val="center"/>
            </w:pPr>
            <w:r>
              <w:rPr>
                <w:rFonts w:eastAsiaTheme="minorEastAsia"/>
                <w:color w:val="000000" w:themeColor="text1"/>
                <w:szCs w:val="21"/>
              </w:rPr>
              <w:t>开放式</w:t>
            </w:r>
          </w:p>
        </w:tc>
        <w:tc>
          <w:tcPr>
            <w:tcW w:w="1428" w:type="dxa"/>
            <w:vAlign w:val="center"/>
          </w:tcPr>
          <w:p w:rsidR="00E33B47" w:rsidRDefault="00B95AF3">
            <w:pPr>
              <w:jc w:val="center"/>
            </w:pPr>
            <w:r>
              <w:rPr>
                <w:rFonts w:eastAsiaTheme="minorEastAsia"/>
                <w:color w:val="000000" w:themeColor="text1"/>
                <w:szCs w:val="21"/>
              </w:rPr>
              <w:t>JPMorgan Asset Management (Europe) S.á r.l.</w:t>
            </w:r>
          </w:p>
        </w:tc>
        <w:tc>
          <w:tcPr>
            <w:tcW w:w="2249" w:type="dxa"/>
            <w:vAlign w:val="center"/>
          </w:tcPr>
          <w:p w:rsidR="00E33B47" w:rsidRDefault="00B95AF3">
            <w:pPr>
              <w:jc w:val="right"/>
            </w:pPr>
            <w:r>
              <w:rPr>
                <w:rFonts w:eastAsiaTheme="minorEastAsia"/>
                <w:color w:val="000000" w:themeColor="text1"/>
                <w:szCs w:val="21"/>
              </w:rPr>
              <w:t>72,101,210.33</w:t>
            </w:r>
          </w:p>
        </w:tc>
        <w:tc>
          <w:tcPr>
            <w:tcW w:w="1416" w:type="dxa"/>
            <w:vAlign w:val="center"/>
          </w:tcPr>
          <w:p w:rsidR="00E33B47" w:rsidRDefault="00B95AF3">
            <w:pPr>
              <w:jc w:val="right"/>
            </w:pPr>
            <w:r>
              <w:rPr>
                <w:rFonts w:eastAsiaTheme="minorEastAsia"/>
                <w:color w:val="000000" w:themeColor="text1"/>
                <w:szCs w:val="21"/>
              </w:rPr>
              <w:t>9.41</w:t>
            </w:r>
          </w:p>
        </w:tc>
      </w:tr>
      <w:tr w:rsidR="00E33B47">
        <w:tc>
          <w:tcPr>
            <w:tcW w:w="710" w:type="dxa"/>
            <w:vAlign w:val="center"/>
          </w:tcPr>
          <w:p w:rsidR="00E33B47" w:rsidRDefault="00B95AF3">
            <w:pPr>
              <w:jc w:val="center"/>
            </w:pPr>
            <w:r>
              <w:rPr>
                <w:rFonts w:eastAsiaTheme="minorEastAsia"/>
                <w:color w:val="000000" w:themeColor="text1"/>
                <w:szCs w:val="21"/>
              </w:rPr>
              <w:t>6</w:t>
            </w:r>
          </w:p>
        </w:tc>
        <w:tc>
          <w:tcPr>
            <w:tcW w:w="1433" w:type="dxa"/>
            <w:vAlign w:val="center"/>
          </w:tcPr>
          <w:p w:rsidR="00E33B47" w:rsidRDefault="00B95AF3">
            <w:pPr>
              <w:jc w:val="center"/>
            </w:pPr>
            <w:r>
              <w:rPr>
                <w:rFonts w:eastAsiaTheme="minorEastAsia"/>
                <w:color w:val="000000" w:themeColor="text1"/>
                <w:szCs w:val="21"/>
              </w:rPr>
              <w:t xml:space="preserve">JPMF-JPM Emerging </w:t>
            </w:r>
            <w:r>
              <w:rPr>
                <w:rFonts w:eastAsiaTheme="minorEastAsia"/>
                <w:color w:val="000000" w:themeColor="text1"/>
                <w:szCs w:val="21"/>
              </w:rPr>
              <w:lastRenderedPageBreak/>
              <w:t>Markets Opportunities Fund</w:t>
            </w:r>
          </w:p>
        </w:tc>
        <w:tc>
          <w:tcPr>
            <w:tcW w:w="1250" w:type="dxa"/>
            <w:vAlign w:val="center"/>
          </w:tcPr>
          <w:p w:rsidR="00E33B47" w:rsidRDefault="00B95AF3">
            <w:pPr>
              <w:jc w:val="center"/>
            </w:pPr>
            <w:r>
              <w:rPr>
                <w:rFonts w:eastAsiaTheme="minorEastAsia"/>
                <w:color w:val="000000" w:themeColor="text1"/>
                <w:szCs w:val="21"/>
              </w:rPr>
              <w:lastRenderedPageBreak/>
              <w:t>股票型</w:t>
            </w:r>
          </w:p>
        </w:tc>
        <w:tc>
          <w:tcPr>
            <w:tcW w:w="870" w:type="dxa"/>
            <w:vAlign w:val="center"/>
          </w:tcPr>
          <w:p w:rsidR="00E33B47" w:rsidRDefault="00B95AF3">
            <w:pPr>
              <w:jc w:val="center"/>
            </w:pPr>
            <w:r>
              <w:rPr>
                <w:rFonts w:eastAsiaTheme="minorEastAsia"/>
                <w:color w:val="000000" w:themeColor="text1"/>
                <w:szCs w:val="21"/>
              </w:rPr>
              <w:t>开放式</w:t>
            </w:r>
          </w:p>
        </w:tc>
        <w:tc>
          <w:tcPr>
            <w:tcW w:w="1428" w:type="dxa"/>
            <w:vAlign w:val="center"/>
          </w:tcPr>
          <w:p w:rsidR="00E33B47" w:rsidRDefault="00B95AF3">
            <w:pPr>
              <w:jc w:val="center"/>
            </w:pPr>
            <w:r>
              <w:rPr>
                <w:rFonts w:eastAsiaTheme="minorEastAsia"/>
                <w:color w:val="000000" w:themeColor="text1"/>
                <w:szCs w:val="21"/>
              </w:rPr>
              <w:t xml:space="preserve">JPMorgan Asset </w:t>
            </w:r>
            <w:r>
              <w:rPr>
                <w:rFonts w:eastAsiaTheme="minorEastAsia"/>
                <w:color w:val="000000" w:themeColor="text1"/>
                <w:szCs w:val="21"/>
              </w:rPr>
              <w:lastRenderedPageBreak/>
              <w:t>Management (Europe) S.á r.l.</w:t>
            </w:r>
          </w:p>
        </w:tc>
        <w:tc>
          <w:tcPr>
            <w:tcW w:w="2249" w:type="dxa"/>
            <w:vAlign w:val="center"/>
          </w:tcPr>
          <w:p w:rsidR="00E33B47" w:rsidRDefault="00B95AF3">
            <w:pPr>
              <w:jc w:val="right"/>
            </w:pPr>
            <w:r>
              <w:rPr>
                <w:rFonts w:eastAsiaTheme="minorEastAsia"/>
                <w:color w:val="000000" w:themeColor="text1"/>
                <w:szCs w:val="21"/>
              </w:rPr>
              <w:lastRenderedPageBreak/>
              <w:t>50,168,125.20</w:t>
            </w:r>
          </w:p>
        </w:tc>
        <w:tc>
          <w:tcPr>
            <w:tcW w:w="1416" w:type="dxa"/>
            <w:vAlign w:val="center"/>
          </w:tcPr>
          <w:p w:rsidR="00E33B47" w:rsidRDefault="00B95AF3">
            <w:pPr>
              <w:jc w:val="right"/>
            </w:pPr>
            <w:r>
              <w:rPr>
                <w:rFonts w:eastAsiaTheme="minorEastAsia"/>
                <w:color w:val="000000" w:themeColor="text1"/>
                <w:szCs w:val="21"/>
              </w:rPr>
              <w:t>6.55</w:t>
            </w:r>
          </w:p>
        </w:tc>
      </w:tr>
      <w:tr w:rsidR="00E33B47">
        <w:tc>
          <w:tcPr>
            <w:tcW w:w="710" w:type="dxa"/>
            <w:vAlign w:val="center"/>
          </w:tcPr>
          <w:p w:rsidR="00E33B47" w:rsidRDefault="00B95AF3">
            <w:pPr>
              <w:jc w:val="center"/>
            </w:pPr>
            <w:r>
              <w:rPr>
                <w:rFonts w:eastAsiaTheme="minorEastAsia"/>
                <w:color w:val="000000" w:themeColor="text1"/>
                <w:szCs w:val="21"/>
              </w:rPr>
              <w:lastRenderedPageBreak/>
              <w:t>7</w:t>
            </w:r>
          </w:p>
        </w:tc>
        <w:tc>
          <w:tcPr>
            <w:tcW w:w="1433" w:type="dxa"/>
            <w:vAlign w:val="center"/>
          </w:tcPr>
          <w:p w:rsidR="00E33B47" w:rsidRDefault="00B95AF3">
            <w:pPr>
              <w:jc w:val="center"/>
            </w:pPr>
            <w:r>
              <w:rPr>
                <w:rFonts w:eastAsiaTheme="minorEastAsia"/>
                <w:color w:val="000000" w:themeColor="text1"/>
                <w:szCs w:val="21"/>
              </w:rPr>
              <w:t>JPMIF-JPM Europe Select Equity Fund</w:t>
            </w:r>
          </w:p>
        </w:tc>
        <w:tc>
          <w:tcPr>
            <w:tcW w:w="1250" w:type="dxa"/>
            <w:vAlign w:val="center"/>
          </w:tcPr>
          <w:p w:rsidR="00E33B47" w:rsidRDefault="00B95AF3">
            <w:pPr>
              <w:jc w:val="center"/>
            </w:pPr>
            <w:r>
              <w:rPr>
                <w:rFonts w:eastAsiaTheme="minorEastAsia"/>
                <w:color w:val="000000" w:themeColor="text1"/>
                <w:szCs w:val="21"/>
              </w:rPr>
              <w:t>股票型</w:t>
            </w:r>
          </w:p>
        </w:tc>
        <w:tc>
          <w:tcPr>
            <w:tcW w:w="870" w:type="dxa"/>
            <w:vAlign w:val="center"/>
          </w:tcPr>
          <w:p w:rsidR="00E33B47" w:rsidRDefault="00B95AF3">
            <w:pPr>
              <w:jc w:val="center"/>
            </w:pPr>
            <w:r>
              <w:rPr>
                <w:rFonts w:eastAsiaTheme="minorEastAsia"/>
                <w:color w:val="000000" w:themeColor="text1"/>
                <w:szCs w:val="21"/>
              </w:rPr>
              <w:t>开放式</w:t>
            </w:r>
          </w:p>
        </w:tc>
        <w:tc>
          <w:tcPr>
            <w:tcW w:w="1428" w:type="dxa"/>
            <w:vAlign w:val="center"/>
          </w:tcPr>
          <w:p w:rsidR="00E33B47" w:rsidRDefault="00B95AF3">
            <w:pPr>
              <w:jc w:val="center"/>
            </w:pPr>
            <w:r>
              <w:rPr>
                <w:rFonts w:eastAsiaTheme="minorEastAsia"/>
                <w:color w:val="000000" w:themeColor="text1"/>
                <w:szCs w:val="21"/>
              </w:rPr>
              <w:t>JPMorgan Asset Management (Europe) S.á r.l.</w:t>
            </w:r>
          </w:p>
        </w:tc>
        <w:tc>
          <w:tcPr>
            <w:tcW w:w="2249" w:type="dxa"/>
            <w:vAlign w:val="center"/>
          </w:tcPr>
          <w:p w:rsidR="00E33B47" w:rsidRDefault="00B95AF3">
            <w:pPr>
              <w:jc w:val="right"/>
            </w:pPr>
            <w:r>
              <w:rPr>
                <w:rFonts w:eastAsiaTheme="minorEastAsia"/>
                <w:color w:val="000000" w:themeColor="text1"/>
                <w:szCs w:val="21"/>
              </w:rPr>
              <w:t>31,348,084.65</w:t>
            </w:r>
          </w:p>
        </w:tc>
        <w:tc>
          <w:tcPr>
            <w:tcW w:w="1416" w:type="dxa"/>
            <w:vAlign w:val="center"/>
          </w:tcPr>
          <w:p w:rsidR="00E33B47" w:rsidRDefault="00B95AF3">
            <w:pPr>
              <w:jc w:val="right"/>
            </w:pPr>
            <w:r>
              <w:rPr>
                <w:rFonts w:eastAsiaTheme="minorEastAsia"/>
                <w:color w:val="000000" w:themeColor="text1"/>
                <w:szCs w:val="21"/>
              </w:rPr>
              <w:t>4.09</w:t>
            </w:r>
          </w:p>
        </w:tc>
      </w:tr>
      <w:tr w:rsidR="00E33B47">
        <w:tc>
          <w:tcPr>
            <w:tcW w:w="710" w:type="dxa"/>
            <w:vAlign w:val="center"/>
          </w:tcPr>
          <w:p w:rsidR="00E33B47" w:rsidRDefault="00B95AF3">
            <w:pPr>
              <w:jc w:val="center"/>
            </w:pPr>
            <w:r>
              <w:rPr>
                <w:rFonts w:eastAsiaTheme="minorEastAsia"/>
                <w:color w:val="000000" w:themeColor="text1"/>
                <w:szCs w:val="21"/>
              </w:rPr>
              <w:t>8</w:t>
            </w:r>
          </w:p>
        </w:tc>
        <w:tc>
          <w:tcPr>
            <w:tcW w:w="1433" w:type="dxa"/>
            <w:vAlign w:val="center"/>
          </w:tcPr>
          <w:p w:rsidR="00E33B47" w:rsidRDefault="00B95AF3">
            <w:pPr>
              <w:jc w:val="center"/>
            </w:pPr>
            <w:r>
              <w:rPr>
                <w:rFonts w:eastAsiaTheme="minorEastAsia"/>
                <w:color w:val="000000" w:themeColor="text1"/>
                <w:szCs w:val="21"/>
              </w:rPr>
              <w:t>JPMIF-Japan Select Equity Fund</w:t>
            </w:r>
          </w:p>
        </w:tc>
        <w:tc>
          <w:tcPr>
            <w:tcW w:w="1250" w:type="dxa"/>
            <w:vAlign w:val="center"/>
          </w:tcPr>
          <w:p w:rsidR="00E33B47" w:rsidRDefault="00B95AF3">
            <w:pPr>
              <w:jc w:val="center"/>
            </w:pPr>
            <w:r>
              <w:rPr>
                <w:rFonts w:eastAsiaTheme="minorEastAsia"/>
                <w:color w:val="000000" w:themeColor="text1"/>
                <w:szCs w:val="21"/>
              </w:rPr>
              <w:t>股票型</w:t>
            </w:r>
          </w:p>
        </w:tc>
        <w:tc>
          <w:tcPr>
            <w:tcW w:w="870" w:type="dxa"/>
            <w:vAlign w:val="center"/>
          </w:tcPr>
          <w:p w:rsidR="00E33B47" w:rsidRDefault="00B95AF3">
            <w:pPr>
              <w:jc w:val="center"/>
            </w:pPr>
            <w:r>
              <w:rPr>
                <w:rFonts w:eastAsiaTheme="minorEastAsia"/>
                <w:color w:val="000000" w:themeColor="text1"/>
                <w:szCs w:val="21"/>
              </w:rPr>
              <w:t>开放式</w:t>
            </w:r>
          </w:p>
        </w:tc>
        <w:tc>
          <w:tcPr>
            <w:tcW w:w="1428" w:type="dxa"/>
            <w:vAlign w:val="center"/>
          </w:tcPr>
          <w:p w:rsidR="00E33B47" w:rsidRDefault="00B95AF3">
            <w:pPr>
              <w:jc w:val="center"/>
            </w:pPr>
            <w:r>
              <w:rPr>
                <w:rFonts w:eastAsiaTheme="minorEastAsia"/>
                <w:color w:val="000000" w:themeColor="text1"/>
                <w:szCs w:val="21"/>
              </w:rPr>
              <w:t>JPMorgan Asset Management (Europe) S.á r.l.</w:t>
            </w:r>
          </w:p>
        </w:tc>
        <w:tc>
          <w:tcPr>
            <w:tcW w:w="2249" w:type="dxa"/>
            <w:vAlign w:val="center"/>
          </w:tcPr>
          <w:p w:rsidR="00E33B47" w:rsidRDefault="00B95AF3">
            <w:pPr>
              <w:jc w:val="right"/>
            </w:pPr>
            <w:r>
              <w:rPr>
                <w:rFonts w:eastAsiaTheme="minorEastAsia"/>
                <w:color w:val="000000" w:themeColor="text1"/>
                <w:szCs w:val="21"/>
              </w:rPr>
              <w:t>24,161,483.80</w:t>
            </w:r>
          </w:p>
        </w:tc>
        <w:tc>
          <w:tcPr>
            <w:tcW w:w="1416" w:type="dxa"/>
            <w:vAlign w:val="center"/>
          </w:tcPr>
          <w:p w:rsidR="00E33B47" w:rsidRDefault="00B95AF3">
            <w:pPr>
              <w:jc w:val="right"/>
            </w:pPr>
            <w:r>
              <w:rPr>
                <w:rFonts w:eastAsiaTheme="minorEastAsia"/>
                <w:color w:val="000000" w:themeColor="text1"/>
                <w:szCs w:val="21"/>
              </w:rPr>
              <w:t>3.15</w:t>
            </w:r>
          </w:p>
        </w:tc>
      </w:tr>
      <w:tr w:rsidR="00E33B47">
        <w:tc>
          <w:tcPr>
            <w:tcW w:w="710" w:type="dxa"/>
            <w:vAlign w:val="center"/>
          </w:tcPr>
          <w:p w:rsidR="00E33B47" w:rsidRDefault="00B95AF3">
            <w:pPr>
              <w:jc w:val="center"/>
            </w:pPr>
            <w:r>
              <w:rPr>
                <w:rFonts w:eastAsiaTheme="minorEastAsia"/>
                <w:color w:val="000000" w:themeColor="text1"/>
                <w:szCs w:val="21"/>
              </w:rPr>
              <w:t>9</w:t>
            </w:r>
          </w:p>
        </w:tc>
        <w:tc>
          <w:tcPr>
            <w:tcW w:w="1433" w:type="dxa"/>
            <w:vAlign w:val="center"/>
          </w:tcPr>
          <w:p w:rsidR="00E33B47" w:rsidRDefault="00B95AF3">
            <w:pPr>
              <w:jc w:val="center"/>
            </w:pPr>
            <w:r>
              <w:rPr>
                <w:rFonts w:eastAsiaTheme="minorEastAsia"/>
                <w:color w:val="000000" w:themeColor="text1"/>
                <w:szCs w:val="21"/>
              </w:rPr>
              <w:t>JPMF-JPM Europe Dynamic Fund</w:t>
            </w:r>
          </w:p>
        </w:tc>
        <w:tc>
          <w:tcPr>
            <w:tcW w:w="1250" w:type="dxa"/>
            <w:vAlign w:val="center"/>
          </w:tcPr>
          <w:p w:rsidR="00E33B47" w:rsidRDefault="00B95AF3">
            <w:pPr>
              <w:jc w:val="center"/>
            </w:pPr>
            <w:r>
              <w:rPr>
                <w:rFonts w:eastAsiaTheme="minorEastAsia"/>
                <w:color w:val="000000" w:themeColor="text1"/>
                <w:szCs w:val="21"/>
              </w:rPr>
              <w:t>股票型</w:t>
            </w:r>
          </w:p>
        </w:tc>
        <w:tc>
          <w:tcPr>
            <w:tcW w:w="870" w:type="dxa"/>
            <w:vAlign w:val="center"/>
          </w:tcPr>
          <w:p w:rsidR="00E33B47" w:rsidRDefault="00B95AF3">
            <w:pPr>
              <w:jc w:val="center"/>
            </w:pPr>
            <w:r>
              <w:rPr>
                <w:rFonts w:eastAsiaTheme="minorEastAsia"/>
                <w:color w:val="000000" w:themeColor="text1"/>
                <w:szCs w:val="21"/>
              </w:rPr>
              <w:t>开放式</w:t>
            </w:r>
          </w:p>
        </w:tc>
        <w:tc>
          <w:tcPr>
            <w:tcW w:w="1428" w:type="dxa"/>
            <w:vAlign w:val="center"/>
          </w:tcPr>
          <w:p w:rsidR="00E33B47" w:rsidRDefault="00B95AF3">
            <w:pPr>
              <w:jc w:val="center"/>
            </w:pPr>
            <w:r>
              <w:rPr>
                <w:rFonts w:eastAsiaTheme="minorEastAsia"/>
                <w:color w:val="000000" w:themeColor="text1"/>
                <w:szCs w:val="21"/>
              </w:rPr>
              <w:t>JPMorgan Asset Management (Europe) S.á r.l.</w:t>
            </w:r>
          </w:p>
        </w:tc>
        <w:tc>
          <w:tcPr>
            <w:tcW w:w="2249" w:type="dxa"/>
            <w:vAlign w:val="center"/>
          </w:tcPr>
          <w:p w:rsidR="00E33B47" w:rsidRDefault="00B95AF3">
            <w:pPr>
              <w:jc w:val="right"/>
            </w:pPr>
            <w:r>
              <w:rPr>
                <w:rFonts w:eastAsiaTheme="minorEastAsia"/>
                <w:color w:val="000000" w:themeColor="text1"/>
                <w:szCs w:val="21"/>
              </w:rPr>
              <w:t>22,292,730.53</w:t>
            </w:r>
          </w:p>
        </w:tc>
        <w:tc>
          <w:tcPr>
            <w:tcW w:w="1416" w:type="dxa"/>
            <w:vAlign w:val="center"/>
          </w:tcPr>
          <w:p w:rsidR="00E33B47" w:rsidRDefault="00B95AF3">
            <w:pPr>
              <w:jc w:val="right"/>
            </w:pPr>
            <w:r>
              <w:rPr>
                <w:rFonts w:eastAsiaTheme="minorEastAsia"/>
                <w:color w:val="000000" w:themeColor="text1"/>
                <w:szCs w:val="21"/>
              </w:rPr>
              <w:t>2.91</w:t>
            </w:r>
          </w:p>
        </w:tc>
      </w:tr>
      <w:tr w:rsidR="00E33B47">
        <w:tc>
          <w:tcPr>
            <w:tcW w:w="710" w:type="dxa"/>
            <w:vAlign w:val="center"/>
          </w:tcPr>
          <w:p w:rsidR="00E33B47" w:rsidRDefault="00B95AF3">
            <w:pPr>
              <w:jc w:val="center"/>
            </w:pPr>
            <w:r>
              <w:rPr>
                <w:rFonts w:eastAsiaTheme="minorEastAsia"/>
                <w:color w:val="000000" w:themeColor="text1"/>
                <w:szCs w:val="21"/>
              </w:rPr>
              <w:t>10</w:t>
            </w:r>
          </w:p>
        </w:tc>
        <w:tc>
          <w:tcPr>
            <w:tcW w:w="1433" w:type="dxa"/>
            <w:vAlign w:val="center"/>
          </w:tcPr>
          <w:p w:rsidR="00E33B47" w:rsidRDefault="00B95AF3">
            <w:pPr>
              <w:jc w:val="center"/>
            </w:pPr>
            <w:r>
              <w:rPr>
                <w:rFonts w:eastAsiaTheme="minorEastAsia"/>
                <w:color w:val="000000" w:themeColor="text1"/>
                <w:szCs w:val="21"/>
              </w:rPr>
              <w:t>JPMF-JPM Asia Pacific Equity Fund</w:t>
            </w:r>
          </w:p>
        </w:tc>
        <w:tc>
          <w:tcPr>
            <w:tcW w:w="1250" w:type="dxa"/>
            <w:vAlign w:val="center"/>
          </w:tcPr>
          <w:p w:rsidR="00E33B47" w:rsidRDefault="00B95AF3">
            <w:pPr>
              <w:jc w:val="center"/>
            </w:pPr>
            <w:r>
              <w:rPr>
                <w:rFonts w:eastAsiaTheme="minorEastAsia"/>
                <w:color w:val="000000" w:themeColor="text1"/>
                <w:szCs w:val="21"/>
              </w:rPr>
              <w:t>股票型</w:t>
            </w:r>
          </w:p>
        </w:tc>
        <w:tc>
          <w:tcPr>
            <w:tcW w:w="870" w:type="dxa"/>
            <w:vAlign w:val="center"/>
          </w:tcPr>
          <w:p w:rsidR="00E33B47" w:rsidRDefault="00B95AF3">
            <w:pPr>
              <w:jc w:val="center"/>
            </w:pPr>
            <w:r>
              <w:rPr>
                <w:rFonts w:eastAsiaTheme="minorEastAsia"/>
                <w:color w:val="000000" w:themeColor="text1"/>
                <w:szCs w:val="21"/>
              </w:rPr>
              <w:t>开放式</w:t>
            </w:r>
          </w:p>
        </w:tc>
        <w:tc>
          <w:tcPr>
            <w:tcW w:w="1428" w:type="dxa"/>
            <w:vAlign w:val="center"/>
          </w:tcPr>
          <w:p w:rsidR="00E33B47" w:rsidRDefault="00B95AF3">
            <w:pPr>
              <w:jc w:val="center"/>
            </w:pPr>
            <w:r>
              <w:rPr>
                <w:rFonts w:eastAsiaTheme="minorEastAsia"/>
                <w:color w:val="000000" w:themeColor="text1"/>
                <w:szCs w:val="21"/>
              </w:rPr>
              <w:t>JPMorgan Asset Management (Europe) S.á r.l.</w:t>
            </w:r>
          </w:p>
        </w:tc>
        <w:tc>
          <w:tcPr>
            <w:tcW w:w="2249" w:type="dxa"/>
            <w:vAlign w:val="center"/>
          </w:tcPr>
          <w:p w:rsidR="00E33B47" w:rsidRDefault="00B95AF3">
            <w:pPr>
              <w:jc w:val="right"/>
            </w:pPr>
            <w:r>
              <w:rPr>
                <w:rFonts w:eastAsiaTheme="minorEastAsia"/>
                <w:color w:val="000000" w:themeColor="text1"/>
                <w:szCs w:val="21"/>
              </w:rPr>
              <w:t>22,094,699.76</w:t>
            </w:r>
          </w:p>
        </w:tc>
        <w:tc>
          <w:tcPr>
            <w:tcW w:w="1416" w:type="dxa"/>
            <w:vAlign w:val="center"/>
          </w:tcPr>
          <w:p w:rsidR="00E33B47" w:rsidRDefault="00B95AF3">
            <w:pPr>
              <w:jc w:val="right"/>
            </w:pPr>
            <w:r>
              <w:rPr>
                <w:rFonts w:eastAsiaTheme="minorEastAsia"/>
                <w:color w:val="000000" w:themeColor="text1"/>
                <w:szCs w:val="21"/>
              </w:rPr>
              <w:t>2.88</w:t>
            </w:r>
          </w:p>
        </w:tc>
      </w:tr>
    </w:tbl>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267" w:name="_Toc224618386"/>
      <w:bookmarkStart w:id="268" w:name="_Toc248233033"/>
      <w:bookmarkStart w:id="269" w:name="_Toc249790565"/>
      <w:bookmarkStart w:id="270" w:name="_Toc286929766"/>
      <w:bookmarkStart w:id="271" w:name="_Toc352256005"/>
      <w:bookmarkStart w:id="272" w:name="_Toc352256073"/>
      <w:bookmarkStart w:id="273" w:name="_Toc352331251"/>
      <w:bookmarkStart w:id="274" w:name="_Toc362424029"/>
      <w:bookmarkStart w:id="275" w:name="_Toc374459292"/>
      <w:r w:rsidRPr="00E60957">
        <w:rPr>
          <w:rFonts w:ascii="Times New Roman" w:eastAsiaTheme="minorEastAsia" w:hAnsi="Times New Roman"/>
          <w:color w:val="000000" w:themeColor="text1"/>
          <w:kern w:val="0"/>
          <w:sz w:val="21"/>
          <w:szCs w:val="21"/>
        </w:rPr>
        <w:t>8.9</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投资组合报告附注</w:t>
      </w:r>
      <w:bookmarkEnd w:id="267"/>
      <w:bookmarkEnd w:id="268"/>
      <w:bookmarkEnd w:id="269"/>
      <w:bookmarkEnd w:id="270"/>
      <w:bookmarkEnd w:id="271"/>
      <w:bookmarkEnd w:id="272"/>
      <w:bookmarkEnd w:id="273"/>
      <w:bookmarkEnd w:id="274"/>
      <w:bookmarkEnd w:id="275"/>
    </w:p>
    <w:p w:rsidR="007B62FA" w:rsidRPr="00E60957" w:rsidRDefault="007B62FA" w:rsidP="00602A38">
      <w:pPr>
        <w:spacing w:line="360" w:lineRule="auto"/>
        <w:rPr>
          <w:rFonts w:eastAsiaTheme="minorEastAsia"/>
          <w:color w:val="000000" w:themeColor="text1"/>
          <w:kern w:val="0"/>
          <w:szCs w:val="21"/>
        </w:rPr>
      </w:pPr>
      <w:r w:rsidRPr="00E60957">
        <w:rPr>
          <w:rFonts w:eastAsiaTheme="minorEastAsia"/>
          <w:color w:val="000000" w:themeColor="text1"/>
          <w:szCs w:val="21"/>
        </w:rPr>
        <w:t>8.9.1</w:t>
      </w:r>
      <w:r w:rsidRPr="00E60957">
        <w:rPr>
          <w:rFonts w:eastAsiaTheme="minorEastAsia"/>
          <w:color w:val="000000" w:themeColor="text1"/>
          <w:kern w:val="0"/>
          <w:szCs w:val="21"/>
        </w:rPr>
        <w:t>报告期内本基金投资的前十名证券的发行主体本期没有出现被监管部门立案调查，或在本报告编制日前一年内受到公开谴责、处罚的情形。</w:t>
      </w:r>
    </w:p>
    <w:p w:rsidR="007B62FA" w:rsidRPr="00E60957" w:rsidRDefault="007B62FA" w:rsidP="009C3167">
      <w:pPr>
        <w:spacing w:beforeLines="100" w:before="312" w:line="360" w:lineRule="auto"/>
        <w:rPr>
          <w:rFonts w:eastAsiaTheme="minorEastAsia"/>
          <w:color w:val="000000" w:themeColor="text1"/>
          <w:kern w:val="0"/>
          <w:szCs w:val="21"/>
        </w:rPr>
      </w:pPr>
      <w:r w:rsidRPr="00E60957">
        <w:rPr>
          <w:rFonts w:eastAsiaTheme="minorEastAsia"/>
          <w:color w:val="000000" w:themeColor="text1"/>
          <w:szCs w:val="21"/>
        </w:rPr>
        <w:t>8.9.2</w:t>
      </w:r>
      <w:r w:rsidRPr="00E60957">
        <w:rPr>
          <w:rFonts w:eastAsiaTheme="minorEastAsia"/>
          <w:color w:val="000000" w:themeColor="text1"/>
          <w:kern w:val="0"/>
          <w:szCs w:val="21"/>
        </w:rPr>
        <w:t>报告期内本基金投资的前十名股票没有超出基金合同规定的备选股票库。</w:t>
      </w:r>
    </w:p>
    <w:p w:rsidR="007B62FA" w:rsidRPr="00E60957" w:rsidRDefault="007B62FA" w:rsidP="009C3167">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szCs w:val="21"/>
        </w:rPr>
        <w:t>8.9.3</w:t>
      </w:r>
      <w:r w:rsidR="00430272" w:rsidRPr="00E60957">
        <w:rPr>
          <w:rFonts w:eastAsiaTheme="minorEastAsia"/>
          <w:b/>
          <w:color w:val="000000" w:themeColor="text1"/>
          <w:szCs w:val="21"/>
        </w:rPr>
        <w:t xml:space="preserve"> </w:t>
      </w:r>
      <w:r w:rsidR="004F76F0" w:rsidRPr="00E60957">
        <w:rPr>
          <w:rFonts w:eastAsiaTheme="minorEastAsia"/>
          <w:b/>
          <w:color w:val="000000" w:themeColor="text1"/>
          <w:szCs w:val="21"/>
        </w:rPr>
        <w:t>期末</w:t>
      </w:r>
      <w:r w:rsidRPr="00E60957">
        <w:rPr>
          <w:rFonts w:eastAsiaTheme="minorEastAsia"/>
          <w:b/>
          <w:color w:val="000000" w:themeColor="text1"/>
          <w:kern w:val="0"/>
          <w:szCs w:val="21"/>
        </w:rPr>
        <w:t>其他各项资产构成</w:t>
      </w:r>
    </w:p>
    <w:p w:rsidR="007B62FA" w:rsidRPr="00E60957" w:rsidRDefault="007B62FA" w:rsidP="00417F87">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20"/>
        <w:gridCol w:w="4431"/>
        <w:gridCol w:w="4105"/>
      </w:tblGrid>
      <w:tr w:rsidR="00E60957" w:rsidRPr="00E60957" w:rsidTr="00EB69F4">
        <w:trPr>
          <w:trHeight w:val="285"/>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序号</w:t>
            </w:r>
          </w:p>
        </w:tc>
        <w:tc>
          <w:tcPr>
            <w:tcW w:w="4431"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名称</w:t>
            </w:r>
          </w:p>
        </w:tc>
        <w:tc>
          <w:tcPr>
            <w:tcW w:w="4105" w:type="dxa"/>
            <w:tcMar>
              <w:top w:w="15" w:type="dxa"/>
              <w:left w:w="15" w:type="dxa"/>
              <w:bottom w:w="0" w:type="dxa"/>
              <w:right w:w="15" w:type="dxa"/>
            </w:tcMar>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金额</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1</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存出保证金</w:t>
            </w:r>
          </w:p>
        </w:tc>
        <w:tc>
          <w:tcPr>
            <w:tcW w:w="4105" w:type="dxa"/>
            <w:tcMar>
              <w:top w:w="15" w:type="dxa"/>
              <w:left w:w="15" w:type="dxa"/>
              <w:bottom w:w="0" w:type="dxa"/>
              <w:right w:w="15" w:type="dxa"/>
            </w:tcMar>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2</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应收证券清算款</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3</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应收股利</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4</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应收利息</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3,938.70</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5</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应收申购款</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396,709.13</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lastRenderedPageBreak/>
              <w:t>6</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其他应收款</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7</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待摊费用</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8</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其他</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EB69F4">
        <w:trPr>
          <w:trHeight w:val="312"/>
        </w:trPr>
        <w:tc>
          <w:tcPr>
            <w:tcW w:w="82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9</w:t>
            </w:r>
          </w:p>
        </w:tc>
        <w:tc>
          <w:tcPr>
            <w:tcW w:w="4431" w:type="dxa"/>
            <w:vAlign w:val="center"/>
          </w:tcPr>
          <w:p w:rsidR="007B62FA" w:rsidRPr="00E60957" w:rsidRDefault="007B62FA" w:rsidP="00417F87">
            <w:pPr>
              <w:spacing w:line="360" w:lineRule="auto"/>
              <w:ind w:leftChars="50" w:left="105"/>
              <w:rPr>
                <w:rFonts w:eastAsiaTheme="minorEastAsia"/>
                <w:color w:val="000000" w:themeColor="text1"/>
                <w:szCs w:val="21"/>
              </w:rPr>
            </w:pPr>
            <w:r w:rsidRPr="00E60957">
              <w:rPr>
                <w:rFonts w:eastAsiaTheme="minorEastAsia"/>
                <w:color w:val="000000" w:themeColor="text1"/>
                <w:szCs w:val="21"/>
              </w:rPr>
              <w:t>合计</w:t>
            </w:r>
          </w:p>
        </w:tc>
        <w:tc>
          <w:tcPr>
            <w:tcW w:w="4105"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400,647.83</w:t>
            </w:r>
          </w:p>
        </w:tc>
      </w:tr>
    </w:tbl>
    <w:p w:rsidR="007B62FA" w:rsidRPr="00E60957" w:rsidRDefault="007B62FA" w:rsidP="009C3167">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szCs w:val="21"/>
        </w:rPr>
        <w:t>8.9.4</w:t>
      </w:r>
      <w:r w:rsidR="000F515E" w:rsidRPr="00E60957">
        <w:rPr>
          <w:rFonts w:eastAsiaTheme="minorEastAsia"/>
          <w:b/>
          <w:color w:val="000000" w:themeColor="text1"/>
          <w:szCs w:val="21"/>
        </w:rPr>
        <w:t xml:space="preserve"> </w:t>
      </w:r>
      <w:r w:rsidRPr="00E60957">
        <w:rPr>
          <w:rFonts w:eastAsiaTheme="minorEastAsia"/>
          <w:b/>
          <w:color w:val="000000" w:themeColor="text1"/>
          <w:kern w:val="0"/>
          <w:szCs w:val="21"/>
        </w:rPr>
        <w:t>期末持有的处于转股期的可转换债券明细</w:t>
      </w:r>
    </w:p>
    <w:p w:rsidR="007B62FA" w:rsidRPr="00E60957" w:rsidRDefault="007B62FA" w:rsidP="00EB69F4">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本基金本报告期末未持有处于转股期的可转换债券。</w:t>
      </w:r>
    </w:p>
    <w:p w:rsidR="007B62FA" w:rsidRPr="00E60957" w:rsidRDefault="007B62FA" w:rsidP="009C3167">
      <w:pPr>
        <w:autoSpaceDE w:val="0"/>
        <w:autoSpaceDN w:val="0"/>
        <w:adjustRightInd w:val="0"/>
        <w:snapToGrid w:val="0"/>
        <w:spacing w:beforeLines="100" w:before="312" w:line="360" w:lineRule="auto"/>
        <w:jc w:val="left"/>
        <w:rPr>
          <w:rFonts w:eastAsiaTheme="minorEastAsia"/>
          <w:b/>
          <w:color w:val="000000" w:themeColor="text1"/>
          <w:kern w:val="0"/>
          <w:szCs w:val="21"/>
        </w:rPr>
      </w:pPr>
      <w:r w:rsidRPr="00E60957">
        <w:rPr>
          <w:rFonts w:eastAsiaTheme="minorEastAsia"/>
          <w:b/>
          <w:color w:val="000000" w:themeColor="text1"/>
          <w:szCs w:val="21"/>
        </w:rPr>
        <w:t>8.9.5</w:t>
      </w:r>
      <w:r w:rsidR="000F515E" w:rsidRPr="00E60957">
        <w:rPr>
          <w:rFonts w:eastAsiaTheme="minorEastAsia"/>
          <w:b/>
          <w:color w:val="000000" w:themeColor="text1"/>
          <w:szCs w:val="21"/>
        </w:rPr>
        <w:t xml:space="preserve"> </w:t>
      </w:r>
      <w:r w:rsidRPr="00E60957">
        <w:rPr>
          <w:rFonts w:eastAsiaTheme="minorEastAsia"/>
          <w:b/>
          <w:color w:val="000000" w:themeColor="text1"/>
          <w:kern w:val="0"/>
          <w:szCs w:val="21"/>
        </w:rPr>
        <w:t>期末前十名股票中存在流通受限情况的说明</w:t>
      </w:r>
    </w:p>
    <w:p w:rsidR="00273083" w:rsidRPr="00E60957" w:rsidRDefault="007B62FA" w:rsidP="00EB69F4">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本基金本报告期末前十名股票中不存在流通受限情况。</w:t>
      </w:r>
    </w:p>
    <w:p w:rsidR="007B62FA" w:rsidRPr="00E60957" w:rsidRDefault="007B62FA" w:rsidP="009C3167">
      <w:pPr>
        <w:spacing w:beforeLines="100" w:before="312" w:line="360" w:lineRule="auto"/>
        <w:rPr>
          <w:rFonts w:eastAsiaTheme="minorEastAsia"/>
          <w:b/>
          <w:color w:val="000000" w:themeColor="text1"/>
          <w:kern w:val="0"/>
          <w:szCs w:val="21"/>
        </w:rPr>
      </w:pPr>
      <w:r w:rsidRPr="00E60957">
        <w:rPr>
          <w:rFonts w:eastAsiaTheme="minorEastAsia"/>
          <w:b/>
          <w:color w:val="000000" w:themeColor="text1"/>
          <w:szCs w:val="21"/>
        </w:rPr>
        <w:t>8.9.6</w:t>
      </w:r>
      <w:r w:rsidR="000F515E" w:rsidRPr="00E60957">
        <w:rPr>
          <w:rFonts w:eastAsiaTheme="minorEastAsia"/>
          <w:b/>
          <w:color w:val="000000" w:themeColor="text1"/>
          <w:szCs w:val="21"/>
        </w:rPr>
        <w:t xml:space="preserve"> </w:t>
      </w:r>
      <w:r w:rsidRPr="00E60957">
        <w:rPr>
          <w:rFonts w:eastAsiaTheme="minorEastAsia"/>
          <w:b/>
          <w:color w:val="000000" w:themeColor="text1"/>
          <w:kern w:val="0"/>
          <w:szCs w:val="21"/>
        </w:rPr>
        <w:t>投资组合报告附注的其他文字描述部分</w:t>
      </w:r>
    </w:p>
    <w:p w:rsidR="007B62FA" w:rsidRPr="00E60957" w:rsidRDefault="007B62FA" w:rsidP="00602A38">
      <w:pPr>
        <w:widowControl/>
        <w:spacing w:line="360" w:lineRule="auto"/>
        <w:ind w:firstLineChars="200" w:firstLine="420"/>
        <w:rPr>
          <w:rFonts w:eastAsiaTheme="minorEastAsia"/>
          <w:color w:val="000000" w:themeColor="text1"/>
          <w:kern w:val="0"/>
          <w:szCs w:val="21"/>
        </w:rPr>
      </w:pPr>
      <w:r w:rsidRPr="00E60957">
        <w:rPr>
          <w:rFonts w:eastAsiaTheme="minorEastAsia"/>
          <w:color w:val="000000" w:themeColor="text1"/>
          <w:kern w:val="0"/>
          <w:szCs w:val="21"/>
        </w:rPr>
        <w:t>因四舍五入的原因，投资组合报告中分项之和与合计数可能存在尾差。</w:t>
      </w:r>
    </w:p>
    <w:p w:rsidR="007B62FA" w:rsidRPr="00E60957" w:rsidRDefault="007B62FA" w:rsidP="009C3167">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76" w:name="_Toc225500050"/>
      <w:bookmarkStart w:id="277" w:name="_Toc352256006"/>
      <w:bookmarkStart w:id="278" w:name="_Toc352256074"/>
      <w:bookmarkStart w:id="279" w:name="_Toc352331252"/>
      <w:bookmarkStart w:id="280" w:name="_Toc362424030"/>
      <w:bookmarkStart w:id="281" w:name="_Toc374459293"/>
      <w:r w:rsidRPr="00E60957">
        <w:rPr>
          <w:rFonts w:eastAsiaTheme="minorEastAsia"/>
          <w:b/>
          <w:bCs/>
          <w:color w:val="000000" w:themeColor="text1"/>
          <w:sz w:val="21"/>
          <w:szCs w:val="21"/>
          <w:lang w:val="en-US"/>
        </w:rPr>
        <w:t>§9</w:t>
      </w:r>
      <w:r w:rsidR="003E5E48" w:rsidRPr="00E60957">
        <w:rPr>
          <w:rFonts w:eastAsiaTheme="minorEastAsia"/>
          <w:b/>
          <w:bCs/>
          <w:color w:val="000000" w:themeColor="text1"/>
          <w:sz w:val="21"/>
          <w:szCs w:val="21"/>
          <w:lang w:val="en-US"/>
        </w:rPr>
        <w:t xml:space="preserve"> </w:t>
      </w:r>
      <w:r w:rsidR="001822F7"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基金份额持有人信息</w:t>
      </w:r>
      <w:bookmarkEnd w:id="276"/>
      <w:bookmarkEnd w:id="277"/>
      <w:bookmarkEnd w:id="278"/>
      <w:bookmarkEnd w:id="279"/>
      <w:bookmarkEnd w:id="280"/>
      <w:bookmarkEnd w:id="281"/>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282" w:name="_Toc225500051"/>
      <w:bookmarkStart w:id="283" w:name="_Toc352256007"/>
      <w:bookmarkStart w:id="284" w:name="_Toc352256075"/>
      <w:bookmarkStart w:id="285" w:name="_Toc352331253"/>
      <w:bookmarkStart w:id="286" w:name="_Toc362424031"/>
      <w:bookmarkStart w:id="287" w:name="_Toc374459294"/>
      <w:r w:rsidRPr="00E60957">
        <w:rPr>
          <w:rFonts w:ascii="Times New Roman" w:eastAsiaTheme="minorEastAsia" w:hAnsi="Times New Roman"/>
          <w:color w:val="000000" w:themeColor="text1"/>
          <w:kern w:val="0"/>
          <w:sz w:val="21"/>
          <w:szCs w:val="21"/>
        </w:rPr>
        <w:t xml:space="preserve">9.1 </w:t>
      </w:r>
      <w:r w:rsidRPr="00E60957">
        <w:rPr>
          <w:rFonts w:ascii="Times New Roman" w:eastAsiaTheme="minorEastAsia" w:hAnsi="Times New Roman"/>
          <w:color w:val="000000" w:themeColor="text1"/>
          <w:kern w:val="0"/>
          <w:sz w:val="21"/>
          <w:szCs w:val="21"/>
        </w:rPr>
        <w:t>期末基金份额持有人户数及持有人结构</w:t>
      </w:r>
      <w:bookmarkEnd w:id="282"/>
      <w:bookmarkEnd w:id="283"/>
      <w:bookmarkEnd w:id="284"/>
      <w:bookmarkEnd w:id="285"/>
      <w:bookmarkEnd w:id="286"/>
      <w:bookmarkEnd w:id="287"/>
    </w:p>
    <w:p w:rsidR="00BA33A5" w:rsidRPr="00E60957" w:rsidRDefault="00BA33A5" w:rsidP="00BA33A5">
      <w:pPr>
        <w:autoSpaceDE w:val="0"/>
        <w:autoSpaceDN w:val="0"/>
        <w:adjustRightInd w:val="0"/>
        <w:spacing w:before="29" w:line="360" w:lineRule="auto"/>
        <w:ind w:left="15"/>
        <w:jc w:val="right"/>
        <w:rPr>
          <w:rFonts w:eastAsiaTheme="minorEastAsia"/>
          <w:color w:val="000000" w:themeColor="text1"/>
          <w:szCs w:val="21"/>
        </w:rPr>
      </w:pPr>
      <w:r w:rsidRPr="00E60957">
        <w:rPr>
          <w:rFonts w:eastAsiaTheme="minorEastAsia"/>
          <w:color w:val="000000" w:themeColor="text1"/>
          <w:szCs w:val="21"/>
        </w:rPr>
        <w:t>份额单位：份</w:t>
      </w:r>
    </w:p>
    <w:p w:rsidR="00BA33A5" w:rsidRPr="00E60957" w:rsidRDefault="00BA33A5" w:rsidP="00BA33A5">
      <w:pPr>
        <w:autoSpaceDE w:val="0"/>
        <w:autoSpaceDN w:val="0"/>
        <w:adjustRightInd w:val="0"/>
        <w:spacing w:line="360" w:lineRule="auto"/>
        <w:jc w:val="left"/>
        <w:rPr>
          <w:rFonts w:eastAsiaTheme="minorEastAsia"/>
          <w:color w:val="000000" w:themeColor="text1"/>
          <w:szCs w:val="21"/>
        </w:rPr>
      </w:pP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B95AF3" w:rsidRPr="00E60957" w:rsidTr="00B95AF3">
        <w:tc>
          <w:tcPr>
            <w:tcW w:w="964" w:type="pct"/>
            <w:vMerge w:val="restart"/>
            <w:tcBorders>
              <w:top w:val="single" w:sz="8" w:space="0" w:color="000000"/>
              <w:left w:val="single" w:sz="8" w:space="0" w:color="000000"/>
              <w:right w:val="single" w:sz="8" w:space="0" w:color="000000"/>
            </w:tcBorders>
            <w:vAlign w:val="center"/>
          </w:tcPr>
          <w:p w:rsidR="00E33B47" w:rsidRDefault="00B95AF3">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持有人结构</w:t>
            </w:r>
          </w:p>
        </w:tc>
      </w:tr>
      <w:tr w:rsidR="00B95AF3" w:rsidRPr="00E60957" w:rsidTr="00B95AF3">
        <w:tc>
          <w:tcPr>
            <w:tcW w:w="964" w:type="pct"/>
            <w:vMerge/>
            <w:tcBorders>
              <w:left w:val="single" w:sz="8" w:space="0" w:color="000000"/>
              <w:right w:val="single" w:sz="8" w:space="0" w:color="000000"/>
            </w:tcBorders>
          </w:tcPr>
          <w:p w:rsidR="00E33B47" w:rsidRDefault="00E33B47">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widowControl/>
              <w:spacing w:line="360" w:lineRule="auto"/>
              <w:jc w:val="left"/>
              <w:rPr>
                <w:rFonts w:eastAsiaTheme="minorEastAsia"/>
                <w:bCs/>
                <w:color w:val="000000" w:themeColor="text1"/>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个人投资者</w:t>
            </w:r>
          </w:p>
        </w:tc>
      </w:tr>
      <w:tr w:rsidR="00B95AF3" w:rsidRPr="00E60957" w:rsidTr="00B95AF3">
        <w:tc>
          <w:tcPr>
            <w:tcW w:w="964" w:type="pct"/>
            <w:vMerge/>
            <w:tcBorders>
              <w:left w:val="single" w:sz="8" w:space="0" w:color="000000"/>
              <w:bottom w:val="single" w:sz="8" w:space="0" w:color="000000"/>
              <w:right w:val="single" w:sz="8" w:space="0" w:color="000000"/>
            </w:tcBorders>
          </w:tcPr>
          <w:p w:rsidR="00E33B47" w:rsidRDefault="00E33B47">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widowControl/>
              <w:spacing w:line="360" w:lineRule="auto"/>
              <w:jc w:val="left"/>
              <w:rPr>
                <w:rFonts w:eastAsiaTheme="minorEastAsia"/>
                <w:bCs/>
                <w:color w:val="000000" w:themeColor="text1"/>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E60957" w:rsidRDefault="00BA33A5" w:rsidP="001A74A1">
            <w:pPr>
              <w:spacing w:line="360" w:lineRule="auto"/>
              <w:jc w:val="center"/>
              <w:rPr>
                <w:rFonts w:eastAsiaTheme="minorEastAsia"/>
                <w:bCs/>
                <w:color w:val="000000" w:themeColor="text1"/>
                <w:szCs w:val="21"/>
              </w:rPr>
            </w:pPr>
            <w:r w:rsidRPr="00E60957">
              <w:rPr>
                <w:rFonts w:eastAsiaTheme="minorEastAsia"/>
                <w:bCs/>
                <w:color w:val="000000" w:themeColor="text1"/>
                <w:szCs w:val="21"/>
              </w:rPr>
              <w:t>占总份额比例</w:t>
            </w:r>
          </w:p>
        </w:tc>
      </w:tr>
      <w:tr w:rsidR="00B95AF3" w:rsidRPr="00E60957" w:rsidTr="00B95AF3">
        <w:tc>
          <w:tcPr>
            <w:tcW w:w="964" w:type="pct"/>
            <w:tcBorders>
              <w:top w:val="single" w:sz="8" w:space="0" w:color="000000"/>
              <w:left w:val="single" w:sz="8" w:space="0" w:color="000000"/>
              <w:bottom w:val="single" w:sz="8" w:space="0" w:color="000000"/>
              <w:right w:val="single" w:sz="8" w:space="0" w:color="000000"/>
            </w:tcBorders>
          </w:tcPr>
          <w:p w:rsidR="00E33B47" w:rsidRDefault="00B95AF3">
            <w:pPr>
              <w:jc w:val="center"/>
            </w:pPr>
            <w:r>
              <w:rPr>
                <w:rFonts w:eastAsiaTheme="minorEastAsia"/>
                <w:bCs/>
                <w:color w:val="000000" w:themeColor="text1"/>
                <w:szCs w:val="21"/>
              </w:rPr>
              <w:t>87,912</w:t>
            </w:r>
          </w:p>
        </w:tc>
        <w:tc>
          <w:tcPr>
            <w:tcW w:w="688"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8,022.70</w:t>
            </w:r>
          </w:p>
        </w:tc>
        <w:tc>
          <w:tcPr>
            <w:tcW w:w="826"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705,291,760.75</w:t>
            </w:r>
          </w:p>
        </w:tc>
        <w:tc>
          <w:tcPr>
            <w:tcW w:w="515" w:type="pct"/>
            <w:tcBorders>
              <w:top w:val="single" w:sz="8" w:space="0" w:color="000000"/>
              <w:left w:val="single" w:sz="8" w:space="0" w:color="000000"/>
              <w:bottom w:val="single" w:sz="8" w:space="0" w:color="000000"/>
              <w:right w:val="single" w:sz="4" w:space="0" w:color="auto"/>
            </w:tcBorders>
            <w:vAlign w:val="center"/>
          </w:tcPr>
          <w:p w:rsidR="00BA33A5" w:rsidRPr="00E60957" w:rsidRDefault="00BA33A5" w:rsidP="001A74A1">
            <w:pPr>
              <w:spacing w:line="360" w:lineRule="auto"/>
              <w:jc w:val="right"/>
              <w:rPr>
                <w:rFonts w:eastAsiaTheme="minorEastAsia"/>
                <w:bCs/>
                <w:color w:val="000000" w:themeColor="text1"/>
                <w:szCs w:val="21"/>
              </w:rPr>
            </w:pPr>
            <w:r w:rsidRPr="00E60957">
              <w:rPr>
                <w:rFonts w:eastAsiaTheme="minorEastAsia"/>
                <w:bCs/>
                <w:color w:val="000000" w:themeColor="text1"/>
                <w:szCs w:val="21"/>
              </w:rPr>
              <w:t>100.00%</w:t>
            </w:r>
          </w:p>
        </w:tc>
      </w:tr>
    </w:tbl>
    <w:p w:rsidR="007B62FA" w:rsidRPr="00E60957" w:rsidRDefault="007B62FA" w:rsidP="009C3167">
      <w:pPr>
        <w:pStyle w:val="20"/>
        <w:spacing w:beforeLines="100" w:before="312" w:after="0"/>
        <w:rPr>
          <w:rFonts w:ascii="Times New Roman" w:eastAsiaTheme="minorEastAsia" w:hAnsi="Times New Roman"/>
          <w:color w:val="000000" w:themeColor="text1"/>
          <w:kern w:val="0"/>
          <w:sz w:val="21"/>
          <w:szCs w:val="21"/>
        </w:rPr>
      </w:pPr>
      <w:bookmarkStart w:id="288" w:name="_Toc352256008"/>
      <w:bookmarkStart w:id="289" w:name="_Toc352256076"/>
      <w:bookmarkStart w:id="290" w:name="_Toc352331254"/>
      <w:bookmarkStart w:id="291" w:name="_Toc362424033"/>
      <w:bookmarkStart w:id="292" w:name="_Toc374459296"/>
      <w:r w:rsidRPr="00E60957">
        <w:rPr>
          <w:rFonts w:ascii="Times New Roman" w:eastAsiaTheme="minorEastAsia" w:hAnsi="Times New Roman"/>
          <w:color w:val="000000" w:themeColor="text1"/>
          <w:kern w:val="0"/>
          <w:sz w:val="21"/>
          <w:szCs w:val="21"/>
        </w:rPr>
        <w:t>9.2</w:t>
      </w:r>
      <w:r w:rsidR="000F515E" w:rsidRPr="00E60957">
        <w:rPr>
          <w:rFonts w:ascii="Times New Roman" w:eastAsiaTheme="minorEastAsia" w:hAnsi="Times New Roman"/>
          <w:color w:val="000000" w:themeColor="text1"/>
          <w:kern w:val="0"/>
          <w:sz w:val="21"/>
          <w:szCs w:val="21"/>
        </w:rPr>
        <w:t xml:space="preserve"> </w:t>
      </w:r>
      <w:r w:rsidRPr="00E60957">
        <w:rPr>
          <w:rFonts w:ascii="Times New Roman" w:eastAsiaTheme="minorEastAsia" w:hAnsi="Times New Roman"/>
          <w:color w:val="000000" w:themeColor="text1"/>
          <w:kern w:val="0"/>
          <w:sz w:val="21"/>
          <w:szCs w:val="21"/>
        </w:rPr>
        <w:t>期末基金管理人的从业人员持有本基金的情况</w:t>
      </w:r>
      <w:bookmarkEnd w:id="288"/>
      <w:bookmarkEnd w:id="289"/>
      <w:bookmarkEnd w:id="290"/>
      <w:bookmarkEnd w:id="291"/>
      <w:bookmarkEnd w:id="292"/>
    </w:p>
    <w:tbl>
      <w:tblPr>
        <w:tblW w:w="943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84"/>
        <w:gridCol w:w="2577"/>
        <w:gridCol w:w="2577"/>
      </w:tblGrid>
      <w:tr w:rsidR="00E60957" w:rsidRPr="00E60957" w:rsidTr="00B5782F">
        <w:trPr>
          <w:trHeight w:val="465"/>
        </w:trPr>
        <w:tc>
          <w:tcPr>
            <w:tcW w:w="4284" w:type="dxa"/>
            <w:vAlign w:val="center"/>
          </w:tcPr>
          <w:p w:rsidR="007B62FA" w:rsidRPr="00E60957" w:rsidRDefault="007B62FA"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2577" w:type="dxa"/>
            <w:vAlign w:val="center"/>
          </w:tcPr>
          <w:p w:rsidR="007B62FA" w:rsidRPr="00E60957" w:rsidRDefault="007B62FA"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持有份额总数（份）</w:t>
            </w:r>
          </w:p>
        </w:tc>
        <w:tc>
          <w:tcPr>
            <w:tcW w:w="2577" w:type="dxa"/>
            <w:vAlign w:val="center"/>
          </w:tcPr>
          <w:p w:rsidR="007B62FA" w:rsidRPr="00E60957" w:rsidRDefault="007B62FA" w:rsidP="00417F87">
            <w:pPr>
              <w:widowControl/>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占基金总份额比例</w:t>
            </w:r>
          </w:p>
        </w:tc>
      </w:tr>
      <w:tr w:rsidR="00E60957" w:rsidRPr="00E60957" w:rsidTr="00B5782F">
        <w:trPr>
          <w:trHeight w:val="465"/>
        </w:trPr>
        <w:tc>
          <w:tcPr>
            <w:tcW w:w="4284" w:type="dxa"/>
            <w:vAlign w:val="center"/>
          </w:tcPr>
          <w:p w:rsidR="00FD108C" w:rsidRPr="00E60957" w:rsidRDefault="00FD108C" w:rsidP="001A74A1">
            <w:pPr>
              <w:spacing w:line="360" w:lineRule="auto"/>
              <w:jc w:val="left"/>
              <w:rPr>
                <w:rFonts w:eastAsiaTheme="minorEastAsia"/>
                <w:color w:val="000000" w:themeColor="text1"/>
                <w:szCs w:val="21"/>
              </w:rPr>
            </w:pPr>
            <w:r w:rsidRPr="00E60957">
              <w:rPr>
                <w:rFonts w:eastAsiaTheme="minorEastAsia"/>
                <w:color w:val="000000" w:themeColor="text1"/>
                <w:szCs w:val="21"/>
              </w:rPr>
              <w:t>基金管理人所有从业人员持有本基金</w:t>
            </w:r>
          </w:p>
        </w:tc>
        <w:tc>
          <w:tcPr>
            <w:tcW w:w="2577" w:type="dxa"/>
            <w:vAlign w:val="center"/>
          </w:tcPr>
          <w:p w:rsidR="00FD108C" w:rsidRPr="00E60957" w:rsidRDefault="00FD108C" w:rsidP="001A74A1">
            <w:pPr>
              <w:widowControl/>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1,429,365.90</w:t>
            </w:r>
          </w:p>
        </w:tc>
        <w:tc>
          <w:tcPr>
            <w:tcW w:w="2577" w:type="dxa"/>
            <w:vAlign w:val="center"/>
          </w:tcPr>
          <w:p w:rsidR="00FD108C" w:rsidRPr="00E60957" w:rsidRDefault="00FD108C" w:rsidP="001A74A1">
            <w:pPr>
              <w:widowControl/>
              <w:spacing w:line="360" w:lineRule="auto"/>
              <w:jc w:val="right"/>
              <w:rPr>
                <w:rFonts w:eastAsiaTheme="minorEastAsia"/>
                <w:color w:val="000000" w:themeColor="text1"/>
                <w:kern w:val="0"/>
                <w:szCs w:val="21"/>
              </w:rPr>
            </w:pPr>
            <w:r w:rsidRPr="00E60957">
              <w:rPr>
                <w:rFonts w:eastAsiaTheme="minorEastAsia"/>
                <w:color w:val="000000" w:themeColor="text1"/>
                <w:kern w:val="0"/>
                <w:szCs w:val="21"/>
              </w:rPr>
              <w:t>0.2027%</w:t>
            </w:r>
          </w:p>
        </w:tc>
      </w:tr>
    </w:tbl>
    <w:p w:rsidR="00331770" w:rsidRPr="00E60957" w:rsidRDefault="00331770" w:rsidP="009C3167">
      <w:pPr>
        <w:pStyle w:val="20"/>
        <w:spacing w:beforeLines="100" w:before="312" w:after="0" w:line="240" w:lineRule="auto"/>
        <w:rPr>
          <w:rFonts w:ascii="Times New Roman" w:eastAsiaTheme="minorEastAsia" w:hAnsi="Times New Roman"/>
          <w:color w:val="000000" w:themeColor="text1"/>
          <w:sz w:val="21"/>
          <w:szCs w:val="21"/>
        </w:rPr>
      </w:pPr>
      <w:r w:rsidRPr="00E60957">
        <w:rPr>
          <w:rFonts w:ascii="Times New Roman" w:eastAsiaTheme="minorEastAsia" w:hAnsi="Times New Roman"/>
          <w:color w:val="000000" w:themeColor="text1"/>
          <w:kern w:val="0"/>
          <w:sz w:val="21"/>
          <w:szCs w:val="21"/>
        </w:rPr>
        <w:t>9.3</w:t>
      </w:r>
      <w:r w:rsidRPr="00E60957">
        <w:rPr>
          <w:rFonts w:ascii="Times New Roman" w:eastAsiaTheme="minorEastAsia" w:hAnsi="Times New Roman"/>
          <w:color w:val="000000" w:themeColor="text1"/>
          <w:sz w:val="21"/>
          <w:szCs w:val="21"/>
        </w:rPr>
        <w:t>期末基金管理人的从业人员持有本开放式基金份额总量区间的情况</w:t>
      </w: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E60957" w:rsidRPr="00E60957" w:rsidTr="00B5782F">
        <w:trPr>
          <w:trHeight w:val="285"/>
        </w:trPr>
        <w:tc>
          <w:tcPr>
            <w:tcW w:w="1814"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项目</w:t>
            </w:r>
          </w:p>
        </w:tc>
        <w:tc>
          <w:tcPr>
            <w:tcW w:w="3186"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持有基金份额总量的数量区间（万份）</w:t>
            </w:r>
          </w:p>
        </w:tc>
      </w:tr>
      <w:tr w:rsidR="00E60957" w:rsidRPr="00E60957" w:rsidTr="00B5782F">
        <w:trPr>
          <w:trHeight w:val="713"/>
        </w:trPr>
        <w:tc>
          <w:tcPr>
            <w:tcW w:w="1814" w:type="pct"/>
            <w:shd w:val="clear" w:color="auto" w:fill="auto"/>
            <w:tcMar>
              <w:top w:w="0" w:type="dxa"/>
              <w:left w:w="108" w:type="dxa"/>
              <w:bottom w:w="0" w:type="dxa"/>
              <w:right w:w="108" w:type="dxa"/>
            </w:tcMar>
            <w:vAlign w:val="center"/>
            <w:hideMark/>
          </w:tcPr>
          <w:p w:rsidR="00331770" w:rsidRPr="00E60957" w:rsidRDefault="00331770" w:rsidP="001A74A1">
            <w:pPr>
              <w:widowControl/>
              <w:jc w:val="left"/>
              <w:rPr>
                <w:rFonts w:eastAsiaTheme="minorEastAsia"/>
                <w:color w:val="000000" w:themeColor="text1"/>
                <w:kern w:val="0"/>
                <w:szCs w:val="21"/>
              </w:rPr>
            </w:pPr>
            <w:r w:rsidRPr="00E60957">
              <w:rPr>
                <w:rFonts w:eastAsiaTheme="minorEastAsia"/>
                <w:color w:val="000000" w:themeColor="text1"/>
                <w:kern w:val="0"/>
                <w:szCs w:val="21"/>
              </w:rPr>
              <w:lastRenderedPageBreak/>
              <w:t>本公司高级管理人员、基金投资和研究部门负责人持有本开放式基金</w:t>
            </w:r>
          </w:p>
        </w:tc>
        <w:tc>
          <w:tcPr>
            <w:tcW w:w="3186"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0</w:t>
            </w:r>
          </w:p>
        </w:tc>
      </w:tr>
      <w:tr w:rsidR="00E60957" w:rsidRPr="00E60957" w:rsidTr="00B5782F">
        <w:trPr>
          <w:trHeight w:val="285"/>
        </w:trPr>
        <w:tc>
          <w:tcPr>
            <w:tcW w:w="1814" w:type="pct"/>
            <w:shd w:val="clear" w:color="auto" w:fill="auto"/>
            <w:tcMar>
              <w:top w:w="0" w:type="dxa"/>
              <w:left w:w="108" w:type="dxa"/>
              <w:bottom w:w="0" w:type="dxa"/>
              <w:right w:w="108" w:type="dxa"/>
            </w:tcMar>
            <w:vAlign w:val="center"/>
            <w:hideMark/>
          </w:tcPr>
          <w:p w:rsidR="00331770" w:rsidRPr="00E60957" w:rsidRDefault="00331770" w:rsidP="001A74A1">
            <w:pPr>
              <w:widowControl/>
              <w:jc w:val="left"/>
              <w:rPr>
                <w:rFonts w:eastAsiaTheme="minorEastAsia"/>
                <w:color w:val="000000" w:themeColor="text1"/>
                <w:kern w:val="0"/>
                <w:szCs w:val="21"/>
              </w:rPr>
            </w:pPr>
            <w:r w:rsidRPr="00E60957">
              <w:rPr>
                <w:rFonts w:eastAsiaTheme="minorEastAsia"/>
                <w:color w:val="000000" w:themeColor="text1"/>
                <w:kern w:val="0"/>
                <w:szCs w:val="21"/>
              </w:rPr>
              <w:t>本基金基金经理持有本开放式基金</w:t>
            </w:r>
          </w:p>
        </w:tc>
        <w:tc>
          <w:tcPr>
            <w:tcW w:w="3186" w:type="pct"/>
            <w:shd w:val="clear" w:color="auto" w:fill="auto"/>
            <w:tcMar>
              <w:top w:w="0" w:type="dxa"/>
              <w:left w:w="108" w:type="dxa"/>
              <w:bottom w:w="0" w:type="dxa"/>
              <w:right w:w="108" w:type="dxa"/>
            </w:tcMar>
            <w:vAlign w:val="center"/>
            <w:hideMark/>
          </w:tcPr>
          <w:p w:rsidR="00331770" w:rsidRPr="00E60957" w:rsidRDefault="00331770" w:rsidP="001A74A1">
            <w:pPr>
              <w:widowControl/>
              <w:jc w:val="center"/>
              <w:rPr>
                <w:rFonts w:eastAsiaTheme="minorEastAsia"/>
                <w:color w:val="000000" w:themeColor="text1"/>
                <w:kern w:val="0"/>
                <w:szCs w:val="21"/>
              </w:rPr>
            </w:pPr>
            <w:r w:rsidRPr="00E60957">
              <w:rPr>
                <w:rFonts w:eastAsiaTheme="minorEastAsia"/>
                <w:color w:val="000000" w:themeColor="text1"/>
                <w:kern w:val="0"/>
                <w:szCs w:val="21"/>
              </w:rPr>
              <w:t>0</w:t>
            </w:r>
          </w:p>
        </w:tc>
      </w:tr>
    </w:tbl>
    <w:p w:rsidR="007B62FA" w:rsidRPr="00E60957" w:rsidRDefault="007B62FA" w:rsidP="009C3167">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93" w:name="_Toc225500053"/>
      <w:bookmarkStart w:id="294" w:name="_Toc352256009"/>
      <w:bookmarkStart w:id="295" w:name="_Toc352256077"/>
      <w:bookmarkStart w:id="296" w:name="_Toc352331255"/>
      <w:bookmarkStart w:id="297" w:name="_Toc362424034"/>
      <w:bookmarkStart w:id="298" w:name="_Toc374459298"/>
      <w:r w:rsidRPr="00E60957">
        <w:rPr>
          <w:rFonts w:eastAsiaTheme="minorEastAsia"/>
          <w:b/>
          <w:bCs/>
          <w:color w:val="000000" w:themeColor="text1"/>
          <w:sz w:val="21"/>
          <w:szCs w:val="21"/>
          <w:lang w:val="en-US"/>
        </w:rPr>
        <w:t>§</w:t>
      </w:r>
      <w:r w:rsidR="00001C10" w:rsidRPr="00E60957">
        <w:rPr>
          <w:rFonts w:eastAsiaTheme="minorEastAsia"/>
          <w:b/>
          <w:bCs/>
          <w:color w:val="000000" w:themeColor="text1"/>
          <w:sz w:val="21"/>
          <w:szCs w:val="21"/>
          <w:lang w:val="en-US"/>
        </w:rPr>
        <w:t>10</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开放式基金份额变动</w:t>
      </w:r>
      <w:bookmarkEnd w:id="293"/>
      <w:bookmarkEnd w:id="294"/>
      <w:bookmarkEnd w:id="295"/>
      <w:bookmarkEnd w:id="296"/>
      <w:bookmarkEnd w:id="297"/>
      <w:bookmarkEnd w:id="298"/>
    </w:p>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单位：份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3649"/>
      </w:tblGrid>
      <w:tr w:rsidR="00E60957" w:rsidRPr="00E60957" w:rsidTr="00B5782F">
        <w:tc>
          <w:tcPr>
            <w:tcW w:w="5637" w:type="dxa"/>
            <w:vAlign w:val="center"/>
          </w:tcPr>
          <w:p w:rsidR="007B62FA" w:rsidRPr="00E60957" w:rsidRDefault="00EF1356" w:rsidP="00417F87">
            <w:pPr>
              <w:spacing w:line="360" w:lineRule="auto"/>
              <w:rPr>
                <w:rFonts w:eastAsiaTheme="minorEastAsia"/>
                <w:color w:val="000000" w:themeColor="text1"/>
                <w:szCs w:val="21"/>
              </w:rPr>
            </w:pPr>
            <w:r w:rsidRPr="00E60957">
              <w:rPr>
                <w:rFonts w:eastAsiaTheme="minorEastAsia"/>
                <w:color w:val="000000" w:themeColor="text1"/>
                <w:szCs w:val="21"/>
              </w:rPr>
              <w:t>基金合同生效日</w:t>
            </w:r>
            <w:r w:rsidRPr="00E60957">
              <w:rPr>
                <w:rFonts w:eastAsiaTheme="minorEastAsia"/>
                <w:color w:val="000000" w:themeColor="text1"/>
                <w:szCs w:val="21"/>
              </w:rPr>
              <w:t>(</w:t>
            </w:r>
            <w:r w:rsidR="005A7D56" w:rsidRPr="00E60957">
              <w:rPr>
                <w:rFonts w:eastAsiaTheme="minorEastAsia"/>
                <w:color w:val="000000" w:themeColor="text1"/>
                <w:szCs w:val="21"/>
              </w:rPr>
              <w:t>2016</w:t>
            </w:r>
            <w:r w:rsidR="005A7D56" w:rsidRPr="00E60957">
              <w:rPr>
                <w:rFonts w:eastAsiaTheme="minorEastAsia"/>
                <w:color w:val="000000" w:themeColor="text1"/>
                <w:szCs w:val="21"/>
              </w:rPr>
              <w:t>年</w:t>
            </w:r>
            <w:r w:rsidR="005A7D56" w:rsidRPr="00E60957">
              <w:rPr>
                <w:rFonts w:eastAsiaTheme="minorEastAsia"/>
                <w:color w:val="000000" w:themeColor="text1"/>
                <w:szCs w:val="21"/>
              </w:rPr>
              <w:t>12</w:t>
            </w:r>
            <w:r w:rsidR="005A7D56" w:rsidRPr="00E60957">
              <w:rPr>
                <w:rFonts w:eastAsiaTheme="minorEastAsia"/>
                <w:color w:val="000000" w:themeColor="text1"/>
                <w:szCs w:val="21"/>
              </w:rPr>
              <w:t>月</w:t>
            </w:r>
            <w:r w:rsidR="005A7D56" w:rsidRPr="00E60957">
              <w:rPr>
                <w:rFonts w:eastAsiaTheme="minorEastAsia"/>
                <w:color w:val="000000" w:themeColor="text1"/>
                <w:szCs w:val="21"/>
              </w:rPr>
              <w:t>19</w:t>
            </w:r>
            <w:r w:rsidR="005A7D56" w:rsidRPr="00E60957">
              <w:rPr>
                <w:rFonts w:eastAsiaTheme="minorEastAsia"/>
                <w:color w:val="000000" w:themeColor="text1"/>
                <w:szCs w:val="21"/>
              </w:rPr>
              <w:t>日</w:t>
            </w:r>
            <w:r w:rsidRPr="00E60957">
              <w:rPr>
                <w:rFonts w:eastAsiaTheme="minorEastAsia"/>
                <w:color w:val="000000" w:themeColor="text1"/>
                <w:szCs w:val="21"/>
              </w:rPr>
              <w:t>)</w:t>
            </w:r>
            <w:r w:rsidR="007B62FA" w:rsidRPr="00E60957">
              <w:rPr>
                <w:rFonts w:eastAsiaTheme="minorEastAsia"/>
                <w:color w:val="000000" w:themeColor="text1"/>
                <w:szCs w:val="21"/>
              </w:rPr>
              <w:t>基金份额总额</w:t>
            </w:r>
          </w:p>
        </w:tc>
        <w:tc>
          <w:tcPr>
            <w:tcW w:w="36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310,355,728.51</w:t>
            </w:r>
          </w:p>
        </w:tc>
      </w:tr>
      <w:tr w:rsidR="00E60957" w:rsidRPr="00E60957" w:rsidTr="00B5782F">
        <w:tc>
          <w:tcPr>
            <w:tcW w:w="5637" w:type="dxa"/>
            <w:vAlign w:val="center"/>
          </w:tcPr>
          <w:p w:rsidR="007B62FA" w:rsidRPr="00E60957" w:rsidRDefault="008B21EA"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w:t>
            </w:r>
            <w:r w:rsidR="007B62FA" w:rsidRPr="00E60957">
              <w:rPr>
                <w:rFonts w:eastAsiaTheme="minorEastAsia"/>
                <w:color w:val="000000" w:themeColor="text1"/>
                <w:szCs w:val="21"/>
              </w:rPr>
              <w:t>期初基金份额总额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999,549,127.15</w:t>
            </w:r>
          </w:p>
        </w:tc>
      </w:tr>
      <w:tr w:rsidR="00E60957" w:rsidRPr="00E60957" w:rsidTr="00B5782F">
        <w:tc>
          <w:tcPr>
            <w:tcW w:w="5637" w:type="dxa"/>
            <w:vAlign w:val="center"/>
          </w:tcPr>
          <w:p w:rsidR="007B62FA" w:rsidRPr="00E60957" w:rsidRDefault="008F3D0D"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w:t>
            </w:r>
            <w:r w:rsidR="007B62FA" w:rsidRPr="00E60957">
              <w:rPr>
                <w:rFonts w:eastAsiaTheme="minorEastAsia"/>
                <w:color w:val="000000" w:themeColor="text1"/>
                <w:szCs w:val="21"/>
              </w:rPr>
              <w:t>基金总申购份额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424,322,306.09</w:t>
            </w:r>
          </w:p>
        </w:tc>
      </w:tr>
      <w:tr w:rsidR="00E60957" w:rsidRPr="00E60957" w:rsidTr="00B5782F">
        <w:tc>
          <w:tcPr>
            <w:tcW w:w="563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减：</w:t>
            </w:r>
            <w:r w:rsidR="008F3D0D" w:rsidRPr="00E60957">
              <w:rPr>
                <w:rFonts w:eastAsiaTheme="minorEastAsia"/>
                <w:color w:val="000000" w:themeColor="text1"/>
                <w:szCs w:val="21"/>
              </w:rPr>
              <w:t>本报告期</w:t>
            </w:r>
            <w:r w:rsidRPr="00E60957">
              <w:rPr>
                <w:rFonts w:eastAsiaTheme="minorEastAsia"/>
                <w:color w:val="000000" w:themeColor="text1"/>
                <w:szCs w:val="21"/>
              </w:rPr>
              <w:t>基金总赎回份额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718,579,672.49</w:t>
            </w:r>
          </w:p>
        </w:tc>
      </w:tr>
      <w:tr w:rsidR="00E60957" w:rsidRPr="00E60957" w:rsidTr="00B5782F">
        <w:tc>
          <w:tcPr>
            <w:tcW w:w="5637" w:type="dxa"/>
            <w:vAlign w:val="center"/>
          </w:tcPr>
          <w:p w:rsidR="007B62FA" w:rsidRPr="00E60957" w:rsidRDefault="008F3D0D"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w:t>
            </w:r>
            <w:r w:rsidR="007B62FA" w:rsidRPr="00E60957">
              <w:rPr>
                <w:rFonts w:eastAsiaTheme="minorEastAsia"/>
                <w:color w:val="000000" w:themeColor="text1"/>
                <w:szCs w:val="21"/>
              </w:rPr>
              <w:t>基金拆分变动份额</w:t>
            </w:r>
          </w:p>
        </w:tc>
        <w:tc>
          <w:tcPr>
            <w:tcW w:w="3649" w:type="dxa"/>
            <w:vAlign w:val="bottom"/>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w:t>
            </w:r>
          </w:p>
        </w:tc>
      </w:tr>
      <w:tr w:rsidR="00E60957" w:rsidRPr="00E60957" w:rsidTr="00B5782F">
        <w:tc>
          <w:tcPr>
            <w:tcW w:w="5637" w:type="dxa"/>
            <w:vAlign w:val="center"/>
          </w:tcPr>
          <w:p w:rsidR="007B62FA" w:rsidRPr="00E60957" w:rsidRDefault="007B62FA" w:rsidP="00417F87">
            <w:pPr>
              <w:spacing w:line="360" w:lineRule="auto"/>
              <w:rPr>
                <w:rFonts w:eastAsiaTheme="minorEastAsia"/>
                <w:color w:val="000000" w:themeColor="text1"/>
                <w:szCs w:val="21"/>
              </w:rPr>
            </w:pPr>
            <w:r w:rsidRPr="00E60957">
              <w:rPr>
                <w:rFonts w:eastAsiaTheme="minorEastAsia"/>
                <w:color w:val="000000" w:themeColor="text1"/>
                <w:szCs w:val="21"/>
              </w:rPr>
              <w:t>本报告期期末基金份额总额</w:t>
            </w:r>
          </w:p>
        </w:tc>
        <w:tc>
          <w:tcPr>
            <w:tcW w:w="3649" w:type="dxa"/>
            <w:vAlign w:val="center"/>
          </w:tcPr>
          <w:p w:rsidR="007B62FA" w:rsidRPr="00E60957" w:rsidRDefault="007B62FA" w:rsidP="00417F87">
            <w:pPr>
              <w:spacing w:line="360" w:lineRule="auto"/>
              <w:jc w:val="right"/>
              <w:rPr>
                <w:rFonts w:eastAsiaTheme="minorEastAsia"/>
                <w:color w:val="000000" w:themeColor="text1"/>
                <w:szCs w:val="21"/>
              </w:rPr>
            </w:pPr>
            <w:r w:rsidRPr="00E60957">
              <w:rPr>
                <w:rFonts w:eastAsiaTheme="minorEastAsia"/>
                <w:color w:val="000000" w:themeColor="text1"/>
                <w:szCs w:val="21"/>
              </w:rPr>
              <w:t>705,291,760.75</w:t>
            </w:r>
          </w:p>
        </w:tc>
      </w:tr>
    </w:tbl>
    <w:p w:rsidR="007B62FA" w:rsidRPr="00E60957" w:rsidRDefault="007B62FA" w:rsidP="009C3167">
      <w:pPr>
        <w:pStyle w:val="1"/>
        <w:keepNext/>
        <w:keepLines/>
        <w:widowControl w:val="0"/>
        <w:spacing w:beforeLines="100" w:before="312" w:afterLines="100" w:after="312" w:line="360" w:lineRule="auto"/>
        <w:jc w:val="center"/>
        <w:rPr>
          <w:rFonts w:eastAsiaTheme="minorEastAsia"/>
          <w:b/>
          <w:bCs/>
          <w:color w:val="000000" w:themeColor="text1"/>
          <w:sz w:val="21"/>
          <w:szCs w:val="21"/>
          <w:lang w:val="en-US"/>
        </w:rPr>
      </w:pPr>
      <w:bookmarkStart w:id="299" w:name="_Toc225500054"/>
      <w:bookmarkStart w:id="300" w:name="_Toc352256010"/>
      <w:bookmarkStart w:id="301" w:name="_Toc352256078"/>
      <w:bookmarkStart w:id="302" w:name="_Toc352331256"/>
      <w:bookmarkStart w:id="303" w:name="_Toc362424035"/>
      <w:bookmarkStart w:id="304" w:name="_Toc374459299"/>
      <w:r w:rsidRPr="00E60957">
        <w:rPr>
          <w:rFonts w:eastAsiaTheme="minorEastAsia"/>
          <w:b/>
          <w:bCs/>
          <w:color w:val="000000" w:themeColor="text1"/>
          <w:sz w:val="21"/>
          <w:szCs w:val="21"/>
          <w:lang w:val="en-US"/>
        </w:rPr>
        <w:t>§11</w:t>
      </w:r>
      <w:r w:rsidR="001822F7" w:rsidRPr="00E60957">
        <w:rPr>
          <w:rFonts w:eastAsiaTheme="minorEastAsia"/>
          <w:b/>
          <w:bCs/>
          <w:color w:val="000000" w:themeColor="text1"/>
          <w:sz w:val="21"/>
          <w:szCs w:val="21"/>
          <w:lang w:val="en-US"/>
        </w:rPr>
        <w:t xml:space="preserve"> </w:t>
      </w:r>
      <w:r w:rsidR="003E5E48" w:rsidRPr="00E60957">
        <w:rPr>
          <w:rFonts w:eastAsiaTheme="minorEastAsia"/>
          <w:b/>
          <w:bCs/>
          <w:color w:val="000000" w:themeColor="text1"/>
          <w:sz w:val="21"/>
          <w:szCs w:val="21"/>
          <w:lang w:val="en-US"/>
        </w:rPr>
        <w:t xml:space="preserve"> </w:t>
      </w:r>
      <w:r w:rsidRPr="00E60957">
        <w:rPr>
          <w:rFonts w:eastAsiaTheme="minorEastAsia"/>
          <w:b/>
          <w:bCs/>
          <w:color w:val="000000" w:themeColor="text1"/>
          <w:sz w:val="21"/>
          <w:szCs w:val="21"/>
          <w:lang w:val="en-US"/>
        </w:rPr>
        <w:t>重大事件揭示</w:t>
      </w:r>
      <w:bookmarkEnd w:id="299"/>
      <w:bookmarkEnd w:id="300"/>
      <w:bookmarkEnd w:id="301"/>
      <w:bookmarkEnd w:id="302"/>
      <w:bookmarkEnd w:id="303"/>
      <w:bookmarkEnd w:id="304"/>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05" w:name="_Toc352256011"/>
      <w:bookmarkStart w:id="306" w:name="_Toc352256079"/>
      <w:bookmarkStart w:id="307" w:name="_Toc352331257"/>
      <w:bookmarkStart w:id="308" w:name="_Toc362424036"/>
      <w:bookmarkStart w:id="309" w:name="_Toc374459300"/>
      <w:r w:rsidRPr="00E60957">
        <w:rPr>
          <w:rFonts w:ascii="Times New Roman" w:eastAsiaTheme="minorEastAsia" w:hAnsi="Times New Roman"/>
          <w:color w:val="000000" w:themeColor="text1"/>
          <w:kern w:val="0"/>
          <w:sz w:val="21"/>
          <w:szCs w:val="21"/>
        </w:rPr>
        <w:t>11.1</w:t>
      </w:r>
      <w:r w:rsidRPr="00E60957">
        <w:rPr>
          <w:rFonts w:ascii="Times New Roman" w:eastAsiaTheme="minorEastAsia" w:hAnsi="Times New Roman"/>
          <w:color w:val="000000" w:themeColor="text1"/>
          <w:kern w:val="0"/>
          <w:sz w:val="21"/>
          <w:szCs w:val="21"/>
        </w:rPr>
        <w:t>基金份额持有人大会决议</w:t>
      </w:r>
      <w:bookmarkEnd w:id="305"/>
      <w:bookmarkEnd w:id="306"/>
      <w:bookmarkEnd w:id="307"/>
      <w:bookmarkEnd w:id="308"/>
      <w:bookmarkEnd w:id="309"/>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报告期内无基金份额持有人大会决议。</w:t>
      </w:r>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10" w:name="_Toc352256012"/>
      <w:bookmarkStart w:id="311" w:name="_Toc352256080"/>
      <w:bookmarkStart w:id="312" w:name="_Toc352331258"/>
      <w:bookmarkStart w:id="313" w:name="_Toc362424037"/>
      <w:bookmarkStart w:id="314" w:name="_Toc374459301"/>
      <w:r w:rsidRPr="00E60957">
        <w:rPr>
          <w:rFonts w:ascii="Times New Roman" w:eastAsiaTheme="minorEastAsia" w:hAnsi="Times New Roman"/>
          <w:color w:val="000000" w:themeColor="text1"/>
          <w:kern w:val="0"/>
          <w:sz w:val="21"/>
          <w:szCs w:val="21"/>
        </w:rPr>
        <w:t xml:space="preserve">11.2 </w:t>
      </w:r>
      <w:r w:rsidRPr="00E60957">
        <w:rPr>
          <w:rFonts w:ascii="Times New Roman" w:eastAsiaTheme="minorEastAsia" w:hAnsi="Times New Roman"/>
          <w:color w:val="000000" w:themeColor="text1"/>
          <w:kern w:val="0"/>
          <w:sz w:val="21"/>
          <w:szCs w:val="21"/>
        </w:rPr>
        <w:t>基金管理人、基金托管人的专门基金托管部门的重大人事变动</w:t>
      </w:r>
      <w:bookmarkEnd w:id="310"/>
      <w:bookmarkEnd w:id="311"/>
      <w:bookmarkEnd w:id="312"/>
      <w:bookmarkEnd w:id="313"/>
      <w:bookmarkEnd w:id="314"/>
    </w:p>
    <w:p w:rsidR="00E33B47" w:rsidRDefault="00B95AF3">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基金管理人：无。</w:t>
      </w:r>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基金托管人：无。</w:t>
      </w:r>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15" w:name="_Toc352256013"/>
      <w:bookmarkStart w:id="316" w:name="_Toc352256081"/>
      <w:bookmarkStart w:id="317" w:name="_Toc352331259"/>
      <w:bookmarkStart w:id="318" w:name="_Toc362424038"/>
      <w:bookmarkStart w:id="319" w:name="_Toc374459302"/>
      <w:r w:rsidRPr="00E60957">
        <w:rPr>
          <w:rFonts w:ascii="Times New Roman" w:eastAsiaTheme="minorEastAsia" w:hAnsi="Times New Roman"/>
          <w:color w:val="000000" w:themeColor="text1"/>
          <w:kern w:val="0"/>
          <w:sz w:val="21"/>
          <w:szCs w:val="21"/>
        </w:rPr>
        <w:t xml:space="preserve">11.3 </w:t>
      </w:r>
      <w:r w:rsidRPr="00E60957">
        <w:rPr>
          <w:rFonts w:ascii="Times New Roman" w:eastAsiaTheme="minorEastAsia" w:hAnsi="Times New Roman"/>
          <w:color w:val="000000" w:themeColor="text1"/>
          <w:kern w:val="0"/>
          <w:sz w:val="21"/>
          <w:szCs w:val="21"/>
        </w:rPr>
        <w:t>涉及基金管理人、基金财产、基金托管业务的诉讼</w:t>
      </w:r>
      <w:bookmarkEnd w:id="315"/>
      <w:bookmarkEnd w:id="316"/>
      <w:bookmarkEnd w:id="317"/>
      <w:bookmarkEnd w:id="318"/>
      <w:bookmarkEnd w:id="319"/>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报告期内无涉及基金管理人、基金财产、基金托管业务的诉讼。</w:t>
      </w:r>
    </w:p>
    <w:p w:rsidR="007B62FA" w:rsidRPr="00E60957" w:rsidRDefault="007B62FA" w:rsidP="00602A38">
      <w:pPr>
        <w:pStyle w:val="20"/>
        <w:spacing w:before="0" w:after="0"/>
        <w:rPr>
          <w:rFonts w:ascii="Times New Roman" w:eastAsiaTheme="minorEastAsia" w:hAnsi="Times New Roman"/>
          <w:color w:val="000000" w:themeColor="text1"/>
          <w:kern w:val="0"/>
          <w:sz w:val="21"/>
          <w:szCs w:val="21"/>
        </w:rPr>
      </w:pPr>
      <w:bookmarkStart w:id="320" w:name="_Toc352256014"/>
      <w:bookmarkStart w:id="321" w:name="_Toc352256082"/>
      <w:bookmarkStart w:id="322" w:name="_Toc352331260"/>
      <w:bookmarkStart w:id="323" w:name="_Toc362424039"/>
      <w:bookmarkStart w:id="324" w:name="_Toc374459303"/>
      <w:r w:rsidRPr="00E60957">
        <w:rPr>
          <w:rFonts w:ascii="Times New Roman" w:eastAsiaTheme="minorEastAsia" w:hAnsi="Times New Roman"/>
          <w:color w:val="000000" w:themeColor="text1"/>
          <w:kern w:val="0"/>
          <w:sz w:val="21"/>
          <w:szCs w:val="21"/>
        </w:rPr>
        <w:t xml:space="preserve">11.4 </w:t>
      </w:r>
      <w:r w:rsidRPr="00E60957">
        <w:rPr>
          <w:rFonts w:ascii="Times New Roman" w:eastAsiaTheme="minorEastAsia" w:hAnsi="Times New Roman"/>
          <w:color w:val="000000" w:themeColor="text1"/>
          <w:kern w:val="0"/>
          <w:sz w:val="21"/>
          <w:szCs w:val="21"/>
        </w:rPr>
        <w:t>基金投资策略的改变</w:t>
      </w:r>
      <w:bookmarkEnd w:id="320"/>
      <w:bookmarkEnd w:id="321"/>
      <w:bookmarkEnd w:id="322"/>
      <w:bookmarkEnd w:id="323"/>
      <w:bookmarkEnd w:id="324"/>
    </w:p>
    <w:p w:rsidR="007B62FA" w:rsidRPr="00E60957" w:rsidRDefault="007B62FA" w:rsidP="00602A38">
      <w:pPr>
        <w:spacing w:line="360" w:lineRule="auto"/>
        <w:ind w:firstLineChars="200" w:firstLine="420"/>
        <w:rPr>
          <w:rFonts w:eastAsiaTheme="minorEastAsia"/>
          <w:color w:val="000000" w:themeColor="text1"/>
          <w:szCs w:val="21"/>
        </w:rPr>
      </w:pPr>
      <w:r w:rsidRPr="00E60957">
        <w:rPr>
          <w:rFonts w:eastAsiaTheme="minorEastAsia"/>
          <w:color w:val="000000" w:themeColor="text1"/>
          <w:szCs w:val="21"/>
        </w:rPr>
        <w:t>报告期内无基金投资策略的改变。</w:t>
      </w:r>
    </w:p>
    <w:p w:rsidR="00A730D8" w:rsidRPr="00583911" w:rsidRDefault="00A730D8" w:rsidP="00A730D8">
      <w:pPr>
        <w:pStyle w:val="20"/>
        <w:spacing w:before="0" w:after="0"/>
        <w:rPr>
          <w:rFonts w:ascii="Times New Roman" w:eastAsiaTheme="minorEastAsia" w:hAnsi="Times New Roman"/>
          <w:sz w:val="21"/>
          <w:szCs w:val="21"/>
        </w:rPr>
      </w:pPr>
      <w:r w:rsidRPr="00583911">
        <w:rPr>
          <w:rFonts w:ascii="Times New Roman" w:eastAsiaTheme="minorEastAsia" w:hAnsi="Times New Roman"/>
          <w:sz w:val="21"/>
          <w:szCs w:val="21"/>
        </w:rPr>
        <w:t>11.</w:t>
      </w:r>
      <w:r w:rsidR="0077649B">
        <w:rPr>
          <w:rFonts w:ascii="Times New Roman" w:eastAsiaTheme="minorEastAsia" w:hAnsi="Times New Roman"/>
          <w:sz w:val="21"/>
          <w:szCs w:val="21"/>
        </w:rPr>
        <w:t>5</w:t>
      </w:r>
      <w:r w:rsidRPr="00583911">
        <w:rPr>
          <w:rFonts w:ascii="Times New Roman" w:eastAsiaTheme="minorEastAsia" w:hAnsi="Times New Roman" w:hint="eastAsia"/>
          <w:sz w:val="21"/>
          <w:szCs w:val="21"/>
        </w:rPr>
        <w:t xml:space="preserve"> </w:t>
      </w:r>
      <w:r w:rsidRPr="00583911">
        <w:rPr>
          <w:rFonts w:ascii="Times New Roman" w:eastAsiaTheme="minorEastAsia" w:hAnsi="Times New Roman" w:hint="eastAsia"/>
          <w:sz w:val="21"/>
          <w:szCs w:val="21"/>
        </w:rPr>
        <w:t>本报告期持有的基金发生的重大影响事件</w:t>
      </w:r>
    </w:p>
    <w:p w:rsidR="00A730D8" w:rsidRPr="00583911" w:rsidRDefault="00A730D8" w:rsidP="00A730D8">
      <w:pPr>
        <w:spacing w:line="360" w:lineRule="auto"/>
        <w:ind w:firstLineChars="200" w:firstLine="420"/>
        <w:rPr>
          <w:rFonts w:eastAsiaTheme="minorEastAsia"/>
          <w:szCs w:val="21"/>
        </w:rPr>
      </w:pPr>
      <w:r w:rsidRPr="00583911">
        <w:rPr>
          <w:rFonts w:eastAsiaTheme="minorEastAsia"/>
          <w:szCs w:val="21"/>
        </w:rPr>
        <w:t>无。</w:t>
      </w:r>
    </w:p>
    <w:p w:rsidR="00A730D8" w:rsidRPr="00583911" w:rsidRDefault="00A730D8" w:rsidP="00A730D8">
      <w:pPr>
        <w:pStyle w:val="20"/>
        <w:spacing w:before="0" w:after="0"/>
        <w:rPr>
          <w:rFonts w:ascii="Times New Roman" w:eastAsiaTheme="minorEastAsia" w:hAnsi="Times New Roman"/>
          <w:kern w:val="0"/>
          <w:sz w:val="21"/>
          <w:szCs w:val="21"/>
        </w:rPr>
      </w:pPr>
      <w:bookmarkStart w:id="325" w:name="_Toc361324898"/>
      <w:bookmarkStart w:id="326" w:name="_Toc409100466"/>
      <w:bookmarkStart w:id="327" w:name="_Toc409100103"/>
      <w:r w:rsidRPr="00583911">
        <w:rPr>
          <w:rFonts w:ascii="Times New Roman" w:eastAsiaTheme="minorEastAsia" w:hAnsi="Times New Roman"/>
          <w:kern w:val="0"/>
          <w:sz w:val="21"/>
          <w:szCs w:val="21"/>
        </w:rPr>
        <w:t>11.</w:t>
      </w:r>
      <w:bookmarkEnd w:id="325"/>
      <w:r w:rsidR="0077649B">
        <w:rPr>
          <w:rFonts w:ascii="Times New Roman" w:eastAsiaTheme="minorEastAsia" w:hAnsi="Times New Roman"/>
          <w:kern w:val="0"/>
          <w:sz w:val="21"/>
          <w:szCs w:val="21"/>
        </w:rPr>
        <w:t xml:space="preserve">6 </w:t>
      </w:r>
      <w:r w:rsidRPr="00583911">
        <w:rPr>
          <w:rFonts w:ascii="Times New Roman" w:eastAsiaTheme="minorEastAsia" w:hAnsi="Times New Roman"/>
          <w:sz w:val="21"/>
          <w:szCs w:val="21"/>
        </w:rPr>
        <w:t>为基金进行审计的会计师事务所情况</w:t>
      </w:r>
      <w:bookmarkEnd w:id="326"/>
      <w:bookmarkEnd w:id="327"/>
    </w:p>
    <w:p w:rsidR="00A730D8" w:rsidRPr="00583911" w:rsidRDefault="00A730D8" w:rsidP="00A730D8">
      <w:pPr>
        <w:spacing w:line="360" w:lineRule="auto"/>
        <w:ind w:firstLineChars="200" w:firstLine="420"/>
        <w:rPr>
          <w:rFonts w:eastAsiaTheme="minorEastAsia"/>
          <w:szCs w:val="21"/>
        </w:rPr>
      </w:pPr>
      <w:bookmarkStart w:id="328" w:name="OLE_LINK3"/>
      <w:r w:rsidRPr="00583911">
        <w:rPr>
          <w:rFonts w:eastAsiaTheme="minorEastAsia"/>
          <w:szCs w:val="21"/>
        </w:rPr>
        <w:t>本报告期内，本基金未发生改聘为其审计的会计师事务所情况。报告年度应支付给聘任普华永道中天会计师事务所有限公司的报酬为</w:t>
      </w:r>
      <w:r w:rsidRPr="00583911">
        <w:rPr>
          <w:rFonts w:eastAsiaTheme="minorEastAsia"/>
          <w:szCs w:val="21"/>
        </w:rPr>
        <w:t>110,000</w:t>
      </w:r>
      <w:r w:rsidRPr="00583911">
        <w:rPr>
          <w:rFonts w:eastAsiaTheme="minorEastAsia"/>
          <w:szCs w:val="21"/>
        </w:rPr>
        <w:t>元，目前该审计机构已提供审计服务的连续年限为</w:t>
      </w:r>
      <w:r w:rsidRPr="00583911">
        <w:rPr>
          <w:rFonts w:eastAsiaTheme="minorEastAsia"/>
          <w:szCs w:val="21"/>
        </w:rPr>
        <w:t>2</w:t>
      </w:r>
      <w:r w:rsidRPr="00583911">
        <w:rPr>
          <w:rFonts w:eastAsiaTheme="minorEastAsia"/>
          <w:szCs w:val="21"/>
        </w:rPr>
        <w:t>年。</w:t>
      </w:r>
    </w:p>
    <w:p w:rsidR="00A730D8" w:rsidRPr="00583911" w:rsidRDefault="00A730D8" w:rsidP="00A730D8">
      <w:pPr>
        <w:pStyle w:val="20"/>
        <w:spacing w:before="0" w:after="0"/>
        <w:rPr>
          <w:rFonts w:ascii="Times New Roman" w:eastAsiaTheme="minorEastAsia" w:hAnsi="Times New Roman"/>
          <w:kern w:val="0"/>
          <w:sz w:val="21"/>
          <w:szCs w:val="21"/>
        </w:rPr>
      </w:pPr>
      <w:bookmarkStart w:id="329" w:name="_Toc409100104"/>
      <w:bookmarkStart w:id="330" w:name="_Toc409100467"/>
      <w:bookmarkStart w:id="331" w:name="_Toc361324899"/>
      <w:bookmarkEnd w:id="328"/>
      <w:r w:rsidRPr="00583911">
        <w:rPr>
          <w:rFonts w:ascii="Times New Roman" w:eastAsiaTheme="minorEastAsia" w:hAnsi="Times New Roman"/>
          <w:kern w:val="0"/>
          <w:sz w:val="21"/>
          <w:szCs w:val="21"/>
        </w:rPr>
        <w:lastRenderedPageBreak/>
        <w:t>11.</w:t>
      </w:r>
      <w:r w:rsidR="0077649B">
        <w:rPr>
          <w:rFonts w:ascii="Times New Roman" w:eastAsiaTheme="minorEastAsia" w:hAnsi="Times New Roman"/>
          <w:kern w:val="0"/>
          <w:sz w:val="21"/>
          <w:szCs w:val="21"/>
        </w:rPr>
        <w:t>7</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管理人、托管人及其高级管理人员受稽查或处罚等情况</w:t>
      </w:r>
      <w:bookmarkEnd w:id="329"/>
      <w:bookmarkEnd w:id="330"/>
      <w:bookmarkEnd w:id="331"/>
    </w:p>
    <w:p w:rsidR="00A730D8" w:rsidRPr="00583911" w:rsidRDefault="00A730D8" w:rsidP="00A730D8">
      <w:pPr>
        <w:spacing w:line="360" w:lineRule="auto"/>
        <w:ind w:firstLineChars="200" w:firstLine="420"/>
        <w:rPr>
          <w:rFonts w:eastAsiaTheme="minorEastAsia"/>
          <w:szCs w:val="21"/>
        </w:rPr>
      </w:pPr>
      <w:r w:rsidRPr="00583911">
        <w:rPr>
          <w:rFonts w:eastAsiaTheme="minorEastAsia"/>
          <w:szCs w:val="21"/>
        </w:rPr>
        <w:t>报告期内，管理人、托管人未受稽查或处罚，亦未发现管理人、托管人的高级管理人员受稽查或处罚。</w:t>
      </w:r>
    </w:p>
    <w:p w:rsidR="00A730D8" w:rsidRPr="00583911" w:rsidRDefault="00A730D8" w:rsidP="00A730D8">
      <w:pPr>
        <w:pStyle w:val="20"/>
        <w:spacing w:before="0" w:after="0"/>
        <w:rPr>
          <w:rFonts w:ascii="Times New Roman" w:eastAsiaTheme="minorEastAsia" w:hAnsi="Times New Roman"/>
          <w:kern w:val="0"/>
          <w:sz w:val="21"/>
          <w:szCs w:val="21"/>
        </w:rPr>
      </w:pPr>
      <w:bookmarkStart w:id="332" w:name="_Toc361324900"/>
      <w:bookmarkStart w:id="333" w:name="_Toc409100468"/>
      <w:bookmarkStart w:id="334" w:name="_Toc409100105"/>
      <w:r w:rsidRPr="00583911">
        <w:rPr>
          <w:rFonts w:ascii="Times New Roman" w:eastAsiaTheme="minorEastAsia" w:hAnsi="Times New Roman"/>
          <w:kern w:val="0"/>
          <w:sz w:val="21"/>
          <w:szCs w:val="21"/>
        </w:rPr>
        <w:t>11.</w:t>
      </w:r>
      <w:r w:rsidR="0077649B">
        <w:rPr>
          <w:rFonts w:ascii="Times New Roman" w:eastAsiaTheme="minorEastAsia" w:hAnsi="Times New Roman"/>
          <w:kern w:val="0"/>
          <w:sz w:val="21"/>
          <w:szCs w:val="21"/>
        </w:rPr>
        <w:t>8</w:t>
      </w:r>
      <w:r w:rsidRPr="00583911">
        <w:rPr>
          <w:rFonts w:ascii="Times New Roman" w:eastAsiaTheme="minorEastAsia" w:hAnsi="Times New Roman"/>
          <w:kern w:val="0"/>
          <w:sz w:val="21"/>
          <w:szCs w:val="21"/>
        </w:rPr>
        <w:t xml:space="preserve"> </w:t>
      </w:r>
      <w:r w:rsidRPr="00583911">
        <w:rPr>
          <w:rFonts w:ascii="Times New Roman" w:eastAsiaTheme="minorEastAsia" w:hAnsi="Times New Roman"/>
          <w:kern w:val="0"/>
          <w:sz w:val="21"/>
          <w:szCs w:val="21"/>
        </w:rPr>
        <w:t>基金租用证券公司交易单元的有关情况</w:t>
      </w:r>
      <w:bookmarkEnd w:id="332"/>
      <w:bookmarkEnd w:id="333"/>
      <w:bookmarkEnd w:id="334"/>
    </w:p>
    <w:p w:rsidR="00A730D8" w:rsidRPr="00583911" w:rsidRDefault="00A730D8" w:rsidP="00A730D8">
      <w:pPr>
        <w:spacing w:line="360" w:lineRule="auto"/>
        <w:rPr>
          <w:rFonts w:eastAsiaTheme="minorEastAsia"/>
          <w:b/>
          <w:szCs w:val="21"/>
        </w:rPr>
      </w:pPr>
      <w:bookmarkStart w:id="335" w:name="_Toc249760070"/>
      <w:r w:rsidRPr="00583911">
        <w:rPr>
          <w:rFonts w:eastAsiaTheme="minorEastAsia"/>
          <w:b/>
          <w:szCs w:val="21"/>
        </w:rPr>
        <w:t>11.</w:t>
      </w:r>
      <w:r w:rsidR="0077649B">
        <w:rPr>
          <w:rFonts w:eastAsiaTheme="minorEastAsia"/>
          <w:b/>
          <w:szCs w:val="21"/>
        </w:rPr>
        <w:t>8</w:t>
      </w:r>
      <w:r w:rsidRPr="00583911">
        <w:rPr>
          <w:rFonts w:eastAsiaTheme="minorEastAsia"/>
          <w:b/>
          <w:szCs w:val="21"/>
        </w:rPr>
        <w:t>.</w:t>
      </w:r>
      <w:r w:rsidR="0077649B">
        <w:rPr>
          <w:rFonts w:eastAsiaTheme="minorEastAsia"/>
          <w:b/>
          <w:szCs w:val="21"/>
        </w:rPr>
        <w:t xml:space="preserve">1 </w:t>
      </w:r>
      <w:r w:rsidRPr="00583911">
        <w:rPr>
          <w:rFonts w:eastAsiaTheme="minorEastAsia"/>
          <w:b/>
          <w:szCs w:val="21"/>
        </w:rPr>
        <w:t>基金租用证券公司交易单元进行股票投资及佣金支付情况</w:t>
      </w:r>
      <w:bookmarkEnd w:id="335"/>
    </w:p>
    <w:p w:rsidR="007B62FA" w:rsidRPr="00E60957" w:rsidRDefault="007B62FA" w:rsidP="00D0372D">
      <w:pPr>
        <w:pStyle w:val="a0"/>
        <w:spacing w:line="360" w:lineRule="auto"/>
        <w:ind w:firstLineChars="2600" w:firstLine="5460"/>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E60957" w:rsidRPr="00E60957" w:rsidTr="006D141C">
        <w:tc>
          <w:tcPr>
            <w:tcW w:w="1560" w:type="dxa"/>
            <w:vMerge w:val="restart"/>
            <w:vAlign w:val="center"/>
          </w:tcPr>
          <w:p w:rsidR="007B62FA" w:rsidRPr="00E60957" w:rsidRDefault="007B62FA" w:rsidP="00417F87">
            <w:pPr>
              <w:spacing w:line="360" w:lineRule="auto"/>
              <w:jc w:val="center"/>
              <w:rPr>
                <w:rFonts w:eastAsiaTheme="minorEastAsia"/>
                <w:color w:val="000000" w:themeColor="text1"/>
                <w:szCs w:val="21"/>
              </w:rPr>
            </w:pPr>
            <w:bookmarkStart w:id="336" w:name="_Toc249760071"/>
            <w:r w:rsidRPr="00E60957">
              <w:rPr>
                <w:rFonts w:eastAsiaTheme="minorEastAsia"/>
                <w:color w:val="000000" w:themeColor="text1"/>
                <w:szCs w:val="21"/>
              </w:rPr>
              <w:t>券商名称</w:t>
            </w:r>
          </w:p>
        </w:tc>
        <w:tc>
          <w:tcPr>
            <w:tcW w:w="780" w:type="dxa"/>
            <w:vMerge w:val="restart"/>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交易单元数量</w:t>
            </w:r>
          </w:p>
        </w:tc>
        <w:tc>
          <w:tcPr>
            <w:tcW w:w="288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股票交易</w:t>
            </w:r>
          </w:p>
        </w:tc>
        <w:tc>
          <w:tcPr>
            <w:tcW w:w="2700" w:type="dxa"/>
            <w:gridSpan w:val="2"/>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应支付该券商的佣金</w:t>
            </w:r>
          </w:p>
        </w:tc>
        <w:tc>
          <w:tcPr>
            <w:tcW w:w="1080" w:type="dxa"/>
            <w:vMerge w:val="restart"/>
            <w:vAlign w:val="center"/>
          </w:tcPr>
          <w:p w:rsidR="007B62FA" w:rsidRPr="00E60957" w:rsidRDefault="007B62FA"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备注</w:t>
            </w:r>
          </w:p>
        </w:tc>
      </w:tr>
      <w:tr w:rsidR="007B62FA" w:rsidRPr="00E60957" w:rsidTr="006D141C">
        <w:tc>
          <w:tcPr>
            <w:tcW w:w="9000"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780" w:type="dxa"/>
            <w:vMerge/>
            <w:vAlign w:val="center"/>
          </w:tcPr>
          <w:p w:rsidR="007B62FA" w:rsidRPr="00E60957" w:rsidRDefault="007B62FA" w:rsidP="00417F87">
            <w:pPr>
              <w:widowControl/>
              <w:spacing w:line="360" w:lineRule="auto"/>
              <w:jc w:val="left"/>
              <w:rPr>
                <w:rFonts w:eastAsiaTheme="minorEastAsia"/>
                <w:color w:val="000000" w:themeColor="text1"/>
                <w:szCs w:val="21"/>
              </w:rPr>
            </w:pPr>
          </w:p>
        </w:tc>
        <w:tc>
          <w:tcPr>
            <w:tcW w:w="180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08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占当期股票成交总额的比例</w:t>
            </w:r>
          </w:p>
        </w:tc>
        <w:tc>
          <w:tcPr>
            <w:tcW w:w="1620" w:type="dxa"/>
            <w:vAlign w:val="center"/>
          </w:tcPr>
          <w:p w:rsidR="007B62FA" w:rsidRPr="00E60957" w:rsidRDefault="007B62FA" w:rsidP="00417F87">
            <w:pPr>
              <w:spacing w:line="360" w:lineRule="auto"/>
              <w:jc w:val="center"/>
              <w:rPr>
                <w:rFonts w:eastAsiaTheme="minorEastAsia"/>
                <w:color w:val="000000" w:themeColor="text1"/>
                <w:kern w:val="0"/>
                <w:szCs w:val="21"/>
              </w:rPr>
            </w:pPr>
            <w:r w:rsidRPr="00E60957">
              <w:rPr>
                <w:rFonts w:eastAsiaTheme="minorEastAsia"/>
                <w:color w:val="000000" w:themeColor="text1"/>
                <w:kern w:val="0"/>
                <w:szCs w:val="21"/>
              </w:rPr>
              <w:t>佣金</w:t>
            </w:r>
          </w:p>
        </w:tc>
        <w:tc>
          <w:tcPr>
            <w:tcW w:w="1080" w:type="dxa"/>
            <w:vAlign w:val="center"/>
          </w:tcPr>
          <w:p w:rsidR="007B62FA" w:rsidRPr="00E60957" w:rsidRDefault="007B62FA"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占当期佣金总量的比例</w:t>
            </w:r>
          </w:p>
        </w:tc>
        <w:tc>
          <w:tcPr>
            <w:tcW w:w="1080" w:type="dxa"/>
            <w:vMerge/>
            <w:vAlign w:val="center"/>
          </w:tcPr>
          <w:p w:rsidR="007B62FA" w:rsidRPr="00E60957" w:rsidRDefault="007B62FA" w:rsidP="00417F87">
            <w:pPr>
              <w:widowControl/>
              <w:spacing w:line="360" w:lineRule="auto"/>
              <w:jc w:val="left"/>
              <w:rPr>
                <w:rFonts w:eastAsiaTheme="minorEastAsia"/>
                <w:color w:val="000000" w:themeColor="text1"/>
                <w:kern w:val="0"/>
                <w:szCs w:val="21"/>
              </w:rPr>
            </w:pPr>
          </w:p>
        </w:tc>
      </w:tr>
      <w:tr w:rsidR="00E33B47">
        <w:tc>
          <w:tcPr>
            <w:tcW w:w="1560" w:type="dxa"/>
            <w:vAlign w:val="center"/>
          </w:tcPr>
          <w:p w:rsidR="00E33B47" w:rsidRDefault="00B95AF3">
            <w:pPr>
              <w:jc w:val="left"/>
            </w:pPr>
            <w:r>
              <w:rPr>
                <w:rFonts w:eastAsiaTheme="minorEastAsia"/>
                <w:color w:val="000000" w:themeColor="text1"/>
                <w:szCs w:val="21"/>
              </w:rPr>
              <w:t>JPMorgan Funds (Asia) Ltd</w:t>
            </w:r>
          </w:p>
        </w:tc>
        <w:tc>
          <w:tcPr>
            <w:tcW w:w="780" w:type="dxa"/>
            <w:vAlign w:val="center"/>
          </w:tcPr>
          <w:p w:rsidR="00E33B47" w:rsidRDefault="00B95AF3">
            <w:pPr>
              <w:jc w:val="right"/>
            </w:pPr>
            <w:r>
              <w:rPr>
                <w:rFonts w:eastAsiaTheme="minorEastAsia"/>
                <w:color w:val="000000" w:themeColor="text1"/>
                <w:szCs w:val="21"/>
              </w:rPr>
              <w:t>-</w:t>
            </w:r>
          </w:p>
        </w:tc>
        <w:tc>
          <w:tcPr>
            <w:tcW w:w="1800" w:type="dxa"/>
            <w:vAlign w:val="center"/>
          </w:tcPr>
          <w:p w:rsidR="00E33B47" w:rsidRDefault="00B95AF3">
            <w:pPr>
              <w:jc w:val="right"/>
            </w:pPr>
            <w:r>
              <w:rPr>
                <w:rFonts w:eastAsiaTheme="minorEastAsia"/>
                <w:color w:val="000000" w:themeColor="text1"/>
                <w:szCs w:val="21"/>
              </w:rPr>
              <w:t>-</w:t>
            </w:r>
          </w:p>
        </w:tc>
        <w:tc>
          <w:tcPr>
            <w:tcW w:w="1080" w:type="dxa"/>
            <w:vAlign w:val="center"/>
          </w:tcPr>
          <w:p w:rsidR="00E33B47" w:rsidRDefault="00B95AF3">
            <w:pPr>
              <w:jc w:val="right"/>
            </w:pPr>
            <w:r>
              <w:rPr>
                <w:rFonts w:eastAsiaTheme="minorEastAsia"/>
                <w:color w:val="000000" w:themeColor="text1"/>
                <w:szCs w:val="21"/>
              </w:rPr>
              <w:t>-</w:t>
            </w:r>
          </w:p>
        </w:tc>
        <w:tc>
          <w:tcPr>
            <w:tcW w:w="1620" w:type="dxa"/>
            <w:vAlign w:val="center"/>
          </w:tcPr>
          <w:p w:rsidR="00E33B47" w:rsidRDefault="00B95AF3">
            <w:pPr>
              <w:jc w:val="right"/>
            </w:pPr>
            <w:r>
              <w:rPr>
                <w:rFonts w:eastAsiaTheme="minorEastAsia"/>
                <w:color w:val="000000" w:themeColor="text1"/>
                <w:szCs w:val="21"/>
              </w:rPr>
              <w:t>0.00</w:t>
            </w:r>
          </w:p>
        </w:tc>
        <w:tc>
          <w:tcPr>
            <w:tcW w:w="1080" w:type="dxa"/>
            <w:vAlign w:val="center"/>
          </w:tcPr>
          <w:p w:rsidR="00E33B47" w:rsidRDefault="00B95AF3">
            <w:pPr>
              <w:jc w:val="right"/>
            </w:pPr>
            <w:r>
              <w:rPr>
                <w:rFonts w:eastAsiaTheme="minorEastAsia"/>
                <w:color w:val="000000" w:themeColor="text1"/>
                <w:szCs w:val="21"/>
              </w:rPr>
              <w:t>0.00%</w:t>
            </w:r>
          </w:p>
        </w:tc>
        <w:tc>
          <w:tcPr>
            <w:tcW w:w="1080" w:type="dxa"/>
            <w:vAlign w:val="center"/>
          </w:tcPr>
          <w:p w:rsidR="00E33B47" w:rsidRDefault="00B95AF3">
            <w:pPr>
              <w:jc w:val="left"/>
            </w:pPr>
            <w:r>
              <w:rPr>
                <w:rFonts w:eastAsiaTheme="minorEastAsia"/>
                <w:color w:val="000000" w:themeColor="text1"/>
                <w:szCs w:val="21"/>
              </w:rPr>
              <w:t>-</w:t>
            </w:r>
          </w:p>
        </w:tc>
      </w:tr>
    </w:tbl>
    <w:p w:rsidR="00E33B47" w:rsidRDefault="00B95AF3">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上述佣金按市场佣金率计算。</w:t>
      </w:r>
    </w:p>
    <w:p w:rsidR="00E33B47" w:rsidRDefault="00B95AF3">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交易单元的选择标准：</w:t>
      </w:r>
    </w:p>
    <w:p w:rsidR="00E33B47" w:rsidRDefault="00B95AF3">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）资本金雄厚</w:t>
      </w:r>
      <w:r>
        <w:rPr>
          <w:rFonts w:eastAsiaTheme="minorEastAsia"/>
          <w:color w:val="000000" w:themeColor="text1"/>
          <w:szCs w:val="21"/>
        </w:rPr>
        <w:t>,</w:t>
      </w:r>
      <w:r>
        <w:rPr>
          <w:rFonts w:eastAsiaTheme="minorEastAsia"/>
          <w:color w:val="000000" w:themeColor="text1"/>
          <w:szCs w:val="21"/>
        </w:rPr>
        <w:t>信誉良好。</w:t>
      </w:r>
    </w:p>
    <w:p w:rsidR="00E33B47" w:rsidRDefault="00B95AF3">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）财务状况良好</w:t>
      </w:r>
      <w:r>
        <w:rPr>
          <w:rFonts w:eastAsiaTheme="minorEastAsia"/>
          <w:color w:val="000000" w:themeColor="text1"/>
          <w:szCs w:val="21"/>
        </w:rPr>
        <w:t>,</w:t>
      </w:r>
      <w:r>
        <w:rPr>
          <w:rFonts w:eastAsiaTheme="minorEastAsia"/>
          <w:color w:val="000000" w:themeColor="text1"/>
          <w:szCs w:val="21"/>
        </w:rPr>
        <w:t>经营行为规范。</w:t>
      </w:r>
    </w:p>
    <w:p w:rsidR="00E33B47" w:rsidRDefault="00B95AF3">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）内部管理规范、严格</w:t>
      </w:r>
      <w:r>
        <w:rPr>
          <w:rFonts w:eastAsiaTheme="minorEastAsia"/>
          <w:color w:val="000000" w:themeColor="text1"/>
          <w:szCs w:val="21"/>
        </w:rPr>
        <w:t>,</w:t>
      </w:r>
      <w:r>
        <w:rPr>
          <w:rFonts w:eastAsiaTheme="minorEastAsia"/>
          <w:color w:val="000000" w:themeColor="text1"/>
          <w:szCs w:val="21"/>
        </w:rPr>
        <w:t>具备健全的内控制度。</w:t>
      </w:r>
    </w:p>
    <w:p w:rsidR="00E33B47" w:rsidRDefault="00B95AF3">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）具备基金运作所需的高效、安全的通讯条件</w:t>
      </w:r>
      <w:r>
        <w:rPr>
          <w:rFonts w:eastAsiaTheme="minorEastAsia"/>
          <w:color w:val="000000" w:themeColor="text1"/>
          <w:szCs w:val="21"/>
        </w:rPr>
        <w:t>,</w:t>
      </w:r>
      <w:r>
        <w:rPr>
          <w:rFonts w:eastAsiaTheme="minorEastAsia"/>
          <w:color w:val="000000" w:themeColor="text1"/>
          <w:szCs w:val="21"/>
        </w:rPr>
        <w:t>交易设施符合代理本基金进行证券交易的需要</w:t>
      </w:r>
      <w:r>
        <w:rPr>
          <w:rFonts w:eastAsiaTheme="minorEastAsia"/>
          <w:color w:val="000000" w:themeColor="text1"/>
          <w:szCs w:val="21"/>
        </w:rPr>
        <w:t>,</w:t>
      </w:r>
      <w:r>
        <w:rPr>
          <w:rFonts w:eastAsiaTheme="minorEastAsia"/>
          <w:color w:val="000000" w:themeColor="text1"/>
          <w:szCs w:val="21"/>
        </w:rPr>
        <w:t>并能为本基金提供全面的信息服务。</w:t>
      </w:r>
    </w:p>
    <w:p w:rsidR="00E33B47" w:rsidRDefault="00B95AF3">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）研究实力较强</w:t>
      </w:r>
      <w:r>
        <w:rPr>
          <w:rFonts w:eastAsiaTheme="minorEastAsia"/>
          <w:color w:val="000000" w:themeColor="text1"/>
          <w:szCs w:val="21"/>
        </w:rPr>
        <w:t>,</w:t>
      </w:r>
      <w:r>
        <w:rPr>
          <w:rFonts w:eastAsiaTheme="minorEastAsia"/>
          <w:color w:val="000000" w:themeColor="text1"/>
          <w:szCs w:val="21"/>
        </w:rPr>
        <w:t>有固定的研究机构和专门研究人员</w:t>
      </w:r>
      <w:r>
        <w:rPr>
          <w:rFonts w:eastAsiaTheme="minorEastAsia"/>
          <w:color w:val="000000" w:themeColor="text1"/>
          <w:szCs w:val="21"/>
        </w:rPr>
        <w:t>,</w:t>
      </w:r>
      <w:r>
        <w:rPr>
          <w:rFonts w:eastAsiaTheme="minorEastAsia"/>
          <w:color w:val="000000" w:themeColor="text1"/>
          <w:szCs w:val="21"/>
        </w:rPr>
        <w:t>能及时、定期、全面地为本基金提供宏观经济、行业情况、市场走向、个股分析的研究报告及周到的信息服务。</w:t>
      </w:r>
    </w:p>
    <w:p w:rsidR="00E33B47" w:rsidRDefault="00B95AF3">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交易单元的选择程序：</w:t>
      </w:r>
    </w:p>
    <w:p w:rsidR="00E33B47" w:rsidRDefault="00B95AF3">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）本基金管理人定期召开会议，组织相关部门依据交易单元的选择标准对交易单元候选券商进行评估，确定选用交易单元的券商。</w:t>
      </w:r>
    </w:p>
    <w:p w:rsidR="00E33B47" w:rsidRDefault="00B95AF3">
      <w:pPr>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）本基金管理人与券商签订交易单元租用协议，并通知基金托管人。</w:t>
      </w:r>
    </w:p>
    <w:p w:rsidR="007B62FA" w:rsidRPr="00E60957" w:rsidRDefault="007B62FA" w:rsidP="00B5782F">
      <w:pPr>
        <w:spacing w:line="360" w:lineRule="auto"/>
        <w:ind w:firstLineChars="200" w:firstLine="420"/>
        <w:jc w:val="left"/>
        <w:rPr>
          <w:rFonts w:eastAsiaTheme="minorEastAsia"/>
          <w:color w:val="000000" w:themeColor="text1"/>
          <w:szCs w:val="21"/>
        </w:rPr>
      </w:pPr>
      <w:r w:rsidRPr="00E60957">
        <w:rPr>
          <w:rFonts w:eastAsiaTheme="minorEastAsia"/>
          <w:color w:val="000000" w:themeColor="text1"/>
          <w:szCs w:val="21"/>
        </w:rPr>
        <w:t>4. 2018</w:t>
      </w:r>
      <w:r w:rsidRPr="00E60957">
        <w:rPr>
          <w:rFonts w:eastAsiaTheme="minorEastAsia"/>
          <w:color w:val="000000" w:themeColor="text1"/>
          <w:szCs w:val="21"/>
        </w:rPr>
        <w:t>年度无新增席位，无注销席位。</w:t>
      </w:r>
    </w:p>
    <w:p w:rsidR="007B62FA" w:rsidRPr="00E60957" w:rsidRDefault="0077649B" w:rsidP="009C3167">
      <w:pPr>
        <w:spacing w:beforeLines="100" w:before="312" w:line="360" w:lineRule="auto"/>
        <w:rPr>
          <w:rFonts w:eastAsiaTheme="minorEastAsia"/>
          <w:b/>
          <w:color w:val="000000" w:themeColor="text1"/>
          <w:szCs w:val="21"/>
        </w:rPr>
      </w:pPr>
      <w:r>
        <w:rPr>
          <w:rFonts w:eastAsiaTheme="minorEastAsia"/>
          <w:b/>
          <w:color w:val="000000" w:themeColor="text1"/>
          <w:szCs w:val="21"/>
        </w:rPr>
        <w:t>11.8.</w:t>
      </w:r>
      <w:r w:rsidR="007B62FA" w:rsidRPr="00E60957">
        <w:rPr>
          <w:rFonts w:eastAsiaTheme="minorEastAsia"/>
          <w:b/>
          <w:color w:val="000000" w:themeColor="text1"/>
          <w:szCs w:val="21"/>
        </w:rPr>
        <w:t>2</w:t>
      </w:r>
      <w:r w:rsidR="000F515E" w:rsidRPr="00E60957">
        <w:rPr>
          <w:rFonts w:eastAsiaTheme="minorEastAsia"/>
          <w:b/>
          <w:color w:val="000000" w:themeColor="text1"/>
          <w:szCs w:val="21"/>
        </w:rPr>
        <w:t xml:space="preserve"> </w:t>
      </w:r>
      <w:r w:rsidR="007B62FA" w:rsidRPr="00E60957">
        <w:rPr>
          <w:rFonts w:eastAsiaTheme="minorEastAsia"/>
          <w:b/>
          <w:color w:val="000000" w:themeColor="text1"/>
          <w:szCs w:val="21"/>
        </w:rPr>
        <w:t>基金租用证券公司交易单元进行其他证券投资的情况</w:t>
      </w:r>
      <w:bookmarkEnd w:id="336"/>
    </w:p>
    <w:p w:rsidR="007B62FA" w:rsidRPr="00E60957" w:rsidRDefault="007B62FA" w:rsidP="00417F87">
      <w:pPr>
        <w:spacing w:line="360" w:lineRule="auto"/>
        <w:ind w:firstLine="420"/>
        <w:jc w:val="right"/>
        <w:rPr>
          <w:rFonts w:eastAsiaTheme="minorEastAsia"/>
          <w:color w:val="000000" w:themeColor="text1"/>
          <w:szCs w:val="21"/>
        </w:rPr>
      </w:pPr>
      <w:r w:rsidRPr="00E60957">
        <w:rPr>
          <w:rFonts w:eastAsiaTheme="minorEastAsia"/>
          <w:color w:val="000000" w:themeColor="text1"/>
          <w:szCs w:val="21"/>
        </w:rPr>
        <w:t>金额单位：人民币元</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79"/>
        <w:gridCol w:w="851"/>
        <w:gridCol w:w="1223"/>
        <w:gridCol w:w="903"/>
        <w:gridCol w:w="1171"/>
        <w:gridCol w:w="813"/>
        <w:gridCol w:w="1261"/>
        <w:gridCol w:w="866"/>
        <w:gridCol w:w="1209"/>
      </w:tblGrid>
      <w:tr w:rsidR="00615102" w:rsidRPr="00E60957" w:rsidTr="00F754D4">
        <w:trPr>
          <w:jc w:val="center"/>
        </w:trPr>
        <w:tc>
          <w:tcPr>
            <w:tcW w:w="1779" w:type="dxa"/>
            <w:vMerge w:val="restart"/>
            <w:vAlign w:val="center"/>
          </w:tcPr>
          <w:p w:rsidR="001E3F7C" w:rsidRPr="00E60957" w:rsidRDefault="001E3F7C" w:rsidP="00417F87">
            <w:pPr>
              <w:spacing w:line="360" w:lineRule="auto"/>
              <w:jc w:val="center"/>
              <w:rPr>
                <w:rFonts w:eastAsiaTheme="minorEastAsia"/>
                <w:color w:val="000000" w:themeColor="text1"/>
                <w:kern w:val="0"/>
                <w:szCs w:val="21"/>
              </w:rPr>
            </w:pPr>
            <w:r w:rsidRPr="00E60957">
              <w:rPr>
                <w:rFonts w:eastAsiaTheme="minorEastAsia"/>
                <w:color w:val="000000" w:themeColor="text1"/>
                <w:szCs w:val="21"/>
              </w:rPr>
              <w:t>券商名称</w:t>
            </w:r>
          </w:p>
        </w:tc>
        <w:tc>
          <w:tcPr>
            <w:tcW w:w="2074" w:type="dxa"/>
            <w:gridSpan w:val="2"/>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债券交易</w:t>
            </w:r>
          </w:p>
        </w:tc>
        <w:tc>
          <w:tcPr>
            <w:tcW w:w="2074" w:type="dxa"/>
            <w:gridSpan w:val="2"/>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回购交易</w:t>
            </w:r>
          </w:p>
        </w:tc>
        <w:tc>
          <w:tcPr>
            <w:tcW w:w="2074" w:type="dxa"/>
            <w:gridSpan w:val="2"/>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权证交易</w:t>
            </w:r>
          </w:p>
        </w:tc>
        <w:tc>
          <w:tcPr>
            <w:tcW w:w="2075" w:type="dxa"/>
            <w:gridSpan w:val="2"/>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基金交易</w:t>
            </w:r>
          </w:p>
        </w:tc>
      </w:tr>
      <w:tr w:rsidR="00615102" w:rsidRPr="00E60957" w:rsidTr="00F754D4">
        <w:trPr>
          <w:jc w:val="center"/>
        </w:trPr>
        <w:tc>
          <w:tcPr>
            <w:tcW w:w="1779" w:type="dxa"/>
            <w:vMerge/>
            <w:vAlign w:val="center"/>
          </w:tcPr>
          <w:p w:rsidR="001E3F7C" w:rsidRPr="00E60957" w:rsidRDefault="001E3F7C" w:rsidP="00417F87">
            <w:pPr>
              <w:widowControl/>
              <w:spacing w:line="360" w:lineRule="auto"/>
              <w:jc w:val="left"/>
              <w:rPr>
                <w:rFonts w:eastAsiaTheme="minorEastAsia"/>
                <w:color w:val="000000" w:themeColor="text1"/>
                <w:kern w:val="0"/>
                <w:szCs w:val="21"/>
              </w:rPr>
            </w:pPr>
          </w:p>
        </w:tc>
        <w:tc>
          <w:tcPr>
            <w:tcW w:w="851"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223"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占当期债券成交总额的比例</w:t>
            </w:r>
          </w:p>
        </w:tc>
        <w:tc>
          <w:tcPr>
            <w:tcW w:w="903"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171"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占当期回购成交总额的比例</w:t>
            </w:r>
          </w:p>
        </w:tc>
        <w:tc>
          <w:tcPr>
            <w:tcW w:w="813"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261"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占当期权证成交总额的比例</w:t>
            </w:r>
          </w:p>
        </w:tc>
        <w:tc>
          <w:tcPr>
            <w:tcW w:w="866"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成交金额</w:t>
            </w:r>
          </w:p>
        </w:tc>
        <w:tc>
          <w:tcPr>
            <w:tcW w:w="1209" w:type="dxa"/>
            <w:vAlign w:val="center"/>
          </w:tcPr>
          <w:p w:rsidR="001E3F7C" w:rsidRPr="00E60957" w:rsidRDefault="001E3F7C" w:rsidP="00417F87">
            <w:pPr>
              <w:spacing w:line="360" w:lineRule="auto"/>
              <w:jc w:val="center"/>
              <w:rPr>
                <w:rFonts w:eastAsiaTheme="minorEastAsia"/>
                <w:color w:val="000000" w:themeColor="text1"/>
                <w:szCs w:val="21"/>
              </w:rPr>
            </w:pPr>
            <w:r w:rsidRPr="00E60957">
              <w:rPr>
                <w:rFonts w:eastAsiaTheme="minorEastAsia"/>
                <w:color w:val="000000" w:themeColor="text1"/>
                <w:szCs w:val="21"/>
              </w:rPr>
              <w:t>占当期</w:t>
            </w:r>
            <w:r w:rsidR="00EC421C" w:rsidRPr="00E60957">
              <w:rPr>
                <w:rFonts w:eastAsiaTheme="minorEastAsia"/>
                <w:color w:val="000000" w:themeColor="text1"/>
                <w:szCs w:val="21"/>
              </w:rPr>
              <w:t>基金</w:t>
            </w:r>
            <w:r w:rsidRPr="00E60957">
              <w:rPr>
                <w:rFonts w:eastAsiaTheme="minorEastAsia"/>
                <w:color w:val="000000" w:themeColor="text1"/>
                <w:szCs w:val="21"/>
              </w:rPr>
              <w:t>成交总额的比例</w:t>
            </w:r>
          </w:p>
        </w:tc>
      </w:tr>
      <w:tr w:rsidR="00E33B47">
        <w:trPr>
          <w:jc w:val="center"/>
        </w:trPr>
        <w:tc>
          <w:tcPr>
            <w:tcW w:w="1779" w:type="dxa"/>
            <w:vAlign w:val="center"/>
          </w:tcPr>
          <w:p w:rsidR="00E33B47" w:rsidRDefault="00B95AF3">
            <w:pPr>
              <w:jc w:val="left"/>
            </w:pPr>
            <w:r>
              <w:rPr>
                <w:rFonts w:eastAsiaTheme="minorEastAsia"/>
                <w:color w:val="000000" w:themeColor="text1"/>
                <w:szCs w:val="21"/>
              </w:rPr>
              <w:t>JPMorgan Funds (Asia) Ltd</w:t>
            </w:r>
          </w:p>
        </w:tc>
        <w:tc>
          <w:tcPr>
            <w:tcW w:w="851" w:type="dxa"/>
            <w:vAlign w:val="center"/>
          </w:tcPr>
          <w:p w:rsidR="00E33B47" w:rsidRDefault="00B95AF3">
            <w:pPr>
              <w:jc w:val="right"/>
            </w:pPr>
            <w:r>
              <w:rPr>
                <w:rFonts w:eastAsiaTheme="minorEastAsia"/>
                <w:color w:val="000000" w:themeColor="text1"/>
                <w:szCs w:val="21"/>
              </w:rPr>
              <w:t>-</w:t>
            </w:r>
          </w:p>
        </w:tc>
        <w:tc>
          <w:tcPr>
            <w:tcW w:w="1223" w:type="dxa"/>
            <w:vAlign w:val="center"/>
          </w:tcPr>
          <w:p w:rsidR="00E33B47" w:rsidRDefault="00B95AF3">
            <w:pPr>
              <w:jc w:val="right"/>
            </w:pPr>
            <w:r>
              <w:rPr>
                <w:rFonts w:eastAsiaTheme="minorEastAsia"/>
                <w:color w:val="000000" w:themeColor="text1"/>
                <w:szCs w:val="21"/>
              </w:rPr>
              <w:t>-</w:t>
            </w:r>
          </w:p>
        </w:tc>
        <w:tc>
          <w:tcPr>
            <w:tcW w:w="903" w:type="dxa"/>
            <w:vAlign w:val="center"/>
          </w:tcPr>
          <w:p w:rsidR="00E33B47" w:rsidRDefault="00B95AF3">
            <w:pPr>
              <w:jc w:val="right"/>
            </w:pPr>
            <w:r>
              <w:rPr>
                <w:rFonts w:eastAsiaTheme="minorEastAsia"/>
                <w:color w:val="000000" w:themeColor="text1"/>
                <w:szCs w:val="21"/>
              </w:rPr>
              <w:t>-</w:t>
            </w:r>
          </w:p>
        </w:tc>
        <w:tc>
          <w:tcPr>
            <w:tcW w:w="1171" w:type="dxa"/>
            <w:vAlign w:val="center"/>
          </w:tcPr>
          <w:p w:rsidR="00E33B47" w:rsidRDefault="00B95AF3">
            <w:pPr>
              <w:jc w:val="right"/>
            </w:pPr>
            <w:r>
              <w:rPr>
                <w:rFonts w:eastAsiaTheme="minorEastAsia"/>
                <w:color w:val="000000" w:themeColor="text1"/>
                <w:szCs w:val="21"/>
              </w:rPr>
              <w:t>-</w:t>
            </w:r>
          </w:p>
        </w:tc>
        <w:tc>
          <w:tcPr>
            <w:tcW w:w="813" w:type="dxa"/>
            <w:vAlign w:val="center"/>
          </w:tcPr>
          <w:p w:rsidR="00E33B47" w:rsidRDefault="00B95AF3">
            <w:pPr>
              <w:jc w:val="right"/>
            </w:pPr>
            <w:r>
              <w:rPr>
                <w:rFonts w:eastAsiaTheme="minorEastAsia"/>
                <w:color w:val="000000" w:themeColor="text1"/>
                <w:szCs w:val="21"/>
              </w:rPr>
              <w:t>-</w:t>
            </w:r>
          </w:p>
        </w:tc>
        <w:tc>
          <w:tcPr>
            <w:tcW w:w="1261" w:type="dxa"/>
            <w:vAlign w:val="center"/>
          </w:tcPr>
          <w:p w:rsidR="00E33B47" w:rsidRDefault="00B95AF3">
            <w:pPr>
              <w:jc w:val="right"/>
            </w:pPr>
            <w:r>
              <w:rPr>
                <w:rFonts w:eastAsiaTheme="minorEastAsia"/>
                <w:color w:val="000000" w:themeColor="text1"/>
                <w:szCs w:val="21"/>
              </w:rPr>
              <w:t>-</w:t>
            </w:r>
          </w:p>
        </w:tc>
        <w:tc>
          <w:tcPr>
            <w:tcW w:w="866" w:type="dxa"/>
            <w:vAlign w:val="center"/>
          </w:tcPr>
          <w:p w:rsidR="00E33B47" w:rsidRDefault="00B95AF3">
            <w:pPr>
              <w:jc w:val="right"/>
            </w:pPr>
            <w:r>
              <w:rPr>
                <w:rFonts w:eastAsiaTheme="minorEastAsia"/>
                <w:color w:val="000000" w:themeColor="text1"/>
                <w:szCs w:val="21"/>
              </w:rPr>
              <w:t>1,184,943,193.31</w:t>
            </w:r>
          </w:p>
        </w:tc>
        <w:tc>
          <w:tcPr>
            <w:tcW w:w="1209" w:type="dxa"/>
            <w:vAlign w:val="center"/>
          </w:tcPr>
          <w:p w:rsidR="00E33B47" w:rsidRDefault="00B95AF3">
            <w:pPr>
              <w:jc w:val="right"/>
            </w:pPr>
            <w:r>
              <w:rPr>
                <w:rFonts w:eastAsiaTheme="minorEastAsia"/>
                <w:color w:val="000000" w:themeColor="text1"/>
                <w:szCs w:val="21"/>
              </w:rPr>
              <w:t>100.00%</w:t>
            </w:r>
          </w:p>
        </w:tc>
      </w:tr>
    </w:tbl>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D0372D">
      <w:pPr>
        <w:spacing w:line="360" w:lineRule="auto"/>
        <w:ind w:firstLineChars="150" w:firstLine="315"/>
        <w:rPr>
          <w:rFonts w:eastAsiaTheme="minorEastAsia"/>
          <w:bCs/>
          <w:color w:val="000000" w:themeColor="text1"/>
          <w:szCs w:val="21"/>
        </w:rPr>
      </w:pPr>
    </w:p>
    <w:p w:rsidR="007B62FA" w:rsidRPr="00E60957" w:rsidRDefault="007B62FA" w:rsidP="00417F87">
      <w:pPr>
        <w:spacing w:line="360" w:lineRule="auto"/>
        <w:ind w:left="840"/>
        <w:jc w:val="right"/>
        <w:rPr>
          <w:rFonts w:eastAsiaTheme="minorEastAsia"/>
          <w:b/>
          <w:bCs/>
          <w:color w:val="000000" w:themeColor="text1"/>
          <w:szCs w:val="21"/>
        </w:rPr>
      </w:pPr>
      <w:r w:rsidRPr="00E60957">
        <w:rPr>
          <w:rFonts w:eastAsiaTheme="minorEastAsia"/>
          <w:b/>
          <w:bCs/>
          <w:color w:val="000000" w:themeColor="text1"/>
          <w:szCs w:val="21"/>
        </w:rPr>
        <w:t>上投摩根基金管理有限公司</w:t>
      </w:r>
    </w:p>
    <w:p w:rsidR="007B62FA" w:rsidRPr="00E60957" w:rsidRDefault="00B50B04" w:rsidP="00436556">
      <w:pPr>
        <w:spacing w:line="360" w:lineRule="auto"/>
        <w:ind w:left="840"/>
        <w:jc w:val="right"/>
        <w:rPr>
          <w:rFonts w:eastAsiaTheme="minorEastAsia"/>
          <w:b/>
          <w:bCs/>
          <w:color w:val="000000" w:themeColor="text1"/>
          <w:szCs w:val="21"/>
        </w:rPr>
      </w:pPr>
      <w:r w:rsidRPr="00E60957">
        <w:rPr>
          <w:rFonts w:eastAsiaTheme="minorEastAsia"/>
          <w:b/>
          <w:bCs/>
          <w:color w:val="000000" w:themeColor="text1"/>
          <w:szCs w:val="21"/>
        </w:rPr>
        <w:t>二〇一九年三月二十七日</w:t>
      </w:r>
    </w:p>
    <w:sectPr w:rsidR="007B62FA" w:rsidRPr="00E60957"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1EC" w:rsidRDefault="00BC61EC">
      <w:r>
        <w:separator/>
      </w:r>
    </w:p>
    <w:p w:rsidR="003B29B5" w:rsidRDefault="003B29B5"/>
  </w:endnote>
  <w:endnote w:type="continuationSeparator" w:id="0">
    <w:p w:rsidR="00BC61EC" w:rsidRDefault="00BC61EC">
      <w:r>
        <w:continuationSeparator/>
      </w:r>
    </w:p>
    <w:p w:rsidR="003B29B5" w:rsidRDefault="003B2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31" w:rsidRDefault="003B29B5" w:rsidP="00C03B3A">
    <w:pPr>
      <w:pStyle w:val="a7"/>
      <w:framePr w:wrap="around" w:vAnchor="text" w:hAnchor="margin" w:xAlign="right" w:y="1"/>
      <w:rPr>
        <w:rStyle w:val="a8"/>
      </w:rPr>
    </w:pPr>
    <w:r>
      <w:rPr>
        <w:rStyle w:val="a8"/>
      </w:rPr>
      <w:fldChar w:fldCharType="begin"/>
    </w:r>
    <w:r w:rsidR="00461131">
      <w:rPr>
        <w:rStyle w:val="a8"/>
      </w:rPr>
      <w:instrText xml:space="preserve">PAGE  </w:instrText>
    </w:r>
    <w:r>
      <w:rPr>
        <w:rStyle w:val="a8"/>
      </w:rPr>
      <w:fldChar w:fldCharType="end"/>
    </w:r>
  </w:p>
  <w:p w:rsidR="00461131" w:rsidRDefault="00461131" w:rsidP="00C03B3A">
    <w:pPr>
      <w:pStyle w:val="a7"/>
      <w:ind w:right="360"/>
    </w:pPr>
  </w:p>
  <w:p w:rsidR="003B29B5" w:rsidRDefault="003B29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31" w:rsidRDefault="00461131" w:rsidP="00C03B3A">
    <w:pPr>
      <w:pStyle w:val="a7"/>
      <w:ind w:right="360"/>
      <w:jc w:val="center"/>
    </w:pPr>
    <w:r>
      <w:rPr>
        <w:rFonts w:hint="eastAsia"/>
        <w:kern w:val="0"/>
        <w:szCs w:val="21"/>
      </w:rPr>
      <w:t>第</w:t>
    </w:r>
    <w:r w:rsidR="003B29B5">
      <w:rPr>
        <w:kern w:val="0"/>
        <w:szCs w:val="21"/>
      </w:rPr>
      <w:fldChar w:fldCharType="begin"/>
    </w:r>
    <w:r>
      <w:rPr>
        <w:kern w:val="0"/>
        <w:szCs w:val="21"/>
      </w:rPr>
      <w:instrText xml:space="preserve"> PAGE </w:instrText>
    </w:r>
    <w:r w:rsidR="003B29B5">
      <w:rPr>
        <w:kern w:val="0"/>
        <w:szCs w:val="21"/>
      </w:rPr>
      <w:fldChar w:fldCharType="separate"/>
    </w:r>
    <w:r w:rsidR="003D6AD1">
      <w:rPr>
        <w:noProof/>
        <w:kern w:val="0"/>
        <w:szCs w:val="21"/>
      </w:rPr>
      <w:t>15</w:t>
    </w:r>
    <w:r w:rsidR="003B29B5">
      <w:rPr>
        <w:kern w:val="0"/>
        <w:szCs w:val="21"/>
      </w:rPr>
      <w:fldChar w:fldCharType="end"/>
    </w:r>
    <w:r>
      <w:rPr>
        <w:rFonts w:hint="eastAsia"/>
        <w:kern w:val="0"/>
        <w:szCs w:val="21"/>
      </w:rPr>
      <w:t>页共</w:t>
    </w:r>
    <w:r w:rsidR="003B29B5">
      <w:rPr>
        <w:kern w:val="0"/>
        <w:szCs w:val="21"/>
      </w:rPr>
      <w:fldChar w:fldCharType="begin"/>
    </w:r>
    <w:r>
      <w:rPr>
        <w:kern w:val="0"/>
        <w:szCs w:val="21"/>
      </w:rPr>
      <w:instrText xml:space="preserve"> NUMPAGES </w:instrText>
    </w:r>
    <w:r w:rsidR="003B29B5">
      <w:rPr>
        <w:kern w:val="0"/>
        <w:szCs w:val="21"/>
      </w:rPr>
      <w:fldChar w:fldCharType="separate"/>
    </w:r>
    <w:r w:rsidR="003D6AD1">
      <w:rPr>
        <w:noProof/>
        <w:kern w:val="0"/>
        <w:szCs w:val="21"/>
      </w:rPr>
      <w:t>32</w:t>
    </w:r>
    <w:r w:rsidR="003B29B5">
      <w:rPr>
        <w:kern w:val="0"/>
        <w:szCs w:val="21"/>
      </w:rPr>
      <w:fldChar w:fldCharType="end"/>
    </w:r>
    <w:r>
      <w:rPr>
        <w:rFonts w:hint="eastAsia"/>
        <w:kern w:val="0"/>
        <w:szCs w:val="21"/>
      </w:rPr>
      <w:t>页</w:t>
    </w:r>
  </w:p>
  <w:p w:rsidR="003B29B5" w:rsidRDefault="003B29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1EC" w:rsidRDefault="00BC61EC">
      <w:r>
        <w:separator/>
      </w:r>
    </w:p>
    <w:p w:rsidR="003B29B5" w:rsidRDefault="003B29B5"/>
  </w:footnote>
  <w:footnote w:type="continuationSeparator" w:id="0">
    <w:p w:rsidR="00BC61EC" w:rsidRDefault="00BC61EC">
      <w:r>
        <w:continuationSeparator/>
      </w:r>
    </w:p>
    <w:p w:rsidR="003B29B5" w:rsidRDefault="003B29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131" w:rsidRPr="00350014" w:rsidRDefault="00461131" w:rsidP="00350014">
    <w:pPr>
      <w:pStyle w:val="aa"/>
      <w:pBdr>
        <w:bottom w:val="single" w:sz="6" w:space="0" w:color="auto"/>
      </w:pBdr>
      <w:jc w:val="right"/>
      <w:rPr>
        <w:sz w:val="21"/>
        <w:szCs w:val="21"/>
      </w:rPr>
    </w:pPr>
    <w:r w:rsidRPr="0098122D">
      <w:rPr>
        <w:sz w:val="21"/>
        <w:szCs w:val="21"/>
      </w:rPr>
      <w:t>上投摩根全球多元配置证券投资基金</w:t>
    </w:r>
    <w:r w:rsidRPr="0098122D">
      <w:rPr>
        <w:sz w:val="21"/>
        <w:szCs w:val="21"/>
      </w:rPr>
      <w:t>2018</w:t>
    </w:r>
    <w:r w:rsidRPr="0098122D">
      <w:rPr>
        <w:sz w:val="21"/>
        <w:szCs w:val="21"/>
      </w:rPr>
      <w:t>年年度报告</w:t>
    </w:r>
    <w:r w:rsidR="004349D1">
      <w:rPr>
        <w:rFonts w:hint="eastAsia"/>
        <w:sz w:val="21"/>
        <w:szCs w:val="21"/>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733"/>
    <w:rsid w:val="00000EBD"/>
    <w:rsid w:val="000018B5"/>
    <w:rsid w:val="000019B6"/>
    <w:rsid w:val="00001B39"/>
    <w:rsid w:val="00001C10"/>
    <w:rsid w:val="00002644"/>
    <w:rsid w:val="00003577"/>
    <w:rsid w:val="0000403B"/>
    <w:rsid w:val="00004193"/>
    <w:rsid w:val="00004337"/>
    <w:rsid w:val="00005172"/>
    <w:rsid w:val="0000551D"/>
    <w:rsid w:val="00005911"/>
    <w:rsid w:val="00006513"/>
    <w:rsid w:val="0000686E"/>
    <w:rsid w:val="00007D96"/>
    <w:rsid w:val="000102A7"/>
    <w:rsid w:val="00010918"/>
    <w:rsid w:val="00010A83"/>
    <w:rsid w:val="00010A8E"/>
    <w:rsid w:val="00010AC3"/>
    <w:rsid w:val="00010C1F"/>
    <w:rsid w:val="00010F11"/>
    <w:rsid w:val="00011081"/>
    <w:rsid w:val="00011EB5"/>
    <w:rsid w:val="0001280C"/>
    <w:rsid w:val="00012A03"/>
    <w:rsid w:val="000131C1"/>
    <w:rsid w:val="00013CAE"/>
    <w:rsid w:val="00015236"/>
    <w:rsid w:val="00015E54"/>
    <w:rsid w:val="000162AF"/>
    <w:rsid w:val="0001748B"/>
    <w:rsid w:val="00017581"/>
    <w:rsid w:val="0001767C"/>
    <w:rsid w:val="00020583"/>
    <w:rsid w:val="00021813"/>
    <w:rsid w:val="00021DD4"/>
    <w:rsid w:val="000221FE"/>
    <w:rsid w:val="00022642"/>
    <w:rsid w:val="00023BE7"/>
    <w:rsid w:val="0002453B"/>
    <w:rsid w:val="00024C15"/>
    <w:rsid w:val="00024C62"/>
    <w:rsid w:val="00024CA0"/>
    <w:rsid w:val="0002609F"/>
    <w:rsid w:val="00026A7D"/>
    <w:rsid w:val="000274FE"/>
    <w:rsid w:val="000276C9"/>
    <w:rsid w:val="00027CFC"/>
    <w:rsid w:val="0003228A"/>
    <w:rsid w:val="000322D4"/>
    <w:rsid w:val="000322D5"/>
    <w:rsid w:val="0003271C"/>
    <w:rsid w:val="00032ADD"/>
    <w:rsid w:val="00032FE1"/>
    <w:rsid w:val="000331EA"/>
    <w:rsid w:val="00033EC1"/>
    <w:rsid w:val="00034BA5"/>
    <w:rsid w:val="00034C00"/>
    <w:rsid w:val="000358FE"/>
    <w:rsid w:val="000364C4"/>
    <w:rsid w:val="000369F5"/>
    <w:rsid w:val="00037267"/>
    <w:rsid w:val="000372BC"/>
    <w:rsid w:val="000378BC"/>
    <w:rsid w:val="00037A1C"/>
    <w:rsid w:val="00037CF2"/>
    <w:rsid w:val="00037FCF"/>
    <w:rsid w:val="00040DAC"/>
    <w:rsid w:val="000415E6"/>
    <w:rsid w:val="00041BC8"/>
    <w:rsid w:val="000421B8"/>
    <w:rsid w:val="00042481"/>
    <w:rsid w:val="000429DF"/>
    <w:rsid w:val="00042AAD"/>
    <w:rsid w:val="000430CA"/>
    <w:rsid w:val="000431DD"/>
    <w:rsid w:val="0004381B"/>
    <w:rsid w:val="00043ABF"/>
    <w:rsid w:val="00044158"/>
    <w:rsid w:val="000445E4"/>
    <w:rsid w:val="00044A87"/>
    <w:rsid w:val="0004501A"/>
    <w:rsid w:val="00045671"/>
    <w:rsid w:val="00046482"/>
    <w:rsid w:val="000471B4"/>
    <w:rsid w:val="00047E2F"/>
    <w:rsid w:val="00050260"/>
    <w:rsid w:val="000510AB"/>
    <w:rsid w:val="00051326"/>
    <w:rsid w:val="000514E0"/>
    <w:rsid w:val="00052448"/>
    <w:rsid w:val="00053091"/>
    <w:rsid w:val="0005346A"/>
    <w:rsid w:val="000534CD"/>
    <w:rsid w:val="00053EED"/>
    <w:rsid w:val="0005448A"/>
    <w:rsid w:val="000546BD"/>
    <w:rsid w:val="00055AF1"/>
    <w:rsid w:val="000561FC"/>
    <w:rsid w:val="00056982"/>
    <w:rsid w:val="000573B5"/>
    <w:rsid w:val="00060597"/>
    <w:rsid w:val="00060A2C"/>
    <w:rsid w:val="00060CB4"/>
    <w:rsid w:val="00061167"/>
    <w:rsid w:val="00061E04"/>
    <w:rsid w:val="00062997"/>
    <w:rsid w:val="00063C17"/>
    <w:rsid w:val="00063D34"/>
    <w:rsid w:val="0006475F"/>
    <w:rsid w:val="00064AE3"/>
    <w:rsid w:val="00064FC8"/>
    <w:rsid w:val="00066524"/>
    <w:rsid w:val="000671A3"/>
    <w:rsid w:val="00067A7A"/>
    <w:rsid w:val="00067CC5"/>
    <w:rsid w:val="00070CD1"/>
    <w:rsid w:val="00070E1F"/>
    <w:rsid w:val="00071022"/>
    <w:rsid w:val="0007171B"/>
    <w:rsid w:val="000717A1"/>
    <w:rsid w:val="000727BC"/>
    <w:rsid w:val="00072DE0"/>
    <w:rsid w:val="000734C5"/>
    <w:rsid w:val="00073C72"/>
    <w:rsid w:val="00073DB1"/>
    <w:rsid w:val="00073F87"/>
    <w:rsid w:val="00076397"/>
    <w:rsid w:val="000764CB"/>
    <w:rsid w:val="00076CC5"/>
    <w:rsid w:val="000801F4"/>
    <w:rsid w:val="00080423"/>
    <w:rsid w:val="0008141B"/>
    <w:rsid w:val="00081A3D"/>
    <w:rsid w:val="00081D05"/>
    <w:rsid w:val="0008226A"/>
    <w:rsid w:val="000828A4"/>
    <w:rsid w:val="00083BAF"/>
    <w:rsid w:val="000845B3"/>
    <w:rsid w:val="00084ADE"/>
    <w:rsid w:val="0008506D"/>
    <w:rsid w:val="00085E0F"/>
    <w:rsid w:val="00085F3E"/>
    <w:rsid w:val="000861D6"/>
    <w:rsid w:val="0008624A"/>
    <w:rsid w:val="000863CA"/>
    <w:rsid w:val="00086622"/>
    <w:rsid w:val="000866EC"/>
    <w:rsid w:val="00087011"/>
    <w:rsid w:val="000874BC"/>
    <w:rsid w:val="00087CF7"/>
    <w:rsid w:val="00087D8D"/>
    <w:rsid w:val="0009000C"/>
    <w:rsid w:val="000908ED"/>
    <w:rsid w:val="0009091B"/>
    <w:rsid w:val="00090D5E"/>
    <w:rsid w:val="000917D5"/>
    <w:rsid w:val="000919B7"/>
    <w:rsid w:val="00093EC8"/>
    <w:rsid w:val="00094876"/>
    <w:rsid w:val="000951F7"/>
    <w:rsid w:val="00095912"/>
    <w:rsid w:val="00095CE0"/>
    <w:rsid w:val="00096933"/>
    <w:rsid w:val="00096995"/>
    <w:rsid w:val="00096B18"/>
    <w:rsid w:val="00097230"/>
    <w:rsid w:val="000A0BCA"/>
    <w:rsid w:val="000A1448"/>
    <w:rsid w:val="000A1BFB"/>
    <w:rsid w:val="000A3022"/>
    <w:rsid w:val="000A38DE"/>
    <w:rsid w:val="000A4197"/>
    <w:rsid w:val="000A457E"/>
    <w:rsid w:val="000A4672"/>
    <w:rsid w:val="000A4C65"/>
    <w:rsid w:val="000A4FEF"/>
    <w:rsid w:val="000A53FD"/>
    <w:rsid w:val="000A549A"/>
    <w:rsid w:val="000A578A"/>
    <w:rsid w:val="000A5C94"/>
    <w:rsid w:val="000A5CFC"/>
    <w:rsid w:val="000A72F2"/>
    <w:rsid w:val="000B0175"/>
    <w:rsid w:val="000B0A49"/>
    <w:rsid w:val="000B0C56"/>
    <w:rsid w:val="000B2B57"/>
    <w:rsid w:val="000B2C8D"/>
    <w:rsid w:val="000B36CC"/>
    <w:rsid w:val="000B3E43"/>
    <w:rsid w:val="000B40E5"/>
    <w:rsid w:val="000B417C"/>
    <w:rsid w:val="000B4365"/>
    <w:rsid w:val="000B548A"/>
    <w:rsid w:val="000B5CC0"/>
    <w:rsid w:val="000B5D45"/>
    <w:rsid w:val="000B682A"/>
    <w:rsid w:val="000B6D23"/>
    <w:rsid w:val="000C01F9"/>
    <w:rsid w:val="000C05AB"/>
    <w:rsid w:val="000C0871"/>
    <w:rsid w:val="000C0CA5"/>
    <w:rsid w:val="000C0F55"/>
    <w:rsid w:val="000C127D"/>
    <w:rsid w:val="000C15BE"/>
    <w:rsid w:val="000C1723"/>
    <w:rsid w:val="000C1B20"/>
    <w:rsid w:val="000C224F"/>
    <w:rsid w:val="000C33AB"/>
    <w:rsid w:val="000C3FD9"/>
    <w:rsid w:val="000C4107"/>
    <w:rsid w:val="000C45E7"/>
    <w:rsid w:val="000C45F5"/>
    <w:rsid w:val="000C462E"/>
    <w:rsid w:val="000C5555"/>
    <w:rsid w:val="000C5C31"/>
    <w:rsid w:val="000C5E98"/>
    <w:rsid w:val="000C698D"/>
    <w:rsid w:val="000C705C"/>
    <w:rsid w:val="000C7197"/>
    <w:rsid w:val="000C7AE4"/>
    <w:rsid w:val="000D01F4"/>
    <w:rsid w:val="000D064E"/>
    <w:rsid w:val="000D0B89"/>
    <w:rsid w:val="000D1519"/>
    <w:rsid w:val="000D1D47"/>
    <w:rsid w:val="000D2869"/>
    <w:rsid w:val="000D3145"/>
    <w:rsid w:val="000D36D1"/>
    <w:rsid w:val="000D4AAD"/>
    <w:rsid w:val="000D52DC"/>
    <w:rsid w:val="000D6054"/>
    <w:rsid w:val="000D619B"/>
    <w:rsid w:val="000D6779"/>
    <w:rsid w:val="000D788B"/>
    <w:rsid w:val="000D7C4C"/>
    <w:rsid w:val="000E26C1"/>
    <w:rsid w:val="000E2F32"/>
    <w:rsid w:val="000E3487"/>
    <w:rsid w:val="000E34ED"/>
    <w:rsid w:val="000E4456"/>
    <w:rsid w:val="000E53A8"/>
    <w:rsid w:val="000E6184"/>
    <w:rsid w:val="000E67FE"/>
    <w:rsid w:val="000E7385"/>
    <w:rsid w:val="000F0477"/>
    <w:rsid w:val="000F0C0A"/>
    <w:rsid w:val="000F15C9"/>
    <w:rsid w:val="000F175F"/>
    <w:rsid w:val="000F17D1"/>
    <w:rsid w:val="000F1FED"/>
    <w:rsid w:val="000F29C1"/>
    <w:rsid w:val="000F2C75"/>
    <w:rsid w:val="000F3506"/>
    <w:rsid w:val="000F350C"/>
    <w:rsid w:val="000F4232"/>
    <w:rsid w:val="000F515E"/>
    <w:rsid w:val="000F593E"/>
    <w:rsid w:val="000F5CF0"/>
    <w:rsid w:val="000F60F3"/>
    <w:rsid w:val="000F60FF"/>
    <w:rsid w:val="000F635F"/>
    <w:rsid w:val="000F6C61"/>
    <w:rsid w:val="00100C12"/>
    <w:rsid w:val="00100D83"/>
    <w:rsid w:val="00100F34"/>
    <w:rsid w:val="001013A8"/>
    <w:rsid w:val="001016E1"/>
    <w:rsid w:val="00102CC8"/>
    <w:rsid w:val="001030B5"/>
    <w:rsid w:val="0010352B"/>
    <w:rsid w:val="00103CCE"/>
    <w:rsid w:val="001049B6"/>
    <w:rsid w:val="00104A39"/>
    <w:rsid w:val="00104DE3"/>
    <w:rsid w:val="001051C6"/>
    <w:rsid w:val="00105211"/>
    <w:rsid w:val="0010577B"/>
    <w:rsid w:val="00105C9C"/>
    <w:rsid w:val="00106175"/>
    <w:rsid w:val="001065DA"/>
    <w:rsid w:val="001069ED"/>
    <w:rsid w:val="00106C1F"/>
    <w:rsid w:val="00110599"/>
    <w:rsid w:val="00110B82"/>
    <w:rsid w:val="001116BA"/>
    <w:rsid w:val="0011177A"/>
    <w:rsid w:val="0011179E"/>
    <w:rsid w:val="00111C71"/>
    <w:rsid w:val="0011289F"/>
    <w:rsid w:val="00113B73"/>
    <w:rsid w:val="00113F47"/>
    <w:rsid w:val="001141C0"/>
    <w:rsid w:val="00116E31"/>
    <w:rsid w:val="001172AE"/>
    <w:rsid w:val="00117680"/>
    <w:rsid w:val="00117CC3"/>
    <w:rsid w:val="00120169"/>
    <w:rsid w:val="00120EED"/>
    <w:rsid w:val="001212B4"/>
    <w:rsid w:val="0012304E"/>
    <w:rsid w:val="001239C8"/>
    <w:rsid w:val="00123A56"/>
    <w:rsid w:val="00123D1A"/>
    <w:rsid w:val="00124247"/>
    <w:rsid w:val="001248EF"/>
    <w:rsid w:val="001257C7"/>
    <w:rsid w:val="00126502"/>
    <w:rsid w:val="00126AF2"/>
    <w:rsid w:val="00126DDF"/>
    <w:rsid w:val="001270BF"/>
    <w:rsid w:val="0012764F"/>
    <w:rsid w:val="00127BAC"/>
    <w:rsid w:val="00127FF5"/>
    <w:rsid w:val="001308A9"/>
    <w:rsid w:val="00130CF8"/>
    <w:rsid w:val="00131EC2"/>
    <w:rsid w:val="0013226C"/>
    <w:rsid w:val="00132E82"/>
    <w:rsid w:val="0013374F"/>
    <w:rsid w:val="00135467"/>
    <w:rsid w:val="001364D3"/>
    <w:rsid w:val="001366C4"/>
    <w:rsid w:val="0013686A"/>
    <w:rsid w:val="00136BE0"/>
    <w:rsid w:val="0013718B"/>
    <w:rsid w:val="00137BB5"/>
    <w:rsid w:val="00137BB9"/>
    <w:rsid w:val="00137C74"/>
    <w:rsid w:val="00137D50"/>
    <w:rsid w:val="00140038"/>
    <w:rsid w:val="00141563"/>
    <w:rsid w:val="001417D1"/>
    <w:rsid w:val="001419CA"/>
    <w:rsid w:val="00141A2D"/>
    <w:rsid w:val="00142280"/>
    <w:rsid w:val="0014241E"/>
    <w:rsid w:val="001424C6"/>
    <w:rsid w:val="00142A56"/>
    <w:rsid w:val="001432A7"/>
    <w:rsid w:val="00143BE5"/>
    <w:rsid w:val="00144280"/>
    <w:rsid w:val="00144AAD"/>
    <w:rsid w:val="00144DF5"/>
    <w:rsid w:val="001455AF"/>
    <w:rsid w:val="001455C7"/>
    <w:rsid w:val="00145A97"/>
    <w:rsid w:val="00146485"/>
    <w:rsid w:val="00146A28"/>
    <w:rsid w:val="00146B77"/>
    <w:rsid w:val="00147492"/>
    <w:rsid w:val="0015080E"/>
    <w:rsid w:val="0015084A"/>
    <w:rsid w:val="00150AD6"/>
    <w:rsid w:val="0015173F"/>
    <w:rsid w:val="00151B23"/>
    <w:rsid w:val="0015205C"/>
    <w:rsid w:val="00152443"/>
    <w:rsid w:val="001529AD"/>
    <w:rsid w:val="00152B73"/>
    <w:rsid w:val="00152B88"/>
    <w:rsid w:val="001535AE"/>
    <w:rsid w:val="00153B40"/>
    <w:rsid w:val="00153BCF"/>
    <w:rsid w:val="00154ADA"/>
    <w:rsid w:val="00154B08"/>
    <w:rsid w:val="001550BA"/>
    <w:rsid w:val="0015531A"/>
    <w:rsid w:val="001558FD"/>
    <w:rsid w:val="001560D7"/>
    <w:rsid w:val="00157418"/>
    <w:rsid w:val="00157B5A"/>
    <w:rsid w:val="0016050B"/>
    <w:rsid w:val="00161798"/>
    <w:rsid w:val="0016380C"/>
    <w:rsid w:val="00163816"/>
    <w:rsid w:val="00163B27"/>
    <w:rsid w:val="0016425E"/>
    <w:rsid w:val="00164BC0"/>
    <w:rsid w:val="00164BF7"/>
    <w:rsid w:val="00165317"/>
    <w:rsid w:val="00165641"/>
    <w:rsid w:val="001657AB"/>
    <w:rsid w:val="00166180"/>
    <w:rsid w:val="00170537"/>
    <w:rsid w:val="0017073D"/>
    <w:rsid w:val="00170D38"/>
    <w:rsid w:val="00170FE2"/>
    <w:rsid w:val="00171484"/>
    <w:rsid w:val="00171BAD"/>
    <w:rsid w:val="00171F2C"/>
    <w:rsid w:val="00172D36"/>
    <w:rsid w:val="001731C7"/>
    <w:rsid w:val="00173AF1"/>
    <w:rsid w:val="001744B4"/>
    <w:rsid w:val="001751EF"/>
    <w:rsid w:val="001756A1"/>
    <w:rsid w:val="001761EE"/>
    <w:rsid w:val="00176EAA"/>
    <w:rsid w:val="00177030"/>
    <w:rsid w:val="0017725A"/>
    <w:rsid w:val="0017747A"/>
    <w:rsid w:val="00177C4B"/>
    <w:rsid w:val="00177F6A"/>
    <w:rsid w:val="001816C3"/>
    <w:rsid w:val="0018187C"/>
    <w:rsid w:val="00182137"/>
    <w:rsid w:val="001822F7"/>
    <w:rsid w:val="00182A38"/>
    <w:rsid w:val="0018325A"/>
    <w:rsid w:val="001839A3"/>
    <w:rsid w:val="00183D7A"/>
    <w:rsid w:val="00184CAE"/>
    <w:rsid w:val="00186199"/>
    <w:rsid w:val="00186D33"/>
    <w:rsid w:val="00186F7A"/>
    <w:rsid w:val="00190AE2"/>
    <w:rsid w:val="00190E27"/>
    <w:rsid w:val="001928F7"/>
    <w:rsid w:val="00192AD3"/>
    <w:rsid w:val="00192ECC"/>
    <w:rsid w:val="00193182"/>
    <w:rsid w:val="00193575"/>
    <w:rsid w:val="0019389D"/>
    <w:rsid w:val="00193B62"/>
    <w:rsid w:val="00194522"/>
    <w:rsid w:val="00194537"/>
    <w:rsid w:val="0019563C"/>
    <w:rsid w:val="001956CA"/>
    <w:rsid w:val="00195B79"/>
    <w:rsid w:val="001A088E"/>
    <w:rsid w:val="001A0F4A"/>
    <w:rsid w:val="001A16AE"/>
    <w:rsid w:val="001A1A70"/>
    <w:rsid w:val="001A1B13"/>
    <w:rsid w:val="001A1D38"/>
    <w:rsid w:val="001A21A9"/>
    <w:rsid w:val="001A21B7"/>
    <w:rsid w:val="001A2A97"/>
    <w:rsid w:val="001A3339"/>
    <w:rsid w:val="001A364F"/>
    <w:rsid w:val="001A3803"/>
    <w:rsid w:val="001A39B7"/>
    <w:rsid w:val="001A42FA"/>
    <w:rsid w:val="001A4AEC"/>
    <w:rsid w:val="001A5547"/>
    <w:rsid w:val="001A59D8"/>
    <w:rsid w:val="001A5FA6"/>
    <w:rsid w:val="001A668F"/>
    <w:rsid w:val="001A71CC"/>
    <w:rsid w:val="001A74A1"/>
    <w:rsid w:val="001A7F30"/>
    <w:rsid w:val="001B2F0C"/>
    <w:rsid w:val="001B30CA"/>
    <w:rsid w:val="001B3513"/>
    <w:rsid w:val="001B353A"/>
    <w:rsid w:val="001B3D3E"/>
    <w:rsid w:val="001B50CD"/>
    <w:rsid w:val="001B52FE"/>
    <w:rsid w:val="001B5BCC"/>
    <w:rsid w:val="001B69CB"/>
    <w:rsid w:val="001B7890"/>
    <w:rsid w:val="001B7C43"/>
    <w:rsid w:val="001C005A"/>
    <w:rsid w:val="001C00CF"/>
    <w:rsid w:val="001C0806"/>
    <w:rsid w:val="001C2F9C"/>
    <w:rsid w:val="001C2FA5"/>
    <w:rsid w:val="001C3399"/>
    <w:rsid w:val="001C37F6"/>
    <w:rsid w:val="001C4928"/>
    <w:rsid w:val="001C4D9F"/>
    <w:rsid w:val="001C5289"/>
    <w:rsid w:val="001C6288"/>
    <w:rsid w:val="001C67A1"/>
    <w:rsid w:val="001C6E2B"/>
    <w:rsid w:val="001C7C6D"/>
    <w:rsid w:val="001D0538"/>
    <w:rsid w:val="001D0634"/>
    <w:rsid w:val="001D0F6A"/>
    <w:rsid w:val="001D1BB9"/>
    <w:rsid w:val="001D21BC"/>
    <w:rsid w:val="001D2CCD"/>
    <w:rsid w:val="001D2D34"/>
    <w:rsid w:val="001D2E47"/>
    <w:rsid w:val="001D2FA5"/>
    <w:rsid w:val="001D35E0"/>
    <w:rsid w:val="001D3BBE"/>
    <w:rsid w:val="001D3BEC"/>
    <w:rsid w:val="001D5045"/>
    <w:rsid w:val="001D5494"/>
    <w:rsid w:val="001D5A44"/>
    <w:rsid w:val="001D6169"/>
    <w:rsid w:val="001D6213"/>
    <w:rsid w:val="001D724B"/>
    <w:rsid w:val="001D78F4"/>
    <w:rsid w:val="001E03BE"/>
    <w:rsid w:val="001E09F9"/>
    <w:rsid w:val="001E0AAA"/>
    <w:rsid w:val="001E0F28"/>
    <w:rsid w:val="001E1033"/>
    <w:rsid w:val="001E11D3"/>
    <w:rsid w:val="001E15F1"/>
    <w:rsid w:val="001E163F"/>
    <w:rsid w:val="001E1AC2"/>
    <w:rsid w:val="001E1C4F"/>
    <w:rsid w:val="001E2332"/>
    <w:rsid w:val="001E287E"/>
    <w:rsid w:val="001E2A6A"/>
    <w:rsid w:val="001E3776"/>
    <w:rsid w:val="001E3DC2"/>
    <w:rsid w:val="001E3DE0"/>
    <w:rsid w:val="001E3F7C"/>
    <w:rsid w:val="001E56FF"/>
    <w:rsid w:val="001E5C6B"/>
    <w:rsid w:val="001E6EBF"/>
    <w:rsid w:val="001F0307"/>
    <w:rsid w:val="001F03E1"/>
    <w:rsid w:val="001F221F"/>
    <w:rsid w:val="001F3CC6"/>
    <w:rsid w:val="001F3F50"/>
    <w:rsid w:val="001F4530"/>
    <w:rsid w:val="001F547A"/>
    <w:rsid w:val="001F5CE2"/>
    <w:rsid w:val="001F5DBA"/>
    <w:rsid w:val="001F5DE3"/>
    <w:rsid w:val="001F5F74"/>
    <w:rsid w:val="001F73B8"/>
    <w:rsid w:val="00200680"/>
    <w:rsid w:val="002010DE"/>
    <w:rsid w:val="00201962"/>
    <w:rsid w:val="00201B58"/>
    <w:rsid w:val="00201DDA"/>
    <w:rsid w:val="00202457"/>
    <w:rsid w:val="00202968"/>
    <w:rsid w:val="00202C32"/>
    <w:rsid w:val="00202E0B"/>
    <w:rsid w:val="00203973"/>
    <w:rsid w:val="00203AEF"/>
    <w:rsid w:val="002057EF"/>
    <w:rsid w:val="00207DB1"/>
    <w:rsid w:val="00207E26"/>
    <w:rsid w:val="00211A26"/>
    <w:rsid w:val="00212249"/>
    <w:rsid w:val="0021243C"/>
    <w:rsid w:val="002125F7"/>
    <w:rsid w:val="00212901"/>
    <w:rsid w:val="0021397C"/>
    <w:rsid w:val="00214463"/>
    <w:rsid w:val="00214756"/>
    <w:rsid w:val="00215394"/>
    <w:rsid w:val="00215918"/>
    <w:rsid w:val="00215CF2"/>
    <w:rsid w:val="00215D9F"/>
    <w:rsid w:val="00216310"/>
    <w:rsid w:val="00216632"/>
    <w:rsid w:val="00216BCE"/>
    <w:rsid w:val="00217867"/>
    <w:rsid w:val="00220542"/>
    <w:rsid w:val="00220D7F"/>
    <w:rsid w:val="002210EB"/>
    <w:rsid w:val="00221174"/>
    <w:rsid w:val="00221AC7"/>
    <w:rsid w:val="00221DD9"/>
    <w:rsid w:val="002229B6"/>
    <w:rsid w:val="00222DE3"/>
    <w:rsid w:val="002233F0"/>
    <w:rsid w:val="0022498A"/>
    <w:rsid w:val="00225756"/>
    <w:rsid w:val="00225ADC"/>
    <w:rsid w:val="00225CEB"/>
    <w:rsid w:val="0022692D"/>
    <w:rsid w:val="00226C59"/>
    <w:rsid w:val="002309A7"/>
    <w:rsid w:val="002318F3"/>
    <w:rsid w:val="0023323F"/>
    <w:rsid w:val="00234202"/>
    <w:rsid w:val="00235842"/>
    <w:rsid w:val="002359EB"/>
    <w:rsid w:val="002363AB"/>
    <w:rsid w:val="00236933"/>
    <w:rsid w:val="00236E9A"/>
    <w:rsid w:val="0023727B"/>
    <w:rsid w:val="00237579"/>
    <w:rsid w:val="00237675"/>
    <w:rsid w:val="00237C6D"/>
    <w:rsid w:val="0024096B"/>
    <w:rsid w:val="00240DBE"/>
    <w:rsid w:val="00241582"/>
    <w:rsid w:val="00241B45"/>
    <w:rsid w:val="002424D7"/>
    <w:rsid w:val="0024260D"/>
    <w:rsid w:val="00242657"/>
    <w:rsid w:val="002428F6"/>
    <w:rsid w:val="00242D7A"/>
    <w:rsid w:val="00242FA2"/>
    <w:rsid w:val="002439DA"/>
    <w:rsid w:val="00245012"/>
    <w:rsid w:val="0024504E"/>
    <w:rsid w:val="00245761"/>
    <w:rsid w:val="0024651F"/>
    <w:rsid w:val="00247729"/>
    <w:rsid w:val="0025158D"/>
    <w:rsid w:val="00251C7E"/>
    <w:rsid w:val="00252697"/>
    <w:rsid w:val="0025281A"/>
    <w:rsid w:val="00253D3C"/>
    <w:rsid w:val="002544D7"/>
    <w:rsid w:val="00255292"/>
    <w:rsid w:val="00257578"/>
    <w:rsid w:val="00260200"/>
    <w:rsid w:val="00260B06"/>
    <w:rsid w:val="00260BFB"/>
    <w:rsid w:val="00260FC4"/>
    <w:rsid w:val="0026196C"/>
    <w:rsid w:val="00261D93"/>
    <w:rsid w:val="00262029"/>
    <w:rsid w:val="00262553"/>
    <w:rsid w:val="00263BBD"/>
    <w:rsid w:val="00264252"/>
    <w:rsid w:val="002648D8"/>
    <w:rsid w:val="002655BD"/>
    <w:rsid w:val="00265AFB"/>
    <w:rsid w:val="00267C30"/>
    <w:rsid w:val="00267EE3"/>
    <w:rsid w:val="00267F59"/>
    <w:rsid w:val="002700E9"/>
    <w:rsid w:val="00270CE9"/>
    <w:rsid w:val="0027235A"/>
    <w:rsid w:val="00272EFC"/>
    <w:rsid w:val="00273083"/>
    <w:rsid w:val="00273F86"/>
    <w:rsid w:val="002741BE"/>
    <w:rsid w:val="002752EA"/>
    <w:rsid w:val="0027534A"/>
    <w:rsid w:val="00275D56"/>
    <w:rsid w:val="00275EAD"/>
    <w:rsid w:val="00276B03"/>
    <w:rsid w:val="00277247"/>
    <w:rsid w:val="0027730C"/>
    <w:rsid w:val="002773FB"/>
    <w:rsid w:val="002774F0"/>
    <w:rsid w:val="00277722"/>
    <w:rsid w:val="002813C5"/>
    <w:rsid w:val="0028284A"/>
    <w:rsid w:val="00282C23"/>
    <w:rsid w:val="0028315D"/>
    <w:rsid w:val="00283885"/>
    <w:rsid w:val="002839A4"/>
    <w:rsid w:val="0028459B"/>
    <w:rsid w:val="00284B43"/>
    <w:rsid w:val="00284C5F"/>
    <w:rsid w:val="0028507E"/>
    <w:rsid w:val="00286183"/>
    <w:rsid w:val="002873F0"/>
    <w:rsid w:val="00287762"/>
    <w:rsid w:val="00290793"/>
    <w:rsid w:val="002916E3"/>
    <w:rsid w:val="00291A70"/>
    <w:rsid w:val="00291A85"/>
    <w:rsid w:val="00291C84"/>
    <w:rsid w:val="00291F6F"/>
    <w:rsid w:val="002925F4"/>
    <w:rsid w:val="0029379A"/>
    <w:rsid w:val="00293C97"/>
    <w:rsid w:val="002942CB"/>
    <w:rsid w:val="00294D8F"/>
    <w:rsid w:val="00295D5A"/>
    <w:rsid w:val="002964F9"/>
    <w:rsid w:val="0029673F"/>
    <w:rsid w:val="00296823"/>
    <w:rsid w:val="0029690F"/>
    <w:rsid w:val="002969CC"/>
    <w:rsid w:val="00297D85"/>
    <w:rsid w:val="002A07F4"/>
    <w:rsid w:val="002A090A"/>
    <w:rsid w:val="002A0B47"/>
    <w:rsid w:val="002A1381"/>
    <w:rsid w:val="002A14AD"/>
    <w:rsid w:val="002A1CB9"/>
    <w:rsid w:val="002A1F14"/>
    <w:rsid w:val="002A2678"/>
    <w:rsid w:val="002A29EA"/>
    <w:rsid w:val="002A2E01"/>
    <w:rsid w:val="002A32E5"/>
    <w:rsid w:val="002A34B9"/>
    <w:rsid w:val="002A398F"/>
    <w:rsid w:val="002A3DFD"/>
    <w:rsid w:val="002A46A7"/>
    <w:rsid w:val="002A4F2C"/>
    <w:rsid w:val="002A5C6B"/>
    <w:rsid w:val="002A5D31"/>
    <w:rsid w:val="002A714F"/>
    <w:rsid w:val="002A75D7"/>
    <w:rsid w:val="002B039C"/>
    <w:rsid w:val="002B09C0"/>
    <w:rsid w:val="002B0AC4"/>
    <w:rsid w:val="002B0CB8"/>
    <w:rsid w:val="002B1741"/>
    <w:rsid w:val="002B1851"/>
    <w:rsid w:val="002B240B"/>
    <w:rsid w:val="002B26EA"/>
    <w:rsid w:val="002B27FF"/>
    <w:rsid w:val="002B2F4E"/>
    <w:rsid w:val="002B32F2"/>
    <w:rsid w:val="002B5462"/>
    <w:rsid w:val="002B5C8E"/>
    <w:rsid w:val="002B6793"/>
    <w:rsid w:val="002B6A7A"/>
    <w:rsid w:val="002B780B"/>
    <w:rsid w:val="002B7D41"/>
    <w:rsid w:val="002C0D22"/>
    <w:rsid w:val="002C1260"/>
    <w:rsid w:val="002C1726"/>
    <w:rsid w:val="002C21A6"/>
    <w:rsid w:val="002C26D5"/>
    <w:rsid w:val="002C5777"/>
    <w:rsid w:val="002C5889"/>
    <w:rsid w:val="002C65FA"/>
    <w:rsid w:val="002C661D"/>
    <w:rsid w:val="002C7C89"/>
    <w:rsid w:val="002D0B5F"/>
    <w:rsid w:val="002D1A0F"/>
    <w:rsid w:val="002D22BF"/>
    <w:rsid w:val="002D237C"/>
    <w:rsid w:val="002D29CB"/>
    <w:rsid w:val="002D32E3"/>
    <w:rsid w:val="002D33F1"/>
    <w:rsid w:val="002D353D"/>
    <w:rsid w:val="002D3A71"/>
    <w:rsid w:val="002D52AD"/>
    <w:rsid w:val="002D58D8"/>
    <w:rsid w:val="002D5EB1"/>
    <w:rsid w:val="002D6E81"/>
    <w:rsid w:val="002E0394"/>
    <w:rsid w:val="002E0644"/>
    <w:rsid w:val="002E0FEB"/>
    <w:rsid w:val="002E171B"/>
    <w:rsid w:val="002E1BCA"/>
    <w:rsid w:val="002E319D"/>
    <w:rsid w:val="002E4AD5"/>
    <w:rsid w:val="002E4C2D"/>
    <w:rsid w:val="002E6461"/>
    <w:rsid w:val="002E72F6"/>
    <w:rsid w:val="002F05CD"/>
    <w:rsid w:val="002F0F79"/>
    <w:rsid w:val="002F100F"/>
    <w:rsid w:val="002F145D"/>
    <w:rsid w:val="002F1C9E"/>
    <w:rsid w:val="002F1EB2"/>
    <w:rsid w:val="002F280E"/>
    <w:rsid w:val="002F2CBB"/>
    <w:rsid w:val="002F3470"/>
    <w:rsid w:val="002F3709"/>
    <w:rsid w:val="002F3773"/>
    <w:rsid w:val="002F3A6C"/>
    <w:rsid w:val="002F4296"/>
    <w:rsid w:val="002F5777"/>
    <w:rsid w:val="002F60EA"/>
    <w:rsid w:val="002F680E"/>
    <w:rsid w:val="00300951"/>
    <w:rsid w:val="00300E8A"/>
    <w:rsid w:val="003023C9"/>
    <w:rsid w:val="003029E6"/>
    <w:rsid w:val="00302CA8"/>
    <w:rsid w:val="00302DE9"/>
    <w:rsid w:val="00304860"/>
    <w:rsid w:val="00304E23"/>
    <w:rsid w:val="00305084"/>
    <w:rsid w:val="00305871"/>
    <w:rsid w:val="003060BC"/>
    <w:rsid w:val="003060C1"/>
    <w:rsid w:val="00306408"/>
    <w:rsid w:val="003066D0"/>
    <w:rsid w:val="00306B13"/>
    <w:rsid w:val="00307249"/>
    <w:rsid w:val="00312249"/>
    <w:rsid w:val="00312474"/>
    <w:rsid w:val="00312C47"/>
    <w:rsid w:val="00312DAE"/>
    <w:rsid w:val="003132DB"/>
    <w:rsid w:val="00313336"/>
    <w:rsid w:val="003137CA"/>
    <w:rsid w:val="00313918"/>
    <w:rsid w:val="00313A3A"/>
    <w:rsid w:val="003153CB"/>
    <w:rsid w:val="00315416"/>
    <w:rsid w:val="003155B2"/>
    <w:rsid w:val="00315A47"/>
    <w:rsid w:val="003166DE"/>
    <w:rsid w:val="00316B8C"/>
    <w:rsid w:val="003171A3"/>
    <w:rsid w:val="00317226"/>
    <w:rsid w:val="00317528"/>
    <w:rsid w:val="00317B80"/>
    <w:rsid w:val="00317C8E"/>
    <w:rsid w:val="003201F9"/>
    <w:rsid w:val="003204E9"/>
    <w:rsid w:val="0032050A"/>
    <w:rsid w:val="00320AF3"/>
    <w:rsid w:val="00320B7B"/>
    <w:rsid w:val="0032160D"/>
    <w:rsid w:val="00321618"/>
    <w:rsid w:val="00321E8C"/>
    <w:rsid w:val="00321FDA"/>
    <w:rsid w:val="00322318"/>
    <w:rsid w:val="00322A86"/>
    <w:rsid w:val="00323041"/>
    <w:rsid w:val="003237EC"/>
    <w:rsid w:val="00323A7B"/>
    <w:rsid w:val="00323AE8"/>
    <w:rsid w:val="00323B32"/>
    <w:rsid w:val="00323E80"/>
    <w:rsid w:val="00324548"/>
    <w:rsid w:val="00324744"/>
    <w:rsid w:val="003251F4"/>
    <w:rsid w:val="00325408"/>
    <w:rsid w:val="00326927"/>
    <w:rsid w:val="00326934"/>
    <w:rsid w:val="003279B5"/>
    <w:rsid w:val="003303E3"/>
    <w:rsid w:val="00330651"/>
    <w:rsid w:val="00331770"/>
    <w:rsid w:val="00331A88"/>
    <w:rsid w:val="003323A7"/>
    <w:rsid w:val="003329EA"/>
    <w:rsid w:val="00332C6E"/>
    <w:rsid w:val="00332D73"/>
    <w:rsid w:val="0033368C"/>
    <w:rsid w:val="00333872"/>
    <w:rsid w:val="003338BE"/>
    <w:rsid w:val="00336007"/>
    <w:rsid w:val="00336AA2"/>
    <w:rsid w:val="00337271"/>
    <w:rsid w:val="00337852"/>
    <w:rsid w:val="00337B1B"/>
    <w:rsid w:val="003401FF"/>
    <w:rsid w:val="003405DA"/>
    <w:rsid w:val="00340730"/>
    <w:rsid w:val="003407A5"/>
    <w:rsid w:val="003410A1"/>
    <w:rsid w:val="00341188"/>
    <w:rsid w:val="003412BB"/>
    <w:rsid w:val="0034147B"/>
    <w:rsid w:val="0034193C"/>
    <w:rsid w:val="00341A7A"/>
    <w:rsid w:val="003424CB"/>
    <w:rsid w:val="00342821"/>
    <w:rsid w:val="003439DB"/>
    <w:rsid w:val="00344FBE"/>
    <w:rsid w:val="00345E37"/>
    <w:rsid w:val="00346759"/>
    <w:rsid w:val="0034695C"/>
    <w:rsid w:val="00350014"/>
    <w:rsid w:val="00350238"/>
    <w:rsid w:val="0035109C"/>
    <w:rsid w:val="00351752"/>
    <w:rsid w:val="00351F0A"/>
    <w:rsid w:val="00352648"/>
    <w:rsid w:val="003530BA"/>
    <w:rsid w:val="003532D4"/>
    <w:rsid w:val="00353AC6"/>
    <w:rsid w:val="003542B7"/>
    <w:rsid w:val="0035432B"/>
    <w:rsid w:val="00354765"/>
    <w:rsid w:val="00354B71"/>
    <w:rsid w:val="00354E10"/>
    <w:rsid w:val="00355FD4"/>
    <w:rsid w:val="00357B15"/>
    <w:rsid w:val="00357BB3"/>
    <w:rsid w:val="003602EA"/>
    <w:rsid w:val="00360F81"/>
    <w:rsid w:val="003617C8"/>
    <w:rsid w:val="00361E7E"/>
    <w:rsid w:val="00361EF8"/>
    <w:rsid w:val="00363564"/>
    <w:rsid w:val="003648F2"/>
    <w:rsid w:val="00364C72"/>
    <w:rsid w:val="00364FA1"/>
    <w:rsid w:val="0036560F"/>
    <w:rsid w:val="00365EEE"/>
    <w:rsid w:val="00366B02"/>
    <w:rsid w:val="003670F7"/>
    <w:rsid w:val="003671F5"/>
    <w:rsid w:val="00370AA4"/>
    <w:rsid w:val="00370DD3"/>
    <w:rsid w:val="003711F2"/>
    <w:rsid w:val="0037130D"/>
    <w:rsid w:val="003717FC"/>
    <w:rsid w:val="00371FF4"/>
    <w:rsid w:val="003723C2"/>
    <w:rsid w:val="0037275D"/>
    <w:rsid w:val="00372797"/>
    <w:rsid w:val="003733AD"/>
    <w:rsid w:val="00373E14"/>
    <w:rsid w:val="0037470E"/>
    <w:rsid w:val="00375CC4"/>
    <w:rsid w:val="00376103"/>
    <w:rsid w:val="003767B3"/>
    <w:rsid w:val="00376B49"/>
    <w:rsid w:val="00376D16"/>
    <w:rsid w:val="00376FC5"/>
    <w:rsid w:val="00377520"/>
    <w:rsid w:val="00380D36"/>
    <w:rsid w:val="00380F49"/>
    <w:rsid w:val="00381181"/>
    <w:rsid w:val="003819B5"/>
    <w:rsid w:val="003822D3"/>
    <w:rsid w:val="00382D2D"/>
    <w:rsid w:val="00382E49"/>
    <w:rsid w:val="0038480C"/>
    <w:rsid w:val="00384DC9"/>
    <w:rsid w:val="0038566E"/>
    <w:rsid w:val="00385C66"/>
    <w:rsid w:val="003865FB"/>
    <w:rsid w:val="00386630"/>
    <w:rsid w:val="00386A6C"/>
    <w:rsid w:val="00390379"/>
    <w:rsid w:val="00390741"/>
    <w:rsid w:val="003909FB"/>
    <w:rsid w:val="00390B25"/>
    <w:rsid w:val="00390DD9"/>
    <w:rsid w:val="00390F34"/>
    <w:rsid w:val="0039108D"/>
    <w:rsid w:val="00392AE5"/>
    <w:rsid w:val="00393A83"/>
    <w:rsid w:val="00395CAA"/>
    <w:rsid w:val="00396588"/>
    <w:rsid w:val="00396863"/>
    <w:rsid w:val="00397156"/>
    <w:rsid w:val="0039742F"/>
    <w:rsid w:val="00397960"/>
    <w:rsid w:val="00397B84"/>
    <w:rsid w:val="003A0663"/>
    <w:rsid w:val="003A0BDE"/>
    <w:rsid w:val="003A0DB9"/>
    <w:rsid w:val="003A1FE0"/>
    <w:rsid w:val="003A2C23"/>
    <w:rsid w:val="003A3BC4"/>
    <w:rsid w:val="003A458A"/>
    <w:rsid w:val="003A49C1"/>
    <w:rsid w:val="003A551D"/>
    <w:rsid w:val="003A7E6F"/>
    <w:rsid w:val="003B05F2"/>
    <w:rsid w:val="003B29B5"/>
    <w:rsid w:val="003B2F13"/>
    <w:rsid w:val="003B3353"/>
    <w:rsid w:val="003B3552"/>
    <w:rsid w:val="003B405E"/>
    <w:rsid w:val="003B4712"/>
    <w:rsid w:val="003B47EB"/>
    <w:rsid w:val="003B48BA"/>
    <w:rsid w:val="003B4A15"/>
    <w:rsid w:val="003B57D3"/>
    <w:rsid w:val="003B59CA"/>
    <w:rsid w:val="003B6067"/>
    <w:rsid w:val="003B6EC6"/>
    <w:rsid w:val="003C08E3"/>
    <w:rsid w:val="003C09B5"/>
    <w:rsid w:val="003C0F62"/>
    <w:rsid w:val="003C1176"/>
    <w:rsid w:val="003C1D9A"/>
    <w:rsid w:val="003C1F58"/>
    <w:rsid w:val="003C3232"/>
    <w:rsid w:val="003C3B00"/>
    <w:rsid w:val="003C48B1"/>
    <w:rsid w:val="003C57A7"/>
    <w:rsid w:val="003C5C2B"/>
    <w:rsid w:val="003C618D"/>
    <w:rsid w:val="003C6943"/>
    <w:rsid w:val="003C6BD2"/>
    <w:rsid w:val="003C7294"/>
    <w:rsid w:val="003C7703"/>
    <w:rsid w:val="003C792F"/>
    <w:rsid w:val="003C7ABD"/>
    <w:rsid w:val="003C7C3D"/>
    <w:rsid w:val="003D08F8"/>
    <w:rsid w:val="003D124B"/>
    <w:rsid w:val="003D18F3"/>
    <w:rsid w:val="003D2CC1"/>
    <w:rsid w:val="003D47E0"/>
    <w:rsid w:val="003D4FF1"/>
    <w:rsid w:val="003D4FFC"/>
    <w:rsid w:val="003D51ED"/>
    <w:rsid w:val="003D569B"/>
    <w:rsid w:val="003D5D50"/>
    <w:rsid w:val="003D6AD1"/>
    <w:rsid w:val="003D78B5"/>
    <w:rsid w:val="003D7FC6"/>
    <w:rsid w:val="003E099F"/>
    <w:rsid w:val="003E0AF9"/>
    <w:rsid w:val="003E14A8"/>
    <w:rsid w:val="003E1EDC"/>
    <w:rsid w:val="003E244F"/>
    <w:rsid w:val="003E37AE"/>
    <w:rsid w:val="003E4BC4"/>
    <w:rsid w:val="003E5165"/>
    <w:rsid w:val="003E5E48"/>
    <w:rsid w:val="003E5F1F"/>
    <w:rsid w:val="003E62A6"/>
    <w:rsid w:val="003E695F"/>
    <w:rsid w:val="003E6C9B"/>
    <w:rsid w:val="003E6D39"/>
    <w:rsid w:val="003E709C"/>
    <w:rsid w:val="003E712E"/>
    <w:rsid w:val="003E726D"/>
    <w:rsid w:val="003E7B89"/>
    <w:rsid w:val="003F0B30"/>
    <w:rsid w:val="003F0FA3"/>
    <w:rsid w:val="003F266F"/>
    <w:rsid w:val="003F276B"/>
    <w:rsid w:val="003F2EA5"/>
    <w:rsid w:val="003F4241"/>
    <w:rsid w:val="003F4B8A"/>
    <w:rsid w:val="003F62BB"/>
    <w:rsid w:val="003F6FEC"/>
    <w:rsid w:val="003F7C45"/>
    <w:rsid w:val="00400241"/>
    <w:rsid w:val="0040132C"/>
    <w:rsid w:val="0040231A"/>
    <w:rsid w:val="00403E84"/>
    <w:rsid w:val="004049BD"/>
    <w:rsid w:val="00404EB5"/>
    <w:rsid w:val="00405085"/>
    <w:rsid w:val="004058FB"/>
    <w:rsid w:val="00405D28"/>
    <w:rsid w:val="004066FC"/>
    <w:rsid w:val="00407481"/>
    <w:rsid w:val="00407753"/>
    <w:rsid w:val="00407C10"/>
    <w:rsid w:val="00407E90"/>
    <w:rsid w:val="00410CF2"/>
    <w:rsid w:val="004113B4"/>
    <w:rsid w:val="00413323"/>
    <w:rsid w:val="00414503"/>
    <w:rsid w:val="00414827"/>
    <w:rsid w:val="004153B3"/>
    <w:rsid w:val="00415772"/>
    <w:rsid w:val="004161F8"/>
    <w:rsid w:val="004163FD"/>
    <w:rsid w:val="0041683D"/>
    <w:rsid w:val="00416C10"/>
    <w:rsid w:val="00417976"/>
    <w:rsid w:val="00417A0E"/>
    <w:rsid w:val="00417F87"/>
    <w:rsid w:val="0042053A"/>
    <w:rsid w:val="004213D6"/>
    <w:rsid w:val="00422440"/>
    <w:rsid w:val="00422916"/>
    <w:rsid w:val="00422C6C"/>
    <w:rsid w:val="0042363C"/>
    <w:rsid w:val="00423BA3"/>
    <w:rsid w:val="00424213"/>
    <w:rsid w:val="00424EF3"/>
    <w:rsid w:val="00426384"/>
    <w:rsid w:val="004267DB"/>
    <w:rsid w:val="004268BB"/>
    <w:rsid w:val="00426A4B"/>
    <w:rsid w:val="00430272"/>
    <w:rsid w:val="00430724"/>
    <w:rsid w:val="0043097C"/>
    <w:rsid w:val="00431047"/>
    <w:rsid w:val="00431B86"/>
    <w:rsid w:val="004324E8"/>
    <w:rsid w:val="00433A94"/>
    <w:rsid w:val="00433EED"/>
    <w:rsid w:val="004344E9"/>
    <w:rsid w:val="004349D1"/>
    <w:rsid w:val="00436556"/>
    <w:rsid w:val="00437C96"/>
    <w:rsid w:val="004408EC"/>
    <w:rsid w:val="004416A4"/>
    <w:rsid w:val="00441E6A"/>
    <w:rsid w:val="00442AEE"/>
    <w:rsid w:val="00443C8F"/>
    <w:rsid w:val="00444C60"/>
    <w:rsid w:val="00444E35"/>
    <w:rsid w:val="0044502D"/>
    <w:rsid w:val="00445F6B"/>
    <w:rsid w:val="00446D33"/>
    <w:rsid w:val="00446FCC"/>
    <w:rsid w:val="0044755D"/>
    <w:rsid w:val="00447C32"/>
    <w:rsid w:val="00447CEF"/>
    <w:rsid w:val="00447E28"/>
    <w:rsid w:val="00450BA9"/>
    <w:rsid w:val="00450C98"/>
    <w:rsid w:val="00450F23"/>
    <w:rsid w:val="00452481"/>
    <w:rsid w:val="004528FA"/>
    <w:rsid w:val="00452C1A"/>
    <w:rsid w:val="0045321B"/>
    <w:rsid w:val="00453DC8"/>
    <w:rsid w:val="00455165"/>
    <w:rsid w:val="00457804"/>
    <w:rsid w:val="00460AEF"/>
    <w:rsid w:val="00460B74"/>
    <w:rsid w:val="00460C52"/>
    <w:rsid w:val="00461131"/>
    <w:rsid w:val="00462279"/>
    <w:rsid w:val="0046299F"/>
    <w:rsid w:val="00463C4A"/>
    <w:rsid w:val="00463E5E"/>
    <w:rsid w:val="004646BF"/>
    <w:rsid w:val="00464744"/>
    <w:rsid w:val="00466104"/>
    <w:rsid w:val="004665A8"/>
    <w:rsid w:val="004665E3"/>
    <w:rsid w:val="0046760F"/>
    <w:rsid w:val="004718E4"/>
    <w:rsid w:val="004720D4"/>
    <w:rsid w:val="0047237D"/>
    <w:rsid w:val="00472561"/>
    <w:rsid w:val="004731F1"/>
    <w:rsid w:val="00473704"/>
    <w:rsid w:val="00473887"/>
    <w:rsid w:val="00473AE0"/>
    <w:rsid w:val="00473EB5"/>
    <w:rsid w:val="0047456B"/>
    <w:rsid w:val="00474A69"/>
    <w:rsid w:val="0047509C"/>
    <w:rsid w:val="00475251"/>
    <w:rsid w:val="00477400"/>
    <w:rsid w:val="00477662"/>
    <w:rsid w:val="00480478"/>
    <w:rsid w:val="004807D6"/>
    <w:rsid w:val="00480BC8"/>
    <w:rsid w:val="00481265"/>
    <w:rsid w:val="004814BF"/>
    <w:rsid w:val="00482456"/>
    <w:rsid w:val="00482649"/>
    <w:rsid w:val="00483630"/>
    <w:rsid w:val="004836EA"/>
    <w:rsid w:val="00483F72"/>
    <w:rsid w:val="00485215"/>
    <w:rsid w:val="00485340"/>
    <w:rsid w:val="0048587E"/>
    <w:rsid w:val="00486200"/>
    <w:rsid w:val="0048679F"/>
    <w:rsid w:val="00486C9C"/>
    <w:rsid w:val="00486D6A"/>
    <w:rsid w:val="00487815"/>
    <w:rsid w:val="00487C2B"/>
    <w:rsid w:val="00487F25"/>
    <w:rsid w:val="004900FF"/>
    <w:rsid w:val="0049045D"/>
    <w:rsid w:val="0049125B"/>
    <w:rsid w:val="004914B6"/>
    <w:rsid w:val="00491C58"/>
    <w:rsid w:val="00491FAB"/>
    <w:rsid w:val="00492081"/>
    <w:rsid w:val="0049227D"/>
    <w:rsid w:val="0049297D"/>
    <w:rsid w:val="004929F2"/>
    <w:rsid w:val="00492F5E"/>
    <w:rsid w:val="004933B7"/>
    <w:rsid w:val="004934F8"/>
    <w:rsid w:val="0049419A"/>
    <w:rsid w:val="00495A03"/>
    <w:rsid w:val="00495E28"/>
    <w:rsid w:val="00496695"/>
    <w:rsid w:val="00497079"/>
    <w:rsid w:val="00497450"/>
    <w:rsid w:val="00497F49"/>
    <w:rsid w:val="004A017F"/>
    <w:rsid w:val="004A091D"/>
    <w:rsid w:val="004A1BBA"/>
    <w:rsid w:val="004A23C2"/>
    <w:rsid w:val="004A2861"/>
    <w:rsid w:val="004A3336"/>
    <w:rsid w:val="004A3E3C"/>
    <w:rsid w:val="004A4069"/>
    <w:rsid w:val="004A484E"/>
    <w:rsid w:val="004A4AFC"/>
    <w:rsid w:val="004A54D5"/>
    <w:rsid w:val="004A63E1"/>
    <w:rsid w:val="004A6513"/>
    <w:rsid w:val="004A7CCE"/>
    <w:rsid w:val="004B0623"/>
    <w:rsid w:val="004B0D11"/>
    <w:rsid w:val="004B0E6D"/>
    <w:rsid w:val="004B15C3"/>
    <w:rsid w:val="004B16E8"/>
    <w:rsid w:val="004B2CA5"/>
    <w:rsid w:val="004B2CC2"/>
    <w:rsid w:val="004B412E"/>
    <w:rsid w:val="004B5B92"/>
    <w:rsid w:val="004B6250"/>
    <w:rsid w:val="004B66F3"/>
    <w:rsid w:val="004B6775"/>
    <w:rsid w:val="004B68D2"/>
    <w:rsid w:val="004B68EC"/>
    <w:rsid w:val="004B76B1"/>
    <w:rsid w:val="004C0057"/>
    <w:rsid w:val="004C0541"/>
    <w:rsid w:val="004C0983"/>
    <w:rsid w:val="004C0BBF"/>
    <w:rsid w:val="004C1BF4"/>
    <w:rsid w:val="004C1D08"/>
    <w:rsid w:val="004C1D55"/>
    <w:rsid w:val="004C2533"/>
    <w:rsid w:val="004C2836"/>
    <w:rsid w:val="004C2C46"/>
    <w:rsid w:val="004C2C85"/>
    <w:rsid w:val="004C405B"/>
    <w:rsid w:val="004C54CA"/>
    <w:rsid w:val="004C7214"/>
    <w:rsid w:val="004C7235"/>
    <w:rsid w:val="004C7955"/>
    <w:rsid w:val="004D0140"/>
    <w:rsid w:val="004D0213"/>
    <w:rsid w:val="004D047F"/>
    <w:rsid w:val="004D1529"/>
    <w:rsid w:val="004D29F1"/>
    <w:rsid w:val="004D29F3"/>
    <w:rsid w:val="004D31B5"/>
    <w:rsid w:val="004D3D96"/>
    <w:rsid w:val="004D40BB"/>
    <w:rsid w:val="004D5316"/>
    <w:rsid w:val="004D575C"/>
    <w:rsid w:val="004D650F"/>
    <w:rsid w:val="004D7269"/>
    <w:rsid w:val="004D74EE"/>
    <w:rsid w:val="004D7F01"/>
    <w:rsid w:val="004E08FC"/>
    <w:rsid w:val="004E0B6E"/>
    <w:rsid w:val="004E2133"/>
    <w:rsid w:val="004E2B92"/>
    <w:rsid w:val="004E2BD2"/>
    <w:rsid w:val="004E395B"/>
    <w:rsid w:val="004E3C7D"/>
    <w:rsid w:val="004E4B86"/>
    <w:rsid w:val="004E4CD7"/>
    <w:rsid w:val="004E4F38"/>
    <w:rsid w:val="004E5EDB"/>
    <w:rsid w:val="004E60FB"/>
    <w:rsid w:val="004E7366"/>
    <w:rsid w:val="004E73A5"/>
    <w:rsid w:val="004E758A"/>
    <w:rsid w:val="004F0126"/>
    <w:rsid w:val="004F0D41"/>
    <w:rsid w:val="004F1C42"/>
    <w:rsid w:val="004F23CE"/>
    <w:rsid w:val="004F2C5A"/>
    <w:rsid w:val="004F345B"/>
    <w:rsid w:val="004F4601"/>
    <w:rsid w:val="004F5BEF"/>
    <w:rsid w:val="004F76F0"/>
    <w:rsid w:val="004F779C"/>
    <w:rsid w:val="004F7846"/>
    <w:rsid w:val="004F7E95"/>
    <w:rsid w:val="005000A6"/>
    <w:rsid w:val="005000D4"/>
    <w:rsid w:val="00500234"/>
    <w:rsid w:val="005004EE"/>
    <w:rsid w:val="005007AB"/>
    <w:rsid w:val="00500B1E"/>
    <w:rsid w:val="00500B24"/>
    <w:rsid w:val="00500C17"/>
    <w:rsid w:val="005027F4"/>
    <w:rsid w:val="005036C2"/>
    <w:rsid w:val="00503AE3"/>
    <w:rsid w:val="00503C28"/>
    <w:rsid w:val="0050492E"/>
    <w:rsid w:val="005051C9"/>
    <w:rsid w:val="00506389"/>
    <w:rsid w:val="00506EDA"/>
    <w:rsid w:val="00506F9D"/>
    <w:rsid w:val="00510A69"/>
    <w:rsid w:val="00510CAF"/>
    <w:rsid w:val="0051114C"/>
    <w:rsid w:val="0051137D"/>
    <w:rsid w:val="00511597"/>
    <w:rsid w:val="005116B7"/>
    <w:rsid w:val="00511915"/>
    <w:rsid w:val="00511B90"/>
    <w:rsid w:val="005128C5"/>
    <w:rsid w:val="00512905"/>
    <w:rsid w:val="00512D8B"/>
    <w:rsid w:val="00512DF1"/>
    <w:rsid w:val="00512E85"/>
    <w:rsid w:val="005136C7"/>
    <w:rsid w:val="00513A66"/>
    <w:rsid w:val="0051478B"/>
    <w:rsid w:val="00514C1C"/>
    <w:rsid w:val="00514D91"/>
    <w:rsid w:val="0051524F"/>
    <w:rsid w:val="0051566A"/>
    <w:rsid w:val="00515D7B"/>
    <w:rsid w:val="00515DD8"/>
    <w:rsid w:val="005160AA"/>
    <w:rsid w:val="005166E9"/>
    <w:rsid w:val="00517917"/>
    <w:rsid w:val="0052009E"/>
    <w:rsid w:val="005200F7"/>
    <w:rsid w:val="00520AB5"/>
    <w:rsid w:val="00520D9E"/>
    <w:rsid w:val="00521596"/>
    <w:rsid w:val="00522066"/>
    <w:rsid w:val="005222FA"/>
    <w:rsid w:val="00523AA5"/>
    <w:rsid w:val="00524434"/>
    <w:rsid w:val="00525732"/>
    <w:rsid w:val="00525740"/>
    <w:rsid w:val="00525E59"/>
    <w:rsid w:val="005278EE"/>
    <w:rsid w:val="00530A21"/>
    <w:rsid w:val="005310DD"/>
    <w:rsid w:val="005312BC"/>
    <w:rsid w:val="00531851"/>
    <w:rsid w:val="005318CC"/>
    <w:rsid w:val="0053199E"/>
    <w:rsid w:val="00531D65"/>
    <w:rsid w:val="005321E1"/>
    <w:rsid w:val="005328CD"/>
    <w:rsid w:val="005334E4"/>
    <w:rsid w:val="005349B1"/>
    <w:rsid w:val="00535AA4"/>
    <w:rsid w:val="00535DA3"/>
    <w:rsid w:val="005364A6"/>
    <w:rsid w:val="005364AE"/>
    <w:rsid w:val="0053652C"/>
    <w:rsid w:val="0053659B"/>
    <w:rsid w:val="005368A0"/>
    <w:rsid w:val="00536C39"/>
    <w:rsid w:val="005374BC"/>
    <w:rsid w:val="005400EE"/>
    <w:rsid w:val="005427DC"/>
    <w:rsid w:val="00543177"/>
    <w:rsid w:val="00543188"/>
    <w:rsid w:val="005432F0"/>
    <w:rsid w:val="00543367"/>
    <w:rsid w:val="0054384E"/>
    <w:rsid w:val="00543BFA"/>
    <w:rsid w:val="0054516E"/>
    <w:rsid w:val="005453FA"/>
    <w:rsid w:val="0054655E"/>
    <w:rsid w:val="00546601"/>
    <w:rsid w:val="00547D9C"/>
    <w:rsid w:val="00547DA1"/>
    <w:rsid w:val="005501BC"/>
    <w:rsid w:val="00550498"/>
    <w:rsid w:val="0055068D"/>
    <w:rsid w:val="00551BA5"/>
    <w:rsid w:val="00551BAB"/>
    <w:rsid w:val="00551C53"/>
    <w:rsid w:val="0055216D"/>
    <w:rsid w:val="0055221B"/>
    <w:rsid w:val="005526DC"/>
    <w:rsid w:val="005535B7"/>
    <w:rsid w:val="00554BFC"/>
    <w:rsid w:val="00554CAC"/>
    <w:rsid w:val="0055513C"/>
    <w:rsid w:val="005553C4"/>
    <w:rsid w:val="0055637C"/>
    <w:rsid w:val="00556532"/>
    <w:rsid w:val="00556B00"/>
    <w:rsid w:val="00556E7A"/>
    <w:rsid w:val="0055753F"/>
    <w:rsid w:val="00557618"/>
    <w:rsid w:val="0055763C"/>
    <w:rsid w:val="00557782"/>
    <w:rsid w:val="00560C94"/>
    <w:rsid w:val="00560FD5"/>
    <w:rsid w:val="00561094"/>
    <w:rsid w:val="00561C0A"/>
    <w:rsid w:val="00562765"/>
    <w:rsid w:val="0056283B"/>
    <w:rsid w:val="0056291C"/>
    <w:rsid w:val="00563E82"/>
    <w:rsid w:val="00564289"/>
    <w:rsid w:val="005643FD"/>
    <w:rsid w:val="005646BB"/>
    <w:rsid w:val="005647F9"/>
    <w:rsid w:val="00564B19"/>
    <w:rsid w:val="00564C4B"/>
    <w:rsid w:val="00565A63"/>
    <w:rsid w:val="00565DFA"/>
    <w:rsid w:val="00566588"/>
    <w:rsid w:val="0056662E"/>
    <w:rsid w:val="00566A26"/>
    <w:rsid w:val="00566F6B"/>
    <w:rsid w:val="00567012"/>
    <w:rsid w:val="00567EA5"/>
    <w:rsid w:val="00570514"/>
    <w:rsid w:val="00570A9F"/>
    <w:rsid w:val="00571A41"/>
    <w:rsid w:val="005721D0"/>
    <w:rsid w:val="0057275D"/>
    <w:rsid w:val="00572919"/>
    <w:rsid w:val="0057329C"/>
    <w:rsid w:val="005733A2"/>
    <w:rsid w:val="00574103"/>
    <w:rsid w:val="00574350"/>
    <w:rsid w:val="00575B68"/>
    <w:rsid w:val="00575DA6"/>
    <w:rsid w:val="0057737F"/>
    <w:rsid w:val="005800A9"/>
    <w:rsid w:val="00580488"/>
    <w:rsid w:val="0058074D"/>
    <w:rsid w:val="00580FD1"/>
    <w:rsid w:val="0058162B"/>
    <w:rsid w:val="00582FAD"/>
    <w:rsid w:val="00583489"/>
    <w:rsid w:val="0058391F"/>
    <w:rsid w:val="00583A80"/>
    <w:rsid w:val="00583C27"/>
    <w:rsid w:val="00584188"/>
    <w:rsid w:val="00584E33"/>
    <w:rsid w:val="00585748"/>
    <w:rsid w:val="00585AD4"/>
    <w:rsid w:val="00586216"/>
    <w:rsid w:val="005862F2"/>
    <w:rsid w:val="00586819"/>
    <w:rsid w:val="00586E9A"/>
    <w:rsid w:val="00587419"/>
    <w:rsid w:val="00590D38"/>
    <w:rsid w:val="00590FE4"/>
    <w:rsid w:val="00591D9C"/>
    <w:rsid w:val="00592786"/>
    <w:rsid w:val="0059282D"/>
    <w:rsid w:val="00593091"/>
    <w:rsid w:val="005932C1"/>
    <w:rsid w:val="00593440"/>
    <w:rsid w:val="005936BF"/>
    <w:rsid w:val="00593DE5"/>
    <w:rsid w:val="00594E57"/>
    <w:rsid w:val="005958D1"/>
    <w:rsid w:val="0059592B"/>
    <w:rsid w:val="00596617"/>
    <w:rsid w:val="00596CC4"/>
    <w:rsid w:val="00597057"/>
    <w:rsid w:val="005973A6"/>
    <w:rsid w:val="00597AAB"/>
    <w:rsid w:val="00597D8B"/>
    <w:rsid w:val="005A0742"/>
    <w:rsid w:val="005A1788"/>
    <w:rsid w:val="005A19CD"/>
    <w:rsid w:val="005A1C30"/>
    <w:rsid w:val="005A31C9"/>
    <w:rsid w:val="005A3295"/>
    <w:rsid w:val="005A46FF"/>
    <w:rsid w:val="005A4AFF"/>
    <w:rsid w:val="005A65F0"/>
    <w:rsid w:val="005A67F3"/>
    <w:rsid w:val="005A6A07"/>
    <w:rsid w:val="005A7655"/>
    <w:rsid w:val="005A7758"/>
    <w:rsid w:val="005A7D56"/>
    <w:rsid w:val="005B011E"/>
    <w:rsid w:val="005B028B"/>
    <w:rsid w:val="005B2E84"/>
    <w:rsid w:val="005B352F"/>
    <w:rsid w:val="005B385E"/>
    <w:rsid w:val="005B3E66"/>
    <w:rsid w:val="005B3FE8"/>
    <w:rsid w:val="005B436C"/>
    <w:rsid w:val="005B4F97"/>
    <w:rsid w:val="005B52A4"/>
    <w:rsid w:val="005B5CA4"/>
    <w:rsid w:val="005B6E01"/>
    <w:rsid w:val="005B7476"/>
    <w:rsid w:val="005B7688"/>
    <w:rsid w:val="005B7849"/>
    <w:rsid w:val="005B7B0E"/>
    <w:rsid w:val="005C0DFA"/>
    <w:rsid w:val="005C0FF0"/>
    <w:rsid w:val="005C219B"/>
    <w:rsid w:val="005C45F9"/>
    <w:rsid w:val="005C491A"/>
    <w:rsid w:val="005C492F"/>
    <w:rsid w:val="005C4B4C"/>
    <w:rsid w:val="005C5409"/>
    <w:rsid w:val="005C55EF"/>
    <w:rsid w:val="005C5D9A"/>
    <w:rsid w:val="005C628C"/>
    <w:rsid w:val="005C6765"/>
    <w:rsid w:val="005C69AC"/>
    <w:rsid w:val="005C6F1F"/>
    <w:rsid w:val="005C722E"/>
    <w:rsid w:val="005C7576"/>
    <w:rsid w:val="005C7759"/>
    <w:rsid w:val="005D01A4"/>
    <w:rsid w:val="005D1543"/>
    <w:rsid w:val="005D15AE"/>
    <w:rsid w:val="005D1A7B"/>
    <w:rsid w:val="005D1EDD"/>
    <w:rsid w:val="005D2F83"/>
    <w:rsid w:val="005D36E9"/>
    <w:rsid w:val="005D456F"/>
    <w:rsid w:val="005D45B3"/>
    <w:rsid w:val="005D4AB3"/>
    <w:rsid w:val="005D4CEB"/>
    <w:rsid w:val="005D5344"/>
    <w:rsid w:val="005D5DA8"/>
    <w:rsid w:val="005D61EB"/>
    <w:rsid w:val="005E0AE0"/>
    <w:rsid w:val="005E61FE"/>
    <w:rsid w:val="005E6628"/>
    <w:rsid w:val="005F04E6"/>
    <w:rsid w:val="005F07D4"/>
    <w:rsid w:val="005F17EC"/>
    <w:rsid w:val="005F1C2F"/>
    <w:rsid w:val="005F1F3F"/>
    <w:rsid w:val="005F2204"/>
    <w:rsid w:val="005F2F3F"/>
    <w:rsid w:val="005F39D5"/>
    <w:rsid w:val="005F3AB5"/>
    <w:rsid w:val="005F3E05"/>
    <w:rsid w:val="005F43B9"/>
    <w:rsid w:val="005F4B2F"/>
    <w:rsid w:val="005F4BBF"/>
    <w:rsid w:val="005F55D6"/>
    <w:rsid w:val="005F5CA9"/>
    <w:rsid w:val="005F68CB"/>
    <w:rsid w:val="005F6BDE"/>
    <w:rsid w:val="00600242"/>
    <w:rsid w:val="00602A38"/>
    <w:rsid w:val="00602B89"/>
    <w:rsid w:val="006033E3"/>
    <w:rsid w:val="00605FC7"/>
    <w:rsid w:val="00606218"/>
    <w:rsid w:val="00606CA3"/>
    <w:rsid w:val="00606E91"/>
    <w:rsid w:val="00607018"/>
    <w:rsid w:val="006077ED"/>
    <w:rsid w:val="00607C5F"/>
    <w:rsid w:val="0061009B"/>
    <w:rsid w:val="00610954"/>
    <w:rsid w:val="00610CBE"/>
    <w:rsid w:val="00610E1F"/>
    <w:rsid w:val="00611BFF"/>
    <w:rsid w:val="0061321C"/>
    <w:rsid w:val="00614CA1"/>
    <w:rsid w:val="00614E53"/>
    <w:rsid w:val="00615102"/>
    <w:rsid w:val="00615C2C"/>
    <w:rsid w:val="0061774F"/>
    <w:rsid w:val="0062038A"/>
    <w:rsid w:val="006203A8"/>
    <w:rsid w:val="00620E59"/>
    <w:rsid w:val="00621132"/>
    <w:rsid w:val="00622656"/>
    <w:rsid w:val="00622C05"/>
    <w:rsid w:val="006237B0"/>
    <w:rsid w:val="0062386E"/>
    <w:rsid w:val="00623C78"/>
    <w:rsid w:val="00623D9A"/>
    <w:rsid w:val="00623F01"/>
    <w:rsid w:val="006242FB"/>
    <w:rsid w:val="00624738"/>
    <w:rsid w:val="0062670B"/>
    <w:rsid w:val="0062691B"/>
    <w:rsid w:val="00626BE7"/>
    <w:rsid w:val="00626E2D"/>
    <w:rsid w:val="00626E98"/>
    <w:rsid w:val="006272DE"/>
    <w:rsid w:val="00627D94"/>
    <w:rsid w:val="006304D3"/>
    <w:rsid w:val="00630AB9"/>
    <w:rsid w:val="00630B42"/>
    <w:rsid w:val="006310FC"/>
    <w:rsid w:val="00631688"/>
    <w:rsid w:val="006320D8"/>
    <w:rsid w:val="00632540"/>
    <w:rsid w:val="00632A5D"/>
    <w:rsid w:val="00632E88"/>
    <w:rsid w:val="00633782"/>
    <w:rsid w:val="00633B6F"/>
    <w:rsid w:val="0063454C"/>
    <w:rsid w:val="00634DBB"/>
    <w:rsid w:val="00635744"/>
    <w:rsid w:val="006357FF"/>
    <w:rsid w:val="00636088"/>
    <w:rsid w:val="0063723E"/>
    <w:rsid w:val="00637C26"/>
    <w:rsid w:val="00640732"/>
    <w:rsid w:val="006412FA"/>
    <w:rsid w:val="00642072"/>
    <w:rsid w:val="006440ED"/>
    <w:rsid w:val="0064467C"/>
    <w:rsid w:val="00645213"/>
    <w:rsid w:val="00645293"/>
    <w:rsid w:val="006453AF"/>
    <w:rsid w:val="006468CB"/>
    <w:rsid w:val="006469D9"/>
    <w:rsid w:val="00647093"/>
    <w:rsid w:val="00650C60"/>
    <w:rsid w:val="00651B78"/>
    <w:rsid w:val="00652263"/>
    <w:rsid w:val="0065238F"/>
    <w:rsid w:val="00652750"/>
    <w:rsid w:val="00652881"/>
    <w:rsid w:val="00652985"/>
    <w:rsid w:val="006533AE"/>
    <w:rsid w:val="00653F72"/>
    <w:rsid w:val="00654C98"/>
    <w:rsid w:val="00654F26"/>
    <w:rsid w:val="006551AE"/>
    <w:rsid w:val="00661974"/>
    <w:rsid w:val="006623E2"/>
    <w:rsid w:val="006624E3"/>
    <w:rsid w:val="006640F9"/>
    <w:rsid w:val="00664551"/>
    <w:rsid w:val="00664685"/>
    <w:rsid w:val="00664B95"/>
    <w:rsid w:val="0066545B"/>
    <w:rsid w:val="00665D5F"/>
    <w:rsid w:val="00665FB2"/>
    <w:rsid w:val="00666FDE"/>
    <w:rsid w:val="006676A0"/>
    <w:rsid w:val="006704F3"/>
    <w:rsid w:val="00670857"/>
    <w:rsid w:val="00671124"/>
    <w:rsid w:val="006727B0"/>
    <w:rsid w:val="0067307E"/>
    <w:rsid w:val="006739C0"/>
    <w:rsid w:val="00673F6D"/>
    <w:rsid w:val="00674850"/>
    <w:rsid w:val="00675116"/>
    <w:rsid w:val="00675D03"/>
    <w:rsid w:val="00676016"/>
    <w:rsid w:val="00676481"/>
    <w:rsid w:val="006767D7"/>
    <w:rsid w:val="00676EA7"/>
    <w:rsid w:val="006779BD"/>
    <w:rsid w:val="006805DF"/>
    <w:rsid w:val="0068083B"/>
    <w:rsid w:val="006808B4"/>
    <w:rsid w:val="00681DAD"/>
    <w:rsid w:val="00682EC2"/>
    <w:rsid w:val="00683134"/>
    <w:rsid w:val="00683F61"/>
    <w:rsid w:val="00686A36"/>
    <w:rsid w:val="00686E84"/>
    <w:rsid w:val="00687AD5"/>
    <w:rsid w:val="0069211A"/>
    <w:rsid w:val="00692972"/>
    <w:rsid w:val="00692B81"/>
    <w:rsid w:val="00692C4F"/>
    <w:rsid w:val="00692C9B"/>
    <w:rsid w:val="006949D2"/>
    <w:rsid w:val="00694C5F"/>
    <w:rsid w:val="00695251"/>
    <w:rsid w:val="006953EF"/>
    <w:rsid w:val="00695689"/>
    <w:rsid w:val="00695ADE"/>
    <w:rsid w:val="00695C0D"/>
    <w:rsid w:val="00695CAE"/>
    <w:rsid w:val="00695D11"/>
    <w:rsid w:val="00696356"/>
    <w:rsid w:val="006968EA"/>
    <w:rsid w:val="0069700F"/>
    <w:rsid w:val="00697403"/>
    <w:rsid w:val="006A015D"/>
    <w:rsid w:val="006A032B"/>
    <w:rsid w:val="006A036E"/>
    <w:rsid w:val="006A0A25"/>
    <w:rsid w:val="006A2EA3"/>
    <w:rsid w:val="006A3CC1"/>
    <w:rsid w:val="006A4899"/>
    <w:rsid w:val="006A4AB1"/>
    <w:rsid w:val="006A62E1"/>
    <w:rsid w:val="006A6566"/>
    <w:rsid w:val="006A6C3A"/>
    <w:rsid w:val="006A72C6"/>
    <w:rsid w:val="006A7310"/>
    <w:rsid w:val="006B02DA"/>
    <w:rsid w:val="006B08FB"/>
    <w:rsid w:val="006B0AE8"/>
    <w:rsid w:val="006B11CF"/>
    <w:rsid w:val="006B14BF"/>
    <w:rsid w:val="006B1BBF"/>
    <w:rsid w:val="006B1D1F"/>
    <w:rsid w:val="006B2065"/>
    <w:rsid w:val="006B275B"/>
    <w:rsid w:val="006B29C5"/>
    <w:rsid w:val="006B30BF"/>
    <w:rsid w:val="006B30C9"/>
    <w:rsid w:val="006B38C6"/>
    <w:rsid w:val="006B3940"/>
    <w:rsid w:val="006B39A9"/>
    <w:rsid w:val="006B4141"/>
    <w:rsid w:val="006B45A6"/>
    <w:rsid w:val="006B4B43"/>
    <w:rsid w:val="006B50FB"/>
    <w:rsid w:val="006B62F0"/>
    <w:rsid w:val="006B6BD6"/>
    <w:rsid w:val="006B6C6B"/>
    <w:rsid w:val="006B75F5"/>
    <w:rsid w:val="006B7EAE"/>
    <w:rsid w:val="006C02A0"/>
    <w:rsid w:val="006C09B6"/>
    <w:rsid w:val="006C13F6"/>
    <w:rsid w:val="006C168D"/>
    <w:rsid w:val="006C196A"/>
    <w:rsid w:val="006C1D8F"/>
    <w:rsid w:val="006C1EDE"/>
    <w:rsid w:val="006C2BF5"/>
    <w:rsid w:val="006C30B7"/>
    <w:rsid w:val="006C3E6C"/>
    <w:rsid w:val="006C4A40"/>
    <w:rsid w:val="006C4E56"/>
    <w:rsid w:val="006C5CE0"/>
    <w:rsid w:val="006C61CD"/>
    <w:rsid w:val="006C642C"/>
    <w:rsid w:val="006C6FC6"/>
    <w:rsid w:val="006C7462"/>
    <w:rsid w:val="006C7BB9"/>
    <w:rsid w:val="006C7D50"/>
    <w:rsid w:val="006C7F32"/>
    <w:rsid w:val="006D141C"/>
    <w:rsid w:val="006D2425"/>
    <w:rsid w:val="006D2CF3"/>
    <w:rsid w:val="006D2D08"/>
    <w:rsid w:val="006D2F35"/>
    <w:rsid w:val="006D3228"/>
    <w:rsid w:val="006D349E"/>
    <w:rsid w:val="006D41EF"/>
    <w:rsid w:val="006D53AA"/>
    <w:rsid w:val="006D6561"/>
    <w:rsid w:val="006D6993"/>
    <w:rsid w:val="006D78AA"/>
    <w:rsid w:val="006E0D09"/>
    <w:rsid w:val="006E17F6"/>
    <w:rsid w:val="006E241F"/>
    <w:rsid w:val="006E24EE"/>
    <w:rsid w:val="006E2565"/>
    <w:rsid w:val="006E25BD"/>
    <w:rsid w:val="006E3379"/>
    <w:rsid w:val="006E34B7"/>
    <w:rsid w:val="006E36B8"/>
    <w:rsid w:val="006E3874"/>
    <w:rsid w:val="006E3DBD"/>
    <w:rsid w:val="006E4244"/>
    <w:rsid w:val="006E49B9"/>
    <w:rsid w:val="006E5585"/>
    <w:rsid w:val="006E5E32"/>
    <w:rsid w:val="006E633A"/>
    <w:rsid w:val="006E6A14"/>
    <w:rsid w:val="006E6B16"/>
    <w:rsid w:val="006E6DE8"/>
    <w:rsid w:val="006E780C"/>
    <w:rsid w:val="006F07A5"/>
    <w:rsid w:val="006F0BA7"/>
    <w:rsid w:val="006F0F01"/>
    <w:rsid w:val="006F174D"/>
    <w:rsid w:val="006F1F41"/>
    <w:rsid w:val="006F265A"/>
    <w:rsid w:val="006F32EF"/>
    <w:rsid w:val="006F3615"/>
    <w:rsid w:val="006F3BD2"/>
    <w:rsid w:val="006F3C54"/>
    <w:rsid w:val="006F4CD8"/>
    <w:rsid w:val="006F53D9"/>
    <w:rsid w:val="006F5812"/>
    <w:rsid w:val="006F609A"/>
    <w:rsid w:val="006F7278"/>
    <w:rsid w:val="007004DC"/>
    <w:rsid w:val="00700E76"/>
    <w:rsid w:val="00701093"/>
    <w:rsid w:val="00701468"/>
    <w:rsid w:val="007022C4"/>
    <w:rsid w:val="007026E9"/>
    <w:rsid w:val="00703357"/>
    <w:rsid w:val="007033A8"/>
    <w:rsid w:val="00703C8B"/>
    <w:rsid w:val="00703E8A"/>
    <w:rsid w:val="00704C2B"/>
    <w:rsid w:val="00704F60"/>
    <w:rsid w:val="00706EA3"/>
    <w:rsid w:val="007078BE"/>
    <w:rsid w:val="00710BF6"/>
    <w:rsid w:val="00711522"/>
    <w:rsid w:val="007118A6"/>
    <w:rsid w:val="007124FE"/>
    <w:rsid w:val="00712533"/>
    <w:rsid w:val="00713186"/>
    <w:rsid w:val="00713757"/>
    <w:rsid w:val="00713758"/>
    <w:rsid w:val="007137D8"/>
    <w:rsid w:val="00713FB1"/>
    <w:rsid w:val="00714064"/>
    <w:rsid w:val="00714EE5"/>
    <w:rsid w:val="00715517"/>
    <w:rsid w:val="00716A38"/>
    <w:rsid w:val="00717772"/>
    <w:rsid w:val="007200E5"/>
    <w:rsid w:val="00720C17"/>
    <w:rsid w:val="00721AF1"/>
    <w:rsid w:val="00721E6C"/>
    <w:rsid w:val="00722322"/>
    <w:rsid w:val="0072280F"/>
    <w:rsid w:val="00722B5E"/>
    <w:rsid w:val="007235F5"/>
    <w:rsid w:val="00723B2C"/>
    <w:rsid w:val="007253CC"/>
    <w:rsid w:val="00726F5A"/>
    <w:rsid w:val="0072708F"/>
    <w:rsid w:val="0073040D"/>
    <w:rsid w:val="00730E81"/>
    <w:rsid w:val="00731000"/>
    <w:rsid w:val="00731204"/>
    <w:rsid w:val="007319BC"/>
    <w:rsid w:val="0073222B"/>
    <w:rsid w:val="0073251A"/>
    <w:rsid w:val="00732582"/>
    <w:rsid w:val="00732D1D"/>
    <w:rsid w:val="00733100"/>
    <w:rsid w:val="007332C4"/>
    <w:rsid w:val="0073375D"/>
    <w:rsid w:val="00734381"/>
    <w:rsid w:val="00736034"/>
    <w:rsid w:val="0073681C"/>
    <w:rsid w:val="0073725B"/>
    <w:rsid w:val="00737C35"/>
    <w:rsid w:val="0074033C"/>
    <w:rsid w:val="0074050E"/>
    <w:rsid w:val="00740B66"/>
    <w:rsid w:val="00741AF8"/>
    <w:rsid w:val="00741EBE"/>
    <w:rsid w:val="00742181"/>
    <w:rsid w:val="007424EC"/>
    <w:rsid w:val="00742728"/>
    <w:rsid w:val="00742E39"/>
    <w:rsid w:val="00742EDA"/>
    <w:rsid w:val="00743DDD"/>
    <w:rsid w:val="007440FA"/>
    <w:rsid w:val="00744201"/>
    <w:rsid w:val="00745FCE"/>
    <w:rsid w:val="00746130"/>
    <w:rsid w:val="00746A40"/>
    <w:rsid w:val="00746E6A"/>
    <w:rsid w:val="00747598"/>
    <w:rsid w:val="00750358"/>
    <w:rsid w:val="00750BFE"/>
    <w:rsid w:val="007520A3"/>
    <w:rsid w:val="007526F5"/>
    <w:rsid w:val="007536B4"/>
    <w:rsid w:val="00754717"/>
    <w:rsid w:val="00754836"/>
    <w:rsid w:val="00754FB9"/>
    <w:rsid w:val="00755CDF"/>
    <w:rsid w:val="0075605E"/>
    <w:rsid w:val="007566CD"/>
    <w:rsid w:val="00756868"/>
    <w:rsid w:val="00757042"/>
    <w:rsid w:val="007573AF"/>
    <w:rsid w:val="00757588"/>
    <w:rsid w:val="007578C3"/>
    <w:rsid w:val="00757A4C"/>
    <w:rsid w:val="00760895"/>
    <w:rsid w:val="00761FB5"/>
    <w:rsid w:val="00762ABF"/>
    <w:rsid w:val="00762F29"/>
    <w:rsid w:val="007634AD"/>
    <w:rsid w:val="00764A94"/>
    <w:rsid w:val="00764B26"/>
    <w:rsid w:val="00764EA6"/>
    <w:rsid w:val="007651A9"/>
    <w:rsid w:val="007651E5"/>
    <w:rsid w:val="0076524F"/>
    <w:rsid w:val="00765584"/>
    <w:rsid w:val="00765AC1"/>
    <w:rsid w:val="007665B2"/>
    <w:rsid w:val="007670DC"/>
    <w:rsid w:val="00767356"/>
    <w:rsid w:val="00767B59"/>
    <w:rsid w:val="00767B5F"/>
    <w:rsid w:val="00770076"/>
    <w:rsid w:val="00770F2A"/>
    <w:rsid w:val="0077111A"/>
    <w:rsid w:val="0077213A"/>
    <w:rsid w:val="00772272"/>
    <w:rsid w:val="007723AA"/>
    <w:rsid w:val="0077369F"/>
    <w:rsid w:val="0077371D"/>
    <w:rsid w:val="0077463A"/>
    <w:rsid w:val="00774AB3"/>
    <w:rsid w:val="00774D0F"/>
    <w:rsid w:val="00774D7B"/>
    <w:rsid w:val="007756ED"/>
    <w:rsid w:val="0077589D"/>
    <w:rsid w:val="007760E4"/>
    <w:rsid w:val="0077617F"/>
    <w:rsid w:val="0077649B"/>
    <w:rsid w:val="007765F6"/>
    <w:rsid w:val="00776A3D"/>
    <w:rsid w:val="0077707A"/>
    <w:rsid w:val="007776BF"/>
    <w:rsid w:val="00777F71"/>
    <w:rsid w:val="007819A1"/>
    <w:rsid w:val="00783554"/>
    <w:rsid w:val="0078391A"/>
    <w:rsid w:val="00783BA5"/>
    <w:rsid w:val="00784894"/>
    <w:rsid w:val="00784F9E"/>
    <w:rsid w:val="0078533C"/>
    <w:rsid w:val="007857FB"/>
    <w:rsid w:val="007870FC"/>
    <w:rsid w:val="00787C7F"/>
    <w:rsid w:val="00787CD0"/>
    <w:rsid w:val="007905A2"/>
    <w:rsid w:val="00791053"/>
    <w:rsid w:val="00791261"/>
    <w:rsid w:val="007918FE"/>
    <w:rsid w:val="00791A3A"/>
    <w:rsid w:val="0079262D"/>
    <w:rsid w:val="00792A53"/>
    <w:rsid w:val="00793DAA"/>
    <w:rsid w:val="00794196"/>
    <w:rsid w:val="00794C47"/>
    <w:rsid w:val="00794FFF"/>
    <w:rsid w:val="007957C3"/>
    <w:rsid w:val="00795F07"/>
    <w:rsid w:val="00796D4D"/>
    <w:rsid w:val="007971B8"/>
    <w:rsid w:val="00797637"/>
    <w:rsid w:val="00797982"/>
    <w:rsid w:val="007A0018"/>
    <w:rsid w:val="007A08AA"/>
    <w:rsid w:val="007A0ADE"/>
    <w:rsid w:val="007A1B35"/>
    <w:rsid w:val="007A1EA9"/>
    <w:rsid w:val="007A3680"/>
    <w:rsid w:val="007A3BCD"/>
    <w:rsid w:val="007A3DFB"/>
    <w:rsid w:val="007A5214"/>
    <w:rsid w:val="007A5357"/>
    <w:rsid w:val="007A59B8"/>
    <w:rsid w:val="007A620B"/>
    <w:rsid w:val="007A65AF"/>
    <w:rsid w:val="007A7177"/>
    <w:rsid w:val="007A7682"/>
    <w:rsid w:val="007A7962"/>
    <w:rsid w:val="007A7F42"/>
    <w:rsid w:val="007B1004"/>
    <w:rsid w:val="007B1111"/>
    <w:rsid w:val="007B2862"/>
    <w:rsid w:val="007B2FD8"/>
    <w:rsid w:val="007B3074"/>
    <w:rsid w:val="007B349F"/>
    <w:rsid w:val="007B3968"/>
    <w:rsid w:val="007B3B2A"/>
    <w:rsid w:val="007B45AF"/>
    <w:rsid w:val="007B4DD0"/>
    <w:rsid w:val="007B611E"/>
    <w:rsid w:val="007B62FA"/>
    <w:rsid w:val="007B662A"/>
    <w:rsid w:val="007B705D"/>
    <w:rsid w:val="007B70EE"/>
    <w:rsid w:val="007B71DC"/>
    <w:rsid w:val="007B7743"/>
    <w:rsid w:val="007C04F4"/>
    <w:rsid w:val="007C1C54"/>
    <w:rsid w:val="007C2139"/>
    <w:rsid w:val="007C27DE"/>
    <w:rsid w:val="007C299E"/>
    <w:rsid w:val="007C2ECC"/>
    <w:rsid w:val="007C48BD"/>
    <w:rsid w:val="007C4A8B"/>
    <w:rsid w:val="007C525F"/>
    <w:rsid w:val="007C5321"/>
    <w:rsid w:val="007C55F6"/>
    <w:rsid w:val="007C5E8A"/>
    <w:rsid w:val="007C5F4B"/>
    <w:rsid w:val="007C6AAB"/>
    <w:rsid w:val="007C7B84"/>
    <w:rsid w:val="007D0CF8"/>
    <w:rsid w:val="007D122D"/>
    <w:rsid w:val="007D1D0D"/>
    <w:rsid w:val="007D1FE9"/>
    <w:rsid w:val="007D28C9"/>
    <w:rsid w:val="007D3054"/>
    <w:rsid w:val="007D326B"/>
    <w:rsid w:val="007D36EC"/>
    <w:rsid w:val="007D38F0"/>
    <w:rsid w:val="007D3B2F"/>
    <w:rsid w:val="007D3CC8"/>
    <w:rsid w:val="007D430A"/>
    <w:rsid w:val="007D47FB"/>
    <w:rsid w:val="007D4DD3"/>
    <w:rsid w:val="007D576A"/>
    <w:rsid w:val="007D59D0"/>
    <w:rsid w:val="007D62F9"/>
    <w:rsid w:val="007D63A4"/>
    <w:rsid w:val="007D6542"/>
    <w:rsid w:val="007E030F"/>
    <w:rsid w:val="007E08DE"/>
    <w:rsid w:val="007E1697"/>
    <w:rsid w:val="007E1AA2"/>
    <w:rsid w:val="007E1F2C"/>
    <w:rsid w:val="007E2306"/>
    <w:rsid w:val="007E279D"/>
    <w:rsid w:val="007E2D69"/>
    <w:rsid w:val="007E3B9A"/>
    <w:rsid w:val="007E46E8"/>
    <w:rsid w:val="007E470F"/>
    <w:rsid w:val="007E4C1F"/>
    <w:rsid w:val="007E66E2"/>
    <w:rsid w:val="007E6DF3"/>
    <w:rsid w:val="007F01DE"/>
    <w:rsid w:val="007F0759"/>
    <w:rsid w:val="007F0BCC"/>
    <w:rsid w:val="007F0D5B"/>
    <w:rsid w:val="007F1482"/>
    <w:rsid w:val="007F156E"/>
    <w:rsid w:val="007F1BC1"/>
    <w:rsid w:val="007F1C97"/>
    <w:rsid w:val="007F1CF3"/>
    <w:rsid w:val="007F25C0"/>
    <w:rsid w:val="007F2BE8"/>
    <w:rsid w:val="007F30BB"/>
    <w:rsid w:val="007F366D"/>
    <w:rsid w:val="007F4C96"/>
    <w:rsid w:val="007F5895"/>
    <w:rsid w:val="007F5F52"/>
    <w:rsid w:val="007F672A"/>
    <w:rsid w:val="007F6A1D"/>
    <w:rsid w:val="007F77C6"/>
    <w:rsid w:val="007F79D4"/>
    <w:rsid w:val="008003A1"/>
    <w:rsid w:val="008006B7"/>
    <w:rsid w:val="00800C27"/>
    <w:rsid w:val="00800FDB"/>
    <w:rsid w:val="008019AE"/>
    <w:rsid w:val="00802081"/>
    <w:rsid w:val="008020F6"/>
    <w:rsid w:val="008023A0"/>
    <w:rsid w:val="0080298E"/>
    <w:rsid w:val="0080304E"/>
    <w:rsid w:val="00803833"/>
    <w:rsid w:val="00804316"/>
    <w:rsid w:val="008044F8"/>
    <w:rsid w:val="00804B55"/>
    <w:rsid w:val="00806461"/>
    <w:rsid w:val="008064C1"/>
    <w:rsid w:val="008101CB"/>
    <w:rsid w:val="0081096D"/>
    <w:rsid w:val="00810EAD"/>
    <w:rsid w:val="00811833"/>
    <w:rsid w:val="00814BDE"/>
    <w:rsid w:val="00814DBC"/>
    <w:rsid w:val="008174D4"/>
    <w:rsid w:val="0082002E"/>
    <w:rsid w:val="0082083C"/>
    <w:rsid w:val="00820C54"/>
    <w:rsid w:val="00820F37"/>
    <w:rsid w:val="00820FE6"/>
    <w:rsid w:val="00821A66"/>
    <w:rsid w:val="00822476"/>
    <w:rsid w:val="00822882"/>
    <w:rsid w:val="00822A1E"/>
    <w:rsid w:val="00822D19"/>
    <w:rsid w:val="0082312C"/>
    <w:rsid w:val="00823755"/>
    <w:rsid w:val="008238C7"/>
    <w:rsid w:val="00823E60"/>
    <w:rsid w:val="008247D0"/>
    <w:rsid w:val="00825268"/>
    <w:rsid w:val="0082571C"/>
    <w:rsid w:val="00825B94"/>
    <w:rsid w:val="00825BB4"/>
    <w:rsid w:val="00825F68"/>
    <w:rsid w:val="0082714C"/>
    <w:rsid w:val="008273D2"/>
    <w:rsid w:val="008308EE"/>
    <w:rsid w:val="00830E92"/>
    <w:rsid w:val="00831151"/>
    <w:rsid w:val="00831232"/>
    <w:rsid w:val="008314B8"/>
    <w:rsid w:val="00831543"/>
    <w:rsid w:val="008316B5"/>
    <w:rsid w:val="008320ED"/>
    <w:rsid w:val="00832A0F"/>
    <w:rsid w:val="008353D5"/>
    <w:rsid w:val="00835408"/>
    <w:rsid w:val="008358A2"/>
    <w:rsid w:val="008359DA"/>
    <w:rsid w:val="00837CEF"/>
    <w:rsid w:val="00837E2F"/>
    <w:rsid w:val="00840035"/>
    <w:rsid w:val="00842120"/>
    <w:rsid w:val="00842661"/>
    <w:rsid w:val="008428A9"/>
    <w:rsid w:val="00843355"/>
    <w:rsid w:val="00843EA1"/>
    <w:rsid w:val="00844112"/>
    <w:rsid w:val="008456C9"/>
    <w:rsid w:val="00845BD3"/>
    <w:rsid w:val="0084611D"/>
    <w:rsid w:val="00846177"/>
    <w:rsid w:val="0084654D"/>
    <w:rsid w:val="00846C9F"/>
    <w:rsid w:val="00847BD6"/>
    <w:rsid w:val="00850137"/>
    <w:rsid w:val="008502CD"/>
    <w:rsid w:val="00850C62"/>
    <w:rsid w:val="008524A5"/>
    <w:rsid w:val="00852B48"/>
    <w:rsid w:val="0085474D"/>
    <w:rsid w:val="00856481"/>
    <w:rsid w:val="00856753"/>
    <w:rsid w:val="008567A2"/>
    <w:rsid w:val="00856E6C"/>
    <w:rsid w:val="00857DE1"/>
    <w:rsid w:val="00857F2C"/>
    <w:rsid w:val="00860793"/>
    <w:rsid w:val="00863011"/>
    <w:rsid w:val="00863C5B"/>
    <w:rsid w:val="00863D2E"/>
    <w:rsid w:val="00864E32"/>
    <w:rsid w:val="00865075"/>
    <w:rsid w:val="0086555C"/>
    <w:rsid w:val="0086615F"/>
    <w:rsid w:val="0086748F"/>
    <w:rsid w:val="00870770"/>
    <w:rsid w:val="00872757"/>
    <w:rsid w:val="00872CE4"/>
    <w:rsid w:val="00873AA4"/>
    <w:rsid w:val="00873CA8"/>
    <w:rsid w:val="00873F5D"/>
    <w:rsid w:val="0087570C"/>
    <w:rsid w:val="008773BA"/>
    <w:rsid w:val="00877B62"/>
    <w:rsid w:val="00880587"/>
    <w:rsid w:val="00881015"/>
    <w:rsid w:val="008810B0"/>
    <w:rsid w:val="00881665"/>
    <w:rsid w:val="008819B6"/>
    <w:rsid w:val="00881AAC"/>
    <w:rsid w:val="00882648"/>
    <w:rsid w:val="00882C04"/>
    <w:rsid w:val="0088356E"/>
    <w:rsid w:val="008836B7"/>
    <w:rsid w:val="00883F7C"/>
    <w:rsid w:val="008841D3"/>
    <w:rsid w:val="008843CB"/>
    <w:rsid w:val="00884987"/>
    <w:rsid w:val="00884BE0"/>
    <w:rsid w:val="00885827"/>
    <w:rsid w:val="0088684C"/>
    <w:rsid w:val="00887A23"/>
    <w:rsid w:val="00887AB9"/>
    <w:rsid w:val="00887BF9"/>
    <w:rsid w:val="00887DE6"/>
    <w:rsid w:val="0089214A"/>
    <w:rsid w:val="00892226"/>
    <w:rsid w:val="008922FA"/>
    <w:rsid w:val="00892D3E"/>
    <w:rsid w:val="00892F45"/>
    <w:rsid w:val="008936DC"/>
    <w:rsid w:val="00893784"/>
    <w:rsid w:val="00893E53"/>
    <w:rsid w:val="00894479"/>
    <w:rsid w:val="008945EB"/>
    <w:rsid w:val="00894C2A"/>
    <w:rsid w:val="008960DD"/>
    <w:rsid w:val="008968A7"/>
    <w:rsid w:val="0089690B"/>
    <w:rsid w:val="00896A5F"/>
    <w:rsid w:val="0089728F"/>
    <w:rsid w:val="008976C0"/>
    <w:rsid w:val="00897708"/>
    <w:rsid w:val="00897BB7"/>
    <w:rsid w:val="00897D88"/>
    <w:rsid w:val="008A085F"/>
    <w:rsid w:val="008A17AF"/>
    <w:rsid w:val="008A2C65"/>
    <w:rsid w:val="008A2F16"/>
    <w:rsid w:val="008A36AE"/>
    <w:rsid w:val="008A48C3"/>
    <w:rsid w:val="008A4E18"/>
    <w:rsid w:val="008A520C"/>
    <w:rsid w:val="008A5493"/>
    <w:rsid w:val="008A5935"/>
    <w:rsid w:val="008A596C"/>
    <w:rsid w:val="008A64C4"/>
    <w:rsid w:val="008A6BF7"/>
    <w:rsid w:val="008A6CC1"/>
    <w:rsid w:val="008A72FB"/>
    <w:rsid w:val="008A77C3"/>
    <w:rsid w:val="008A7F03"/>
    <w:rsid w:val="008B1823"/>
    <w:rsid w:val="008B1B4E"/>
    <w:rsid w:val="008B21EA"/>
    <w:rsid w:val="008B24DC"/>
    <w:rsid w:val="008B2BDF"/>
    <w:rsid w:val="008B4198"/>
    <w:rsid w:val="008B586A"/>
    <w:rsid w:val="008B6651"/>
    <w:rsid w:val="008B6E16"/>
    <w:rsid w:val="008B7110"/>
    <w:rsid w:val="008B7A20"/>
    <w:rsid w:val="008C0DF9"/>
    <w:rsid w:val="008C2029"/>
    <w:rsid w:val="008C267C"/>
    <w:rsid w:val="008C2C90"/>
    <w:rsid w:val="008C2E44"/>
    <w:rsid w:val="008C3427"/>
    <w:rsid w:val="008C3BC2"/>
    <w:rsid w:val="008C4F76"/>
    <w:rsid w:val="008C504A"/>
    <w:rsid w:val="008C55AD"/>
    <w:rsid w:val="008C61D6"/>
    <w:rsid w:val="008C649D"/>
    <w:rsid w:val="008C64F1"/>
    <w:rsid w:val="008C7C1A"/>
    <w:rsid w:val="008D0DC1"/>
    <w:rsid w:val="008D1BB0"/>
    <w:rsid w:val="008D20FF"/>
    <w:rsid w:val="008D2B9A"/>
    <w:rsid w:val="008D3656"/>
    <w:rsid w:val="008D3DE6"/>
    <w:rsid w:val="008D4223"/>
    <w:rsid w:val="008D44CC"/>
    <w:rsid w:val="008D46E3"/>
    <w:rsid w:val="008D4CED"/>
    <w:rsid w:val="008D50F9"/>
    <w:rsid w:val="008D55B2"/>
    <w:rsid w:val="008D5843"/>
    <w:rsid w:val="008D5CAF"/>
    <w:rsid w:val="008D6709"/>
    <w:rsid w:val="008D6B78"/>
    <w:rsid w:val="008E083A"/>
    <w:rsid w:val="008E1045"/>
    <w:rsid w:val="008E12AD"/>
    <w:rsid w:val="008E22FF"/>
    <w:rsid w:val="008E2450"/>
    <w:rsid w:val="008E2AFC"/>
    <w:rsid w:val="008E3453"/>
    <w:rsid w:val="008E3F27"/>
    <w:rsid w:val="008E47EF"/>
    <w:rsid w:val="008E4E6E"/>
    <w:rsid w:val="008E588C"/>
    <w:rsid w:val="008E5DB7"/>
    <w:rsid w:val="008E61EB"/>
    <w:rsid w:val="008E6DAA"/>
    <w:rsid w:val="008E7896"/>
    <w:rsid w:val="008E79C7"/>
    <w:rsid w:val="008E7B6F"/>
    <w:rsid w:val="008E7C05"/>
    <w:rsid w:val="008E7C9D"/>
    <w:rsid w:val="008E7D8A"/>
    <w:rsid w:val="008F14C7"/>
    <w:rsid w:val="008F1E9E"/>
    <w:rsid w:val="008F2165"/>
    <w:rsid w:val="008F2477"/>
    <w:rsid w:val="008F3879"/>
    <w:rsid w:val="008F3B3C"/>
    <w:rsid w:val="008F3D0D"/>
    <w:rsid w:val="008F48E1"/>
    <w:rsid w:val="008F5442"/>
    <w:rsid w:val="008F653E"/>
    <w:rsid w:val="008F7769"/>
    <w:rsid w:val="008F7ACC"/>
    <w:rsid w:val="009004FE"/>
    <w:rsid w:val="009010F0"/>
    <w:rsid w:val="00901162"/>
    <w:rsid w:val="00901B53"/>
    <w:rsid w:val="0090223A"/>
    <w:rsid w:val="009028E2"/>
    <w:rsid w:val="00902AAB"/>
    <w:rsid w:val="00902EDD"/>
    <w:rsid w:val="009039FE"/>
    <w:rsid w:val="00903C0C"/>
    <w:rsid w:val="00903E9A"/>
    <w:rsid w:val="00905404"/>
    <w:rsid w:val="00906478"/>
    <w:rsid w:val="00906753"/>
    <w:rsid w:val="00906F29"/>
    <w:rsid w:val="00907264"/>
    <w:rsid w:val="0090765F"/>
    <w:rsid w:val="00911305"/>
    <w:rsid w:val="00912590"/>
    <w:rsid w:val="00913200"/>
    <w:rsid w:val="009138EB"/>
    <w:rsid w:val="00914EAB"/>
    <w:rsid w:val="009152D8"/>
    <w:rsid w:val="00915A1D"/>
    <w:rsid w:val="0091600C"/>
    <w:rsid w:val="00916830"/>
    <w:rsid w:val="00916977"/>
    <w:rsid w:val="00917FC5"/>
    <w:rsid w:val="0092071F"/>
    <w:rsid w:val="00922567"/>
    <w:rsid w:val="009228DB"/>
    <w:rsid w:val="00922D49"/>
    <w:rsid w:val="00923353"/>
    <w:rsid w:val="009236B9"/>
    <w:rsid w:val="00923DE6"/>
    <w:rsid w:val="00925E37"/>
    <w:rsid w:val="00925EDD"/>
    <w:rsid w:val="00925F20"/>
    <w:rsid w:val="009272B5"/>
    <w:rsid w:val="00927899"/>
    <w:rsid w:val="00927D0E"/>
    <w:rsid w:val="00930067"/>
    <w:rsid w:val="009309DA"/>
    <w:rsid w:val="00931040"/>
    <w:rsid w:val="00931663"/>
    <w:rsid w:val="00931D22"/>
    <w:rsid w:val="00931E4D"/>
    <w:rsid w:val="009327EB"/>
    <w:rsid w:val="00932CC7"/>
    <w:rsid w:val="00935306"/>
    <w:rsid w:val="00935CDE"/>
    <w:rsid w:val="00936688"/>
    <w:rsid w:val="00936F09"/>
    <w:rsid w:val="00937683"/>
    <w:rsid w:val="00937AC9"/>
    <w:rsid w:val="00937B4C"/>
    <w:rsid w:val="00937CFA"/>
    <w:rsid w:val="00940291"/>
    <w:rsid w:val="009406B3"/>
    <w:rsid w:val="00941434"/>
    <w:rsid w:val="009419AE"/>
    <w:rsid w:val="00942286"/>
    <w:rsid w:val="00942EFD"/>
    <w:rsid w:val="00943748"/>
    <w:rsid w:val="00943CEE"/>
    <w:rsid w:val="009444A0"/>
    <w:rsid w:val="009444F4"/>
    <w:rsid w:val="00944674"/>
    <w:rsid w:val="0094589B"/>
    <w:rsid w:val="00945CC4"/>
    <w:rsid w:val="00945CF5"/>
    <w:rsid w:val="0094691C"/>
    <w:rsid w:val="00946D19"/>
    <w:rsid w:val="00947254"/>
    <w:rsid w:val="00947C95"/>
    <w:rsid w:val="00947EED"/>
    <w:rsid w:val="009500A1"/>
    <w:rsid w:val="009502BC"/>
    <w:rsid w:val="0095037E"/>
    <w:rsid w:val="00950563"/>
    <w:rsid w:val="00950BD7"/>
    <w:rsid w:val="00951D97"/>
    <w:rsid w:val="00952230"/>
    <w:rsid w:val="00952AAD"/>
    <w:rsid w:val="00953B2B"/>
    <w:rsid w:val="00954567"/>
    <w:rsid w:val="009547B3"/>
    <w:rsid w:val="00954A89"/>
    <w:rsid w:val="00956671"/>
    <w:rsid w:val="009569B4"/>
    <w:rsid w:val="00957466"/>
    <w:rsid w:val="00957505"/>
    <w:rsid w:val="009576F7"/>
    <w:rsid w:val="00957EAF"/>
    <w:rsid w:val="009604A0"/>
    <w:rsid w:val="00960722"/>
    <w:rsid w:val="009611A4"/>
    <w:rsid w:val="00961356"/>
    <w:rsid w:val="00961BEC"/>
    <w:rsid w:val="009621D2"/>
    <w:rsid w:val="00962401"/>
    <w:rsid w:val="00962510"/>
    <w:rsid w:val="0096260B"/>
    <w:rsid w:val="0096275C"/>
    <w:rsid w:val="009627FF"/>
    <w:rsid w:val="00962A27"/>
    <w:rsid w:val="00962B9D"/>
    <w:rsid w:val="00962EDC"/>
    <w:rsid w:val="00964E3D"/>
    <w:rsid w:val="009664D5"/>
    <w:rsid w:val="009668A9"/>
    <w:rsid w:val="009669DC"/>
    <w:rsid w:val="009670C1"/>
    <w:rsid w:val="00970C69"/>
    <w:rsid w:val="00971262"/>
    <w:rsid w:val="0097168F"/>
    <w:rsid w:val="00971F1C"/>
    <w:rsid w:val="0097211A"/>
    <w:rsid w:val="0097211D"/>
    <w:rsid w:val="009724F9"/>
    <w:rsid w:val="0097263C"/>
    <w:rsid w:val="00972DF9"/>
    <w:rsid w:val="00972E10"/>
    <w:rsid w:val="009738AD"/>
    <w:rsid w:val="00974694"/>
    <w:rsid w:val="009746CA"/>
    <w:rsid w:val="00974E7C"/>
    <w:rsid w:val="00977134"/>
    <w:rsid w:val="00980013"/>
    <w:rsid w:val="00980E65"/>
    <w:rsid w:val="0098122D"/>
    <w:rsid w:val="00981963"/>
    <w:rsid w:val="009822E0"/>
    <w:rsid w:val="009831B9"/>
    <w:rsid w:val="00983A16"/>
    <w:rsid w:val="00983C82"/>
    <w:rsid w:val="00983F2A"/>
    <w:rsid w:val="009844D6"/>
    <w:rsid w:val="00984520"/>
    <w:rsid w:val="0098537C"/>
    <w:rsid w:val="0098545C"/>
    <w:rsid w:val="009862F1"/>
    <w:rsid w:val="009871EA"/>
    <w:rsid w:val="00991675"/>
    <w:rsid w:val="00991E72"/>
    <w:rsid w:val="00992BA2"/>
    <w:rsid w:val="00992F83"/>
    <w:rsid w:val="0099344F"/>
    <w:rsid w:val="00993A3C"/>
    <w:rsid w:val="009943EE"/>
    <w:rsid w:val="0099508A"/>
    <w:rsid w:val="009974EB"/>
    <w:rsid w:val="00997A12"/>
    <w:rsid w:val="009A0C49"/>
    <w:rsid w:val="009A1126"/>
    <w:rsid w:val="009A1E60"/>
    <w:rsid w:val="009A232E"/>
    <w:rsid w:val="009A2393"/>
    <w:rsid w:val="009A2C8B"/>
    <w:rsid w:val="009A5564"/>
    <w:rsid w:val="009A5A85"/>
    <w:rsid w:val="009A6ECD"/>
    <w:rsid w:val="009A71B7"/>
    <w:rsid w:val="009A7469"/>
    <w:rsid w:val="009B07EE"/>
    <w:rsid w:val="009B1584"/>
    <w:rsid w:val="009B1B32"/>
    <w:rsid w:val="009B21CA"/>
    <w:rsid w:val="009B238C"/>
    <w:rsid w:val="009B2648"/>
    <w:rsid w:val="009B35AE"/>
    <w:rsid w:val="009B424E"/>
    <w:rsid w:val="009B4317"/>
    <w:rsid w:val="009B47DE"/>
    <w:rsid w:val="009B4EBB"/>
    <w:rsid w:val="009B529C"/>
    <w:rsid w:val="009B679E"/>
    <w:rsid w:val="009B7332"/>
    <w:rsid w:val="009B7420"/>
    <w:rsid w:val="009B7B46"/>
    <w:rsid w:val="009C0294"/>
    <w:rsid w:val="009C03E5"/>
    <w:rsid w:val="009C08B6"/>
    <w:rsid w:val="009C0920"/>
    <w:rsid w:val="009C12C3"/>
    <w:rsid w:val="009C196C"/>
    <w:rsid w:val="009C1B5C"/>
    <w:rsid w:val="009C1EF3"/>
    <w:rsid w:val="009C1FD2"/>
    <w:rsid w:val="009C3167"/>
    <w:rsid w:val="009C36E6"/>
    <w:rsid w:val="009C3730"/>
    <w:rsid w:val="009C37BD"/>
    <w:rsid w:val="009C3888"/>
    <w:rsid w:val="009C3AAC"/>
    <w:rsid w:val="009C433A"/>
    <w:rsid w:val="009C4D19"/>
    <w:rsid w:val="009C5F6C"/>
    <w:rsid w:val="009C5FDB"/>
    <w:rsid w:val="009C693E"/>
    <w:rsid w:val="009C6B2C"/>
    <w:rsid w:val="009C6ED6"/>
    <w:rsid w:val="009C702E"/>
    <w:rsid w:val="009C70CB"/>
    <w:rsid w:val="009C7623"/>
    <w:rsid w:val="009D0D7E"/>
    <w:rsid w:val="009D1492"/>
    <w:rsid w:val="009D14EB"/>
    <w:rsid w:val="009D160A"/>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D7DB4"/>
    <w:rsid w:val="009E0008"/>
    <w:rsid w:val="009E08B3"/>
    <w:rsid w:val="009E0F1A"/>
    <w:rsid w:val="009E140D"/>
    <w:rsid w:val="009E27FA"/>
    <w:rsid w:val="009E43DD"/>
    <w:rsid w:val="009E4465"/>
    <w:rsid w:val="009E4C72"/>
    <w:rsid w:val="009E4CF2"/>
    <w:rsid w:val="009E5176"/>
    <w:rsid w:val="009E5318"/>
    <w:rsid w:val="009E6401"/>
    <w:rsid w:val="009E6C54"/>
    <w:rsid w:val="009F00D6"/>
    <w:rsid w:val="009F04C8"/>
    <w:rsid w:val="009F0812"/>
    <w:rsid w:val="009F0E02"/>
    <w:rsid w:val="009F1120"/>
    <w:rsid w:val="009F248B"/>
    <w:rsid w:val="009F2A25"/>
    <w:rsid w:val="009F3A1A"/>
    <w:rsid w:val="009F4C7D"/>
    <w:rsid w:val="009F5235"/>
    <w:rsid w:val="009F531A"/>
    <w:rsid w:val="009F6344"/>
    <w:rsid w:val="009F6550"/>
    <w:rsid w:val="009F6B65"/>
    <w:rsid w:val="009F786E"/>
    <w:rsid w:val="009F7B30"/>
    <w:rsid w:val="00A00817"/>
    <w:rsid w:val="00A00902"/>
    <w:rsid w:val="00A0098B"/>
    <w:rsid w:val="00A011CA"/>
    <w:rsid w:val="00A021AA"/>
    <w:rsid w:val="00A0294E"/>
    <w:rsid w:val="00A02C8E"/>
    <w:rsid w:val="00A039FF"/>
    <w:rsid w:val="00A04524"/>
    <w:rsid w:val="00A046B6"/>
    <w:rsid w:val="00A05ACE"/>
    <w:rsid w:val="00A114B9"/>
    <w:rsid w:val="00A1211A"/>
    <w:rsid w:val="00A13A65"/>
    <w:rsid w:val="00A14589"/>
    <w:rsid w:val="00A14AE3"/>
    <w:rsid w:val="00A15059"/>
    <w:rsid w:val="00A153F1"/>
    <w:rsid w:val="00A159B1"/>
    <w:rsid w:val="00A16675"/>
    <w:rsid w:val="00A179F6"/>
    <w:rsid w:val="00A20CBF"/>
    <w:rsid w:val="00A20FDF"/>
    <w:rsid w:val="00A21955"/>
    <w:rsid w:val="00A22CD6"/>
    <w:rsid w:val="00A234EC"/>
    <w:rsid w:val="00A24128"/>
    <w:rsid w:val="00A2417A"/>
    <w:rsid w:val="00A25642"/>
    <w:rsid w:val="00A26668"/>
    <w:rsid w:val="00A2681F"/>
    <w:rsid w:val="00A26BFD"/>
    <w:rsid w:val="00A27804"/>
    <w:rsid w:val="00A3276D"/>
    <w:rsid w:val="00A32D4D"/>
    <w:rsid w:val="00A334D1"/>
    <w:rsid w:val="00A34257"/>
    <w:rsid w:val="00A3655D"/>
    <w:rsid w:val="00A36822"/>
    <w:rsid w:val="00A36AB5"/>
    <w:rsid w:val="00A373FA"/>
    <w:rsid w:val="00A374FD"/>
    <w:rsid w:val="00A3754B"/>
    <w:rsid w:val="00A402DD"/>
    <w:rsid w:val="00A4069E"/>
    <w:rsid w:val="00A40BBF"/>
    <w:rsid w:val="00A40D4A"/>
    <w:rsid w:val="00A411D1"/>
    <w:rsid w:val="00A4279D"/>
    <w:rsid w:val="00A43389"/>
    <w:rsid w:val="00A434A7"/>
    <w:rsid w:val="00A43E71"/>
    <w:rsid w:val="00A444FF"/>
    <w:rsid w:val="00A4526F"/>
    <w:rsid w:val="00A45753"/>
    <w:rsid w:val="00A457B8"/>
    <w:rsid w:val="00A46E47"/>
    <w:rsid w:val="00A473E8"/>
    <w:rsid w:val="00A47B15"/>
    <w:rsid w:val="00A5094A"/>
    <w:rsid w:val="00A51286"/>
    <w:rsid w:val="00A51708"/>
    <w:rsid w:val="00A52F84"/>
    <w:rsid w:val="00A533CC"/>
    <w:rsid w:val="00A53AB0"/>
    <w:rsid w:val="00A54284"/>
    <w:rsid w:val="00A5465A"/>
    <w:rsid w:val="00A54FB5"/>
    <w:rsid w:val="00A56B05"/>
    <w:rsid w:val="00A56C06"/>
    <w:rsid w:val="00A56E50"/>
    <w:rsid w:val="00A57523"/>
    <w:rsid w:val="00A57678"/>
    <w:rsid w:val="00A57972"/>
    <w:rsid w:val="00A579F5"/>
    <w:rsid w:val="00A57F83"/>
    <w:rsid w:val="00A6076E"/>
    <w:rsid w:val="00A60E2F"/>
    <w:rsid w:val="00A614D3"/>
    <w:rsid w:val="00A62510"/>
    <w:rsid w:val="00A627AD"/>
    <w:rsid w:val="00A63246"/>
    <w:rsid w:val="00A63284"/>
    <w:rsid w:val="00A63458"/>
    <w:rsid w:val="00A6372D"/>
    <w:rsid w:val="00A63C04"/>
    <w:rsid w:val="00A64CB8"/>
    <w:rsid w:val="00A66065"/>
    <w:rsid w:val="00A66EBF"/>
    <w:rsid w:val="00A67018"/>
    <w:rsid w:val="00A671D2"/>
    <w:rsid w:val="00A67289"/>
    <w:rsid w:val="00A672F3"/>
    <w:rsid w:val="00A673DC"/>
    <w:rsid w:val="00A678D4"/>
    <w:rsid w:val="00A67A31"/>
    <w:rsid w:val="00A7076E"/>
    <w:rsid w:val="00A709BE"/>
    <w:rsid w:val="00A70D85"/>
    <w:rsid w:val="00A71000"/>
    <w:rsid w:val="00A7162E"/>
    <w:rsid w:val="00A72D71"/>
    <w:rsid w:val="00A72E75"/>
    <w:rsid w:val="00A730D8"/>
    <w:rsid w:val="00A73112"/>
    <w:rsid w:val="00A73617"/>
    <w:rsid w:val="00A7369D"/>
    <w:rsid w:val="00A747D2"/>
    <w:rsid w:val="00A74FD1"/>
    <w:rsid w:val="00A75123"/>
    <w:rsid w:val="00A75705"/>
    <w:rsid w:val="00A75F35"/>
    <w:rsid w:val="00A765A9"/>
    <w:rsid w:val="00A7672E"/>
    <w:rsid w:val="00A77BF3"/>
    <w:rsid w:val="00A77C69"/>
    <w:rsid w:val="00A80F93"/>
    <w:rsid w:val="00A8103E"/>
    <w:rsid w:val="00A812B1"/>
    <w:rsid w:val="00A82C61"/>
    <w:rsid w:val="00A8301B"/>
    <w:rsid w:val="00A83049"/>
    <w:rsid w:val="00A83945"/>
    <w:rsid w:val="00A83953"/>
    <w:rsid w:val="00A83CD7"/>
    <w:rsid w:val="00A83D72"/>
    <w:rsid w:val="00A8400B"/>
    <w:rsid w:val="00A8416A"/>
    <w:rsid w:val="00A846DA"/>
    <w:rsid w:val="00A8485B"/>
    <w:rsid w:val="00A853D8"/>
    <w:rsid w:val="00A8661E"/>
    <w:rsid w:val="00A8695A"/>
    <w:rsid w:val="00A86ACF"/>
    <w:rsid w:val="00A8708E"/>
    <w:rsid w:val="00A903B6"/>
    <w:rsid w:val="00A90F4F"/>
    <w:rsid w:val="00A91EDB"/>
    <w:rsid w:val="00A92570"/>
    <w:rsid w:val="00A92579"/>
    <w:rsid w:val="00A936F9"/>
    <w:rsid w:val="00A947AA"/>
    <w:rsid w:val="00A94888"/>
    <w:rsid w:val="00A94990"/>
    <w:rsid w:val="00A9681C"/>
    <w:rsid w:val="00A96867"/>
    <w:rsid w:val="00A96B3D"/>
    <w:rsid w:val="00A97141"/>
    <w:rsid w:val="00A97820"/>
    <w:rsid w:val="00AA1733"/>
    <w:rsid w:val="00AA1B53"/>
    <w:rsid w:val="00AA1DEA"/>
    <w:rsid w:val="00AA256D"/>
    <w:rsid w:val="00AA311D"/>
    <w:rsid w:val="00AA33BA"/>
    <w:rsid w:val="00AA3556"/>
    <w:rsid w:val="00AA35FD"/>
    <w:rsid w:val="00AA364F"/>
    <w:rsid w:val="00AA3DB7"/>
    <w:rsid w:val="00AA41D3"/>
    <w:rsid w:val="00AA5F8B"/>
    <w:rsid w:val="00AB0039"/>
    <w:rsid w:val="00AB007B"/>
    <w:rsid w:val="00AB0D96"/>
    <w:rsid w:val="00AB15A3"/>
    <w:rsid w:val="00AB177A"/>
    <w:rsid w:val="00AB216D"/>
    <w:rsid w:val="00AB2678"/>
    <w:rsid w:val="00AB3012"/>
    <w:rsid w:val="00AB321C"/>
    <w:rsid w:val="00AB473F"/>
    <w:rsid w:val="00AB4C91"/>
    <w:rsid w:val="00AB4E3B"/>
    <w:rsid w:val="00AB5381"/>
    <w:rsid w:val="00AB688F"/>
    <w:rsid w:val="00AB75EA"/>
    <w:rsid w:val="00AB7AA2"/>
    <w:rsid w:val="00AC0A22"/>
    <w:rsid w:val="00AC1515"/>
    <w:rsid w:val="00AC1F41"/>
    <w:rsid w:val="00AC2234"/>
    <w:rsid w:val="00AC26AA"/>
    <w:rsid w:val="00AC29B8"/>
    <w:rsid w:val="00AC3FF3"/>
    <w:rsid w:val="00AC4BC1"/>
    <w:rsid w:val="00AC544A"/>
    <w:rsid w:val="00AC5715"/>
    <w:rsid w:val="00AC7D8D"/>
    <w:rsid w:val="00AD04BD"/>
    <w:rsid w:val="00AD0765"/>
    <w:rsid w:val="00AD0F00"/>
    <w:rsid w:val="00AD33DD"/>
    <w:rsid w:val="00AD55A8"/>
    <w:rsid w:val="00AD5625"/>
    <w:rsid w:val="00AD5A2E"/>
    <w:rsid w:val="00AD5CA4"/>
    <w:rsid w:val="00AD6A91"/>
    <w:rsid w:val="00AD6C2C"/>
    <w:rsid w:val="00AD7214"/>
    <w:rsid w:val="00AE04DB"/>
    <w:rsid w:val="00AE0DA2"/>
    <w:rsid w:val="00AE0E09"/>
    <w:rsid w:val="00AE1066"/>
    <w:rsid w:val="00AE14DD"/>
    <w:rsid w:val="00AE2CB7"/>
    <w:rsid w:val="00AE2E78"/>
    <w:rsid w:val="00AE2FA5"/>
    <w:rsid w:val="00AE30D0"/>
    <w:rsid w:val="00AE346F"/>
    <w:rsid w:val="00AE3A4F"/>
    <w:rsid w:val="00AE4518"/>
    <w:rsid w:val="00AE487A"/>
    <w:rsid w:val="00AE4C42"/>
    <w:rsid w:val="00AE5D7F"/>
    <w:rsid w:val="00AE614A"/>
    <w:rsid w:val="00AE79EE"/>
    <w:rsid w:val="00AE79F0"/>
    <w:rsid w:val="00AF0386"/>
    <w:rsid w:val="00AF07B0"/>
    <w:rsid w:val="00AF0E5A"/>
    <w:rsid w:val="00AF109C"/>
    <w:rsid w:val="00AF1752"/>
    <w:rsid w:val="00AF42FC"/>
    <w:rsid w:val="00AF483E"/>
    <w:rsid w:val="00AF4AC5"/>
    <w:rsid w:val="00AF4C2C"/>
    <w:rsid w:val="00AF4E3B"/>
    <w:rsid w:val="00AF597D"/>
    <w:rsid w:val="00AF6EC1"/>
    <w:rsid w:val="00AF7174"/>
    <w:rsid w:val="00AF784D"/>
    <w:rsid w:val="00AF7CE9"/>
    <w:rsid w:val="00AF7D1D"/>
    <w:rsid w:val="00B00331"/>
    <w:rsid w:val="00B00AAB"/>
    <w:rsid w:val="00B00C41"/>
    <w:rsid w:val="00B014A1"/>
    <w:rsid w:val="00B01A80"/>
    <w:rsid w:val="00B025B3"/>
    <w:rsid w:val="00B046AF"/>
    <w:rsid w:val="00B0509C"/>
    <w:rsid w:val="00B05D23"/>
    <w:rsid w:val="00B06036"/>
    <w:rsid w:val="00B06B2D"/>
    <w:rsid w:val="00B07C27"/>
    <w:rsid w:val="00B07FB2"/>
    <w:rsid w:val="00B10017"/>
    <w:rsid w:val="00B1004A"/>
    <w:rsid w:val="00B101CE"/>
    <w:rsid w:val="00B1057D"/>
    <w:rsid w:val="00B10DE1"/>
    <w:rsid w:val="00B10FF8"/>
    <w:rsid w:val="00B11E02"/>
    <w:rsid w:val="00B12D3F"/>
    <w:rsid w:val="00B12F0D"/>
    <w:rsid w:val="00B137BC"/>
    <w:rsid w:val="00B13A85"/>
    <w:rsid w:val="00B13BC7"/>
    <w:rsid w:val="00B13CD4"/>
    <w:rsid w:val="00B153D8"/>
    <w:rsid w:val="00B154DE"/>
    <w:rsid w:val="00B15814"/>
    <w:rsid w:val="00B16B91"/>
    <w:rsid w:val="00B17B14"/>
    <w:rsid w:val="00B203C4"/>
    <w:rsid w:val="00B20863"/>
    <w:rsid w:val="00B20CDD"/>
    <w:rsid w:val="00B21E3D"/>
    <w:rsid w:val="00B22683"/>
    <w:rsid w:val="00B22BC9"/>
    <w:rsid w:val="00B22E81"/>
    <w:rsid w:val="00B232FE"/>
    <w:rsid w:val="00B23996"/>
    <w:rsid w:val="00B23A8A"/>
    <w:rsid w:val="00B23CB2"/>
    <w:rsid w:val="00B240CC"/>
    <w:rsid w:val="00B24E14"/>
    <w:rsid w:val="00B2561A"/>
    <w:rsid w:val="00B256C1"/>
    <w:rsid w:val="00B25A64"/>
    <w:rsid w:val="00B25B94"/>
    <w:rsid w:val="00B2665C"/>
    <w:rsid w:val="00B271F2"/>
    <w:rsid w:val="00B278DB"/>
    <w:rsid w:val="00B30F7D"/>
    <w:rsid w:val="00B31884"/>
    <w:rsid w:val="00B31D19"/>
    <w:rsid w:val="00B32396"/>
    <w:rsid w:val="00B32AB3"/>
    <w:rsid w:val="00B32DAE"/>
    <w:rsid w:val="00B331CA"/>
    <w:rsid w:val="00B3341F"/>
    <w:rsid w:val="00B33825"/>
    <w:rsid w:val="00B34BB2"/>
    <w:rsid w:val="00B34E7C"/>
    <w:rsid w:val="00B35AF6"/>
    <w:rsid w:val="00B36228"/>
    <w:rsid w:val="00B366A3"/>
    <w:rsid w:val="00B368EA"/>
    <w:rsid w:val="00B37EEF"/>
    <w:rsid w:val="00B418AD"/>
    <w:rsid w:val="00B4229C"/>
    <w:rsid w:val="00B42F1A"/>
    <w:rsid w:val="00B43790"/>
    <w:rsid w:val="00B4430B"/>
    <w:rsid w:val="00B443D9"/>
    <w:rsid w:val="00B44531"/>
    <w:rsid w:val="00B44BBB"/>
    <w:rsid w:val="00B45478"/>
    <w:rsid w:val="00B45D41"/>
    <w:rsid w:val="00B46587"/>
    <w:rsid w:val="00B467BC"/>
    <w:rsid w:val="00B46CDD"/>
    <w:rsid w:val="00B47AD2"/>
    <w:rsid w:val="00B47CF7"/>
    <w:rsid w:val="00B50686"/>
    <w:rsid w:val="00B50B04"/>
    <w:rsid w:val="00B50C50"/>
    <w:rsid w:val="00B513C0"/>
    <w:rsid w:val="00B53708"/>
    <w:rsid w:val="00B53DCB"/>
    <w:rsid w:val="00B5428F"/>
    <w:rsid w:val="00B54370"/>
    <w:rsid w:val="00B54A05"/>
    <w:rsid w:val="00B54DEA"/>
    <w:rsid w:val="00B55185"/>
    <w:rsid w:val="00B55C03"/>
    <w:rsid w:val="00B55F0B"/>
    <w:rsid w:val="00B5695D"/>
    <w:rsid w:val="00B56976"/>
    <w:rsid w:val="00B56A70"/>
    <w:rsid w:val="00B576E8"/>
    <w:rsid w:val="00B57762"/>
    <w:rsid w:val="00B5782F"/>
    <w:rsid w:val="00B60638"/>
    <w:rsid w:val="00B606F8"/>
    <w:rsid w:val="00B60A44"/>
    <w:rsid w:val="00B616D5"/>
    <w:rsid w:val="00B61923"/>
    <w:rsid w:val="00B621D6"/>
    <w:rsid w:val="00B63AF2"/>
    <w:rsid w:val="00B64F93"/>
    <w:rsid w:val="00B65747"/>
    <w:rsid w:val="00B65D6F"/>
    <w:rsid w:val="00B65FAD"/>
    <w:rsid w:val="00B66174"/>
    <w:rsid w:val="00B6719D"/>
    <w:rsid w:val="00B67B37"/>
    <w:rsid w:val="00B67C23"/>
    <w:rsid w:val="00B70132"/>
    <w:rsid w:val="00B7079B"/>
    <w:rsid w:val="00B70DC7"/>
    <w:rsid w:val="00B71622"/>
    <w:rsid w:val="00B721A4"/>
    <w:rsid w:val="00B72B5B"/>
    <w:rsid w:val="00B72EFF"/>
    <w:rsid w:val="00B74A6F"/>
    <w:rsid w:val="00B750C2"/>
    <w:rsid w:val="00B756CB"/>
    <w:rsid w:val="00B75735"/>
    <w:rsid w:val="00B77142"/>
    <w:rsid w:val="00B8010E"/>
    <w:rsid w:val="00B80879"/>
    <w:rsid w:val="00B80A2C"/>
    <w:rsid w:val="00B80D3B"/>
    <w:rsid w:val="00B8135C"/>
    <w:rsid w:val="00B814BB"/>
    <w:rsid w:val="00B81710"/>
    <w:rsid w:val="00B81730"/>
    <w:rsid w:val="00B81F60"/>
    <w:rsid w:val="00B82123"/>
    <w:rsid w:val="00B823D4"/>
    <w:rsid w:val="00B8314A"/>
    <w:rsid w:val="00B83412"/>
    <w:rsid w:val="00B841AC"/>
    <w:rsid w:val="00B85873"/>
    <w:rsid w:val="00B85E95"/>
    <w:rsid w:val="00B865B0"/>
    <w:rsid w:val="00B865DC"/>
    <w:rsid w:val="00B870E8"/>
    <w:rsid w:val="00B875E3"/>
    <w:rsid w:val="00B8778A"/>
    <w:rsid w:val="00B87C29"/>
    <w:rsid w:val="00B90780"/>
    <w:rsid w:val="00B90968"/>
    <w:rsid w:val="00B91BC2"/>
    <w:rsid w:val="00B9240D"/>
    <w:rsid w:val="00B943EF"/>
    <w:rsid w:val="00B94960"/>
    <w:rsid w:val="00B9543E"/>
    <w:rsid w:val="00B95AF3"/>
    <w:rsid w:val="00B96F6E"/>
    <w:rsid w:val="00B979D4"/>
    <w:rsid w:val="00BA0FE8"/>
    <w:rsid w:val="00BA22A8"/>
    <w:rsid w:val="00BA309F"/>
    <w:rsid w:val="00BA33A5"/>
    <w:rsid w:val="00BA3B8F"/>
    <w:rsid w:val="00BA3E48"/>
    <w:rsid w:val="00BA434F"/>
    <w:rsid w:val="00BA4905"/>
    <w:rsid w:val="00BA4BD3"/>
    <w:rsid w:val="00BA5C24"/>
    <w:rsid w:val="00BA6E49"/>
    <w:rsid w:val="00BA7866"/>
    <w:rsid w:val="00BB0187"/>
    <w:rsid w:val="00BB0E56"/>
    <w:rsid w:val="00BB1EB3"/>
    <w:rsid w:val="00BB2678"/>
    <w:rsid w:val="00BB3077"/>
    <w:rsid w:val="00BB33A8"/>
    <w:rsid w:val="00BB3927"/>
    <w:rsid w:val="00BB3D8C"/>
    <w:rsid w:val="00BB4B39"/>
    <w:rsid w:val="00BB53AF"/>
    <w:rsid w:val="00BB5C26"/>
    <w:rsid w:val="00BB6591"/>
    <w:rsid w:val="00BB6A40"/>
    <w:rsid w:val="00BB734D"/>
    <w:rsid w:val="00BB7AF4"/>
    <w:rsid w:val="00BB7D1B"/>
    <w:rsid w:val="00BC013A"/>
    <w:rsid w:val="00BC10B0"/>
    <w:rsid w:val="00BC162A"/>
    <w:rsid w:val="00BC2343"/>
    <w:rsid w:val="00BC2E1B"/>
    <w:rsid w:val="00BC407B"/>
    <w:rsid w:val="00BC5824"/>
    <w:rsid w:val="00BC61EC"/>
    <w:rsid w:val="00BC6CC0"/>
    <w:rsid w:val="00BC702F"/>
    <w:rsid w:val="00BC7377"/>
    <w:rsid w:val="00BC75B8"/>
    <w:rsid w:val="00BD0ECF"/>
    <w:rsid w:val="00BD29DA"/>
    <w:rsid w:val="00BD30C8"/>
    <w:rsid w:val="00BD38F4"/>
    <w:rsid w:val="00BD3EB4"/>
    <w:rsid w:val="00BD4C5B"/>
    <w:rsid w:val="00BD5359"/>
    <w:rsid w:val="00BD556E"/>
    <w:rsid w:val="00BD5C65"/>
    <w:rsid w:val="00BD7BCC"/>
    <w:rsid w:val="00BE0037"/>
    <w:rsid w:val="00BE158C"/>
    <w:rsid w:val="00BE16E9"/>
    <w:rsid w:val="00BE219C"/>
    <w:rsid w:val="00BE2730"/>
    <w:rsid w:val="00BE2A17"/>
    <w:rsid w:val="00BE2B11"/>
    <w:rsid w:val="00BE31BE"/>
    <w:rsid w:val="00BE3A1D"/>
    <w:rsid w:val="00BE3B92"/>
    <w:rsid w:val="00BE487E"/>
    <w:rsid w:val="00BE528E"/>
    <w:rsid w:val="00BE52C8"/>
    <w:rsid w:val="00BE6018"/>
    <w:rsid w:val="00BE7086"/>
    <w:rsid w:val="00BE7142"/>
    <w:rsid w:val="00BE7278"/>
    <w:rsid w:val="00BF1F57"/>
    <w:rsid w:val="00BF20FD"/>
    <w:rsid w:val="00BF2239"/>
    <w:rsid w:val="00BF22C6"/>
    <w:rsid w:val="00BF34C2"/>
    <w:rsid w:val="00BF3804"/>
    <w:rsid w:val="00BF3B4E"/>
    <w:rsid w:val="00BF4086"/>
    <w:rsid w:val="00BF426C"/>
    <w:rsid w:val="00BF4594"/>
    <w:rsid w:val="00BF58D0"/>
    <w:rsid w:val="00BF6027"/>
    <w:rsid w:val="00BF63BC"/>
    <w:rsid w:val="00BF6702"/>
    <w:rsid w:val="00BF77DB"/>
    <w:rsid w:val="00BF7952"/>
    <w:rsid w:val="00BF7D6A"/>
    <w:rsid w:val="00C0021D"/>
    <w:rsid w:val="00C00300"/>
    <w:rsid w:val="00C00A6C"/>
    <w:rsid w:val="00C00B8B"/>
    <w:rsid w:val="00C013E1"/>
    <w:rsid w:val="00C01611"/>
    <w:rsid w:val="00C01772"/>
    <w:rsid w:val="00C02BDB"/>
    <w:rsid w:val="00C02D59"/>
    <w:rsid w:val="00C02F17"/>
    <w:rsid w:val="00C02F83"/>
    <w:rsid w:val="00C02FE3"/>
    <w:rsid w:val="00C030B6"/>
    <w:rsid w:val="00C03284"/>
    <w:rsid w:val="00C03B3A"/>
    <w:rsid w:val="00C03CD4"/>
    <w:rsid w:val="00C03E37"/>
    <w:rsid w:val="00C04694"/>
    <w:rsid w:val="00C050C4"/>
    <w:rsid w:val="00C050D7"/>
    <w:rsid w:val="00C05B5F"/>
    <w:rsid w:val="00C10086"/>
    <w:rsid w:val="00C104CC"/>
    <w:rsid w:val="00C10EE9"/>
    <w:rsid w:val="00C11233"/>
    <w:rsid w:val="00C11521"/>
    <w:rsid w:val="00C142AD"/>
    <w:rsid w:val="00C142C1"/>
    <w:rsid w:val="00C14686"/>
    <w:rsid w:val="00C14A30"/>
    <w:rsid w:val="00C152FE"/>
    <w:rsid w:val="00C15D1B"/>
    <w:rsid w:val="00C16739"/>
    <w:rsid w:val="00C168DD"/>
    <w:rsid w:val="00C16A00"/>
    <w:rsid w:val="00C176CC"/>
    <w:rsid w:val="00C21031"/>
    <w:rsid w:val="00C221B9"/>
    <w:rsid w:val="00C225EA"/>
    <w:rsid w:val="00C22CCE"/>
    <w:rsid w:val="00C232BC"/>
    <w:rsid w:val="00C23BA2"/>
    <w:rsid w:val="00C2485F"/>
    <w:rsid w:val="00C248B1"/>
    <w:rsid w:val="00C24B63"/>
    <w:rsid w:val="00C262A0"/>
    <w:rsid w:val="00C26A4E"/>
    <w:rsid w:val="00C276EF"/>
    <w:rsid w:val="00C31190"/>
    <w:rsid w:val="00C31195"/>
    <w:rsid w:val="00C31774"/>
    <w:rsid w:val="00C3180E"/>
    <w:rsid w:val="00C31A2C"/>
    <w:rsid w:val="00C3214E"/>
    <w:rsid w:val="00C32AF2"/>
    <w:rsid w:val="00C33051"/>
    <w:rsid w:val="00C33204"/>
    <w:rsid w:val="00C338EB"/>
    <w:rsid w:val="00C33AD3"/>
    <w:rsid w:val="00C3401B"/>
    <w:rsid w:val="00C34389"/>
    <w:rsid w:val="00C3465D"/>
    <w:rsid w:val="00C347D5"/>
    <w:rsid w:val="00C34A42"/>
    <w:rsid w:val="00C35C57"/>
    <w:rsid w:val="00C36D89"/>
    <w:rsid w:val="00C379E9"/>
    <w:rsid w:val="00C403CD"/>
    <w:rsid w:val="00C40BE2"/>
    <w:rsid w:val="00C40ECA"/>
    <w:rsid w:val="00C42041"/>
    <w:rsid w:val="00C42BD9"/>
    <w:rsid w:val="00C43934"/>
    <w:rsid w:val="00C439FB"/>
    <w:rsid w:val="00C43AA8"/>
    <w:rsid w:val="00C43F23"/>
    <w:rsid w:val="00C441A4"/>
    <w:rsid w:val="00C452E1"/>
    <w:rsid w:val="00C45585"/>
    <w:rsid w:val="00C463C9"/>
    <w:rsid w:val="00C47648"/>
    <w:rsid w:val="00C47852"/>
    <w:rsid w:val="00C47F0C"/>
    <w:rsid w:val="00C50011"/>
    <w:rsid w:val="00C5254B"/>
    <w:rsid w:val="00C53104"/>
    <w:rsid w:val="00C53973"/>
    <w:rsid w:val="00C539F9"/>
    <w:rsid w:val="00C547AC"/>
    <w:rsid w:val="00C54BB7"/>
    <w:rsid w:val="00C54E54"/>
    <w:rsid w:val="00C5569A"/>
    <w:rsid w:val="00C55D39"/>
    <w:rsid w:val="00C55FBF"/>
    <w:rsid w:val="00C56539"/>
    <w:rsid w:val="00C57E68"/>
    <w:rsid w:val="00C601C9"/>
    <w:rsid w:val="00C616D0"/>
    <w:rsid w:val="00C623C6"/>
    <w:rsid w:val="00C631D3"/>
    <w:rsid w:val="00C63F81"/>
    <w:rsid w:val="00C645E6"/>
    <w:rsid w:val="00C64813"/>
    <w:rsid w:val="00C64D82"/>
    <w:rsid w:val="00C64FBC"/>
    <w:rsid w:val="00C65A83"/>
    <w:rsid w:val="00C66A00"/>
    <w:rsid w:val="00C66CBE"/>
    <w:rsid w:val="00C67118"/>
    <w:rsid w:val="00C67276"/>
    <w:rsid w:val="00C67DDD"/>
    <w:rsid w:val="00C70139"/>
    <w:rsid w:val="00C7191D"/>
    <w:rsid w:val="00C71D18"/>
    <w:rsid w:val="00C72C6F"/>
    <w:rsid w:val="00C74171"/>
    <w:rsid w:val="00C74453"/>
    <w:rsid w:val="00C7473A"/>
    <w:rsid w:val="00C74996"/>
    <w:rsid w:val="00C75AB0"/>
    <w:rsid w:val="00C76166"/>
    <w:rsid w:val="00C76B7B"/>
    <w:rsid w:val="00C76BBD"/>
    <w:rsid w:val="00C76DE2"/>
    <w:rsid w:val="00C772BA"/>
    <w:rsid w:val="00C802D1"/>
    <w:rsid w:val="00C8036C"/>
    <w:rsid w:val="00C80793"/>
    <w:rsid w:val="00C80CD8"/>
    <w:rsid w:val="00C80F23"/>
    <w:rsid w:val="00C81151"/>
    <w:rsid w:val="00C81775"/>
    <w:rsid w:val="00C82662"/>
    <w:rsid w:val="00C82CC6"/>
    <w:rsid w:val="00C839CB"/>
    <w:rsid w:val="00C83E4B"/>
    <w:rsid w:val="00C841CE"/>
    <w:rsid w:val="00C84593"/>
    <w:rsid w:val="00C84BC0"/>
    <w:rsid w:val="00C850A3"/>
    <w:rsid w:val="00C85C32"/>
    <w:rsid w:val="00C85D4F"/>
    <w:rsid w:val="00C85F45"/>
    <w:rsid w:val="00C86C8C"/>
    <w:rsid w:val="00C87568"/>
    <w:rsid w:val="00C87FD0"/>
    <w:rsid w:val="00C90AD7"/>
    <w:rsid w:val="00C90DB6"/>
    <w:rsid w:val="00C92603"/>
    <w:rsid w:val="00C93177"/>
    <w:rsid w:val="00C93649"/>
    <w:rsid w:val="00C9394F"/>
    <w:rsid w:val="00C93B1A"/>
    <w:rsid w:val="00C95874"/>
    <w:rsid w:val="00C9611F"/>
    <w:rsid w:val="00C96495"/>
    <w:rsid w:val="00C96D24"/>
    <w:rsid w:val="00C96F5F"/>
    <w:rsid w:val="00C97055"/>
    <w:rsid w:val="00CA2B4F"/>
    <w:rsid w:val="00CA30C3"/>
    <w:rsid w:val="00CA5927"/>
    <w:rsid w:val="00CA635E"/>
    <w:rsid w:val="00CA6BB0"/>
    <w:rsid w:val="00CA70CE"/>
    <w:rsid w:val="00CA79EC"/>
    <w:rsid w:val="00CB002C"/>
    <w:rsid w:val="00CB18D6"/>
    <w:rsid w:val="00CB1E4B"/>
    <w:rsid w:val="00CB259F"/>
    <w:rsid w:val="00CB2DE9"/>
    <w:rsid w:val="00CB39C2"/>
    <w:rsid w:val="00CB45FC"/>
    <w:rsid w:val="00CB4C82"/>
    <w:rsid w:val="00CB4C8C"/>
    <w:rsid w:val="00CB4E90"/>
    <w:rsid w:val="00CB5850"/>
    <w:rsid w:val="00CB5C99"/>
    <w:rsid w:val="00CB633B"/>
    <w:rsid w:val="00CB6782"/>
    <w:rsid w:val="00CB6E3E"/>
    <w:rsid w:val="00CB785A"/>
    <w:rsid w:val="00CC080A"/>
    <w:rsid w:val="00CC0A2E"/>
    <w:rsid w:val="00CC0D0F"/>
    <w:rsid w:val="00CC1275"/>
    <w:rsid w:val="00CC12EE"/>
    <w:rsid w:val="00CC156B"/>
    <w:rsid w:val="00CC170E"/>
    <w:rsid w:val="00CC5767"/>
    <w:rsid w:val="00CC5D2F"/>
    <w:rsid w:val="00CC667C"/>
    <w:rsid w:val="00CC68CC"/>
    <w:rsid w:val="00CC6B3E"/>
    <w:rsid w:val="00CC701E"/>
    <w:rsid w:val="00CC7735"/>
    <w:rsid w:val="00CD0310"/>
    <w:rsid w:val="00CD158F"/>
    <w:rsid w:val="00CD268B"/>
    <w:rsid w:val="00CD2E48"/>
    <w:rsid w:val="00CD3ABE"/>
    <w:rsid w:val="00CD4826"/>
    <w:rsid w:val="00CD4E19"/>
    <w:rsid w:val="00CD6219"/>
    <w:rsid w:val="00CD700F"/>
    <w:rsid w:val="00CD70EB"/>
    <w:rsid w:val="00CD7319"/>
    <w:rsid w:val="00CD7E19"/>
    <w:rsid w:val="00CE148E"/>
    <w:rsid w:val="00CE208D"/>
    <w:rsid w:val="00CE2453"/>
    <w:rsid w:val="00CE326A"/>
    <w:rsid w:val="00CE356D"/>
    <w:rsid w:val="00CE3811"/>
    <w:rsid w:val="00CE3FA4"/>
    <w:rsid w:val="00CE44F8"/>
    <w:rsid w:val="00CE5277"/>
    <w:rsid w:val="00CE54F6"/>
    <w:rsid w:val="00CE5B4D"/>
    <w:rsid w:val="00CE6358"/>
    <w:rsid w:val="00CE6490"/>
    <w:rsid w:val="00CE6686"/>
    <w:rsid w:val="00CE6E97"/>
    <w:rsid w:val="00CE77DA"/>
    <w:rsid w:val="00CE7868"/>
    <w:rsid w:val="00CE7968"/>
    <w:rsid w:val="00CE796C"/>
    <w:rsid w:val="00CF0CE2"/>
    <w:rsid w:val="00CF0DB0"/>
    <w:rsid w:val="00CF11E6"/>
    <w:rsid w:val="00CF1B70"/>
    <w:rsid w:val="00CF1DD1"/>
    <w:rsid w:val="00CF2161"/>
    <w:rsid w:val="00CF2307"/>
    <w:rsid w:val="00CF26AE"/>
    <w:rsid w:val="00CF2D54"/>
    <w:rsid w:val="00CF311F"/>
    <w:rsid w:val="00CF5047"/>
    <w:rsid w:val="00CF53B9"/>
    <w:rsid w:val="00CF7625"/>
    <w:rsid w:val="00D00188"/>
    <w:rsid w:val="00D01344"/>
    <w:rsid w:val="00D01B90"/>
    <w:rsid w:val="00D01C0E"/>
    <w:rsid w:val="00D024CD"/>
    <w:rsid w:val="00D034DA"/>
    <w:rsid w:val="00D03538"/>
    <w:rsid w:val="00D0372D"/>
    <w:rsid w:val="00D0421D"/>
    <w:rsid w:val="00D046FD"/>
    <w:rsid w:val="00D047F7"/>
    <w:rsid w:val="00D049B8"/>
    <w:rsid w:val="00D04C8A"/>
    <w:rsid w:val="00D04DB2"/>
    <w:rsid w:val="00D0516C"/>
    <w:rsid w:val="00D05B56"/>
    <w:rsid w:val="00D05C2F"/>
    <w:rsid w:val="00D05EE7"/>
    <w:rsid w:val="00D068D0"/>
    <w:rsid w:val="00D06FE0"/>
    <w:rsid w:val="00D07307"/>
    <w:rsid w:val="00D076A9"/>
    <w:rsid w:val="00D07754"/>
    <w:rsid w:val="00D078D1"/>
    <w:rsid w:val="00D10C4B"/>
    <w:rsid w:val="00D10E7E"/>
    <w:rsid w:val="00D1293B"/>
    <w:rsid w:val="00D129A8"/>
    <w:rsid w:val="00D12FB9"/>
    <w:rsid w:val="00D13431"/>
    <w:rsid w:val="00D135F2"/>
    <w:rsid w:val="00D13C61"/>
    <w:rsid w:val="00D13D00"/>
    <w:rsid w:val="00D14764"/>
    <w:rsid w:val="00D147C0"/>
    <w:rsid w:val="00D14CF5"/>
    <w:rsid w:val="00D15696"/>
    <w:rsid w:val="00D15C51"/>
    <w:rsid w:val="00D15F8C"/>
    <w:rsid w:val="00D16436"/>
    <w:rsid w:val="00D16C68"/>
    <w:rsid w:val="00D16DEC"/>
    <w:rsid w:val="00D200BD"/>
    <w:rsid w:val="00D201AA"/>
    <w:rsid w:val="00D204A7"/>
    <w:rsid w:val="00D20AA5"/>
    <w:rsid w:val="00D21507"/>
    <w:rsid w:val="00D22399"/>
    <w:rsid w:val="00D235B5"/>
    <w:rsid w:val="00D24F39"/>
    <w:rsid w:val="00D25C89"/>
    <w:rsid w:val="00D2662C"/>
    <w:rsid w:val="00D27125"/>
    <w:rsid w:val="00D27BD3"/>
    <w:rsid w:val="00D27FA3"/>
    <w:rsid w:val="00D30711"/>
    <w:rsid w:val="00D3176C"/>
    <w:rsid w:val="00D31B3F"/>
    <w:rsid w:val="00D32392"/>
    <w:rsid w:val="00D33751"/>
    <w:rsid w:val="00D35D4A"/>
    <w:rsid w:val="00D35E07"/>
    <w:rsid w:val="00D36F6E"/>
    <w:rsid w:val="00D372B0"/>
    <w:rsid w:val="00D37343"/>
    <w:rsid w:val="00D40229"/>
    <w:rsid w:val="00D40B53"/>
    <w:rsid w:val="00D4188E"/>
    <w:rsid w:val="00D42034"/>
    <w:rsid w:val="00D4205E"/>
    <w:rsid w:val="00D44AAA"/>
    <w:rsid w:val="00D44EB8"/>
    <w:rsid w:val="00D45CFB"/>
    <w:rsid w:val="00D469F3"/>
    <w:rsid w:val="00D47399"/>
    <w:rsid w:val="00D47BB2"/>
    <w:rsid w:val="00D47D04"/>
    <w:rsid w:val="00D5056A"/>
    <w:rsid w:val="00D510A0"/>
    <w:rsid w:val="00D522CB"/>
    <w:rsid w:val="00D527EE"/>
    <w:rsid w:val="00D529C4"/>
    <w:rsid w:val="00D53929"/>
    <w:rsid w:val="00D539D0"/>
    <w:rsid w:val="00D53F2B"/>
    <w:rsid w:val="00D540DC"/>
    <w:rsid w:val="00D55616"/>
    <w:rsid w:val="00D5574C"/>
    <w:rsid w:val="00D55AD2"/>
    <w:rsid w:val="00D55DAC"/>
    <w:rsid w:val="00D56F09"/>
    <w:rsid w:val="00D57BDB"/>
    <w:rsid w:val="00D6153F"/>
    <w:rsid w:val="00D61982"/>
    <w:rsid w:val="00D61EA9"/>
    <w:rsid w:val="00D61EFF"/>
    <w:rsid w:val="00D622DF"/>
    <w:rsid w:val="00D62655"/>
    <w:rsid w:val="00D6267A"/>
    <w:rsid w:val="00D62998"/>
    <w:rsid w:val="00D647DE"/>
    <w:rsid w:val="00D64C54"/>
    <w:rsid w:val="00D6501F"/>
    <w:rsid w:val="00D6531B"/>
    <w:rsid w:val="00D65347"/>
    <w:rsid w:val="00D66751"/>
    <w:rsid w:val="00D67D12"/>
    <w:rsid w:val="00D705FF"/>
    <w:rsid w:val="00D70B0C"/>
    <w:rsid w:val="00D7145C"/>
    <w:rsid w:val="00D73146"/>
    <w:rsid w:val="00D735B5"/>
    <w:rsid w:val="00D744BC"/>
    <w:rsid w:val="00D7585A"/>
    <w:rsid w:val="00D77C53"/>
    <w:rsid w:val="00D77E96"/>
    <w:rsid w:val="00D80618"/>
    <w:rsid w:val="00D8068C"/>
    <w:rsid w:val="00D807DF"/>
    <w:rsid w:val="00D81B75"/>
    <w:rsid w:val="00D821D9"/>
    <w:rsid w:val="00D82339"/>
    <w:rsid w:val="00D82494"/>
    <w:rsid w:val="00D82FF2"/>
    <w:rsid w:val="00D83774"/>
    <w:rsid w:val="00D843EC"/>
    <w:rsid w:val="00D84A4B"/>
    <w:rsid w:val="00D856EA"/>
    <w:rsid w:val="00D90A81"/>
    <w:rsid w:val="00D90B7D"/>
    <w:rsid w:val="00D90CC7"/>
    <w:rsid w:val="00D90DCE"/>
    <w:rsid w:val="00D913ED"/>
    <w:rsid w:val="00D92168"/>
    <w:rsid w:val="00D9231C"/>
    <w:rsid w:val="00D92356"/>
    <w:rsid w:val="00D928CC"/>
    <w:rsid w:val="00D92A5E"/>
    <w:rsid w:val="00D931F2"/>
    <w:rsid w:val="00D935BD"/>
    <w:rsid w:val="00D940B5"/>
    <w:rsid w:val="00D9582D"/>
    <w:rsid w:val="00D95CB0"/>
    <w:rsid w:val="00D96326"/>
    <w:rsid w:val="00D9654F"/>
    <w:rsid w:val="00D966FE"/>
    <w:rsid w:val="00D9777E"/>
    <w:rsid w:val="00D977C0"/>
    <w:rsid w:val="00D97E14"/>
    <w:rsid w:val="00DA00A3"/>
    <w:rsid w:val="00DA0BAC"/>
    <w:rsid w:val="00DA111A"/>
    <w:rsid w:val="00DA13F3"/>
    <w:rsid w:val="00DA222E"/>
    <w:rsid w:val="00DA2DE3"/>
    <w:rsid w:val="00DA3633"/>
    <w:rsid w:val="00DA3A6E"/>
    <w:rsid w:val="00DA400B"/>
    <w:rsid w:val="00DA6443"/>
    <w:rsid w:val="00DA6B5E"/>
    <w:rsid w:val="00DA7146"/>
    <w:rsid w:val="00DA716A"/>
    <w:rsid w:val="00DA7B82"/>
    <w:rsid w:val="00DA7BDC"/>
    <w:rsid w:val="00DB0640"/>
    <w:rsid w:val="00DB1169"/>
    <w:rsid w:val="00DB1F4F"/>
    <w:rsid w:val="00DB2CD0"/>
    <w:rsid w:val="00DB37EE"/>
    <w:rsid w:val="00DB3EEC"/>
    <w:rsid w:val="00DB401F"/>
    <w:rsid w:val="00DB4450"/>
    <w:rsid w:val="00DB48C2"/>
    <w:rsid w:val="00DB4EE7"/>
    <w:rsid w:val="00DB51BC"/>
    <w:rsid w:val="00DB521D"/>
    <w:rsid w:val="00DB5574"/>
    <w:rsid w:val="00DB5803"/>
    <w:rsid w:val="00DB5971"/>
    <w:rsid w:val="00DB5D51"/>
    <w:rsid w:val="00DB5F53"/>
    <w:rsid w:val="00DB76E4"/>
    <w:rsid w:val="00DB7B69"/>
    <w:rsid w:val="00DC0A2F"/>
    <w:rsid w:val="00DC0DBE"/>
    <w:rsid w:val="00DC1A73"/>
    <w:rsid w:val="00DC223C"/>
    <w:rsid w:val="00DC2323"/>
    <w:rsid w:val="00DC234A"/>
    <w:rsid w:val="00DC41E4"/>
    <w:rsid w:val="00DC496E"/>
    <w:rsid w:val="00DC4AEC"/>
    <w:rsid w:val="00DC5116"/>
    <w:rsid w:val="00DC6544"/>
    <w:rsid w:val="00DC6B41"/>
    <w:rsid w:val="00DC791F"/>
    <w:rsid w:val="00DC7C77"/>
    <w:rsid w:val="00DC7FD5"/>
    <w:rsid w:val="00DD02FF"/>
    <w:rsid w:val="00DD1366"/>
    <w:rsid w:val="00DD15A1"/>
    <w:rsid w:val="00DD1C09"/>
    <w:rsid w:val="00DD24F9"/>
    <w:rsid w:val="00DD26EC"/>
    <w:rsid w:val="00DD2A01"/>
    <w:rsid w:val="00DD2D41"/>
    <w:rsid w:val="00DD2DFB"/>
    <w:rsid w:val="00DD3604"/>
    <w:rsid w:val="00DD3F4D"/>
    <w:rsid w:val="00DD6A41"/>
    <w:rsid w:val="00DD6F2E"/>
    <w:rsid w:val="00DD72E1"/>
    <w:rsid w:val="00DD7A1F"/>
    <w:rsid w:val="00DD7B16"/>
    <w:rsid w:val="00DD7EA2"/>
    <w:rsid w:val="00DE00F2"/>
    <w:rsid w:val="00DE117F"/>
    <w:rsid w:val="00DE2D17"/>
    <w:rsid w:val="00DE353C"/>
    <w:rsid w:val="00DE38D2"/>
    <w:rsid w:val="00DE39E2"/>
    <w:rsid w:val="00DE401C"/>
    <w:rsid w:val="00DE5954"/>
    <w:rsid w:val="00DE6E2F"/>
    <w:rsid w:val="00DE6F47"/>
    <w:rsid w:val="00DE7D13"/>
    <w:rsid w:val="00DF030C"/>
    <w:rsid w:val="00DF1EAE"/>
    <w:rsid w:val="00DF22B4"/>
    <w:rsid w:val="00DF274B"/>
    <w:rsid w:val="00DF3816"/>
    <w:rsid w:val="00DF3818"/>
    <w:rsid w:val="00DF3F94"/>
    <w:rsid w:val="00DF4369"/>
    <w:rsid w:val="00DF4C20"/>
    <w:rsid w:val="00DF557F"/>
    <w:rsid w:val="00DF5970"/>
    <w:rsid w:val="00DF5B14"/>
    <w:rsid w:val="00DF63FA"/>
    <w:rsid w:val="00DF66E2"/>
    <w:rsid w:val="00E001FD"/>
    <w:rsid w:val="00E00A1C"/>
    <w:rsid w:val="00E00D60"/>
    <w:rsid w:val="00E012CC"/>
    <w:rsid w:val="00E0147A"/>
    <w:rsid w:val="00E01CCC"/>
    <w:rsid w:val="00E0220A"/>
    <w:rsid w:val="00E0220E"/>
    <w:rsid w:val="00E02961"/>
    <w:rsid w:val="00E02A1E"/>
    <w:rsid w:val="00E02B71"/>
    <w:rsid w:val="00E02DEB"/>
    <w:rsid w:val="00E03370"/>
    <w:rsid w:val="00E03999"/>
    <w:rsid w:val="00E0399E"/>
    <w:rsid w:val="00E042A1"/>
    <w:rsid w:val="00E05CA4"/>
    <w:rsid w:val="00E05E82"/>
    <w:rsid w:val="00E069E3"/>
    <w:rsid w:val="00E07016"/>
    <w:rsid w:val="00E07425"/>
    <w:rsid w:val="00E1043E"/>
    <w:rsid w:val="00E104FA"/>
    <w:rsid w:val="00E1082A"/>
    <w:rsid w:val="00E10956"/>
    <w:rsid w:val="00E10B68"/>
    <w:rsid w:val="00E110B5"/>
    <w:rsid w:val="00E11166"/>
    <w:rsid w:val="00E11B12"/>
    <w:rsid w:val="00E12818"/>
    <w:rsid w:val="00E12887"/>
    <w:rsid w:val="00E12D39"/>
    <w:rsid w:val="00E13182"/>
    <w:rsid w:val="00E14523"/>
    <w:rsid w:val="00E14972"/>
    <w:rsid w:val="00E14CB9"/>
    <w:rsid w:val="00E151F2"/>
    <w:rsid w:val="00E15383"/>
    <w:rsid w:val="00E15C82"/>
    <w:rsid w:val="00E166F8"/>
    <w:rsid w:val="00E1738C"/>
    <w:rsid w:val="00E17797"/>
    <w:rsid w:val="00E17ECA"/>
    <w:rsid w:val="00E201C0"/>
    <w:rsid w:val="00E20560"/>
    <w:rsid w:val="00E21ABD"/>
    <w:rsid w:val="00E22775"/>
    <w:rsid w:val="00E22D28"/>
    <w:rsid w:val="00E22F81"/>
    <w:rsid w:val="00E22F87"/>
    <w:rsid w:val="00E230E3"/>
    <w:rsid w:val="00E235AE"/>
    <w:rsid w:val="00E23C97"/>
    <w:rsid w:val="00E23FF3"/>
    <w:rsid w:val="00E24727"/>
    <w:rsid w:val="00E24D5F"/>
    <w:rsid w:val="00E265A7"/>
    <w:rsid w:val="00E26FC5"/>
    <w:rsid w:val="00E27B80"/>
    <w:rsid w:val="00E30EDF"/>
    <w:rsid w:val="00E31B43"/>
    <w:rsid w:val="00E31FBA"/>
    <w:rsid w:val="00E3245D"/>
    <w:rsid w:val="00E33513"/>
    <w:rsid w:val="00E33A4F"/>
    <w:rsid w:val="00E33A8F"/>
    <w:rsid w:val="00E33B47"/>
    <w:rsid w:val="00E33F3E"/>
    <w:rsid w:val="00E341E5"/>
    <w:rsid w:val="00E34315"/>
    <w:rsid w:val="00E350D6"/>
    <w:rsid w:val="00E35A77"/>
    <w:rsid w:val="00E35D52"/>
    <w:rsid w:val="00E35FBC"/>
    <w:rsid w:val="00E3612E"/>
    <w:rsid w:val="00E36AAE"/>
    <w:rsid w:val="00E37198"/>
    <w:rsid w:val="00E3774C"/>
    <w:rsid w:val="00E41313"/>
    <w:rsid w:val="00E41773"/>
    <w:rsid w:val="00E41ACD"/>
    <w:rsid w:val="00E423D7"/>
    <w:rsid w:val="00E42FE6"/>
    <w:rsid w:val="00E43BB4"/>
    <w:rsid w:val="00E44171"/>
    <w:rsid w:val="00E44D25"/>
    <w:rsid w:val="00E44E78"/>
    <w:rsid w:val="00E460B6"/>
    <w:rsid w:val="00E46BD2"/>
    <w:rsid w:val="00E46BE2"/>
    <w:rsid w:val="00E473D4"/>
    <w:rsid w:val="00E474CF"/>
    <w:rsid w:val="00E47639"/>
    <w:rsid w:val="00E513F6"/>
    <w:rsid w:val="00E518C5"/>
    <w:rsid w:val="00E51EC6"/>
    <w:rsid w:val="00E52F3B"/>
    <w:rsid w:val="00E52F80"/>
    <w:rsid w:val="00E53D94"/>
    <w:rsid w:val="00E53DEA"/>
    <w:rsid w:val="00E53E25"/>
    <w:rsid w:val="00E53FF5"/>
    <w:rsid w:val="00E5424B"/>
    <w:rsid w:val="00E544BA"/>
    <w:rsid w:val="00E55AE0"/>
    <w:rsid w:val="00E55B64"/>
    <w:rsid w:val="00E60700"/>
    <w:rsid w:val="00E60957"/>
    <w:rsid w:val="00E616DB"/>
    <w:rsid w:val="00E61C71"/>
    <w:rsid w:val="00E62442"/>
    <w:rsid w:val="00E627A4"/>
    <w:rsid w:val="00E630ED"/>
    <w:rsid w:val="00E6437C"/>
    <w:rsid w:val="00E65237"/>
    <w:rsid w:val="00E67862"/>
    <w:rsid w:val="00E70468"/>
    <w:rsid w:val="00E70ACF"/>
    <w:rsid w:val="00E70C81"/>
    <w:rsid w:val="00E70D46"/>
    <w:rsid w:val="00E712A9"/>
    <w:rsid w:val="00E713BC"/>
    <w:rsid w:val="00E72444"/>
    <w:rsid w:val="00E72515"/>
    <w:rsid w:val="00E7410F"/>
    <w:rsid w:val="00E74CA7"/>
    <w:rsid w:val="00E74EC5"/>
    <w:rsid w:val="00E75161"/>
    <w:rsid w:val="00E764D5"/>
    <w:rsid w:val="00E76B86"/>
    <w:rsid w:val="00E773F4"/>
    <w:rsid w:val="00E8000D"/>
    <w:rsid w:val="00E809F3"/>
    <w:rsid w:val="00E80C21"/>
    <w:rsid w:val="00E820BD"/>
    <w:rsid w:val="00E8227B"/>
    <w:rsid w:val="00E82FC7"/>
    <w:rsid w:val="00E8342F"/>
    <w:rsid w:val="00E836F6"/>
    <w:rsid w:val="00E84210"/>
    <w:rsid w:val="00E844CD"/>
    <w:rsid w:val="00E84503"/>
    <w:rsid w:val="00E847A7"/>
    <w:rsid w:val="00E84FE5"/>
    <w:rsid w:val="00E85249"/>
    <w:rsid w:val="00E85F5A"/>
    <w:rsid w:val="00E86682"/>
    <w:rsid w:val="00E86E79"/>
    <w:rsid w:val="00E906B4"/>
    <w:rsid w:val="00E9095B"/>
    <w:rsid w:val="00E9145E"/>
    <w:rsid w:val="00E91B24"/>
    <w:rsid w:val="00E91B2B"/>
    <w:rsid w:val="00E926B8"/>
    <w:rsid w:val="00E927BF"/>
    <w:rsid w:val="00E93513"/>
    <w:rsid w:val="00E936DA"/>
    <w:rsid w:val="00E9399B"/>
    <w:rsid w:val="00E939A7"/>
    <w:rsid w:val="00E94008"/>
    <w:rsid w:val="00E94762"/>
    <w:rsid w:val="00E9490D"/>
    <w:rsid w:val="00E94BDB"/>
    <w:rsid w:val="00E95208"/>
    <w:rsid w:val="00E956BA"/>
    <w:rsid w:val="00E95ADF"/>
    <w:rsid w:val="00E96B52"/>
    <w:rsid w:val="00E97216"/>
    <w:rsid w:val="00E97523"/>
    <w:rsid w:val="00EA0018"/>
    <w:rsid w:val="00EA05BD"/>
    <w:rsid w:val="00EA08BE"/>
    <w:rsid w:val="00EA0A85"/>
    <w:rsid w:val="00EA14B0"/>
    <w:rsid w:val="00EA2244"/>
    <w:rsid w:val="00EA2E18"/>
    <w:rsid w:val="00EA3A02"/>
    <w:rsid w:val="00EA4DDC"/>
    <w:rsid w:val="00EA53F6"/>
    <w:rsid w:val="00EA6FA7"/>
    <w:rsid w:val="00EB067F"/>
    <w:rsid w:val="00EB17BE"/>
    <w:rsid w:val="00EB1A1B"/>
    <w:rsid w:val="00EB1F02"/>
    <w:rsid w:val="00EB2E64"/>
    <w:rsid w:val="00EB2FEF"/>
    <w:rsid w:val="00EB3290"/>
    <w:rsid w:val="00EB5BC5"/>
    <w:rsid w:val="00EB5E43"/>
    <w:rsid w:val="00EB5E9E"/>
    <w:rsid w:val="00EB6212"/>
    <w:rsid w:val="00EB69F4"/>
    <w:rsid w:val="00EB6BB5"/>
    <w:rsid w:val="00EB6E30"/>
    <w:rsid w:val="00EB7371"/>
    <w:rsid w:val="00EB73BC"/>
    <w:rsid w:val="00EB7618"/>
    <w:rsid w:val="00EB7B51"/>
    <w:rsid w:val="00EB7F93"/>
    <w:rsid w:val="00EC086C"/>
    <w:rsid w:val="00EC1720"/>
    <w:rsid w:val="00EC2DB7"/>
    <w:rsid w:val="00EC337D"/>
    <w:rsid w:val="00EC3ED1"/>
    <w:rsid w:val="00EC421C"/>
    <w:rsid w:val="00EC42D0"/>
    <w:rsid w:val="00EC481D"/>
    <w:rsid w:val="00EC590A"/>
    <w:rsid w:val="00EC638F"/>
    <w:rsid w:val="00EC68D5"/>
    <w:rsid w:val="00EC7927"/>
    <w:rsid w:val="00ED00F7"/>
    <w:rsid w:val="00ED095E"/>
    <w:rsid w:val="00ED1A0B"/>
    <w:rsid w:val="00ED27DD"/>
    <w:rsid w:val="00ED2997"/>
    <w:rsid w:val="00ED2F4D"/>
    <w:rsid w:val="00ED2F5B"/>
    <w:rsid w:val="00ED5162"/>
    <w:rsid w:val="00ED697C"/>
    <w:rsid w:val="00ED7C27"/>
    <w:rsid w:val="00EE06CA"/>
    <w:rsid w:val="00EE1E0C"/>
    <w:rsid w:val="00EE43AD"/>
    <w:rsid w:val="00EE4874"/>
    <w:rsid w:val="00EE48D6"/>
    <w:rsid w:val="00EE4A6E"/>
    <w:rsid w:val="00EE4BAB"/>
    <w:rsid w:val="00EE4D3B"/>
    <w:rsid w:val="00EE7922"/>
    <w:rsid w:val="00EE79A6"/>
    <w:rsid w:val="00EF11DF"/>
    <w:rsid w:val="00EF130D"/>
    <w:rsid w:val="00EF1356"/>
    <w:rsid w:val="00EF30E0"/>
    <w:rsid w:val="00EF3D05"/>
    <w:rsid w:val="00EF42CF"/>
    <w:rsid w:val="00EF5403"/>
    <w:rsid w:val="00EF567D"/>
    <w:rsid w:val="00EF5F11"/>
    <w:rsid w:val="00EF6111"/>
    <w:rsid w:val="00F005A0"/>
    <w:rsid w:val="00F01835"/>
    <w:rsid w:val="00F01DE9"/>
    <w:rsid w:val="00F0229D"/>
    <w:rsid w:val="00F02B1B"/>
    <w:rsid w:val="00F032BB"/>
    <w:rsid w:val="00F032C8"/>
    <w:rsid w:val="00F03567"/>
    <w:rsid w:val="00F03DD3"/>
    <w:rsid w:val="00F04BBE"/>
    <w:rsid w:val="00F06616"/>
    <w:rsid w:val="00F068BF"/>
    <w:rsid w:val="00F07002"/>
    <w:rsid w:val="00F07485"/>
    <w:rsid w:val="00F10BC6"/>
    <w:rsid w:val="00F11352"/>
    <w:rsid w:val="00F11AD0"/>
    <w:rsid w:val="00F12313"/>
    <w:rsid w:val="00F1279E"/>
    <w:rsid w:val="00F12D32"/>
    <w:rsid w:val="00F12E67"/>
    <w:rsid w:val="00F13D34"/>
    <w:rsid w:val="00F14308"/>
    <w:rsid w:val="00F14602"/>
    <w:rsid w:val="00F1498D"/>
    <w:rsid w:val="00F14DDF"/>
    <w:rsid w:val="00F152AD"/>
    <w:rsid w:val="00F15BA3"/>
    <w:rsid w:val="00F15D52"/>
    <w:rsid w:val="00F165B7"/>
    <w:rsid w:val="00F16F88"/>
    <w:rsid w:val="00F17B8D"/>
    <w:rsid w:val="00F20C9C"/>
    <w:rsid w:val="00F21827"/>
    <w:rsid w:val="00F21A00"/>
    <w:rsid w:val="00F226F1"/>
    <w:rsid w:val="00F2285F"/>
    <w:rsid w:val="00F23155"/>
    <w:rsid w:val="00F231C3"/>
    <w:rsid w:val="00F23BA7"/>
    <w:rsid w:val="00F23EE4"/>
    <w:rsid w:val="00F24236"/>
    <w:rsid w:val="00F24E0E"/>
    <w:rsid w:val="00F25111"/>
    <w:rsid w:val="00F25707"/>
    <w:rsid w:val="00F26693"/>
    <w:rsid w:val="00F26A13"/>
    <w:rsid w:val="00F27D3B"/>
    <w:rsid w:val="00F3076B"/>
    <w:rsid w:val="00F31261"/>
    <w:rsid w:val="00F31BB3"/>
    <w:rsid w:val="00F31C67"/>
    <w:rsid w:val="00F323C3"/>
    <w:rsid w:val="00F32A15"/>
    <w:rsid w:val="00F32EE6"/>
    <w:rsid w:val="00F32F3C"/>
    <w:rsid w:val="00F339EC"/>
    <w:rsid w:val="00F3443B"/>
    <w:rsid w:val="00F34FDD"/>
    <w:rsid w:val="00F35279"/>
    <w:rsid w:val="00F35F1A"/>
    <w:rsid w:val="00F36130"/>
    <w:rsid w:val="00F36278"/>
    <w:rsid w:val="00F3644F"/>
    <w:rsid w:val="00F36B71"/>
    <w:rsid w:val="00F373AE"/>
    <w:rsid w:val="00F3787D"/>
    <w:rsid w:val="00F4032F"/>
    <w:rsid w:val="00F40360"/>
    <w:rsid w:val="00F40444"/>
    <w:rsid w:val="00F40CE6"/>
    <w:rsid w:val="00F413F2"/>
    <w:rsid w:val="00F41B59"/>
    <w:rsid w:val="00F42099"/>
    <w:rsid w:val="00F423BD"/>
    <w:rsid w:val="00F425DE"/>
    <w:rsid w:val="00F431C5"/>
    <w:rsid w:val="00F432FF"/>
    <w:rsid w:val="00F456D2"/>
    <w:rsid w:val="00F45B08"/>
    <w:rsid w:val="00F46163"/>
    <w:rsid w:val="00F46431"/>
    <w:rsid w:val="00F469AD"/>
    <w:rsid w:val="00F4715C"/>
    <w:rsid w:val="00F47C9F"/>
    <w:rsid w:val="00F50CE8"/>
    <w:rsid w:val="00F51361"/>
    <w:rsid w:val="00F52330"/>
    <w:rsid w:val="00F525CE"/>
    <w:rsid w:val="00F54603"/>
    <w:rsid w:val="00F54772"/>
    <w:rsid w:val="00F54869"/>
    <w:rsid w:val="00F556B2"/>
    <w:rsid w:val="00F55ABD"/>
    <w:rsid w:val="00F565E8"/>
    <w:rsid w:val="00F56CB4"/>
    <w:rsid w:val="00F573C7"/>
    <w:rsid w:val="00F5754B"/>
    <w:rsid w:val="00F576DE"/>
    <w:rsid w:val="00F57747"/>
    <w:rsid w:val="00F578BC"/>
    <w:rsid w:val="00F60702"/>
    <w:rsid w:val="00F61266"/>
    <w:rsid w:val="00F633AC"/>
    <w:rsid w:val="00F633F1"/>
    <w:rsid w:val="00F63BF7"/>
    <w:rsid w:val="00F6453E"/>
    <w:rsid w:val="00F65215"/>
    <w:rsid w:val="00F65617"/>
    <w:rsid w:val="00F6572B"/>
    <w:rsid w:val="00F65844"/>
    <w:rsid w:val="00F65A88"/>
    <w:rsid w:val="00F66494"/>
    <w:rsid w:val="00F66ECF"/>
    <w:rsid w:val="00F700B9"/>
    <w:rsid w:val="00F7011F"/>
    <w:rsid w:val="00F710BE"/>
    <w:rsid w:val="00F712C1"/>
    <w:rsid w:val="00F72016"/>
    <w:rsid w:val="00F72DAD"/>
    <w:rsid w:val="00F736D2"/>
    <w:rsid w:val="00F754D4"/>
    <w:rsid w:val="00F75519"/>
    <w:rsid w:val="00F7564C"/>
    <w:rsid w:val="00F76220"/>
    <w:rsid w:val="00F76651"/>
    <w:rsid w:val="00F769BE"/>
    <w:rsid w:val="00F7735C"/>
    <w:rsid w:val="00F77BD5"/>
    <w:rsid w:val="00F77EDF"/>
    <w:rsid w:val="00F82E6B"/>
    <w:rsid w:val="00F82FFF"/>
    <w:rsid w:val="00F83644"/>
    <w:rsid w:val="00F83662"/>
    <w:rsid w:val="00F838C0"/>
    <w:rsid w:val="00F85F83"/>
    <w:rsid w:val="00F90852"/>
    <w:rsid w:val="00F90FC8"/>
    <w:rsid w:val="00F91049"/>
    <w:rsid w:val="00F9109B"/>
    <w:rsid w:val="00F912FD"/>
    <w:rsid w:val="00F91D43"/>
    <w:rsid w:val="00F9367F"/>
    <w:rsid w:val="00F93AF6"/>
    <w:rsid w:val="00F94AAF"/>
    <w:rsid w:val="00F95411"/>
    <w:rsid w:val="00F9619C"/>
    <w:rsid w:val="00F96339"/>
    <w:rsid w:val="00F97859"/>
    <w:rsid w:val="00F97973"/>
    <w:rsid w:val="00F97B71"/>
    <w:rsid w:val="00FA06A3"/>
    <w:rsid w:val="00FA0ED2"/>
    <w:rsid w:val="00FA2CFC"/>
    <w:rsid w:val="00FA2DDA"/>
    <w:rsid w:val="00FA34CA"/>
    <w:rsid w:val="00FA3BA7"/>
    <w:rsid w:val="00FA3E3E"/>
    <w:rsid w:val="00FA4A55"/>
    <w:rsid w:val="00FA4C66"/>
    <w:rsid w:val="00FA4D4F"/>
    <w:rsid w:val="00FA54E8"/>
    <w:rsid w:val="00FA5FE8"/>
    <w:rsid w:val="00FA668B"/>
    <w:rsid w:val="00FA67CF"/>
    <w:rsid w:val="00FA7699"/>
    <w:rsid w:val="00FB2D17"/>
    <w:rsid w:val="00FB2F69"/>
    <w:rsid w:val="00FB368B"/>
    <w:rsid w:val="00FB3742"/>
    <w:rsid w:val="00FB3A3A"/>
    <w:rsid w:val="00FB4217"/>
    <w:rsid w:val="00FB4379"/>
    <w:rsid w:val="00FB45FF"/>
    <w:rsid w:val="00FB47F5"/>
    <w:rsid w:val="00FB5492"/>
    <w:rsid w:val="00FB55D8"/>
    <w:rsid w:val="00FB5D97"/>
    <w:rsid w:val="00FB61EA"/>
    <w:rsid w:val="00FB6C7A"/>
    <w:rsid w:val="00FB732E"/>
    <w:rsid w:val="00FB79F7"/>
    <w:rsid w:val="00FC09E7"/>
    <w:rsid w:val="00FC0D7F"/>
    <w:rsid w:val="00FC1CA5"/>
    <w:rsid w:val="00FC1D8E"/>
    <w:rsid w:val="00FC2733"/>
    <w:rsid w:val="00FC2979"/>
    <w:rsid w:val="00FC3F0B"/>
    <w:rsid w:val="00FC5041"/>
    <w:rsid w:val="00FC619F"/>
    <w:rsid w:val="00FC6CDA"/>
    <w:rsid w:val="00FC6D6C"/>
    <w:rsid w:val="00FD108C"/>
    <w:rsid w:val="00FD1176"/>
    <w:rsid w:val="00FD137B"/>
    <w:rsid w:val="00FD1BEF"/>
    <w:rsid w:val="00FD1C3C"/>
    <w:rsid w:val="00FD24F6"/>
    <w:rsid w:val="00FD2A48"/>
    <w:rsid w:val="00FD2DB1"/>
    <w:rsid w:val="00FD38A8"/>
    <w:rsid w:val="00FD5348"/>
    <w:rsid w:val="00FD5AF7"/>
    <w:rsid w:val="00FD6AC8"/>
    <w:rsid w:val="00FE06DF"/>
    <w:rsid w:val="00FE0A6C"/>
    <w:rsid w:val="00FE1385"/>
    <w:rsid w:val="00FE1727"/>
    <w:rsid w:val="00FE1738"/>
    <w:rsid w:val="00FE20CA"/>
    <w:rsid w:val="00FE2BA4"/>
    <w:rsid w:val="00FE3638"/>
    <w:rsid w:val="00FE3720"/>
    <w:rsid w:val="00FE3EA1"/>
    <w:rsid w:val="00FE4196"/>
    <w:rsid w:val="00FE4535"/>
    <w:rsid w:val="00FE4818"/>
    <w:rsid w:val="00FE4CA4"/>
    <w:rsid w:val="00FE50FE"/>
    <w:rsid w:val="00FE5AE4"/>
    <w:rsid w:val="00FE5D80"/>
    <w:rsid w:val="00FE637F"/>
    <w:rsid w:val="00FE64EE"/>
    <w:rsid w:val="00FE6825"/>
    <w:rsid w:val="00FE73F7"/>
    <w:rsid w:val="00FE745E"/>
    <w:rsid w:val="00FE7865"/>
    <w:rsid w:val="00FF0366"/>
    <w:rsid w:val="00FF0BB0"/>
    <w:rsid w:val="00FF1342"/>
    <w:rsid w:val="00FF1513"/>
    <w:rsid w:val="00FF1577"/>
    <w:rsid w:val="00FF2145"/>
    <w:rsid w:val="00FF2CFB"/>
    <w:rsid w:val="00FF3334"/>
    <w:rsid w:val="00FF50AB"/>
    <w:rsid w:val="00FF5733"/>
    <w:rsid w:val="00FF59BE"/>
    <w:rsid w:val="00FF6267"/>
    <w:rsid w:val="00FF6ADB"/>
    <w:rsid w:val="00FF6C36"/>
    <w:rsid w:val="00FF73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5:docId w15:val="{4FE85E59-110A-49EF-974C-B2F8D81E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70132"/>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B70132"/>
    <w:pPr>
      <w:tabs>
        <w:tab w:val="right" w:leader="dot" w:pos="9072"/>
      </w:tabs>
    </w:pPr>
  </w:style>
  <w:style w:type="paragraph" w:styleId="32">
    <w:name w:val="toc 3"/>
    <w:basedOn w:val="a"/>
    <w:next w:val="a"/>
    <w:autoRedefine/>
    <w:uiPriority w:val="99"/>
    <w:semiHidden/>
    <w:qFormat/>
    <w:rsid w:val="00B70132"/>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ED176D"/>
    <w:pPr>
      <w:numPr>
        <w:numId w:val="8"/>
      </w:numPr>
    </w:pPr>
  </w:style>
  <w:style w:type="numbering" w:customStyle="1" w:styleId="3">
    <w:name w:val="样式3"/>
    <w:rsid w:val="00ED176D"/>
    <w:pPr>
      <w:numPr>
        <w:numId w:val="7"/>
      </w:numPr>
    </w:pPr>
  </w:style>
  <w:style w:type="numbering" w:customStyle="1" w:styleId="4">
    <w:name w:val="样式4"/>
    <w:rsid w:val="00ED176D"/>
    <w:pPr>
      <w:numPr>
        <w:numId w:val="9"/>
      </w:numPr>
    </w:pPr>
  </w:style>
  <w:style w:type="numbering" w:customStyle="1" w:styleId="2">
    <w:name w:val="样式2"/>
    <w:rsid w:val="00ED176D"/>
    <w:pPr>
      <w:numPr>
        <w:numId w:val="16"/>
      </w:numPr>
    </w:pPr>
  </w:style>
  <w:style w:type="character" w:customStyle="1" w:styleId="t1">
    <w:name w:val="t1"/>
    <w:rsid w:val="005F4B2F"/>
    <w:rPr>
      <w:color w:val="990000"/>
    </w:rPr>
  </w:style>
  <w:style w:type="character" w:styleId="af8">
    <w:name w:val="Strong"/>
    <w:basedOn w:val="a1"/>
    <w:uiPriority w:val="22"/>
    <w:qFormat/>
    <w:locked/>
    <w:rsid w:val="001A55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7211">
      <w:bodyDiv w:val="1"/>
      <w:marLeft w:val="0"/>
      <w:marRight w:val="0"/>
      <w:marTop w:val="0"/>
      <w:marBottom w:val="0"/>
      <w:divBdr>
        <w:top w:val="none" w:sz="0" w:space="0" w:color="auto"/>
        <w:left w:val="none" w:sz="0" w:space="0" w:color="auto"/>
        <w:bottom w:val="none" w:sz="0" w:space="0" w:color="auto"/>
        <w:right w:val="none" w:sz="0" w:space="0" w:color="auto"/>
      </w:divBdr>
    </w:div>
    <w:div w:id="854996135">
      <w:bodyDiv w:val="1"/>
      <w:marLeft w:val="0"/>
      <w:marRight w:val="0"/>
      <w:marTop w:val="0"/>
      <w:marBottom w:val="0"/>
      <w:divBdr>
        <w:top w:val="none" w:sz="0" w:space="0" w:color="auto"/>
        <w:left w:val="none" w:sz="0" w:space="0" w:color="auto"/>
        <w:bottom w:val="none" w:sz="0" w:space="0" w:color="auto"/>
        <w:right w:val="none" w:sz="0" w:space="0" w:color="auto"/>
      </w:divBdr>
      <w:divsChild>
        <w:div w:id="1550454553">
          <w:marLeft w:val="0"/>
          <w:marRight w:val="0"/>
          <w:marTop w:val="0"/>
          <w:marBottom w:val="0"/>
          <w:divBdr>
            <w:top w:val="none" w:sz="0" w:space="0" w:color="auto"/>
            <w:left w:val="none" w:sz="0" w:space="0" w:color="auto"/>
            <w:bottom w:val="none" w:sz="0" w:space="0" w:color="auto"/>
            <w:right w:val="none" w:sz="0" w:space="0" w:color="auto"/>
          </w:divBdr>
        </w:div>
      </w:divsChild>
    </w:div>
    <w:div w:id="1055811545">
      <w:bodyDiv w:val="1"/>
      <w:marLeft w:val="0"/>
      <w:marRight w:val="0"/>
      <w:marTop w:val="0"/>
      <w:marBottom w:val="0"/>
      <w:divBdr>
        <w:top w:val="none" w:sz="0" w:space="0" w:color="auto"/>
        <w:left w:val="none" w:sz="0" w:space="0" w:color="auto"/>
        <w:bottom w:val="none" w:sz="0" w:space="0" w:color="auto"/>
        <w:right w:val="none" w:sz="0" w:space="0" w:color="auto"/>
      </w:divBdr>
    </w:div>
    <w:div w:id="1210991680">
      <w:bodyDiv w:val="1"/>
      <w:marLeft w:val="0"/>
      <w:marRight w:val="0"/>
      <w:marTop w:val="0"/>
      <w:marBottom w:val="0"/>
      <w:divBdr>
        <w:top w:val="none" w:sz="0" w:space="0" w:color="auto"/>
        <w:left w:val="none" w:sz="0" w:space="0" w:color="auto"/>
        <w:bottom w:val="none" w:sz="0" w:space="0" w:color="auto"/>
        <w:right w:val="none" w:sz="0" w:space="0" w:color="auto"/>
      </w:divBdr>
    </w:div>
    <w:div w:id="1243877909">
      <w:bodyDiv w:val="1"/>
      <w:marLeft w:val="0"/>
      <w:marRight w:val="0"/>
      <w:marTop w:val="0"/>
      <w:marBottom w:val="0"/>
      <w:divBdr>
        <w:top w:val="none" w:sz="0" w:space="0" w:color="auto"/>
        <w:left w:val="none" w:sz="0" w:space="0" w:color="auto"/>
        <w:bottom w:val="none" w:sz="0" w:space="0" w:color="auto"/>
        <w:right w:val="none" w:sz="0" w:space="0" w:color="auto"/>
      </w:divBdr>
    </w:div>
    <w:div w:id="1751927092">
      <w:marLeft w:val="0"/>
      <w:marRight w:val="0"/>
      <w:marTop w:val="0"/>
      <w:marBottom w:val="0"/>
      <w:divBdr>
        <w:top w:val="none" w:sz="0" w:space="0" w:color="auto"/>
        <w:left w:val="none" w:sz="0" w:space="0" w:color="auto"/>
        <w:bottom w:val="none" w:sz="0" w:space="0" w:color="auto"/>
        <w:right w:val="none" w:sz="0" w:space="0" w:color="auto"/>
      </w:divBdr>
    </w:div>
    <w:div w:id="1751927093">
      <w:marLeft w:val="0"/>
      <w:marRight w:val="0"/>
      <w:marTop w:val="0"/>
      <w:marBottom w:val="0"/>
      <w:divBdr>
        <w:top w:val="none" w:sz="0" w:space="0" w:color="auto"/>
        <w:left w:val="none" w:sz="0" w:space="0" w:color="auto"/>
        <w:bottom w:val="none" w:sz="0" w:space="0" w:color="auto"/>
        <w:right w:val="none" w:sz="0" w:space="0" w:color="auto"/>
      </w:divBdr>
    </w:div>
    <w:div w:id="1751927094">
      <w:marLeft w:val="0"/>
      <w:marRight w:val="0"/>
      <w:marTop w:val="0"/>
      <w:marBottom w:val="0"/>
      <w:divBdr>
        <w:top w:val="none" w:sz="0" w:space="0" w:color="auto"/>
        <w:left w:val="none" w:sz="0" w:space="0" w:color="auto"/>
        <w:bottom w:val="none" w:sz="0" w:space="0" w:color="auto"/>
        <w:right w:val="none" w:sz="0" w:space="0" w:color="auto"/>
      </w:divBdr>
    </w:div>
    <w:div w:id="1751927095">
      <w:marLeft w:val="0"/>
      <w:marRight w:val="0"/>
      <w:marTop w:val="0"/>
      <w:marBottom w:val="0"/>
      <w:divBdr>
        <w:top w:val="none" w:sz="0" w:space="0" w:color="auto"/>
        <w:left w:val="none" w:sz="0" w:space="0" w:color="auto"/>
        <w:bottom w:val="none" w:sz="0" w:space="0" w:color="auto"/>
        <w:right w:val="none" w:sz="0" w:space="0" w:color="auto"/>
      </w:divBdr>
    </w:div>
    <w:div w:id="1751927096">
      <w:marLeft w:val="0"/>
      <w:marRight w:val="0"/>
      <w:marTop w:val="0"/>
      <w:marBottom w:val="0"/>
      <w:divBdr>
        <w:top w:val="none" w:sz="0" w:space="0" w:color="auto"/>
        <w:left w:val="none" w:sz="0" w:space="0" w:color="auto"/>
        <w:bottom w:val="none" w:sz="0" w:space="0" w:color="auto"/>
        <w:right w:val="none" w:sz="0" w:space="0" w:color="auto"/>
      </w:divBdr>
    </w:div>
    <w:div w:id="1751927097">
      <w:marLeft w:val="0"/>
      <w:marRight w:val="0"/>
      <w:marTop w:val="0"/>
      <w:marBottom w:val="0"/>
      <w:divBdr>
        <w:top w:val="none" w:sz="0" w:space="0" w:color="auto"/>
        <w:left w:val="none" w:sz="0" w:space="0" w:color="auto"/>
        <w:bottom w:val="none" w:sz="0" w:space="0" w:color="auto"/>
        <w:right w:val="none" w:sz="0" w:space="0" w:color="auto"/>
      </w:divBdr>
    </w:div>
    <w:div w:id="1751927098">
      <w:marLeft w:val="0"/>
      <w:marRight w:val="0"/>
      <w:marTop w:val="0"/>
      <w:marBottom w:val="0"/>
      <w:divBdr>
        <w:top w:val="none" w:sz="0" w:space="0" w:color="auto"/>
        <w:left w:val="none" w:sz="0" w:space="0" w:color="auto"/>
        <w:bottom w:val="none" w:sz="0" w:space="0" w:color="auto"/>
        <w:right w:val="none" w:sz="0" w:space="0" w:color="auto"/>
      </w:divBdr>
    </w:div>
    <w:div w:id="1751927099">
      <w:marLeft w:val="0"/>
      <w:marRight w:val="0"/>
      <w:marTop w:val="0"/>
      <w:marBottom w:val="0"/>
      <w:divBdr>
        <w:top w:val="none" w:sz="0" w:space="0" w:color="auto"/>
        <w:left w:val="none" w:sz="0" w:space="0" w:color="auto"/>
        <w:bottom w:val="none" w:sz="0" w:space="0" w:color="auto"/>
        <w:right w:val="none" w:sz="0" w:space="0" w:color="auto"/>
      </w:divBdr>
    </w:div>
    <w:div w:id="1751927100">
      <w:marLeft w:val="0"/>
      <w:marRight w:val="0"/>
      <w:marTop w:val="0"/>
      <w:marBottom w:val="0"/>
      <w:divBdr>
        <w:top w:val="none" w:sz="0" w:space="0" w:color="auto"/>
        <w:left w:val="none" w:sz="0" w:space="0" w:color="auto"/>
        <w:bottom w:val="none" w:sz="0" w:space="0" w:color="auto"/>
        <w:right w:val="none" w:sz="0" w:space="0" w:color="auto"/>
      </w:divBdr>
    </w:div>
    <w:div w:id="1751927101">
      <w:marLeft w:val="0"/>
      <w:marRight w:val="0"/>
      <w:marTop w:val="0"/>
      <w:marBottom w:val="0"/>
      <w:divBdr>
        <w:top w:val="none" w:sz="0" w:space="0" w:color="auto"/>
        <w:left w:val="none" w:sz="0" w:space="0" w:color="auto"/>
        <w:bottom w:val="none" w:sz="0" w:space="0" w:color="auto"/>
        <w:right w:val="none" w:sz="0" w:space="0" w:color="auto"/>
      </w:divBdr>
    </w:div>
    <w:div w:id="1751927102">
      <w:marLeft w:val="0"/>
      <w:marRight w:val="0"/>
      <w:marTop w:val="0"/>
      <w:marBottom w:val="0"/>
      <w:divBdr>
        <w:top w:val="none" w:sz="0" w:space="0" w:color="auto"/>
        <w:left w:val="none" w:sz="0" w:space="0" w:color="auto"/>
        <w:bottom w:val="none" w:sz="0" w:space="0" w:color="auto"/>
        <w:right w:val="none" w:sz="0" w:space="0" w:color="auto"/>
      </w:divBdr>
    </w:div>
    <w:div w:id="1751927103">
      <w:marLeft w:val="0"/>
      <w:marRight w:val="0"/>
      <w:marTop w:val="0"/>
      <w:marBottom w:val="0"/>
      <w:divBdr>
        <w:top w:val="none" w:sz="0" w:space="0" w:color="auto"/>
        <w:left w:val="none" w:sz="0" w:space="0" w:color="auto"/>
        <w:bottom w:val="none" w:sz="0" w:space="0" w:color="auto"/>
        <w:right w:val="none" w:sz="0" w:space="0" w:color="auto"/>
      </w:divBdr>
    </w:div>
    <w:div w:id="1751927104">
      <w:marLeft w:val="0"/>
      <w:marRight w:val="0"/>
      <w:marTop w:val="0"/>
      <w:marBottom w:val="0"/>
      <w:divBdr>
        <w:top w:val="none" w:sz="0" w:space="0" w:color="auto"/>
        <w:left w:val="none" w:sz="0" w:space="0" w:color="auto"/>
        <w:bottom w:val="none" w:sz="0" w:space="0" w:color="auto"/>
        <w:right w:val="none" w:sz="0" w:space="0" w:color="auto"/>
      </w:divBdr>
    </w:div>
    <w:div w:id="1751927105">
      <w:marLeft w:val="0"/>
      <w:marRight w:val="0"/>
      <w:marTop w:val="0"/>
      <w:marBottom w:val="0"/>
      <w:divBdr>
        <w:top w:val="none" w:sz="0" w:space="0" w:color="auto"/>
        <w:left w:val="none" w:sz="0" w:space="0" w:color="auto"/>
        <w:bottom w:val="none" w:sz="0" w:space="0" w:color="auto"/>
        <w:right w:val="none" w:sz="0" w:space="0" w:color="auto"/>
      </w:divBdr>
    </w:div>
    <w:div w:id="1751927106">
      <w:marLeft w:val="0"/>
      <w:marRight w:val="0"/>
      <w:marTop w:val="0"/>
      <w:marBottom w:val="0"/>
      <w:divBdr>
        <w:top w:val="none" w:sz="0" w:space="0" w:color="auto"/>
        <w:left w:val="none" w:sz="0" w:space="0" w:color="auto"/>
        <w:bottom w:val="none" w:sz="0" w:space="0" w:color="auto"/>
        <w:right w:val="none" w:sz="0" w:space="0" w:color="auto"/>
      </w:divBdr>
    </w:div>
    <w:div w:id="1751927107">
      <w:marLeft w:val="0"/>
      <w:marRight w:val="0"/>
      <w:marTop w:val="0"/>
      <w:marBottom w:val="0"/>
      <w:divBdr>
        <w:top w:val="none" w:sz="0" w:space="0" w:color="auto"/>
        <w:left w:val="none" w:sz="0" w:space="0" w:color="auto"/>
        <w:bottom w:val="none" w:sz="0" w:space="0" w:color="auto"/>
        <w:right w:val="none" w:sz="0" w:space="0" w:color="auto"/>
      </w:divBdr>
    </w:div>
    <w:div w:id="1751927108">
      <w:marLeft w:val="0"/>
      <w:marRight w:val="0"/>
      <w:marTop w:val="0"/>
      <w:marBottom w:val="0"/>
      <w:divBdr>
        <w:top w:val="none" w:sz="0" w:space="0" w:color="auto"/>
        <w:left w:val="none" w:sz="0" w:space="0" w:color="auto"/>
        <w:bottom w:val="none" w:sz="0" w:space="0" w:color="auto"/>
        <w:right w:val="none" w:sz="0" w:space="0" w:color="auto"/>
      </w:divBdr>
    </w:div>
    <w:div w:id="1751927109">
      <w:marLeft w:val="0"/>
      <w:marRight w:val="0"/>
      <w:marTop w:val="0"/>
      <w:marBottom w:val="0"/>
      <w:divBdr>
        <w:top w:val="none" w:sz="0" w:space="0" w:color="auto"/>
        <w:left w:val="none" w:sz="0" w:space="0" w:color="auto"/>
        <w:bottom w:val="none" w:sz="0" w:space="0" w:color="auto"/>
        <w:right w:val="none" w:sz="0" w:space="0" w:color="auto"/>
      </w:divBdr>
    </w:div>
    <w:div w:id="1751927110">
      <w:marLeft w:val="0"/>
      <w:marRight w:val="0"/>
      <w:marTop w:val="0"/>
      <w:marBottom w:val="0"/>
      <w:divBdr>
        <w:top w:val="none" w:sz="0" w:space="0" w:color="auto"/>
        <w:left w:val="none" w:sz="0" w:space="0" w:color="auto"/>
        <w:bottom w:val="none" w:sz="0" w:space="0" w:color="auto"/>
        <w:right w:val="none" w:sz="0" w:space="0" w:color="auto"/>
      </w:divBdr>
    </w:div>
    <w:div w:id="1751927111">
      <w:marLeft w:val="0"/>
      <w:marRight w:val="0"/>
      <w:marTop w:val="0"/>
      <w:marBottom w:val="0"/>
      <w:divBdr>
        <w:top w:val="none" w:sz="0" w:space="0" w:color="auto"/>
        <w:left w:val="none" w:sz="0" w:space="0" w:color="auto"/>
        <w:bottom w:val="none" w:sz="0" w:space="0" w:color="auto"/>
        <w:right w:val="none" w:sz="0" w:space="0" w:color="auto"/>
      </w:divBdr>
    </w:div>
    <w:div w:id="1751927112">
      <w:marLeft w:val="0"/>
      <w:marRight w:val="0"/>
      <w:marTop w:val="0"/>
      <w:marBottom w:val="0"/>
      <w:divBdr>
        <w:top w:val="none" w:sz="0" w:space="0" w:color="auto"/>
        <w:left w:val="none" w:sz="0" w:space="0" w:color="auto"/>
        <w:bottom w:val="none" w:sz="0" w:space="0" w:color="auto"/>
        <w:right w:val="none" w:sz="0" w:space="0" w:color="auto"/>
      </w:divBdr>
    </w:div>
    <w:div w:id="1751927113">
      <w:marLeft w:val="0"/>
      <w:marRight w:val="0"/>
      <w:marTop w:val="0"/>
      <w:marBottom w:val="0"/>
      <w:divBdr>
        <w:top w:val="none" w:sz="0" w:space="0" w:color="auto"/>
        <w:left w:val="none" w:sz="0" w:space="0" w:color="auto"/>
        <w:bottom w:val="none" w:sz="0" w:space="0" w:color="auto"/>
        <w:right w:val="none" w:sz="0" w:space="0" w:color="auto"/>
      </w:divBdr>
    </w:div>
    <w:div w:id="1751927114">
      <w:marLeft w:val="0"/>
      <w:marRight w:val="0"/>
      <w:marTop w:val="0"/>
      <w:marBottom w:val="0"/>
      <w:divBdr>
        <w:top w:val="none" w:sz="0" w:space="0" w:color="auto"/>
        <w:left w:val="none" w:sz="0" w:space="0" w:color="auto"/>
        <w:bottom w:val="none" w:sz="0" w:space="0" w:color="auto"/>
        <w:right w:val="none" w:sz="0" w:space="0" w:color="auto"/>
      </w:divBdr>
    </w:div>
    <w:div w:id="1751927115">
      <w:marLeft w:val="0"/>
      <w:marRight w:val="0"/>
      <w:marTop w:val="0"/>
      <w:marBottom w:val="0"/>
      <w:divBdr>
        <w:top w:val="none" w:sz="0" w:space="0" w:color="auto"/>
        <w:left w:val="none" w:sz="0" w:space="0" w:color="auto"/>
        <w:bottom w:val="none" w:sz="0" w:space="0" w:color="auto"/>
        <w:right w:val="none" w:sz="0" w:space="0" w:color="auto"/>
      </w:divBdr>
    </w:div>
    <w:div w:id="1751927116">
      <w:marLeft w:val="0"/>
      <w:marRight w:val="0"/>
      <w:marTop w:val="0"/>
      <w:marBottom w:val="0"/>
      <w:divBdr>
        <w:top w:val="none" w:sz="0" w:space="0" w:color="auto"/>
        <w:left w:val="none" w:sz="0" w:space="0" w:color="auto"/>
        <w:bottom w:val="none" w:sz="0" w:space="0" w:color="auto"/>
        <w:right w:val="none" w:sz="0" w:space="0" w:color="auto"/>
      </w:divBdr>
    </w:div>
    <w:div w:id="1751927117">
      <w:marLeft w:val="0"/>
      <w:marRight w:val="0"/>
      <w:marTop w:val="0"/>
      <w:marBottom w:val="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
      </w:divsChild>
    </w:div>
    <w:div w:id="1751927118">
      <w:marLeft w:val="0"/>
      <w:marRight w:val="0"/>
      <w:marTop w:val="0"/>
      <w:marBottom w:val="0"/>
      <w:divBdr>
        <w:top w:val="none" w:sz="0" w:space="0" w:color="auto"/>
        <w:left w:val="none" w:sz="0" w:space="0" w:color="auto"/>
        <w:bottom w:val="none" w:sz="0" w:space="0" w:color="auto"/>
        <w:right w:val="none" w:sz="0" w:space="0" w:color="auto"/>
      </w:divBdr>
    </w:div>
    <w:div w:id="1751927119">
      <w:marLeft w:val="0"/>
      <w:marRight w:val="0"/>
      <w:marTop w:val="0"/>
      <w:marBottom w:val="0"/>
      <w:divBdr>
        <w:top w:val="none" w:sz="0" w:space="0" w:color="auto"/>
        <w:left w:val="none" w:sz="0" w:space="0" w:color="auto"/>
        <w:bottom w:val="none" w:sz="0" w:space="0" w:color="auto"/>
        <w:right w:val="none" w:sz="0" w:space="0" w:color="auto"/>
      </w:divBdr>
    </w:div>
    <w:div w:id="1751927120">
      <w:marLeft w:val="0"/>
      <w:marRight w:val="0"/>
      <w:marTop w:val="0"/>
      <w:marBottom w:val="0"/>
      <w:divBdr>
        <w:top w:val="none" w:sz="0" w:space="0" w:color="auto"/>
        <w:left w:val="none" w:sz="0" w:space="0" w:color="auto"/>
        <w:bottom w:val="none" w:sz="0" w:space="0" w:color="auto"/>
        <w:right w:val="none" w:sz="0" w:space="0" w:color="auto"/>
      </w:divBdr>
    </w:div>
    <w:div w:id="1751927121">
      <w:marLeft w:val="0"/>
      <w:marRight w:val="0"/>
      <w:marTop w:val="0"/>
      <w:marBottom w:val="0"/>
      <w:divBdr>
        <w:top w:val="none" w:sz="0" w:space="0" w:color="auto"/>
        <w:left w:val="none" w:sz="0" w:space="0" w:color="auto"/>
        <w:bottom w:val="none" w:sz="0" w:space="0" w:color="auto"/>
        <w:right w:val="none" w:sz="0" w:space="0" w:color="auto"/>
      </w:divBdr>
    </w:div>
    <w:div w:id="1751927122">
      <w:marLeft w:val="0"/>
      <w:marRight w:val="0"/>
      <w:marTop w:val="0"/>
      <w:marBottom w:val="0"/>
      <w:divBdr>
        <w:top w:val="none" w:sz="0" w:space="0" w:color="auto"/>
        <w:left w:val="none" w:sz="0" w:space="0" w:color="auto"/>
        <w:bottom w:val="none" w:sz="0" w:space="0" w:color="auto"/>
        <w:right w:val="none" w:sz="0" w:space="0" w:color="auto"/>
      </w:divBdr>
    </w:div>
    <w:div w:id="1751927123">
      <w:marLeft w:val="0"/>
      <w:marRight w:val="0"/>
      <w:marTop w:val="0"/>
      <w:marBottom w:val="0"/>
      <w:divBdr>
        <w:top w:val="none" w:sz="0" w:space="0" w:color="auto"/>
        <w:left w:val="none" w:sz="0" w:space="0" w:color="auto"/>
        <w:bottom w:val="none" w:sz="0" w:space="0" w:color="auto"/>
        <w:right w:val="none" w:sz="0" w:space="0" w:color="auto"/>
      </w:divBdr>
    </w:div>
    <w:div w:id="1751927124">
      <w:marLeft w:val="0"/>
      <w:marRight w:val="0"/>
      <w:marTop w:val="0"/>
      <w:marBottom w:val="0"/>
      <w:divBdr>
        <w:top w:val="none" w:sz="0" w:space="0" w:color="auto"/>
        <w:left w:val="none" w:sz="0" w:space="0" w:color="auto"/>
        <w:bottom w:val="none" w:sz="0" w:space="0" w:color="auto"/>
        <w:right w:val="none" w:sz="0" w:space="0" w:color="auto"/>
      </w:divBdr>
    </w:div>
    <w:div w:id="1751927125">
      <w:marLeft w:val="0"/>
      <w:marRight w:val="0"/>
      <w:marTop w:val="0"/>
      <w:marBottom w:val="0"/>
      <w:divBdr>
        <w:top w:val="none" w:sz="0" w:space="0" w:color="auto"/>
        <w:left w:val="none" w:sz="0" w:space="0" w:color="auto"/>
        <w:bottom w:val="none" w:sz="0" w:space="0" w:color="auto"/>
        <w:right w:val="none" w:sz="0" w:space="0" w:color="auto"/>
      </w:divBdr>
    </w:div>
    <w:div w:id="1751927126">
      <w:marLeft w:val="0"/>
      <w:marRight w:val="0"/>
      <w:marTop w:val="0"/>
      <w:marBottom w:val="0"/>
      <w:divBdr>
        <w:top w:val="none" w:sz="0" w:space="0" w:color="auto"/>
        <w:left w:val="none" w:sz="0" w:space="0" w:color="auto"/>
        <w:bottom w:val="none" w:sz="0" w:space="0" w:color="auto"/>
        <w:right w:val="none" w:sz="0" w:space="0" w:color="auto"/>
      </w:divBdr>
    </w:div>
    <w:div w:id="1751927127">
      <w:marLeft w:val="0"/>
      <w:marRight w:val="0"/>
      <w:marTop w:val="0"/>
      <w:marBottom w:val="0"/>
      <w:divBdr>
        <w:top w:val="none" w:sz="0" w:space="0" w:color="auto"/>
        <w:left w:val="none" w:sz="0" w:space="0" w:color="auto"/>
        <w:bottom w:val="none" w:sz="0" w:space="0" w:color="auto"/>
        <w:right w:val="none" w:sz="0" w:space="0" w:color="auto"/>
      </w:divBdr>
    </w:div>
    <w:div w:id="1751927128">
      <w:marLeft w:val="0"/>
      <w:marRight w:val="0"/>
      <w:marTop w:val="0"/>
      <w:marBottom w:val="0"/>
      <w:divBdr>
        <w:top w:val="none" w:sz="0" w:space="0" w:color="auto"/>
        <w:left w:val="none" w:sz="0" w:space="0" w:color="auto"/>
        <w:bottom w:val="none" w:sz="0" w:space="0" w:color="auto"/>
        <w:right w:val="none" w:sz="0" w:space="0" w:color="auto"/>
      </w:divBdr>
    </w:div>
    <w:div w:id="1751927129">
      <w:marLeft w:val="0"/>
      <w:marRight w:val="0"/>
      <w:marTop w:val="0"/>
      <w:marBottom w:val="0"/>
      <w:divBdr>
        <w:top w:val="none" w:sz="0" w:space="0" w:color="auto"/>
        <w:left w:val="none" w:sz="0" w:space="0" w:color="auto"/>
        <w:bottom w:val="none" w:sz="0" w:space="0" w:color="auto"/>
        <w:right w:val="none" w:sz="0" w:space="0" w:color="auto"/>
      </w:divBdr>
    </w:div>
    <w:div w:id="1751927130">
      <w:marLeft w:val="0"/>
      <w:marRight w:val="0"/>
      <w:marTop w:val="0"/>
      <w:marBottom w:val="0"/>
      <w:divBdr>
        <w:top w:val="none" w:sz="0" w:space="0" w:color="auto"/>
        <w:left w:val="none" w:sz="0" w:space="0" w:color="auto"/>
        <w:bottom w:val="none" w:sz="0" w:space="0" w:color="auto"/>
        <w:right w:val="none" w:sz="0" w:space="0" w:color="auto"/>
      </w:divBdr>
    </w:div>
    <w:div w:id="1751927131">
      <w:marLeft w:val="0"/>
      <w:marRight w:val="0"/>
      <w:marTop w:val="0"/>
      <w:marBottom w:val="0"/>
      <w:divBdr>
        <w:top w:val="none" w:sz="0" w:space="0" w:color="auto"/>
        <w:left w:val="none" w:sz="0" w:space="0" w:color="auto"/>
        <w:bottom w:val="none" w:sz="0" w:space="0" w:color="auto"/>
        <w:right w:val="none" w:sz="0" w:space="0" w:color="auto"/>
      </w:divBdr>
    </w:div>
    <w:div w:id="1751927132">
      <w:marLeft w:val="0"/>
      <w:marRight w:val="0"/>
      <w:marTop w:val="0"/>
      <w:marBottom w:val="0"/>
      <w:divBdr>
        <w:top w:val="none" w:sz="0" w:space="0" w:color="auto"/>
        <w:left w:val="none" w:sz="0" w:space="0" w:color="auto"/>
        <w:bottom w:val="none" w:sz="0" w:space="0" w:color="auto"/>
        <w:right w:val="none" w:sz="0" w:space="0" w:color="auto"/>
      </w:divBdr>
    </w:div>
    <w:div w:id="1751927133">
      <w:marLeft w:val="0"/>
      <w:marRight w:val="0"/>
      <w:marTop w:val="0"/>
      <w:marBottom w:val="0"/>
      <w:divBdr>
        <w:top w:val="none" w:sz="0" w:space="0" w:color="auto"/>
        <w:left w:val="none" w:sz="0" w:space="0" w:color="auto"/>
        <w:bottom w:val="none" w:sz="0" w:space="0" w:color="auto"/>
        <w:right w:val="none" w:sz="0" w:space="0" w:color="auto"/>
      </w:divBdr>
    </w:div>
    <w:div w:id="1751927134">
      <w:marLeft w:val="0"/>
      <w:marRight w:val="0"/>
      <w:marTop w:val="0"/>
      <w:marBottom w:val="0"/>
      <w:divBdr>
        <w:top w:val="none" w:sz="0" w:space="0" w:color="auto"/>
        <w:left w:val="none" w:sz="0" w:space="0" w:color="auto"/>
        <w:bottom w:val="none" w:sz="0" w:space="0" w:color="auto"/>
        <w:right w:val="none" w:sz="0" w:space="0" w:color="auto"/>
      </w:divBdr>
    </w:div>
    <w:div w:id="1751927135">
      <w:marLeft w:val="0"/>
      <w:marRight w:val="0"/>
      <w:marTop w:val="0"/>
      <w:marBottom w:val="0"/>
      <w:divBdr>
        <w:top w:val="none" w:sz="0" w:space="0" w:color="auto"/>
        <w:left w:val="none" w:sz="0" w:space="0" w:color="auto"/>
        <w:bottom w:val="none" w:sz="0" w:space="0" w:color="auto"/>
        <w:right w:val="none" w:sz="0" w:space="0" w:color="auto"/>
      </w:divBdr>
    </w:div>
    <w:div w:id="1751927136">
      <w:marLeft w:val="0"/>
      <w:marRight w:val="0"/>
      <w:marTop w:val="0"/>
      <w:marBottom w:val="0"/>
      <w:divBdr>
        <w:top w:val="none" w:sz="0" w:space="0" w:color="auto"/>
        <w:left w:val="none" w:sz="0" w:space="0" w:color="auto"/>
        <w:bottom w:val="none" w:sz="0" w:space="0" w:color="auto"/>
        <w:right w:val="none" w:sz="0" w:space="0" w:color="auto"/>
      </w:divBdr>
    </w:div>
    <w:div w:id="1751927137">
      <w:marLeft w:val="0"/>
      <w:marRight w:val="0"/>
      <w:marTop w:val="0"/>
      <w:marBottom w:val="0"/>
      <w:divBdr>
        <w:top w:val="none" w:sz="0" w:space="0" w:color="auto"/>
        <w:left w:val="none" w:sz="0" w:space="0" w:color="auto"/>
        <w:bottom w:val="none" w:sz="0" w:space="0" w:color="auto"/>
        <w:right w:val="none" w:sz="0" w:space="0" w:color="auto"/>
      </w:divBdr>
    </w:div>
    <w:div w:id="1751927138">
      <w:marLeft w:val="0"/>
      <w:marRight w:val="0"/>
      <w:marTop w:val="0"/>
      <w:marBottom w:val="0"/>
      <w:divBdr>
        <w:top w:val="none" w:sz="0" w:space="0" w:color="auto"/>
        <w:left w:val="none" w:sz="0" w:space="0" w:color="auto"/>
        <w:bottom w:val="none" w:sz="0" w:space="0" w:color="auto"/>
        <w:right w:val="none" w:sz="0" w:space="0" w:color="auto"/>
      </w:divBdr>
    </w:div>
    <w:div w:id="1751927139">
      <w:marLeft w:val="0"/>
      <w:marRight w:val="0"/>
      <w:marTop w:val="0"/>
      <w:marBottom w:val="0"/>
      <w:divBdr>
        <w:top w:val="none" w:sz="0" w:space="0" w:color="auto"/>
        <w:left w:val="none" w:sz="0" w:space="0" w:color="auto"/>
        <w:bottom w:val="none" w:sz="0" w:space="0" w:color="auto"/>
        <w:right w:val="none" w:sz="0" w:space="0" w:color="auto"/>
      </w:divBdr>
    </w:div>
    <w:div w:id="1751927140">
      <w:marLeft w:val="0"/>
      <w:marRight w:val="0"/>
      <w:marTop w:val="0"/>
      <w:marBottom w:val="0"/>
      <w:divBdr>
        <w:top w:val="none" w:sz="0" w:space="0" w:color="auto"/>
        <w:left w:val="none" w:sz="0" w:space="0" w:color="auto"/>
        <w:bottom w:val="none" w:sz="0" w:space="0" w:color="auto"/>
        <w:right w:val="none" w:sz="0" w:space="0" w:color="auto"/>
      </w:divBdr>
    </w:div>
    <w:div w:id="1751927141">
      <w:marLeft w:val="0"/>
      <w:marRight w:val="0"/>
      <w:marTop w:val="0"/>
      <w:marBottom w:val="0"/>
      <w:divBdr>
        <w:top w:val="none" w:sz="0" w:space="0" w:color="auto"/>
        <w:left w:val="none" w:sz="0" w:space="0" w:color="auto"/>
        <w:bottom w:val="none" w:sz="0" w:space="0" w:color="auto"/>
        <w:right w:val="none" w:sz="0" w:space="0" w:color="auto"/>
      </w:divBdr>
    </w:div>
    <w:div w:id="1751927142">
      <w:marLeft w:val="0"/>
      <w:marRight w:val="0"/>
      <w:marTop w:val="0"/>
      <w:marBottom w:val="0"/>
      <w:divBdr>
        <w:top w:val="none" w:sz="0" w:space="0" w:color="auto"/>
        <w:left w:val="none" w:sz="0" w:space="0" w:color="auto"/>
        <w:bottom w:val="none" w:sz="0" w:space="0" w:color="auto"/>
        <w:right w:val="none" w:sz="0" w:space="0" w:color="auto"/>
      </w:divBdr>
    </w:div>
    <w:div w:id="1751927143">
      <w:marLeft w:val="0"/>
      <w:marRight w:val="0"/>
      <w:marTop w:val="0"/>
      <w:marBottom w:val="0"/>
      <w:divBdr>
        <w:top w:val="none" w:sz="0" w:space="0" w:color="auto"/>
        <w:left w:val="none" w:sz="0" w:space="0" w:color="auto"/>
        <w:bottom w:val="none" w:sz="0" w:space="0" w:color="auto"/>
        <w:right w:val="none" w:sz="0" w:space="0" w:color="auto"/>
      </w:divBdr>
    </w:div>
    <w:div w:id="1751927144">
      <w:marLeft w:val="0"/>
      <w:marRight w:val="0"/>
      <w:marTop w:val="0"/>
      <w:marBottom w:val="0"/>
      <w:divBdr>
        <w:top w:val="none" w:sz="0" w:space="0" w:color="auto"/>
        <w:left w:val="none" w:sz="0" w:space="0" w:color="auto"/>
        <w:bottom w:val="none" w:sz="0" w:space="0" w:color="auto"/>
        <w:right w:val="none" w:sz="0" w:space="0" w:color="auto"/>
      </w:divBdr>
    </w:div>
    <w:div w:id="1751927145">
      <w:marLeft w:val="0"/>
      <w:marRight w:val="0"/>
      <w:marTop w:val="0"/>
      <w:marBottom w:val="0"/>
      <w:divBdr>
        <w:top w:val="none" w:sz="0" w:space="0" w:color="auto"/>
        <w:left w:val="none" w:sz="0" w:space="0" w:color="auto"/>
        <w:bottom w:val="none" w:sz="0" w:space="0" w:color="auto"/>
        <w:right w:val="none" w:sz="0" w:space="0" w:color="auto"/>
      </w:divBdr>
    </w:div>
    <w:div w:id="1751927146">
      <w:marLeft w:val="0"/>
      <w:marRight w:val="0"/>
      <w:marTop w:val="0"/>
      <w:marBottom w:val="0"/>
      <w:divBdr>
        <w:top w:val="none" w:sz="0" w:space="0" w:color="auto"/>
        <w:left w:val="none" w:sz="0" w:space="0" w:color="auto"/>
        <w:bottom w:val="none" w:sz="0" w:space="0" w:color="auto"/>
        <w:right w:val="none" w:sz="0" w:space="0" w:color="auto"/>
      </w:divBdr>
    </w:div>
    <w:div w:id="1751927147">
      <w:marLeft w:val="0"/>
      <w:marRight w:val="0"/>
      <w:marTop w:val="0"/>
      <w:marBottom w:val="0"/>
      <w:divBdr>
        <w:top w:val="none" w:sz="0" w:space="0" w:color="auto"/>
        <w:left w:val="none" w:sz="0" w:space="0" w:color="auto"/>
        <w:bottom w:val="none" w:sz="0" w:space="0" w:color="auto"/>
        <w:right w:val="none" w:sz="0" w:space="0" w:color="auto"/>
      </w:divBdr>
    </w:div>
    <w:div w:id="1751927148">
      <w:marLeft w:val="0"/>
      <w:marRight w:val="0"/>
      <w:marTop w:val="0"/>
      <w:marBottom w:val="0"/>
      <w:divBdr>
        <w:top w:val="none" w:sz="0" w:space="0" w:color="auto"/>
        <w:left w:val="none" w:sz="0" w:space="0" w:color="auto"/>
        <w:bottom w:val="none" w:sz="0" w:space="0" w:color="auto"/>
        <w:right w:val="none" w:sz="0" w:space="0" w:color="auto"/>
      </w:divBdr>
    </w:div>
    <w:div w:id="1751927149">
      <w:marLeft w:val="0"/>
      <w:marRight w:val="0"/>
      <w:marTop w:val="0"/>
      <w:marBottom w:val="0"/>
      <w:divBdr>
        <w:top w:val="none" w:sz="0" w:space="0" w:color="auto"/>
        <w:left w:val="none" w:sz="0" w:space="0" w:color="auto"/>
        <w:bottom w:val="none" w:sz="0" w:space="0" w:color="auto"/>
        <w:right w:val="none" w:sz="0" w:space="0" w:color="auto"/>
      </w:divBdr>
    </w:div>
    <w:div w:id="1751927150">
      <w:marLeft w:val="0"/>
      <w:marRight w:val="0"/>
      <w:marTop w:val="0"/>
      <w:marBottom w:val="0"/>
      <w:divBdr>
        <w:top w:val="none" w:sz="0" w:space="0" w:color="auto"/>
        <w:left w:val="none" w:sz="0" w:space="0" w:color="auto"/>
        <w:bottom w:val="none" w:sz="0" w:space="0" w:color="auto"/>
        <w:right w:val="none" w:sz="0" w:space="0" w:color="auto"/>
      </w:divBdr>
    </w:div>
    <w:div w:id="1751927151">
      <w:marLeft w:val="0"/>
      <w:marRight w:val="0"/>
      <w:marTop w:val="0"/>
      <w:marBottom w:val="0"/>
      <w:divBdr>
        <w:top w:val="none" w:sz="0" w:space="0" w:color="auto"/>
        <w:left w:val="none" w:sz="0" w:space="0" w:color="auto"/>
        <w:bottom w:val="none" w:sz="0" w:space="0" w:color="auto"/>
        <w:right w:val="none" w:sz="0" w:space="0" w:color="auto"/>
      </w:divBdr>
    </w:div>
    <w:div w:id="1751927152">
      <w:marLeft w:val="0"/>
      <w:marRight w:val="0"/>
      <w:marTop w:val="0"/>
      <w:marBottom w:val="0"/>
      <w:divBdr>
        <w:top w:val="none" w:sz="0" w:space="0" w:color="auto"/>
        <w:left w:val="none" w:sz="0" w:space="0" w:color="auto"/>
        <w:bottom w:val="none" w:sz="0" w:space="0" w:color="auto"/>
        <w:right w:val="none" w:sz="0" w:space="0" w:color="auto"/>
      </w:divBdr>
    </w:div>
    <w:div w:id="1751927153">
      <w:marLeft w:val="0"/>
      <w:marRight w:val="0"/>
      <w:marTop w:val="0"/>
      <w:marBottom w:val="0"/>
      <w:divBdr>
        <w:top w:val="none" w:sz="0" w:space="0" w:color="auto"/>
        <w:left w:val="none" w:sz="0" w:space="0" w:color="auto"/>
        <w:bottom w:val="none" w:sz="0" w:space="0" w:color="auto"/>
        <w:right w:val="none" w:sz="0" w:space="0" w:color="auto"/>
      </w:divBdr>
    </w:div>
    <w:div w:id="1751927154">
      <w:marLeft w:val="0"/>
      <w:marRight w:val="0"/>
      <w:marTop w:val="0"/>
      <w:marBottom w:val="0"/>
      <w:divBdr>
        <w:top w:val="none" w:sz="0" w:space="0" w:color="auto"/>
        <w:left w:val="none" w:sz="0" w:space="0" w:color="auto"/>
        <w:bottom w:val="none" w:sz="0" w:space="0" w:color="auto"/>
        <w:right w:val="none" w:sz="0" w:space="0" w:color="auto"/>
      </w:divBdr>
    </w:div>
    <w:div w:id="1751927155">
      <w:marLeft w:val="0"/>
      <w:marRight w:val="0"/>
      <w:marTop w:val="0"/>
      <w:marBottom w:val="0"/>
      <w:divBdr>
        <w:top w:val="none" w:sz="0" w:space="0" w:color="auto"/>
        <w:left w:val="none" w:sz="0" w:space="0" w:color="auto"/>
        <w:bottom w:val="none" w:sz="0" w:space="0" w:color="auto"/>
        <w:right w:val="none" w:sz="0" w:space="0" w:color="auto"/>
      </w:divBdr>
    </w:div>
    <w:div w:id="1751927156">
      <w:marLeft w:val="0"/>
      <w:marRight w:val="0"/>
      <w:marTop w:val="0"/>
      <w:marBottom w:val="0"/>
      <w:divBdr>
        <w:top w:val="none" w:sz="0" w:space="0" w:color="auto"/>
        <w:left w:val="none" w:sz="0" w:space="0" w:color="auto"/>
        <w:bottom w:val="none" w:sz="0" w:space="0" w:color="auto"/>
        <w:right w:val="none" w:sz="0" w:space="0" w:color="auto"/>
      </w:divBdr>
    </w:div>
    <w:div w:id="1751927157">
      <w:marLeft w:val="0"/>
      <w:marRight w:val="0"/>
      <w:marTop w:val="0"/>
      <w:marBottom w:val="0"/>
      <w:divBdr>
        <w:top w:val="none" w:sz="0" w:space="0" w:color="auto"/>
        <w:left w:val="none" w:sz="0" w:space="0" w:color="auto"/>
        <w:bottom w:val="none" w:sz="0" w:space="0" w:color="auto"/>
        <w:right w:val="none" w:sz="0" w:space="0" w:color="auto"/>
      </w:divBdr>
    </w:div>
    <w:div w:id="1751927158">
      <w:marLeft w:val="0"/>
      <w:marRight w:val="0"/>
      <w:marTop w:val="0"/>
      <w:marBottom w:val="0"/>
      <w:divBdr>
        <w:top w:val="none" w:sz="0" w:space="0" w:color="auto"/>
        <w:left w:val="none" w:sz="0" w:space="0" w:color="auto"/>
        <w:bottom w:val="none" w:sz="0" w:space="0" w:color="auto"/>
        <w:right w:val="none" w:sz="0" w:space="0" w:color="auto"/>
      </w:divBdr>
    </w:div>
    <w:div w:id="1751927159">
      <w:marLeft w:val="0"/>
      <w:marRight w:val="0"/>
      <w:marTop w:val="0"/>
      <w:marBottom w:val="0"/>
      <w:divBdr>
        <w:top w:val="none" w:sz="0" w:space="0" w:color="auto"/>
        <w:left w:val="none" w:sz="0" w:space="0" w:color="auto"/>
        <w:bottom w:val="none" w:sz="0" w:space="0" w:color="auto"/>
        <w:right w:val="none" w:sz="0" w:space="0" w:color="auto"/>
      </w:divBdr>
    </w:div>
    <w:div w:id="1751927160">
      <w:marLeft w:val="0"/>
      <w:marRight w:val="0"/>
      <w:marTop w:val="0"/>
      <w:marBottom w:val="0"/>
      <w:divBdr>
        <w:top w:val="none" w:sz="0" w:space="0" w:color="auto"/>
        <w:left w:val="none" w:sz="0" w:space="0" w:color="auto"/>
        <w:bottom w:val="none" w:sz="0" w:space="0" w:color="auto"/>
        <w:right w:val="none" w:sz="0" w:space="0" w:color="auto"/>
      </w:divBdr>
    </w:div>
    <w:div w:id="1751927161">
      <w:marLeft w:val="0"/>
      <w:marRight w:val="0"/>
      <w:marTop w:val="0"/>
      <w:marBottom w:val="0"/>
      <w:divBdr>
        <w:top w:val="none" w:sz="0" w:space="0" w:color="auto"/>
        <w:left w:val="none" w:sz="0" w:space="0" w:color="auto"/>
        <w:bottom w:val="none" w:sz="0" w:space="0" w:color="auto"/>
        <w:right w:val="none" w:sz="0" w:space="0" w:color="auto"/>
      </w:divBdr>
    </w:div>
    <w:div w:id="1751927162">
      <w:marLeft w:val="0"/>
      <w:marRight w:val="0"/>
      <w:marTop w:val="0"/>
      <w:marBottom w:val="0"/>
      <w:divBdr>
        <w:top w:val="none" w:sz="0" w:space="0" w:color="auto"/>
        <w:left w:val="none" w:sz="0" w:space="0" w:color="auto"/>
        <w:bottom w:val="none" w:sz="0" w:space="0" w:color="auto"/>
        <w:right w:val="none" w:sz="0" w:space="0" w:color="auto"/>
      </w:divBdr>
    </w:div>
    <w:div w:id="1751927163">
      <w:marLeft w:val="0"/>
      <w:marRight w:val="0"/>
      <w:marTop w:val="0"/>
      <w:marBottom w:val="0"/>
      <w:divBdr>
        <w:top w:val="none" w:sz="0" w:space="0" w:color="auto"/>
        <w:left w:val="none" w:sz="0" w:space="0" w:color="auto"/>
        <w:bottom w:val="none" w:sz="0" w:space="0" w:color="auto"/>
        <w:right w:val="none" w:sz="0" w:space="0" w:color="auto"/>
      </w:divBdr>
    </w:div>
    <w:div w:id="1751927164">
      <w:marLeft w:val="0"/>
      <w:marRight w:val="0"/>
      <w:marTop w:val="0"/>
      <w:marBottom w:val="0"/>
      <w:divBdr>
        <w:top w:val="none" w:sz="0" w:space="0" w:color="auto"/>
        <w:left w:val="none" w:sz="0" w:space="0" w:color="auto"/>
        <w:bottom w:val="none" w:sz="0" w:space="0" w:color="auto"/>
        <w:right w:val="none" w:sz="0" w:space="0" w:color="auto"/>
      </w:divBdr>
    </w:div>
    <w:div w:id="1751927165">
      <w:marLeft w:val="0"/>
      <w:marRight w:val="0"/>
      <w:marTop w:val="0"/>
      <w:marBottom w:val="0"/>
      <w:divBdr>
        <w:top w:val="none" w:sz="0" w:space="0" w:color="auto"/>
        <w:left w:val="none" w:sz="0" w:space="0" w:color="auto"/>
        <w:bottom w:val="none" w:sz="0" w:space="0" w:color="auto"/>
        <w:right w:val="none" w:sz="0" w:space="0" w:color="auto"/>
      </w:divBdr>
    </w:div>
    <w:div w:id="1751927166">
      <w:marLeft w:val="0"/>
      <w:marRight w:val="0"/>
      <w:marTop w:val="0"/>
      <w:marBottom w:val="0"/>
      <w:divBdr>
        <w:top w:val="none" w:sz="0" w:space="0" w:color="auto"/>
        <w:left w:val="none" w:sz="0" w:space="0" w:color="auto"/>
        <w:bottom w:val="none" w:sz="0" w:space="0" w:color="auto"/>
        <w:right w:val="none" w:sz="0" w:space="0" w:color="auto"/>
      </w:divBdr>
    </w:div>
    <w:div w:id="1751927167">
      <w:marLeft w:val="0"/>
      <w:marRight w:val="0"/>
      <w:marTop w:val="0"/>
      <w:marBottom w:val="0"/>
      <w:divBdr>
        <w:top w:val="none" w:sz="0" w:space="0" w:color="auto"/>
        <w:left w:val="none" w:sz="0" w:space="0" w:color="auto"/>
        <w:bottom w:val="none" w:sz="0" w:space="0" w:color="auto"/>
        <w:right w:val="none" w:sz="0" w:space="0" w:color="auto"/>
      </w:divBdr>
    </w:div>
    <w:div w:id="1751927168">
      <w:marLeft w:val="0"/>
      <w:marRight w:val="0"/>
      <w:marTop w:val="0"/>
      <w:marBottom w:val="0"/>
      <w:divBdr>
        <w:top w:val="none" w:sz="0" w:space="0" w:color="auto"/>
        <w:left w:val="none" w:sz="0" w:space="0" w:color="auto"/>
        <w:bottom w:val="none" w:sz="0" w:space="0" w:color="auto"/>
        <w:right w:val="none" w:sz="0" w:space="0" w:color="auto"/>
      </w:divBdr>
    </w:div>
    <w:div w:id="1751927169">
      <w:marLeft w:val="0"/>
      <w:marRight w:val="0"/>
      <w:marTop w:val="0"/>
      <w:marBottom w:val="0"/>
      <w:divBdr>
        <w:top w:val="none" w:sz="0" w:space="0" w:color="auto"/>
        <w:left w:val="none" w:sz="0" w:space="0" w:color="auto"/>
        <w:bottom w:val="none" w:sz="0" w:space="0" w:color="auto"/>
        <w:right w:val="none" w:sz="0" w:space="0" w:color="auto"/>
      </w:divBdr>
    </w:div>
    <w:div w:id="1751927170">
      <w:marLeft w:val="0"/>
      <w:marRight w:val="0"/>
      <w:marTop w:val="0"/>
      <w:marBottom w:val="0"/>
      <w:divBdr>
        <w:top w:val="none" w:sz="0" w:space="0" w:color="auto"/>
        <w:left w:val="none" w:sz="0" w:space="0" w:color="auto"/>
        <w:bottom w:val="none" w:sz="0" w:space="0" w:color="auto"/>
        <w:right w:val="none" w:sz="0" w:space="0" w:color="auto"/>
      </w:divBdr>
    </w:div>
    <w:div w:id="1751927171">
      <w:marLeft w:val="0"/>
      <w:marRight w:val="0"/>
      <w:marTop w:val="0"/>
      <w:marBottom w:val="0"/>
      <w:divBdr>
        <w:top w:val="none" w:sz="0" w:space="0" w:color="auto"/>
        <w:left w:val="none" w:sz="0" w:space="0" w:color="auto"/>
        <w:bottom w:val="none" w:sz="0" w:space="0" w:color="auto"/>
        <w:right w:val="none" w:sz="0" w:space="0" w:color="auto"/>
      </w:divBdr>
    </w:div>
    <w:div w:id="1751927172">
      <w:marLeft w:val="0"/>
      <w:marRight w:val="0"/>
      <w:marTop w:val="0"/>
      <w:marBottom w:val="0"/>
      <w:divBdr>
        <w:top w:val="none" w:sz="0" w:space="0" w:color="auto"/>
        <w:left w:val="none" w:sz="0" w:space="0" w:color="auto"/>
        <w:bottom w:val="none" w:sz="0" w:space="0" w:color="auto"/>
        <w:right w:val="none" w:sz="0" w:space="0" w:color="auto"/>
      </w:divBdr>
    </w:div>
    <w:div w:id="1751927173">
      <w:marLeft w:val="0"/>
      <w:marRight w:val="0"/>
      <w:marTop w:val="0"/>
      <w:marBottom w:val="0"/>
      <w:divBdr>
        <w:top w:val="none" w:sz="0" w:space="0" w:color="auto"/>
        <w:left w:val="none" w:sz="0" w:space="0" w:color="auto"/>
        <w:bottom w:val="none" w:sz="0" w:space="0" w:color="auto"/>
        <w:right w:val="none" w:sz="0" w:space="0" w:color="auto"/>
      </w:divBdr>
    </w:div>
    <w:div w:id="1751927174">
      <w:marLeft w:val="0"/>
      <w:marRight w:val="0"/>
      <w:marTop w:val="0"/>
      <w:marBottom w:val="0"/>
      <w:divBdr>
        <w:top w:val="none" w:sz="0" w:space="0" w:color="auto"/>
        <w:left w:val="none" w:sz="0" w:space="0" w:color="auto"/>
        <w:bottom w:val="none" w:sz="0" w:space="0" w:color="auto"/>
        <w:right w:val="none" w:sz="0" w:space="0" w:color="auto"/>
      </w:divBdr>
    </w:div>
    <w:div w:id="1751927175">
      <w:marLeft w:val="0"/>
      <w:marRight w:val="0"/>
      <w:marTop w:val="0"/>
      <w:marBottom w:val="0"/>
      <w:divBdr>
        <w:top w:val="none" w:sz="0" w:space="0" w:color="auto"/>
        <w:left w:val="none" w:sz="0" w:space="0" w:color="auto"/>
        <w:bottom w:val="none" w:sz="0" w:space="0" w:color="auto"/>
        <w:right w:val="none" w:sz="0" w:space="0" w:color="auto"/>
      </w:divBdr>
    </w:div>
    <w:div w:id="1751927176">
      <w:marLeft w:val="0"/>
      <w:marRight w:val="0"/>
      <w:marTop w:val="0"/>
      <w:marBottom w:val="0"/>
      <w:divBdr>
        <w:top w:val="none" w:sz="0" w:space="0" w:color="auto"/>
        <w:left w:val="none" w:sz="0" w:space="0" w:color="auto"/>
        <w:bottom w:val="none" w:sz="0" w:space="0" w:color="auto"/>
        <w:right w:val="none" w:sz="0" w:space="0" w:color="auto"/>
      </w:divBdr>
    </w:div>
    <w:div w:id="1751927177">
      <w:marLeft w:val="0"/>
      <w:marRight w:val="0"/>
      <w:marTop w:val="0"/>
      <w:marBottom w:val="0"/>
      <w:divBdr>
        <w:top w:val="none" w:sz="0" w:space="0" w:color="auto"/>
        <w:left w:val="none" w:sz="0" w:space="0" w:color="auto"/>
        <w:bottom w:val="none" w:sz="0" w:space="0" w:color="auto"/>
        <w:right w:val="none" w:sz="0" w:space="0" w:color="auto"/>
      </w:divBdr>
    </w:div>
    <w:div w:id="1751927178">
      <w:marLeft w:val="0"/>
      <w:marRight w:val="0"/>
      <w:marTop w:val="0"/>
      <w:marBottom w:val="0"/>
      <w:divBdr>
        <w:top w:val="none" w:sz="0" w:space="0" w:color="auto"/>
        <w:left w:val="none" w:sz="0" w:space="0" w:color="auto"/>
        <w:bottom w:val="none" w:sz="0" w:space="0" w:color="auto"/>
        <w:right w:val="none" w:sz="0" w:space="0" w:color="auto"/>
      </w:divBdr>
    </w:div>
    <w:div w:id="1751927179">
      <w:marLeft w:val="0"/>
      <w:marRight w:val="0"/>
      <w:marTop w:val="0"/>
      <w:marBottom w:val="0"/>
      <w:divBdr>
        <w:top w:val="none" w:sz="0" w:space="0" w:color="auto"/>
        <w:left w:val="none" w:sz="0" w:space="0" w:color="auto"/>
        <w:bottom w:val="none" w:sz="0" w:space="0" w:color="auto"/>
        <w:right w:val="none" w:sz="0" w:space="0" w:color="auto"/>
      </w:divBdr>
    </w:div>
    <w:div w:id="1751927180">
      <w:marLeft w:val="0"/>
      <w:marRight w:val="0"/>
      <w:marTop w:val="0"/>
      <w:marBottom w:val="0"/>
      <w:divBdr>
        <w:top w:val="none" w:sz="0" w:space="0" w:color="auto"/>
        <w:left w:val="none" w:sz="0" w:space="0" w:color="auto"/>
        <w:bottom w:val="none" w:sz="0" w:space="0" w:color="auto"/>
        <w:right w:val="none" w:sz="0" w:space="0" w:color="auto"/>
      </w:divBdr>
    </w:div>
    <w:div w:id="1751927181">
      <w:marLeft w:val="0"/>
      <w:marRight w:val="0"/>
      <w:marTop w:val="0"/>
      <w:marBottom w:val="0"/>
      <w:divBdr>
        <w:top w:val="none" w:sz="0" w:space="0" w:color="auto"/>
        <w:left w:val="none" w:sz="0" w:space="0" w:color="auto"/>
        <w:bottom w:val="none" w:sz="0" w:space="0" w:color="auto"/>
        <w:right w:val="none" w:sz="0" w:space="0" w:color="auto"/>
      </w:divBdr>
    </w:div>
    <w:div w:id="1751927182">
      <w:marLeft w:val="0"/>
      <w:marRight w:val="0"/>
      <w:marTop w:val="0"/>
      <w:marBottom w:val="0"/>
      <w:divBdr>
        <w:top w:val="none" w:sz="0" w:space="0" w:color="auto"/>
        <w:left w:val="none" w:sz="0" w:space="0" w:color="auto"/>
        <w:bottom w:val="none" w:sz="0" w:space="0" w:color="auto"/>
        <w:right w:val="none" w:sz="0" w:space="0" w:color="auto"/>
      </w:divBdr>
    </w:div>
    <w:div w:id="1751927183">
      <w:marLeft w:val="0"/>
      <w:marRight w:val="0"/>
      <w:marTop w:val="0"/>
      <w:marBottom w:val="0"/>
      <w:divBdr>
        <w:top w:val="none" w:sz="0" w:space="0" w:color="auto"/>
        <w:left w:val="none" w:sz="0" w:space="0" w:color="auto"/>
        <w:bottom w:val="none" w:sz="0" w:space="0" w:color="auto"/>
        <w:right w:val="none" w:sz="0" w:space="0" w:color="auto"/>
      </w:divBdr>
    </w:div>
    <w:div w:id="1751927184">
      <w:marLeft w:val="0"/>
      <w:marRight w:val="0"/>
      <w:marTop w:val="0"/>
      <w:marBottom w:val="0"/>
      <w:divBdr>
        <w:top w:val="none" w:sz="0" w:space="0" w:color="auto"/>
        <w:left w:val="none" w:sz="0" w:space="0" w:color="auto"/>
        <w:bottom w:val="none" w:sz="0" w:space="0" w:color="auto"/>
        <w:right w:val="none" w:sz="0" w:space="0" w:color="auto"/>
      </w:divBdr>
    </w:div>
    <w:div w:id="1751927185">
      <w:marLeft w:val="0"/>
      <w:marRight w:val="0"/>
      <w:marTop w:val="0"/>
      <w:marBottom w:val="0"/>
      <w:divBdr>
        <w:top w:val="none" w:sz="0" w:space="0" w:color="auto"/>
        <w:left w:val="none" w:sz="0" w:space="0" w:color="auto"/>
        <w:bottom w:val="none" w:sz="0" w:space="0" w:color="auto"/>
        <w:right w:val="none" w:sz="0" w:space="0" w:color="auto"/>
      </w:divBdr>
    </w:div>
    <w:div w:id="1751927186">
      <w:marLeft w:val="0"/>
      <w:marRight w:val="0"/>
      <w:marTop w:val="0"/>
      <w:marBottom w:val="0"/>
      <w:divBdr>
        <w:top w:val="none" w:sz="0" w:space="0" w:color="auto"/>
        <w:left w:val="none" w:sz="0" w:space="0" w:color="auto"/>
        <w:bottom w:val="none" w:sz="0" w:space="0" w:color="auto"/>
        <w:right w:val="none" w:sz="0" w:space="0" w:color="auto"/>
      </w:divBdr>
    </w:div>
    <w:div w:id="1751927187">
      <w:marLeft w:val="0"/>
      <w:marRight w:val="0"/>
      <w:marTop w:val="0"/>
      <w:marBottom w:val="0"/>
      <w:divBdr>
        <w:top w:val="none" w:sz="0" w:space="0" w:color="auto"/>
        <w:left w:val="none" w:sz="0" w:space="0" w:color="auto"/>
        <w:bottom w:val="none" w:sz="0" w:space="0" w:color="auto"/>
        <w:right w:val="none" w:sz="0" w:space="0" w:color="auto"/>
      </w:divBdr>
    </w:div>
    <w:div w:id="1751927188">
      <w:marLeft w:val="0"/>
      <w:marRight w:val="0"/>
      <w:marTop w:val="0"/>
      <w:marBottom w:val="0"/>
      <w:divBdr>
        <w:top w:val="none" w:sz="0" w:space="0" w:color="auto"/>
        <w:left w:val="none" w:sz="0" w:space="0" w:color="auto"/>
        <w:bottom w:val="none" w:sz="0" w:space="0" w:color="auto"/>
        <w:right w:val="none" w:sz="0" w:space="0" w:color="auto"/>
      </w:divBdr>
    </w:div>
    <w:div w:id="1751927189">
      <w:marLeft w:val="0"/>
      <w:marRight w:val="0"/>
      <w:marTop w:val="0"/>
      <w:marBottom w:val="0"/>
      <w:divBdr>
        <w:top w:val="none" w:sz="0" w:space="0" w:color="auto"/>
        <w:left w:val="none" w:sz="0" w:space="0" w:color="auto"/>
        <w:bottom w:val="none" w:sz="0" w:space="0" w:color="auto"/>
        <w:right w:val="none" w:sz="0" w:space="0" w:color="auto"/>
      </w:divBdr>
    </w:div>
    <w:div w:id="1751927190">
      <w:marLeft w:val="0"/>
      <w:marRight w:val="0"/>
      <w:marTop w:val="0"/>
      <w:marBottom w:val="0"/>
      <w:divBdr>
        <w:top w:val="none" w:sz="0" w:space="0" w:color="auto"/>
        <w:left w:val="none" w:sz="0" w:space="0" w:color="auto"/>
        <w:bottom w:val="none" w:sz="0" w:space="0" w:color="auto"/>
        <w:right w:val="none" w:sz="0" w:space="0" w:color="auto"/>
      </w:divBdr>
    </w:div>
    <w:div w:id="1751927191">
      <w:marLeft w:val="0"/>
      <w:marRight w:val="0"/>
      <w:marTop w:val="0"/>
      <w:marBottom w:val="0"/>
      <w:divBdr>
        <w:top w:val="none" w:sz="0" w:space="0" w:color="auto"/>
        <w:left w:val="none" w:sz="0" w:space="0" w:color="auto"/>
        <w:bottom w:val="none" w:sz="0" w:space="0" w:color="auto"/>
        <w:right w:val="none" w:sz="0" w:space="0" w:color="auto"/>
      </w:divBdr>
    </w:div>
    <w:div w:id="1751927192">
      <w:marLeft w:val="0"/>
      <w:marRight w:val="0"/>
      <w:marTop w:val="0"/>
      <w:marBottom w:val="0"/>
      <w:divBdr>
        <w:top w:val="none" w:sz="0" w:space="0" w:color="auto"/>
        <w:left w:val="none" w:sz="0" w:space="0" w:color="auto"/>
        <w:bottom w:val="none" w:sz="0" w:space="0" w:color="auto"/>
        <w:right w:val="none" w:sz="0" w:space="0" w:color="auto"/>
      </w:divBdr>
    </w:div>
    <w:div w:id="1751927193">
      <w:marLeft w:val="0"/>
      <w:marRight w:val="0"/>
      <w:marTop w:val="0"/>
      <w:marBottom w:val="0"/>
      <w:divBdr>
        <w:top w:val="none" w:sz="0" w:space="0" w:color="auto"/>
        <w:left w:val="none" w:sz="0" w:space="0" w:color="auto"/>
        <w:bottom w:val="none" w:sz="0" w:space="0" w:color="auto"/>
        <w:right w:val="none" w:sz="0" w:space="0" w:color="auto"/>
      </w:divBdr>
    </w:div>
    <w:div w:id="1751927194">
      <w:marLeft w:val="0"/>
      <w:marRight w:val="0"/>
      <w:marTop w:val="0"/>
      <w:marBottom w:val="0"/>
      <w:divBdr>
        <w:top w:val="none" w:sz="0" w:space="0" w:color="auto"/>
        <w:left w:val="none" w:sz="0" w:space="0" w:color="auto"/>
        <w:bottom w:val="none" w:sz="0" w:space="0" w:color="auto"/>
        <w:right w:val="none" w:sz="0" w:space="0" w:color="auto"/>
      </w:divBdr>
    </w:div>
    <w:div w:id="1751927195">
      <w:marLeft w:val="0"/>
      <w:marRight w:val="0"/>
      <w:marTop w:val="0"/>
      <w:marBottom w:val="0"/>
      <w:divBdr>
        <w:top w:val="none" w:sz="0" w:space="0" w:color="auto"/>
        <w:left w:val="none" w:sz="0" w:space="0" w:color="auto"/>
        <w:bottom w:val="none" w:sz="0" w:space="0" w:color="auto"/>
        <w:right w:val="none" w:sz="0" w:space="0" w:color="auto"/>
      </w:divBdr>
    </w:div>
    <w:div w:id="1751927196">
      <w:marLeft w:val="0"/>
      <w:marRight w:val="0"/>
      <w:marTop w:val="0"/>
      <w:marBottom w:val="0"/>
      <w:divBdr>
        <w:top w:val="none" w:sz="0" w:space="0" w:color="auto"/>
        <w:left w:val="none" w:sz="0" w:space="0" w:color="auto"/>
        <w:bottom w:val="none" w:sz="0" w:space="0" w:color="auto"/>
        <w:right w:val="none" w:sz="0" w:space="0" w:color="auto"/>
      </w:divBdr>
    </w:div>
    <w:div w:id="1751927197">
      <w:marLeft w:val="0"/>
      <w:marRight w:val="0"/>
      <w:marTop w:val="0"/>
      <w:marBottom w:val="0"/>
      <w:divBdr>
        <w:top w:val="none" w:sz="0" w:space="0" w:color="auto"/>
        <w:left w:val="none" w:sz="0" w:space="0" w:color="auto"/>
        <w:bottom w:val="none" w:sz="0" w:space="0" w:color="auto"/>
        <w:right w:val="none" w:sz="0" w:space="0" w:color="auto"/>
      </w:divBdr>
    </w:div>
    <w:div w:id="1751927198">
      <w:marLeft w:val="0"/>
      <w:marRight w:val="0"/>
      <w:marTop w:val="0"/>
      <w:marBottom w:val="0"/>
      <w:divBdr>
        <w:top w:val="none" w:sz="0" w:space="0" w:color="auto"/>
        <w:left w:val="none" w:sz="0" w:space="0" w:color="auto"/>
        <w:bottom w:val="none" w:sz="0" w:space="0" w:color="auto"/>
        <w:right w:val="none" w:sz="0" w:space="0" w:color="auto"/>
      </w:divBdr>
    </w:div>
    <w:div w:id="1751927199">
      <w:marLeft w:val="0"/>
      <w:marRight w:val="0"/>
      <w:marTop w:val="0"/>
      <w:marBottom w:val="0"/>
      <w:divBdr>
        <w:top w:val="none" w:sz="0" w:space="0" w:color="auto"/>
        <w:left w:val="none" w:sz="0" w:space="0" w:color="auto"/>
        <w:bottom w:val="none" w:sz="0" w:space="0" w:color="auto"/>
        <w:right w:val="none" w:sz="0" w:space="0" w:color="auto"/>
      </w:divBdr>
    </w:div>
    <w:div w:id="1751927200">
      <w:marLeft w:val="0"/>
      <w:marRight w:val="0"/>
      <w:marTop w:val="0"/>
      <w:marBottom w:val="0"/>
      <w:divBdr>
        <w:top w:val="none" w:sz="0" w:space="0" w:color="auto"/>
        <w:left w:val="none" w:sz="0" w:space="0" w:color="auto"/>
        <w:bottom w:val="none" w:sz="0" w:space="0" w:color="auto"/>
        <w:right w:val="none" w:sz="0" w:space="0" w:color="auto"/>
      </w:divBdr>
    </w:div>
    <w:div w:id="1751927201">
      <w:marLeft w:val="0"/>
      <w:marRight w:val="0"/>
      <w:marTop w:val="0"/>
      <w:marBottom w:val="0"/>
      <w:divBdr>
        <w:top w:val="none" w:sz="0" w:space="0" w:color="auto"/>
        <w:left w:val="none" w:sz="0" w:space="0" w:color="auto"/>
        <w:bottom w:val="none" w:sz="0" w:space="0" w:color="auto"/>
        <w:right w:val="none" w:sz="0" w:space="0" w:color="auto"/>
      </w:divBdr>
    </w:div>
    <w:div w:id="1751927202">
      <w:marLeft w:val="0"/>
      <w:marRight w:val="0"/>
      <w:marTop w:val="0"/>
      <w:marBottom w:val="0"/>
      <w:divBdr>
        <w:top w:val="none" w:sz="0" w:space="0" w:color="auto"/>
        <w:left w:val="none" w:sz="0" w:space="0" w:color="auto"/>
        <w:bottom w:val="none" w:sz="0" w:space="0" w:color="auto"/>
        <w:right w:val="none" w:sz="0" w:space="0" w:color="auto"/>
      </w:divBdr>
    </w:div>
    <w:div w:id="1751927203">
      <w:marLeft w:val="0"/>
      <w:marRight w:val="0"/>
      <w:marTop w:val="0"/>
      <w:marBottom w:val="0"/>
      <w:divBdr>
        <w:top w:val="none" w:sz="0" w:space="0" w:color="auto"/>
        <w:left w:val="none" w:sz="0" w:space="0" w:color="auto"/>
        <w:bottom w:val="none" w:sz="0" w:space="0" w:color="auto"/>
        <w:right w:val="none" w:sz="0" w:space="0" w:color="auto"/>
      </w:divBdr>
    </w:div>
    <w:div w:id="1751927204">
      <w:marLeft w:val="0"/>
      <w:marRight w:val="0"/>
      <w:marTop w:val="0"/>
      <w:marBottom w:val="0"/>
      <w:divBdr>
        <w:top w:val="none" w:sz="0" w:space="0" w:color="auto"/>
        <w:left w:val="none" w:sz="0" w:space="0" w:color="auto"/>
        <w:bottom w:val="none" w:sz="0" w:space="0" w:color="auto"/>
        <w:right w:val="none" w:sz="0" w:space="0" w:color="auto"/>
      </w:divBdr>
    </w:div>
    <w:div w:id="1751927205">
      <w:marLeft w:val="0"/>
      <w:marRight w:val="0"/>
      <w:marTop w:val="0"/>
      <w:marBottom w:val="0"/>
      <w:divBdr>
        <w:top w:val="none" w:sz="0" w:space="0" w:color="auto"/>
        <w:left w:val="none" w:sz="0" w:space="0" w:color="auto"/>
        <w:bottom w:val="none" w:sz="0" w:space="0" w:color="auto"/>
        <w:right w:val="none" w:sz="0" w:space="0" w:color="auto"/>
      </w:divBdr>
    </w:div>
    <w:div w:id="1751927206">
      <w:marLeft w:val="0"/>
      <w:marRight w:val="0"/>
      <w:marTop w:val="0"/>
      <w:marBottom w:val="0"/>
      <w:divBdr>
        <w:top w:val="none" w:sz="0" w:space="0" w:color="auto"/>
        <w:left w:val="none" w:sz="0" w:space="0" w:color="auto"/>
        <w:bottom w:val="none" w:sz="0" w:space="0" w:color="auto"/>
        <w:right w:val="none" w:sz="0" w:space="0" w:color="auto"/>
      </w:divBdr>
    </w:div>
    <w:div w:id="1751927207">
      <w:marLeft w:val="0"/>
      <w:marRight w:val="0"/>
      <w:marTop w:val="0"/>
      <w:marBottom w:val="0"/>
      <w:divBdr>
        <w:top w:val="none" w:sz="0" w:space="0" w:color="auto"/>
        <w:left w:val="none" w:sz="0" w:space="0" w:color="auto"/>
        <w:bottom w:val="none" w:sz="0" w:space="0" w:color="auto"/>
        <w:right w:val="none" w:sz="0" w:space="0" w:color="auto"/>
      </w:divBdr>
    </w:div>
    <w:div w:id="1751927208">
      <w:marLeft w:val="0"/>
      <w:marRight w:val="0"/>
      <w:marTop w:val="0"/>
      <w:marBottom w:val="0"/>
      <w:divBdr>
        <w:top w:val="none" w:sz="0" w:space="0" w:color="auto"/>
        <w:left w:val="none" w:sz="0" w:space="0" w:color="auto"/>
        <w:bottom w:val="none" w:sz="0" w:space="0" w:color="auto"/>
        <w:right w:val="none" w:sz="0" w:space="0" w:color="auto"/>
      </w:divBdr>
    </w:div>
    <w:div w:id="1751927209">
      <w:marLeft w:val="0"/>
      <w:marRight w:val="0"/>
      <w:marTop w:val="0"/>
      <w:marBottom w:val="0"/>
      <w:divBdr>
        <w:top w:val="none" w:sz="0" w:space="0" w:color="auto"/>
        <w:left w:val="none" w:sz="0" w:space="0" w:color="auto"/>
        <w:bottom w:val="none" w:sz="0" w:space="0" w:color="auto"/>
        <w:right w:val="none" w:sz="0" w:space="0" w:color="auto"/>
      </w:divBdr>
    </w:div>
    <w:div w:id="1751927210">
      <w:marLeft w:val="0"/>
      <w:marRight w:val="0"/>
      <w:marTop w:val="0"/>
      <w:marBottom w:val="0"/>
      <w:divBdr>
        <w:top w:val="none" w:sz="0" w:space="0" w:color="auto"/>
        <w:left w:val="none" w:sz="0" w:space="0" w:color="auto"/>
        <w:bottom w:val="none" w:sz="0" w:space="0" w:color="auto"/>
        <w:right w:val="none" w:sz="0" w:space="0" w:color="auto"/>
      </w:divBdr>
    </w:div>
    <w:div w:id="1751927211">
      <w:marLeft w:val="0"/>
      <w:marRight w:val="0"/>
      <w:marTop w:val="0"/>
      <w:marBottom w:val="0"/>
      <w:divBdr>
        <w:top w:val="none" w:sz="0" w:space="0" w:color="auto"/>
        <w:left w:val="none" w:sz="0" w:space="0" w:color="auto"/>
        <w:bottom w:val="none" w:sz="0" w:space="0" w:color="auto"/>
        <w:right w:val="none" w:sz="0" w:space="0" w:color="auto"/>
      </w:divBdr>
    </w:div>
    <w:div w:id="1751927212">
      <w:marLeft w:val="0"/>
      <w:marRight w:val="0"/>
      <w:marTop w:val="0"/>
      <w:marBottom w:val="0"/>
      <w:divBdr>
        <w:top w:val="none" w:sz="0" w:space="0" w:color="auto"/>
        <w:left w:val="none" w:sz="0" w:space="0" w:color="auto"/>
        <w:bottom w:val="none" w:sz="0" w:space="0" w:color="auto"/>
        <w:right w:val="none" w:sz="0" w:space="0" w:color="auto"/>
      </w:divBdr>
    </w:div>
    <w:div w:id="1751927213">
      <w:marLeft w:val="0"/>
      <w:marRight w:val="0"/>
      <w:marTop w:val="0"/>
      <w:marBottom w:val="0"/>
      <w:divBdr>
        <w:top w:val="none" w:sz="0" w:space="0" w:color="auto"/>
        <w:left w:val="none" w:sz="0" w:space="0" w:color="auto"/>
        <w:bottom w:val="none" w:sz="0" w:space="0" w:color="auto"/>
        <w:right w:val="none" w:sz="0" w:space="0" w:color="auto"/>
      </w:divBdr>
    </w:div>
    <w:div w:id="1751927214">
      <w:marLeft w:val="0"/>
      <w:marRight w:val="0"/>
      <w:marTop w:val="0"/>
      <w:marBottom w:val="0"/>
      <w:divBdr>
        <w:top w:val="none" w:sz="0" w:space="0" w:color="auto"/>
        <w:left w:val="none" w:sz="0" w:space="0" w:color="auto"/>
        <w:bottom w:val="none" w:sz="0" w:space="0" w:color="auto"/>
        <w:right w:val="none" w:sz="0" w:space="0" w:color="auto"/>
      </w:divBdr>
    </w:div>
    <w:div w:id="1751927215">
      <w:marLeft w:val="0"/>
      <w:marRight w:val="0"/>
      <w:marTop w:val="0"/>
      <w:marBottom w:val="0"/>
      <w:divBdr>
        <w:top w:val="none" w:sz="0" w:space="0" w:color="auto"/>
        <w:left w:val="none" w:sz="0" w:space="0" w:color="auto"/>
        <w:bottom w:val="none" w:sz="0" w:space="0" w:color="auto"/>
        <w:right w:val="none" w:sz="0" w:space="0" w:color="auto"/>
      </w:divBdr>
    </w:div>
    <w:div w:id="1751927216">
      <w:marLeft w:val="0"/>
      <w:marRight w:val="0"/>
      <w:marTop w:val="0"/>
      <w:marBottom w:val="0"/>
      <w:divBdr>
        <w:top w:val="none" w:sz="0" w:space="0" w:color="auto"/>
        <w:left w:val="none" w:sz="0" w:space="0" w:color="auto"/>
        <w:bottom w:val="none" w:sz="0" w:space="0" w:color="auto"/>
        <w:right w:val="none" w:sz="0" w:space="0" w:color="auto"/>
      </w:divBdr>
    </w:div>
    <w:div w:id="1751927217">
      <w:marLeft w:val="0"/>
      <w:marRight w:val="0"/>
      <w:marTop w:val="0"/>
      <w:marBottom w:val="0"/>
      <w:divBdr>
        <w:top w:val="none" w:sz="0" w:space="0" w:color="auto"/>
        <w:left w:val="none" w:sz="0" w:space="0" w:color="auto"/>
        <w:bottom w:val="none" w:sz="0" w:space="0" w:color="auto"/>
        <w:right w:val="none" w:sz="0" w:space="0" w:color="auto"/>
      </w:divBdr>
    </w:div>
    <w:div w:id="1751927218">
      <w:marLeft w:val="0"/>
      <w:marRight w:val="0"/>
      <w:marTop w:val="0"/>
      <w:marBottom w:val="0"/>
      <w:divBdr>
        <w:top w:val="none" w:sz="0" w:space="0" w:color="auto"/>
        <w:left w:val="none" w:sz="0" w:space="0" w:color="auto"/>
        <w:bottom w:val="none" w:sz="0" w:space="0" w:color="auto"/>
        <w:right w:val="none" w:sz="0" w:space="0" w:color="auto"/>
      </w:divBdr>
    </w:div>
    <w:div w:id="1751927219">
      <w:marLeft w:val="0"/>
      <w:marRight w:val="0"/>
      <w:marTop w:val="0"/>
      <w:marBottom w:val="0"/>
      <w:divBdr>
        <w:top w:val="none" w:sz="0" w:space="0" w:color="auto"/>
        <w:left w:val="none" w:sz="0" w:space="0" w:color="auto"/>
        <w:bottom w:val="none" w:sz="0" w:space="0" w:color="auto"/>
        <w:right w:val="none" w:sz="0" w:space="0" w:color="auto"/>
      </w:divBdr>
    </w:div>
    <w:div w:id="1751927220">
      <w:marLeft w:val="0"/>
      <w:marRight w:val="0"/>
      <w:marTop w:val="0"/>
      <w:marBottom w:val="0"/>
      <w:divBdr>
        <w:top w:val="none" w:sz="0" w:space="0" w:color="auto"/>
        <w:left w:val="none" w:sz="0" w:space="0" w:color="auto"/>
        <w:bottom w:val="none" w:sz="0" w:space="0" w:color="auto"/>
        <w:right w:val="none" w:sz="0" w:space="0" w:color="auto"/>
      </w:divBdr>
    </w:div>
    <w:div w:id="1751927221">
      <w:marLeft w:val="0"/>
      <w:marRight w:val="0"/>
      <w:marTop w:val="0"/>
      <w:marBottom w:val="0"/>
      <w:divBdr>
        <w:top w:val="none" w:sz="0" w:space="0" w:color="auto"/>
        <w:left w:val="none" w:sz="0" w:space="0" w:color="auto"/>
        <w:bottom w:val="none" w:sz="0" w:space="0" w:color="auto"/>
        <w:right w:val="none" w:sz="0" w:space="0" w:color="auto"/>
      </w:divBdr>
    </w:div>
    <w:div w:id="1751927222">
      <w:marLeft w:val="0"/>
      <w:marRight w:val="0"/>
      <w:marTop w:val="0"/>
      <w:marBottom w:val="0"/>
      <w:divBdr>
        <w:top w:val="none" w:sz="0" w:space="0" w:color="auto"/>
        <w:left w:val="none" w:sz="0" w:space="0" w:color="auto"/>
        <w:bottom w:val="none" w:sz="0" w:space="0" w:color="auto"/>
        <w:right w:val="none" w:sz="0" w:space="0" w:color="auto"/>
      </w:divBdr>
    </w:div>
    <w:div w:id="1751927223">
      <w:marLeft w:val="0"/>
      <w:marRight w:val="0"/>
      <w:marTop w:val="0"/>
      <w:marBottom w:val="0"/>
      <w:divBdr>
        <w:top w:val="none" w:sz="0" w:space="0" w:color="auto"/>
        <w:left w:val="none" w:sz="0" w:space="0" w:color="auto"/>
        <w:bottom w:val="none" w:sz="0" w:space="0" w:color="auto"/>
        <w:right w:val="none" w:sz="0" w:space="0" w:color="auto"/>
      </w:divBdr>
    </w:div>
    <w:div w:id="1751927224">
      <w:marLeft w:val="0"/>
      <w:marRight w:val="0"/>
      <w:marTop w:val="0"/>
      <w:marBottom w:val="0"/>
      <w:divBdr>
        <w:top w:val="none" w:sz="0" w:space="0" w:color="auto"/>
        <w:left w:val="none" w:sz="0" w:space="0" w:color="auto"/>
        <w:bottom w:val="none" w:sz="0" w:space="0" w:color="auto"/>
        <w:right w:val="none" w:sz="0" w:space="0" w:color="auto"/>
      </w:divBdr>
    </w:div>
    <w:div w:id="1751927225">
      <w:marLeft w:val="0"/>
      <w:marRight w:val="0"/>
      <w:marTop w:val="0"/>
      <w:marBottom w:val="0"/>
      <w:divBdr>
        <w:top w:val="none" w:sz="0" w:space="0" w:color="auto"/>
        <w:left w:val="none" w:sz="0" w:space="0" w:color="auto"/>
        <w:bottom w:val="none" w:sz="0" w:space="0" w:color="auto"/>
        <w:right w:val="none" w:sz="0" w:space="0" w:color="auto"/>
      </w:divBdr>
    </w:div>
    <w:div w:id="1751927226">
      <w:marLeft w:val="0"/>
      <w:marRight w:val="0"/>
      <w:marTop w:val="0"/>
      <w:marBottom w:val="0"/>
      <w:divBdr>
        <w:top w:val="none" w:sz="0" w:space="0" w:color="auto"/>
        <w:left w:val="none" w:sz="0" w:space="0" w:color="auto"/>
        <w:bottom w:val="none" w:sz="0" w:space="0" w:color="auto"/>
        <w:right w:val="none" w:sz="0" w:space="0" w:color="auto"/>
      </w:divBdr>
    </w:div>
    <w:div w:id="1751927227">
      <w:marLeft w:val="0"/>
      <w:marRight w:val="0"/>
      <w:marTop w:val="0"/>
      <w:marBottom w:val="0"/>
      <w:divBdr>
        <w:top w:val="none" w:sz="0" w:space="0" w:color="auto"/>
        <w:left w:val="none" w:sz="0" w:space="0" w:color="auto"/>
        <w:bottom w:val="none" w:sz="0" w:space="0" w:color="auto"/>
        <w:right w:val="none" w:sz="0" w:space="0" w:color="auto"/>
      </w:divBdr>
    </w:div>
    <w:div w:id="1751927228">
      <w:marLeft w:val="0"/>
      <w:marRight w:val="0"/>
      <w:marTop w:val="0"/>
      <w:marBottom w:val="0"/>
      <w:divBdr>
        <w:top w:val="none" w:sz="0" w:space="0" w:color="auto"/>
        <w:left w:val="none" w:sz="0" w:space="0" w:color="auto"/>
        <w:bottom w:val="none" w:sz="0" w:space="0" w:color="auto"/>
        <w:right w:val="none" w:sz="0" w:space="0" w:color="auto"/>
      </w:divBdr>
    </w:div>
    <w:div w:id="1751927230">
      <w:marLeft w:val="0"/>
      <w:marRight w:val="0"/>
      <w:marTop w:val="0"/>
      <w:marBottom w:val="0"/>
      <w:divBdr>
        <w:top w:val="none" w:sz="0" w:space="0" w:color="auto"/>
        <w:left w:val="none" w:sz="0" w:space="0" w:color="auto"/>
        <w:bottom w:val="none" w:sz="0" w:space="0" w:color="auto"/>
        <w:right w:val="none" w:sz="0" w:space="0" w:color="auto"/>
      </w:divBdr>
    </w:div>
    <w:div w:id="1751927231">
      <w:marLeft w:val="0"/>
      <w:marRight w:val="0"/>
      <w:marTop w:val="0"/>
      <w:marBottom w:val="0"/>
      <w:divBdr>
        <w:top w:val="none" w:sz="0" w:space="0" w:color="auto"/>
        <w:left w:val="none" w:sz="0" w:space="0" w:color="auto"/>
        <w:bottom w:val="none" w:sz="0" w:space="0" w:color="auto"/>
        <w:right w:val="none" w:sz="0" w:space="0" w:color="auto"/>
      </w:divBdr>
    </w:div>
    <w:div w:id="1751927232">
      <w:marLeft w:val="0"/>
      <w:marRight w:val="0"/>
      <w:marTop w:val="0"/>
      <w:marBottom w:val="0"/>
      <w:divBdr>
        <w:top w:val="none" w:sz="0" w:space="0" w:color="auto"/>
        <w:left w:val="none" w:sz="0" w:space="0" w:color="auto"/>
        <w:bottom w:val="none" w:sz="0" w:space="0" w:color="auto"/>
        <w:right w:val="none" w:sz="0" w:space="0" w:color="auto"/>
      </w:divBdr>
    </w:div>
    <w:div w:id="1751927233">
      <w:marLeft w:val="0"/>
      <w:marRight w:val="0"/>
      <w:marTop w:val="0"/>
      <w:marBottom w:val="0"/>
      <w:divBdr>
        <w:top w:val="none" w:sz="0" w:space="0" w:color="auto"/>
        <w:left w:val="none" w:sz="0" w:space="0" w:color="auto"/>
        <w:bottom w:val="none" w:sz="0" w:space="0" w:color="auto"/>
        <w:right w:val="none" w:sz="0" w:space="0" w:color="auto"/>
      </w:divBdr>
    </w:div>
    <w:div w:id="1751927234">
      <w:marLeft w:val="0"/>
      <w:marRight w:val="0"/>
      <w:marTop w:val="0"/>
      <w:marBottom w:val="0"/>
      <w:divBdr>
        <w:top w:val="none" w:sz="0" w:space="0" w:color="auto"/>
        <w:left w:val="none" w:sz="0" w:space="0" w:color="auto"/>
        <w:bottom w:val="none" w:sz="0" w:space="0" w:color="auto"/>
        <w:right w:val="none" w:sz="0" w:space="0" w:color="auto"/>
      </w:divBdr>
    </w:div>
    <w:div w:id="1751927235">
      <w:marLeft w:val="0"/>
      <w:marRight w:val="0"/>
      <w:marTop w:val="0"/>
      <w:marBottom w:val="0"/>
      <w:divBdr>
        <w:top w:val="none" w:sz="0" w:space="0" w:color="auto"/>
        <w:left w:val="none" w:sz="0" w:space="0" w:color="auto"/>
        <w:bottom w:val="none" w:sz="0" w:space="0" w:color="auto"/>
        <w:right w:val="none" w:sz="0" w:space="0" w:color="auto"/>
      </w:divBdr>
    </w:div>
    <w:div w:id="1751927236">
      <w:marLeft w:val="0"/>
      <w:marRight w:val="0"/>
      <w:marTop w:val="0"/>
      <w:marBottom w:val="0"/>
      <w:divBdr>
        <w:top w:val="none" w:sz="0" w:space="0" w:color="auto"/>
        <w:left w:val="none" w:sz="0" w:space="0" w:color="auto"/>
        <w:bottom w:val="none" w:sz="0" w:space="0" w:color="auto"/>
        <w:right w:val="none" w:sz="0" w:space="0" w:color="auto"/>
      </w:divBdr>
    </w:div>
    <w:div w:id="1751927237">
      <w:marLeft w:val="0"/>
      <w:marRight w:val="0"/>
      <w:marTop w:val="0"/>
      <w:marBottom w:val="0"/>
      <w:divBdr>
        <w:top w:val="none" w:sz="0" w:space="0" w:color="auto"/>
        <w:left w:val="none" w:sz="0" w:space="0" w:color="auto"/>
        <w:bottom w:val="none" w:sz="0" w:space="0" w:color="auto"/>
        <w:right w:val="none" w:sz="0" w:space="0" w:color="auto"/>
      </w:divBdr>
    </w:div>
    <w:div w:id="1751927238">
      <w:marLeft w:val="0"/>
      <w:marRight w:val="0"/>
      <w:marTop w:val="0"/>
      <w:marBottom w:val="0"/>
      <w:divBdr>
        <w:top w:val="none" w:sz="0" w:space="0" w:color="auto"/>
        <w:left w:val="none" w:sz="0" w:space="0" w:color="auto"/>
        <w:bottom w:val="none" w:sz="0" w:space="0" w:color="auto"/>
        <w:right w:val="none" w:sz="0" w:space="0" w:color="auto"/>
      </w:divBdr>
    </w:div>
    <w:div w:id="1751927239">
      <w:marLeft w:val="0"/>
      <w:marRight w:val="0"/>
      <w:marTop w:val="0"/>
      <w:marBottom w:val="0"/>
      <w:divBdr>
        <w:top w:val="none" w:sz="0" w:space="0" w:color="auto"/>
        <w:left w:val="none" w:sz="0" w:space="0" w:color="auto"/>
        <w:bottom w:val="none" w:sz="0" w:space="0" w:color="auto"/>
        <w:right w:val="none" w:sz="0" w:space="0" w:color="auto"/>
      </w:divBdr>
    </w:div>
    <w:div w:id="1751927240">
      <w:marLeft w:val="0"/>
      <w:marRight w:val="0"/>
      <w:marTop w:val="0"/>
      <w:marBottom w:val="0"/>
      <w:divBdr>
        <w:top w:val="none" w:sz="0" w:space="0" w:color="auto"/>
        <w:left w:val="none" w:sz="0" w:space="0" w:color="auto"/>
        <w:bottom w:val="none" w:sz="0" w:space="0" w:color="auto"/>
        <w:right w:val="none" w:sz="0" w:space="0" w:color="auto"/>
      </w:divBdr>
    </w:div>
    <w:div w:id="1751927242">
      <w:marLeft w:val="0"/>
      <w:marRight w:val="0"/>
      <w:marTop w:val="0"/>
      <w:marBottom w:val="0"/>
      <w:divBdr>
        <w:top w:val="none" w:sz="0" w:space="0" w:color="auto"/>
        <w:left w:val="none" w:sz="0" w:space="0" w:color="auto"/>
        <w:bottom w:val="none" w:sz="0" w:space="0" w:color="auto"/>
        <w:right w:val="none" w:sz="0" w:space="0" w:color="auto"/>
      </w:divBdr>
    </w:div>
    <w:div w:id="1751927243">
      <w:marLeft w:val="0"/>
      <w:marRight w:val="0"/>
      <w:marTop w:val="0"/>
      <w:marBottom w:val="0"/>
      <w:divBdr>
        <w:top w:val="none" w:sz="0" w:space="0" w:color="auto"/>
        <w:left w:val="none" w:sz="0" w:space="0" w:color="auto"/>
        <w:bottom w:val="none" w:sz="0" w:space="0" w:color="auto"/>
        <w:right w:val="none" w:sz="0" w:space="0" w:color="auto"/>
      </w:divBdr>
    </w:div>
    <w:div w:id="1751927244">
      <w:marLeft w:val="0"/>
      <w:marRight w:val="0"/>
      <w:marTop w:val="0"/>
      <w:marBottom w:val="0"/>
      <w:divBdr>
        <w:top w:val="none" w:sz="0" w:space="0" w:color="auto"/>
        <w:left w:val="none" w:sz="0" w:space="0" w:color="auto"/>
        <w:bottom w:val="none" w:sz="0" w:space="0" w:color="auto"/>
        <w:right w:val="none" w:sz="0" w:space="0" w:color="auto"/>
      </w:divBdr>
    </w:div>
    <w:div w:id="1751927245">
      <w:marLeft w:val="0"/>
      <w:marRight w:val="0"/>
      <w:marTop w:val="0"/>
      <w:marBottom w:val="0"/>
      <w:divBdr>
        <w:top w:val="none" w:sz="0" w:space="0" w:color="auto"/>
        <w:left w:val="none" w:sz="0" w:space="0" w:color="auto"/>
        <w:bottom w:val="none" w:sz="0" w:space="0" w:color="auto"/>
        <w:right w:val="none" w:sz="0" w:space="0" w:color="auto"/>
      </w:divBdr>
    </w:div>
    <w:div w:id="1751927246">
      <w:marLeft w:val="0"/>
      <w:marRight w:val="0"/>
      <w:marTop w:val="0"/>
      <w:marBottom w:val="0"/>
      <w:divBdr>
        <w:top w:val="none" w:sz="0" w:space="0" w:color="auto"/>
        <w:left w:val="none" w:sz="0" w:space="0" w:color="auto"/>
        <w:bottom w:val="none" w:sz="0" w:space="0" w:color="auto"/>
        <w:right w:val="none" w:sz="0" w:space="0" w:color="auto"/>
      </w:divBdr>
    </w:div>
    <w:div w:id="1751927247">
      <w:marLeft w:val="0"/>
      <w:marRight w:val="0"/>
      <w:marTop w:val="0"/>
      <w:marBottom w:val="0"/>
      <w:divBdr>
        <w:top w:val="none" w:sz="0" w:space="0" w:color="auto"/>
        <w:left w:val="none" w:sz="0" w:space="0" w:color="auto"/>
        <w:bottom w:val="none" w:sz="0" w:space="0" w:color="auto"/>
        <w:right w:val="none" w:sz="0" w:space="0" w:color="auto"/>
      </w:divBdr>
    </w:div>
    <w:div w:id="1751927248">
      <w:marLeft w:val="0"/>
      <w:marRight w:val="0"/>
      <w:marTop w:val="0"/>
      <w:marBottom w:val="0"/>
      <w:divBdr>
        <w:top w:val="none" w:sz="0" w:space="0" w:color="auto"/>
        <w:left w:val="none" w:sz="0" w:space="0" w:color="auto"/>
        <w:bottom w:val="none" w:sz="0" w:space="0" w:color="auto"/>
        <w:right w:val="none" w:sz="0" w:space="0" w:color="auto"/>
      </w:divBdr>
    </w:div>
    <w:div w:id="1751927249">
      <w:marLeft w:val="0"/>
      <w:marRight w:val="0"/>
      <w:marTop w:val="0"/>
      <w:marBottom w:val="0"/>
      <w:divBdr>
        <w:top w:val="none" w:sz="0" w:space="0" w:color="auto"/>
        <w:left w:val="none" w:sz="0" w:space="0" w:color="auto"/>
        <w:bottom w:val="none" w:sz="0" w:space="0" w:color="auto"/>
        <w:right w:val="none" w:sz="0" w:space="0" w:color="auto"/>
      </w:divBdr>
    </w:div>
    <w:div w:id="1751927250">
      <w:marLeft w:val="0"/>
      <w:marRight w:val="0"/>
      <w:marTop w:val="0"/>
      <w:marBottom w:val="0"/>
      <w:divBdr>
        <w:top w:val="none" w:sz="0" w:space="0" w:color="auto"/>
        <w:left w:val="none" w:sz="0" w:space="0" w:color="auto"/>
        <w:bottom w:val="none" w:sz="0" w:space="0" w:color="auto"/>
        <w:right w:val="none" w:sz="0" w:space="0" w:color="auto"/>
      </w:divBdr>
    </w:div>
    <w:div w:id="1751927251">
      <w:marLeft w:val="0"/>
      <w:marRight w:val="0"/>
      <w:marTop w:val="0"/>
      <w:marBottom w:val="0"/>
      <w:divBdr>
        <w:top w:val="none" w:sz="0" w:space="0" w:color="auto"/>
        <w:left w:val="none" w:sz="0" w:space="0" w:color="auto"/>
        <w:bottom w:val="none" w:sz="0" w:space="0" w:color="auto"/>
        <w:right w:val="none" w:sz="0" w:space="0" w:color="auto"/>
      </w:divBdr>
    </w:div>
    <w:div w:id="1751927252">
      <w:marLeft w:val="0"/>
      <w:marRight w:val="0"/>
      <w:marTop w:val="0"/>
      <w:marBottom w:val="0"/>
      <w:divBdr>
        <w:top w:val="none" w:sz="0" w:space="0" w:color="auto"/>
        <w:left w:val="none" w:sz="0" w:space="0" w:color="auto"/>
        <w:bottom w:val="none" w:sz="0" w:space="0" w:color="auto"/>
        <w:right w:val="none" w:sz="0" w:space="0" w:color="auto"/>
      </w:divBdr>
    </w:div>
    <w:div w:id="1751927253">
      <w:marLeft w:val="0"/>
      <w:marRight w:val="0"/>
      <w:marTop w:val="0"/>
      <w:marBottom w:val="0"/>
      <w:divBdr>
        <w:top w:val="none" w:sz="0" w:space="0" w:color="auto"/>
        <w:left w:val="none" w:sz="0" w:space="0" w:color="auto"/>
        <w:bottom w:val="none" w:sz="0" w:space="0" w:color="auto"/>
        <w:right w:val="none" w:sz="0" w:space="0" w:color="auto"/>
      </w:divBdr>
    </w:div>
    <w:div w:id="1751927254">
      <w:marLeft w:val="0"/>
      <w:marRight w:val="0"/>
      <w:marTop w:val="0"/>
      <w:marBottom w:val="0"/>
      <w:divBdr>
        <w:top w:val="none" w:sz="0" w:space="0" w:color="auto"/>
        <w:left w:val="none" w:sz="0" w:space="0" w:color="auto"/>
        <w:bottom w:val="none" w:sz="0" w:space="0" w:color="auto"/>
        <w:right w:val="none" w:sz="0" w:space="0" w:color="auto"/>
      </w:divBdr>
    </w:div>
    <w:div w:id="1751927255">
      <w:marLeft w:val="0"/>
      <w:marRight w:val="0"/>
      <w:marTop w:val="0"/>
      <w:marBottom w:val="0"/>
      <w:divBdr>
        <w:top w:val="none" w:sz="0" w:space="0" w:color="auto"/>
        <w:left w:val="none" w:sz="0" w:space="0" w:color="auto"/>
        <w:bottom w:val="none" w:sz="0" w:space="0" w:color="auto"/>
        <w:right w:val="none" w:sz="0" w:space="0" w:color="auto"/>
      </w:divBdr>
    </w:div>
    <w:div w:id="1751927256">
      <w:marLeft w:val="0"/>
      <w:marRight w:val="0"/>
      <w:marTop w:val="0"/>
      <w:marBottom w:val="0"/>
      <w:divBdr>
        <w:top w:val="none" w:sz="0" w:space="0" w:color="auto"/>
        <w:left w:val="none" w:sz="0" w:space="0" w:color="auto"/>
        <w:bottom w:val="none" w:sz="0" w:space="0" w:color="auto"/>
        <w:right w:val="none" w:sz="0" w:space="0" w:color="auto"/>
      </w:divBdr>
    </w:div>
    <w:div w:id="1751927257">
      <w:marLeft w:val="0"/>
      <w:marRight w:val="0"/>
      <w:marTop w:val="0"/>
      <w:marBottom w:val="0"/>
      <w:divBdr>
        <w:top w:val="none" w:sz="0" w:space="0" w:color="auto"/>
        <w:left w:val="none" w:sz="0" w:space="0" w:color="auto"/>
        <w:bottom w:val="none" w:sz="0" w:space="0" w:color="auto"/>
        <w:right w:val="none" w:sz="0" w:space="0" w:color="auto"/>
      </w:divBdr>
    </w:div>
    <w:div w:id="1751927258">
      <w:marLeft w:val="0"/>
      <w:marRight w:val="0"/>
      <w:marTop w:val="0"/>
      <w:marBottom w:val="0"/>
      <w:divBdr>
        <w:top w:val="none" w:sz="0" w:space="0" w:color="auto"/>
        <w:left w:val="none" w:sz="0" w:space="0" w:color="auto"/>
        <w:bottom w:val="none" w:sz="0" w:space="0" w:color="auto"/>
        <w:right w:val="none" w:sz="0" w:space="0" w:color="auto"/>
      </w:divBdr>
    </w:div>
    <w:div w:id="1751927259">
      <w:marLeft w:val="0"/>
      <w:marRight w:val="0"/>
      <w:marTop w:val="0"/>
      <w:marBottom w:val="0"/>
      <w:divBdr>
        <w:top w:val="none" w:sz="0" w:space="0" w:color="auto"/>
        <w:left w:val="none" w:sz="0" w:space="0" w:color="auto"/>
        <w:bottom w:val="none" w:sz="0" w:space="0" w:color="auto"/>
        <w:right w:val="none" w:sz="0" w:space="0" w:color="auto"/>
      </w:divBdr>
    </w:div>
    <w:div w:id="1751927260">
      <w:marLeft w:val="0"/>
      <w:marRight w:val="0"/>
      <w:marTop w:val="0"/>
      <w:marBottom w:val="0"/>
      <w:divBdr>
        <w:top w:val="none" w:sz="0" w:space="0" w:color="auto"/>
        <w:left w:val="none" w:sz="0" w:space="0" w:color="auto"/>
        <w:bottom w:val="none" w:sz="0" w:space="0" w:color="auto"/>
        <w:right w:val="none" w:sz="0" w:space="0" w:color="auto"/>
      </w:divBdr>
    </w:div>
    <w:div w:id="1751927261">
      <w:marLeft w:val="0"/>
      <w:marRight w:val="0"/>
      <w:marTop w:val="0"/>
      <w:marBottom w:val="0"/>
      <w:divBdr>
        <w:top w:val="none" w:sz="0" w:space="0" w:color="auto"/>
        <w:left w:val="none" w:sz="0" w:space="0" w:color="auto"/>
        <w:bottom w:val="none" w:sz="0" w:space="0" w:color="auto"/>
        <w:right w:val="none" w:sz="0" w:space="0" w:color="auto"/>
      </w:divBdr>
    </w:div>
    <w:div w:id="1751927262">
      <w:marLeft w:val="0"/>
      <w:marRight w:val="0"/>
      <w:marTop w:val="0"/>
      <w:marBottom w:val="0"/>
      <w:divBdr>
        <w:top w:val="none" w:sz="0" w:space="0" w:color="auto"/>
        <w:left w:val="none" w:sz="0" w:space="0" w:color="auto"/>
        <w:bottom w:val="none" w:sz="0" w:space="0" w:color="auto"/>
        <w:right w:val="none" w:sz="0" w:space="0" w:color="auto"/>
      </w:divBdr>
    </w:div>
    <w:div w:id="1751927263">
      <w:marLeft w:val="0"/>
      <w:marRight w:val="0"/>
      <w:marTop w:val="0"/>
      <w:marBottom w:val="0"/>
      <w:divBdr>
        <w:top w:val="none" w:sz="0" w:space="0" w:color="auto"/>
        <w:left w:val="none" w:sz="0" w:space="0" w:color="auto"/>
        <w:bottom w:val="none" w:sz="0" w:space="0" w:color="auto"/>
        <w:right w:val="none" w:sz="0" w:space="0" w:color="auto"/>
      </w:divBdr>
    </w:div>
    <w:div w:id="1751927264">
      <w:marLeft w:val="0"/>
      <w:marRight w:val="0"/>
      <w:marTop w:val="0"/>
      <w:marBottom w:val="0"/>
      <w:divBdr>
        <w:top w:val="none" w:sz="0" w:space="0" w:color="auto"/>
        <w:left w:val="none" w:sz="0" w:space="0" w:color="auto"/>
        <w:bottom w:val="none" w:sz="0" w:space="0" w:color="auto"/>
        <w:right w:val="none" w:sz="0" w:space="0" w:color="auto"/>
      </w:divBdr>
    </w:div>
    <w:div w:id="1751927265">
      <w:marLeft w:val="0"/>
      <w:marRight w:val="0"/>
      <w:marTop w:val="0"/>
      <w:marBottom w:val="0"/>
      <w:divBdr>
        <w:top w:val="none" w:sz="0" w:space="0" w:color="auto"/>
        <w:left w:val="none" w:sz="0" w:space="0" w:color="auto"/>
        <w:bottom w:val="none" w:sz="0" w:space="0" w:color="auto"/>
        <w:right w:val="none" w:sz="0" w:space="0" w:color="auto"/>
      </w:divBdr>
    </w:div>
    <w:div w:id="1751927266">
      <w:marLeft w:val="0"/>
      <w:marRight w:val="0"/>
      <w:marTop w:val="0"/>
      <w:marBottom w:val="0"/>
      <w:divBdr>
        <w:top w:val="none" w:sz="0" w:space="0" w:color="auto"/>
        <w:left w:val="none" w:sz="0" w:space="0" w:color="auto"/>
        <w:bottom w:val="none" w:sz="0" w:space="0" w:color="auto"/>
        <w:right w:val="none" w:sz="0" w:space="0" w:color="auto"/>
      </w:divBdr>
    </w:div>
    <w:div w:id="1751927267">
      <w:marLeft w:val="0"/>
      <w:marRight w:val="0"/>
      <w:marTop w:val="0"/>
      <w:marBottom w:val="0"/>
      <w:divBdr>
        <w:top w:val="none" w:sz="0" w:space="0" w:color="auto"/>
        <w:left w:val="none" w:sz="0" w:space="0" w:color="auto"/>
        <w:bottom w:val="none" w:sz="0" w:space="0" w:color="auto"/>
        <w:right w:val="none" w:sz="0" w:space="0" w:color="auto"/>
      </w:divBdr>
    </w:div>
    <w:div w:id="1751927268">
      <w:marLeft w:val="0"/>
      <w:marRight w:val="0"/>
      <w:marTop w:val="0"/>
      <w:marBottom w:val="0"/>
      <w:divBdr>
        <w:top w:val="none" w:sz="0" w:space="0" w:color="auto"/>
        <w:left w:val="none" w:sz="0" w:space="0" w:color="auto"/>
        <w:bottom w:val="none" w:sz="0" w:space="0" w:color="auto"/>
        <w:right w:val="none" w:sz="0" w:space="0" w:color="auto"/>
      </w:divBdr>
    </w:div>
    <w:div w:id="1751927269">
      <w:marLeft w:val="0"/>
      <w:marRight w:val="0"/>
      <w:marTop w:val="0"/>
      <w:marBottom w:val="0"/>
      <w:divBdr>
        <w:top w:val="none" w:sz="0" w:space="0" w:color="auto"/>
        <w:left w:val="none" w:sz="0" w:space="0" w:color="auto"/>
        <w:bottom w:val="none" w:sz="0" w:space="0" w:color="auto"/>
        <w:right w:val="none" w:sz="0" w:space="0" w:color="auto"/>
      </w:divBdr>
    </w:div>
    <w:div w:id="1751927270">
      <w:marLeft w:val="0"/>
      <w:marRight w:val="0"/>
      <w:marTop w:val="0"/>
      <w:marBottom w:val="0"/>
      <w:divBdr>
        <w:top w:val="none" w:sz="0" w:space="0" w:color="auto"/>
        <w:left w:val="none" w:sz="0" w:space="0" w:color="auto"/>
        <w:bottom w:val="none" w:sz="0" w:space="0" w:color="auto"/>
        <w:right w:val="none" w:sz="0" w:space="0" w:color="auto"/>
      </w:divBdr>
    </w:div>
    <w:div w:id="1751927271">
      <w:marLeft w:val="0"/>
      <w:marRight w:val="0"/>
      <w:marTop w:val="0"/>
      <w:marBottom w:val="0"/>
      <w:divBdr>
        <w:top w:val="none" w:sz="0" w:space="0" w:color="auto"/>
        <w:left w:val="none" w:sz="0" w:space="0" w:color="auto"/>
        <w:bottom w:val="none" w:sz="0" w:space="0" w:color="auto"/>
        <w:right w:val="none" w:sz="0" w:space="0" w:color="auto"/>
      </w:divBdr>
    </w:div>
    <w:div w:id="1751927272">
      <w:marLeft w:val="0"/>
      <w:marRight w:val="0"/>
      <w:marTop w:val="0"/>
      <w:marBottom w:val="0"/>
      <w:divBdr>
        <w:top w:val="none" w:sz="0" w:space="0" w:color="auto"/>
        <w:left w:val="none" w:sz="0" w:space="0" w:color="auto"/>
        <w:bottom w:val="none" w:sz="0" w:space="0" w:color="auto"/>
        <w:right w:val="none" w:sz="0" w:space="0" w:color="auto"/>
      </w:divBdr>
    </w:div>
    <w:div w:id="1751927273">
      <w:marLeft w:val="0"/>
      <w:marRight w:val="0"/>
      <w:marTop w:val="0"/>
      <w:marBottom w:val="0"/>
      <w:divBdr>
        <w:top w:val="none" w:sz="0" w:space="0" w:color="auto"/>
        <w:left w:val="none" w:sz="0" w:space="0" w:color="auto"/>
        <w:bottom w:val="none" w:sz="0" w:space="0" w:color="auto"/>
        <w:right w:val="none" w:sz="0" w:space="0" w:color="auto"/>
      </w:divBdr>
    </w:div>
    <w:div w:id="1751927274">
      <w:marLeft w:val="0"/>
      <w:marRight w:val="0"/>
      <w:marTop w:val="0"/>
      <w:marBottom w:val="0"/>
      <w:divBdr>
        <w:top w:val="none" w:sz="0" w:space="0" w:color="auto"/>
        <w:left w:val="none" w:sz="0" w:space="0" w:color="auto"/>
        <w:bottom w:val="none" w:sz="0" w:space="0" w:color="auto"/>
        <w:right w:val="none" w:sz="0" w:space="0" w:color="auto"/>
      </w:divBdr>
    </w:div>
    <w:div w:id="1751927275">
      <w:marLeft w:val="0"/>
      <w:marRight w:val="0"/>
      <w:marTop w:val="0"/>
      <w:marBottom w:val="0"/>
      <w:divBdr>
        <w:top w:val="none" w:sz="0" w:space="0" w:color="auto"/>
        <w:left w:val="none" w:sz="0" w:space="0" w:color="auto"/>
        <w:bottom w:val="none" w:sz="0" w:space="0" w:color="auto"/>
        <w:right w:val="none" w:sz="0" w:space="0" w:color="auto"/>
      </w:divBdr>
    </w:div>
    <w:div w:id="1751927276">
      <w:marLeft w:val="0"/>
      <w:marRight w:val="0"/>
      <w:marTop w:val="0"/>
      <w:marBottom w:val="0"/>
      <w:divBdr>
        <w:top w:val="none" w:sz="0" w:space="0" w:color="auto"/>
        <w:left w:val="none" w:sz="0" w:space="0" w:color="auto"/>
        <w:bottom w:val="none" w:sz="0" w:space="0" w:color="auto"/>
        <w:right w:val="none" w:sz="0" w:space="0" w:color="auto"/>
      </w:divBdr>
    </w:div>
    <w:div w:id="1751927277">
      <w:marLeft w:val="0"/>
      <w:marRight w:val="0"/>
      <w:marTop w:val="0"/>
      <w:marBottom w:val="0"/>
      <w:divBdr>
        <w:top w:val="none" w:sz="0" w:space="0" w:color="auto"/>
        <w:left w:val="none" w:sz="0" w:space="0" w:color="auto"/>
        <w:bottom w:val="none" w:sz="0" w:space="0" w:color="auto"/>
        <w:right w:val="none" w:sz="0" w:space="0" w:color="auto"/>
      </w:divBdr>
    </w:div>
    <w:div w:id="1751927278">
      <w:marLeft w:val="0"/>
      <w:marRight w:val="0"/>
      <w:marTop w:val="0"/>
      <w:marBottom w:val="0"/>
      <w:divBdr>
        <w:top w:val="none" w:sz="0" w:space="0" w:color="auto"/>
        <w:left w:val="none" w:sz="0" w:space="0" w:color="auto"/>
        <w:bottom w:val="none" w:sz="0" w:space="0" w:color="auto"/>
        <w:right w:val="none" w:sz="0" w:space="0" w:color="auto"/>
      </w:divBdr>
    </w:div>
    <w:div w:id="1751927279">
      <w:marLeft w:val="0"/>
      <w:marRight w:val="0"/>
      <w:marTop w:val="0"/>
      <w:marBottom w:val="0"/>
      <w:divBdr>
        <w:top w:val="none" w:sz="0" w:space="0" w:color="auto"/>
        <w:left w:val="none" w:sz="0" w:space="0" w:color="auto"/>
        <w:bottom w:val="none" w:sz="0" w:space="0" w:color="auto"/>
        <w:right w:val="none" w:sz="0" w:space="0" w:color="auto"/>
      </w:divBdr>
    </w:div>
    <w:div w:id="1751927280">
      <w:marLeft w:val="0"/>
      <w:marRight w:val="0"/>
      <w:marTop w:val="0"/>
      <w:marBottom w:val="0"/>
      <w:divBdr>
        <w:top w:val="none" w:sz="0" w:space="0" w:color="auto"/>
        <w:left w:val="none" w:sz="0" w:space="0" w:color="auto"/>
        <w:bottom w:val="none" w:sz="0" w:space="0" w:color="auto"/>
        <w:right w:val="none" w:sz="0" w:space="0" w:color="auto"/>
      </w:divBdr>
    </w:div>
    <w:div w:id="1751927281">
      <w:marLeft w:val="0"/>
      <w:marRight w:val="0"/>
      <w:marTop w:val="0"/>
      <w:marBottom w:val="0"/>
      <w:divBdr>
        <w:top w:val="none" w:sz="0" w:space="0" w:color="auto"/>
        <w:left w:val="none" w:sz="0" w:space="0" w:color="auto"/>
        <w:bottom w:val="none" w:sz="0" w:space="0" w:color="auto"/>
        <w:right w:val="none" w:sz="0" w:space="0" w:color="auto"/>
      </w:divBdr>
    </w:div>
    <w:div w:id="1751927282">
      <w:marLeft w:val="0"/>
      <w:marRight w:val="0"/>
      <w:marTop w:val="0"/>
      <w:marBottom w:val="0"/>
      <w:divBdr>
        <w:top w:val="none" w:sz="0" w:space="0" w:color="auto"/>
        <w:left w:val="none" w:sz="0" w:space="0" w:color="auto"/>
        <w:bottom w:val="none" w:sz="0" w:space="0" w:color="auto"/>
        <w:right w:val="none" w:sz="0" w:space="0" w:color="auto"/>
      </w:divBdr>
    </w:div>
    <w:div w:id="1751927283">
      <w:marLeft w:val="0"/>
      <w:marRight w:val="0"/>
      <w:marTop w:val="0"/>
      <w:marBottom w:val="0"/>
      <w:divBdr>
        <w:top w:val="none" w:sz="0" w:space="0" w:color="auto"/>
        <w:left w:val="none" w:sz="0" w:space="0" w:color="auto"/>
        <w:bottom w:val="none" w:sz="0" w:space="0" w:color="auto"/>
        <w:right w:val="none" w:sz="0" w:space="0" w:color="auto"/>
      </w:divBdr>
    </w:div>
    <w:div w:id="1751927284">
      <w:marLeft w:val="0"/>
      <w:marRight w:val="0"/>
      <w:marTop w:val="0"/>
      <w:marBottom w:val="0"/>
      <w:divBdr>
        <w:top w:val="none" w:sz="0" w:space="0" w:color="auto"/>
        <w:left w:val="none" w:sz="0" w:space="0" w:color="auto"/>
        <w:bottom w:val="none" w:sz="0" w:space="0" w:color="auto"/>
        <w:right w:val="none" w:sz="0" w:space="0" w:color="auto"/>
      </w:divBdr>
    </w:div>
    <w:div w:id="1751927285">
      <w:marLeft w:val="0"/>
      <w:marRight w:val="0"/>
      <w:marTop w:val="0"/>
      <w:marBottom w:val="0"/>
      <w:divBdr>
        <w:top w:val="none" w:sz="0" w:space="0" w:color="auto"/>
        <w:left w:val="none" w:sz="0" w:space="0" w:color="auto"/>
        <w:bottom w:val="none" w:sz="0" w:space="0" w:color="auto"/>
        <w:right w:val="none" w:sz="0" w:space="0" w:color="auto"/>
      </w:divBdr>
    </w:div>
    <w:div w:id="1751927286">
      <w:marLeft w:val="0"/>
      <w:marRight w:val="0"/>
      <w:marTop w:val="0"/>
      <w:marBottom w:val="0"/>
      <w:divBdr>
        <w:top w:val="none" w:sz="0" w:space="0" w:color="auto"/>
        <w:left w:val="none" w:sz="0" w:space="0" w:color="auto"/>
        <w:bottom w:val="none" w:sz="0" w:space="0" w:color="auto"/>
        <w:right w:val="none" w:sz="0" w:space="0" w:color="auto"/>
      </w:divBdr>
    </w:div>
    <w:div w:id="1751927287">
      <w:marLeft w:val="0"/>
      <w:marRight w:val="0"/>
      <w:marTop w:val="0"/>
      <w:marBottom w:val="0"/>
      <w:divBdr>
        <w:top w:val="none" w:sz="0" w:space="0" w:color="auto"/>
        <w:left w:val="none" w:sz="0" w:space="0" w:color="auto"/>
        <w:bottom w:val="none" w:sz="0" w:space="0" w:color="auto"/>
        <w:right w:val="none" w:sz="0" w:space="0" w:color="auto"/>
      </w:divBdr>
    </w:div>
    <w:div w:id="1751927288">
      <w:marLeft w:val="0"/>
      <w:marRight w:val="0"/>
      <w:marTop w:val="0"/>
      <w:marBottom w:val="0"/>
      <w:divBdr>
        <w:top w:val="none" w:sz="0" w:space="0" w:color="auto"/>
        <w:left w:val="none" w:sz="0" w:space="0" w:color="auto"/>
        <w:bottom w:val="none" w:sz="0" w:space="0" w:color="auto"/>
        <w:right w:val="none" w:sz="0" w:space="0" w:color="auto"/>
      </w:divBdr>
    </w:div>
    <w:div w:id="1751927289">
      <w:marLeft w:val="0"/>
      <w:marRight w:val="0"/>
      <w:marTop w:val="0"/>
      <w:marBottom w:val="0"/>
      <w:divBdr>
        <w:top w:val="none" w:sz="0" w:space="0" w:color="auto"/>
        <w:left w:val="none" w:sz="0" w:space="0" w:color="auto"/>
        <w:bottom w:val="none" w:sz="0" w:space="0" w:color="auto"/>
        <w:right w:val="none" w:sz="0" w:space="0" w:color="auto"/>
      </w:divBdr>
    </w:div>
    <w:div w:id="1751927290">
      <w:marLeft w:val="0"/>
      <w:marRight w:val="0"/>
      <w:marTop w:val="0"/>
      <w:marBottom w:val="0"/>
      <w:divBdr>
        <w:top w:val="none" w:sz="0" w:space="0" w:color="auto"/>
        <w:left w:val="none" w:sz="0" w:space="0" w:color="auto"/>
        <w:bottom w:val="none" w:sz="0" w:space="0" w:color="auto"/>
        <w:right w:val="none" w:sz="0" w:space="0" w:color="auto"/>
      </w:divBdr>
    </w:div>
    <w:div w:id="1751927291">
      <w:marLeft w:val="0"/>
      <w:marRight w:val="0"/>
      <w:marTop w:val="0"/>
      <w:marBottom w:val="0"/>
      <w:divBdr>
        <w:top w:val="none" w:sz="0" w:space="0" w:color="auto"/>
        <w:left w:val="none" w:sz="0" w:space="0" w:color="auto"/>
        <w:bottom w:val="none" w:sz="0" w:space="0" w:color="auto"/>
        <w:right w:val="none" w:sz="0" w:space="0" w:color="auto"/>
      </w:divBdr>
    </w:div>
    <w:div w:id="1751927292">
      <w:marLeft w:val="0"/>
      <w:marRight w:val="0"/>
      <w:marTop w:val="0"/>
      <w:marBottom w:val="0"/>
      <w:divBdr>
        <w:top w:val="none" w:sz="0" w:space="0" w:color="auto"/>
        <w:left w:val="none" w:sz="0" w:space="0" w:color="auto"/>
        <w:bottom w:val="none" w:sz="0" w:space="0" w:color="auto"/>
        <w:right w:val="none" w:sz="0" w:space="0" w:color="auto"/>
      </w:divBdr>
      <w:divsChild>
        <w:div w:id="1751927229">
          <w:marLeft w:val="0"/>
          <w:marRight w:val="0"/>
          <w:marTop w:val="0"/>
          <w:marBottom w:val="0"/>
          <w:divBdr>
            <w:top w:val="none" w:sz="0" w:space="0" w:color="auto"/>
            <w:left w:val="none" w:sz="0" w:space="0" w:color="auto"/>
            <w:bottom w:val="none" w:sz="0" w:space="0" w:color="auto"/>
            <w:right w:val="none" w:sz="0" w:space="0" w:color="auto"/>
          </w:divBdr>
        </w:div>
      </w:divsChild>
    </w:div>
    <w:div w:id="1751927293">
      <w:marLeft w:val="0"/>
      <w:marRight w:val="0"/>
      <w:marTop w:val="0"/>
      <w:marBottom w:val="0"/>
      <w:divBdr>
        <w:top w:val="none" w:sz="0" w:space="0" w:color="auto"/>
        <w:left w:val="none" w:sz="0" w:space="0" w:color="auto"/>
        <w:bottom w:val="none" w:sz="0" w:space="0" w:color="auto"/>
        <w:right w:val="none" w:sz="0" w:space="0" w:color="auto"/>
      </w:divBdr>
    </w:div>
    <w:div w:id="1751927294">
      <w:marLeft w:val="0"/>
      <w:marRight w:val="0"/>
      <w:marTop w:val="0"/>
      <w:marBottom w:val="0"/>
      <w:divBdr>
        <w:top w:val="none" w:sz="0" w:space="0" w:color="auto"/>
        <w:left w:val="none" w:sz="0" w:space="0" w:color="auto"/>
        <w:bottom w:val="none" w:sz="0" w:space="0" w:color="auto"/>
        <w:right w:val="none" w:sz="0" w:space="0" w:color="auto"/>
      </w:divBdr>
    </w:div>
    <w:div w:id="1751927295">
      <w:marLeft w:val="0"/>
      <w:marRight w:val="0"/>
      <w:marTop w:val="0"/>
      <w:marBottom w:val="0"/>
      <w:divBdr>
        <w:top w:val="none" w:sz="0" w:space="0" w:color="auto"/>
        <w:left w:val="none" w:sz="0" w:space="0" w:color="auto"/>
        <w:bottom w:val="none" w:sz="0" w:space="0" w:color="auto"/>
        <w:right w:val="none" w:sz="0" w:space="0" w:color="auto"/>
      </w:divBdr>
    </w:div>
    <w:div w:id="1751927296">
      <w:marLeft w:val="0"/>
      <w:marRight w:val="0"/>
      <w:marTop w:val="0"/>
      <w:marBottom w:val="0"/>
      <w:divBdr>
        <w:top w:val="none" w:sz="0" w:space="0" w:color="auto"/>
        <w:left w:val="none" w:sz="0" w:space="0" w:color="auto"/>
        <w:bottom w:val="none" w:sz="0" w:space="0" w:color="auto"/>
        <w:right w:val="none" w:sz="0" w:space="0" w:color="auto"/>
      </w:divBdr>
    </w:div>
    <w:div w:id="1751927297">
      <w:marLeft w:val="0"/>
      <w:marRight w:val="0"/>
      <w:marTop w:val="0"/>
      <w:marBottom w:val="0"/>
      <w:divBdr>
        <w:top w:val="none" w:sz="0" w:space="0" w:color="auto"/>
        <w:left w:val="none" w:sz="0" w:space="0" w:color="auto"/>
        <w:bottom w:val="none" w:sz="0" w:space="0" w:color="auto"/>
        <w:right w:val="none" w:sz="0" w:space="0" w:color="auto"/>
      </w:divBdr>
    </w:div>
    <w:div w:id="1751927298">
      <w:marLeft w:val="0"/>
      <w:marRight w:val="0"/>
      <w:marTop w:val="0"/>
      <w:marBottom w:val="0"/>
      <w:divBdr>
        <w:top w:val="none" w:sz="0" w:space="0" w:color="auto"/>
        <w:left w:val="none" w:sz="0" w:space="0" w:color="auto"/>
        <w:bottom w:val="none" w:sz="0" w:space="0" w:color="auto"/>
        <w:right w:val="none" w:sz="0" w:space="0" w:color="auto"/>
      </w:divBdr>
    </w:div>
    <w:div w:id="1751927299">
      <w:marLeft w:val="0"/>
      <w:marRight w:val="0"/>
      <w:marTop w:val="0"/>
      <w:marBottom w:val="0"/>
      <w:divBdr>
        <w:top w:val="none" w:sz="0" w:space="0" w:color="auto"/>
        <w:left w:val="none" w:sz="0" w:space="0" w:color="auto"/>
        <w:bottom w:val="none" w:sz="0" w:space="0" w:color="auto"/>
        <w:right w:val="none" w:sz="0" w:space="0" w:color="auto"/>
      </w:divBdr>
    </w:div>
    <w:div w:id="1751927300">
      <w:marLeft w:val="0"/>
      <w:marRight w:val="0"/>
      <w:marTop w:val="0"/>
      <w:marBottom w:val="0"/>
      <w:divBdr>
        <w:top w:val="none" w:sz="0" w:space="0" w:color="auto"/>
        <w:left w:val="none" w:sz="0" w:space="0" w:color="auto"/>
        <w:bottom w:val="none" w:sz="0" w:space="0" w:color="auto"/>
        <w:right w:val="none" w:sz="0" w:space="0" w:color="auto"/>
      </w:divBdr>
    </w:div>
    <w:div w:id="1751927301">
      <w:marLeft w:val="0"/>
      <w:marRight w:val="0"/>
      <w:marTop w:val="0"/>
      <w:marBottom w:val="0"/>
      <w:divBdr>
        <w:top w:val="none" w:sz="0" w:space="0" w:color="auto"/>
        <w:left w:val="none" w:sz="0" w:space="0" w:color="auto"/>
        <w:bottom w:val="none" w:sz="0" w:space="0" w:color="auto"/>
        <w:right w:val="none" w:sz="0" w:space="0" w:color="auto"/>
      </w:divBdr>
    </w:div>
    <w:div w:id="1751927302">
      <w:marLeft w:val="0"/>
      <w:marRight w:val="0"/>
      <w:marTop w:val="0"/>
      <w:marBottom w:val="0"/>
      <w:divBdr>
        <w:top w:val="none" w:sz="0" w:space="0" w:color="auto"/>
        <w:left w:val="none" w:sz="0" w:space="0" w:color="auto"/>
        <w:bottom w:val="none" w:sz="0" w:space="0" w:color="auto"/>
        <w:right w:val="none" w:sz="0" w:space="0" w:color="auto"/>
      </w:divBdr>
    </w:div>
    <w:div w:id="1751927303">
      <w:marLeft w:val="0"/>
      <w:marRight w:val="0"/>
      <w:marTop w:val="0"/>
      <w:marBottom w:val="0"/>
      <w:divBdr>
        <w:top w:val="none" w:sz="0" w:space="0" w:color="auto"/>
        <w:left w:val="none" w:sz="0" w:space="0" w:color="auto"/>
        <w:bottom w:val="none" w:sz="0" w:space="0" w:color="auto"/>
        <w:right w:val="none" w:sz="0" w:space="0" w:color="auto"/>
      </w:divBdr>
    </w:div>
    <w:div w:id="1751927304">
      <w:marLeft w:val="0"/>
      <w:marRight w:val="0"/>
      <w:marTop w:val="0"/>
      <w:marBottom w:val="0"/>
      <w:divBdr>
        <w:top w:val="none" w:sz="0" w:space="0" w:color="auto"/>
        <w:left w:val="none" w:sz="0" w:space="0" w:color="auto"/>
        <w:bottom w:val="none" w:sz="0" w:space="0" w:color="auto"/>
        <w:right w:val="none" w:sz="0" w:space="0" w:color="auto"/>
      </w:divBdr>
    </w:div>
    <w:div w:id="1751927305">
      <w:marLeft w:val="0"/>
      <w:marRight w:val="0"/>
      <w:marTop w:val="0"/>
      <w:marBottom w:val="0"/>
      <w:divBdr>
        <w:top w:val="none" w:sz="0" w:space="0" w:color="auto"/>
        <w:left w:val="none" w:sz="0" w:space="0" w:color="auto"/>
        <w:bottom w:val="none" w:sz="0" w:space="0" w:color="auto"/>
        <w:right w:val="none" w:sz="0" w:space="0" w:color="auto"/>
      </w:divBdr>
    </w:div>
    <w:div w:id="1751927306">
      <w:marLeft w:val="0"/>
      <w:marRight w:val="0"/>
      <w:marTop w:val="0"/>
      <w:marBottom w:val="0"/>
      <w:divBdr>
        <w:top w:val="none" w:sz="0" w:space="0" w:color="auto"/>
        <w:left w:val="none" w:sz="0" w:space="0" w:color="auto"/>
        <w:bottom w:val="none" w:sz="0" w:space="0" w:color="auto"/>
        <w:right w:val="none" w:sz="0" w:space="0" w:color="auto"/>
      </w:divBdr>
    </w:div>
    <w:div w:id="1751927307">
      <w:marLeft w:val="0"/>
      <w:marRight w:val="0"/>
      <w:marTop w:val="0"/>
      <w:marBottom w:val="0"/>
      <w:divBdr>
        <w:top w:val="none" w:sz="0" w:space="0" w:color="auto"/>
        <w:left w:val="none" w:sz="0" w:space="0" w:color="auto"/>
        <w:bottom w:val="none" w:sz="0" w:space="0" w:color="auto"/>
        <w:right w:val="none" w:sz="0" w:space="0" w:color="auto"/>
      </w:divBdr>
    </w:div>
    <w:div w:id="1751927308">
      <w:marLeft w:val="0"/>
      <w:marRight w:val="0"/>
      <w:marTop w:val="0"/>
      <w:marBottom w:val="0"/>
      <w:divBdr>
        <w:top w:val="none" w:sz="0" w:space="0" w:color="auto"/>
        <w:left w:val="none" w:sz="0" w:space="0" w:color="auto"/>
        <w:bottom w:val="none" w:sz="0" w:space="0" w:color="auto"/>
        <w:right w:val="none" w:sz="0" w:space="0" w:color="auto"/>
      </w:divBdr>
    </w:div>
    <w:div w:id="1751927309">
      <w:marLeft w:val="0"/>
      <w:marRight w:val="0"/>
      <w:marTop w:val="0"/>
      <w:marBottom w:val="0"/>
      <w:divBdr>
        <w:top w:val="none" w:sz="0" w:space="0" w:color="auto"/>
        <w:left w:val="none" w:sz="0" w:space="0" w:color="auto"/>
        <w:bottom w:val="none" w:sz="0" w:space="0" w:color="auto"/>
        <w:right w:val="none" w:sz="0" w:space="0" w:color="auto"/>
      </w:divBdr>
    </w:div>
    <w:div w:id="1751927310">
      <w:marLeft w:val="0"/>
      <w:marRight w:val="0"/>
      <w:marTop w:val="0"/>
      <w:marBottom w:val="0"/>
      <w:divBdr>
        <w:top w:val="none" w:sz="0" w:space="0" w:color="auto"/>
        <w:left w:val="none" w:sz="0" w:space="0" w:color="auto"/>
        <w:bottom w:val="none" w:sz="0" w:space="0" w:color="auto"/>
        <w:right w:val="none" w:sz="0" w:space="0" w:color="auto"/>
      </w:divBdr>
    </w:div>
    <w:div w:id="1751927311">
      <w:marLeft w:val="0"/>
      <w:marRight w:val="0"/>
      <w:marTop w:val="0"/>
      <w:marBottom w:val="0"/>
      <w:divBdr>
        <w:top w:val="none" w:sz="0" w:space="0" w:color="auto"/>
        <w:left w:val="none" w:sz="0" w:space="0" w:color="auto"/>
        <w:bottom w:val="none" w:sz="0" w:space="0" w:color="auto"/>
        <w:right w:val="none" w:sz="0" w:space="0" w:color="auto"/>
      </w:divBdr>
    </w:div>
    <w:div w:id="1751927312">
      <w:marLeft w:val="0"/>
      <w:marRight w:val="0"/>
      <w:marTop w:val="0"/>
      <w:marBottom w:val="0"/>
      <w:divBdr>
        <w:top w:val="none" w:sz="0" w:space="0" w:color="auto"/>
        <w:left w:val="none" w:sz="0" w:space="0" w:color="auto"/>
        <w:bottom w:val="none" w:sz="0" w:space="0" w:color="auto"/>
        <w:right w:val="none" w:sz="0" w:space="0" w:color="auto"/>
      </w:divBdr>
    </w:div>
    <w:div w:id="1751927313">
      <w:marLeft w:val="0"/>
      <w:marRight w:val="0"/>
      <w:marTop w:val="0"/>
      <w:marBottom w:val="0"/>
      <w:divBdr>
        <w:top w:val="none" w:sz="0" w:space="0" w:color="auto"/>
        <w:left w:val="none" w:sz="0" w:space="0" w:color="auto"/>
        <w:bottom w:val="none" w:sz="0" w:space="0" w:color="auto"/>
        <w:right w:val="none" w:sz="0" w:space="0" w:color="auto"/>
      </w:divBdr>
    </w:div>
    <w:div w:id="1751927314">
      <w:marLeft w:val="0"/>
      <w:marRight w:val="0"/>
      <w:marTop w:val="0"/>
      <w:marBottom w:val="0"/>
      <w:divBdr>
        <w:top w:val="none" w:sz="0" w:space="0" w:color="auto"/>
        <w:left w:val="none" w:sz="0" w:space="0" w:color="auto"/>
        <w:bottom w:val="none" w:sz="0" w:space="0" w:color="auto"/>
        <w:right w:val="none" w:sz="0" w:space="0" w:color="auto"/>
      </w:divBdr>
    </w:div>
    <w:div w:id="1751927315">
      <w:marLeft w:val="0"/>
      <w:marRight w:val="0"/>
      <w:marTop w:val="0"/>
      <w:marBottom w:val="0"/>
      <w:divBdr>
        <w:top w:val="none" w:sz="0" w:space="0" w:color="auto"/>
        <w:left w:val="none" w:sz="0" w:space="0" w:color="auto"/>
        <w:bottom w:val="none" w:sz="0" w:space="0" w:color="auto"/>
        <w:right w:val="none" w:sz="0" w:space="0" w:color="auto"/>
      </w:divBdr>
    </w:div>
    <w:div w:id="1751927316">
      <w:marLeft w:val="0"/>
      <w:marRight w:val="0"/>
      <w:marTop w:val="0"/>
      <w:marBottom w:val="0"/>
      <w:divBdr>
        <w:top w:val="none" w:sz="0" w:space="0" w:color="auto"/>
        <w:left w:val="none" w:sz="0" w:space="0" w:color="auto"/>
        <w:bottom w:val="none" w:sz="0" w:space="0" w:color="auto"/>
        <w:right w:val="none" w:sz="0" w:space="0" w:color="auto"/>
      </w:divBdr>
    </w:div>
    <w:div w:id="1751927317">
      <w:marLeft w:val="0"/>
      <w:marRight w:val="0"/>
      <w:marTop w:val="0"/>
      <w:marBottom w:val="0"/>
      <w:divBdr>
        <w:top w:val="none" w:sz="0" w:space="0" w:color="auto"/>
        <w:left w:val="none" w:sz="0" w:space="0" w:color="auto"/>
        <w:bottom w:val="none" w:sz="0" w:space="0" w:color="auto"/>
        <w:right w:val="none" w:sz="0" w:space="0" w:color="auto"/>
      </w:divBdr>
    </w:div>
    <w:div w:id="1751927318">
      <w:marLeft w:val="0"/>
      <w:marRight w:val="0"/>
      <w:marTop w:val="0"/>
      <w:marBottom w:val="0"/>
      <w:divBdr>
        <w:top w:val="none" w:sz="0" w:space="0" w:color="auto"/>
        <w:left w:val="none" w:sz="0" w:space="0" w:color="auto"/>
        <w:bottom w:val="none" w:sz="0" w:space="0" w:color="auto"/>
        <w:right w:val="none" w:sz="0" w:space="0" w:color="auto"/>
      </w:divBdr>
    </w:div>
    <w:div w:id="1751927319">
      <w:marLeft w:val="0"/>
      <w:marRight w:val="0"/>
      <w:marTop w:val="0"/>
      <w:marBottom w:val="0"/>
      <w:divBdr>
        <w:top w:val="none" w:sz="0" w:space="0" w:color="auto"/>
        <w:left w:val="none" w:sz="0" w:space="0" w:color="auto"/>
        <w:bottom w:val="none" w:sz="0" w:space="0" w:color="auto"/>
        <w:right w:val="none" w:sz="0" w:space="0" w:color="auto"/>
      </w:divBdr>
    </w:div>
    <w:div w:id="1751927320">
      <w:marLeft w:val="0"/>
      <w:marRight w:val="0"/>
      <w:marTop w:val="0"/>
      <w:marBottom w:val="0"/>
      <w:divBdr>
        <w:top w:val="none" w:sz="0" w:space="0" w:color="auto"/>
        <w:left w:val="none" w:sz="0" w:space="0" w:color="auto"/>
        <w:bottom w:val="none" w:sz="0" w:space="0" w:color="auto"/>
        <w:right w:val="none" w:sz="0" w:space="0" w:color="auto"/>
      </w:divBdr>
    </w:div>
    <w:div w:id="1751927321">
      <w:marLeft w:val="0"/>
      <w:marRight w:val="0"/>
      <w:marTop w:val="0"/>
      <w:marBottom w:val="0"/>
      <w:divBdr>
        <w:top w:val="none" w:sz="0" w:space="0" w:color="auto"/>
        <w:left w:val="none" w:sz="0" w:space="0" w:color="auto"/>
        <w:bottom w:val="none" w:sz="0" w:space="0" w:color="auto"/>
        <w:right w:val="none" w:sz="0" w:space="0" w:color="auto"/>
      </w:divBdr>
    </w:div>
    <w:div w:id="1751927322">
      <w:marLeft w:val="0"/>
      <w:marRight w:val="0"/>
      <w:marTop w:val="0"/>
      <w:marBottom w:val="0"/>
      <w:divBdr>
        <w:top w:val="none" w:sz="0" w:space="0" w:color="auto"/>
        <w:left w:val="none" w:sz="0" w:space="0" w:color="auto"/>
        <w:bottom w:val="none" w:sz="0" w:space="0" w:color="auto"/>
        <w:right w:val="none" w:sz="0" w:space="0" w:color="auto"/>
      </w:divBdr>
    </w:div>
    <w:div w:id="1751927323">
      <w:marLeft w:val="0"/>
      <w:marRight w:val="0"/>
      <w:marTop w:val="0"/>
      <w:marBottom w:val="0"/>
      <w:divBdr>
        <w:top w:val="none" w:sz="0" w:space="0" w:color="auto"/>
        <w:left w:val="none" w:sz="0" w:space="0" w:color="auto"/>
        <w:bottom w:val="none" w:sz="0" w:space="0" w:color="auto"/>
        <w:right w:val="none" w:sz="0" w:space="0" w:color="auto"/>
      </w:divBdr>
    </w:div>
    <w:div w:id="1751927324">
      <w:marLeft w:val="0"/>
      <w:marRight w:val="0"/>
      <w:marTop w:val="0"/>
      <w:marBottom w:val="0"/>
      <w:divBdr>
        <w:top w:val="none" w:sz="0" w:space="0" w:color="auto"/>
        <w:left w:val="none" w:sz="0" w:space="0" w:color="auto"/>
        <w:bottom w:val="none" w:sz="0" w:space="0" w:color="auto"/>
        <w:right w:val="none" w:sz="0" w:space="0" w:color="auto"/>
      </w:divBdr>
    </w:div>
    <w:div w:id="1751927325">
      <w:marLeft w:val="0"/>
      <w:marRight w:val="0"/>
      <w:marTop w:val="0"/>
      <w:marBottom w:val="0"/>
      <w:divBdr>
        <w:top w:val="none" w:sz="0" w:space="0" w:color="auto"/>
        <w:left w:val="none" w:sz="0" w:space="0" w:color="auto"/>
        <w:bottom w:val="none" w:sz="0" w:space="0" w:color="auto"/>
        <w:right w:val="none" w:sz="0" w:space="0" w:color="auto"/>
      </w:divBdr>
    </w:div>
    <w:div w:id="1751927326">
      <w:marLeft w:val="0"/>
      <w:marRight w:val="0"/>
      <w:marTop w:val="0"/>
      <w:marBottom w:val="0"/>
      <w:divBdr>
        <w:top w:val="none" w:sz="0" w:space="0" w:color="auto"/>
        <w:left w:val="none" w:sz="0" w:space="0" w:color="auto"/>
        <w:bottom w:val="none" w:sz="0" w:space="0" w:color="auto"/>
        <w:right w:val="none" w:sz="0" w:space="0" w:color="auto"/>
      </w:divBdr>
    </w:div>
    <w:div w:id="1751927327">
      <w:marLeft w:val="0"/>
      <w:marRight w:val="0"/>
      <w:marTop w:val="0"/>
      <w:marBottom w:val="0"/>
      <w:divBdr>
        <w:top w:val="none" w:sz="0" w:space="0" w:color="auto"/>
        <w:left w:val="none" w:sz="0" w:space="0" w:color="auto"/>
        <w:bottom w:val="none" w:sz="0" w:space="0" w:color="auto"/>
        <w:right w:val="none" w:sz="0" w:space="0" w:color="auto"/>
      </w:divBdr>
    </w:div>
    <w:div w:id="1751927328">
      <w:marLeft w:val="0"/>
      <w:marRight w:val="0"/>
      <w:marTop w:val="0"/>
      <w:marBottom w:val="0"/>
      <w:divBdr>
        <w:top w:val="none" w:sz="0" w:space="0" w:color="auto"/>
        <w:left w:val="none" w:sz="0" w:space="0" w:color="auto"/>
        <w:bottom w:val="none" w:sz="0" w:space="0" w:color="auto"/>
        <w:right w:val="none" w:sz="0" w:space="0" w:color="auto"/>
      </w:divBdr>
    </w:div>
    <w:div w:id="1751927329">
      <w:marLeft w:val="0"/>
      <w:marRight w:val="0"/>
      <w:marTop w:val="0"/>
      <w:marBottom w:val="0"/>
      <w:divBdr>
        <w:top w:val="none" w:sz="0" w:space="0" w:color="auto"/>
        <w:left w:val="none" w:sz="0" w:space="0" w:color="auto"/>
        <w:bottom w:val="none" w:sz="0" w:space="0" w:color="auto"/>
        <w:right w:val="none" w:sz="0" w:space="0" w:color="auto"/>
      </w:divBdr>
    </w:div>
    <w:div w:id="1751927330">
      <w:marLeft w:val="0"/>
      <w:marRight w:val="0"/>
      <w:marTop w:val="0"/>
      <w:marBottom w:val="0"/>
      <w:divBdr>
        <w:top w:val="none" w:sz="0" w:space="0" w:color="auto"/>
        <w:left w:val="none" w:sz="0" w:space="0" w:color="auto"/>
        <w:bottom w:val="none" w:sz="0" w:space="0" w:color="auto"/>
        <w:right w:val="none" w:sz="0" w:space="0" w:color="auto"/>
      </w:divBdr>
    </w:div>
    <w:div w:id="1751927331">
      <w:marLeft w:val="0"/>
      <w:marRight w:val="0"/>
      <w:marTop w:val="0"/>
      <w:marBottom w:val="0"/>
      <w:divBdr>
        <w:top w:val="none" w:sz="0" w:space="0" w:color="auto"/>
        <w:left w:val="none" w:sz="0" w:space="0" w:color="auto"/>
        <w:bottom w:val="none" w:sz="0" w:space="0" w:color="auto"/>
        <w:right w:val="none" w:sz="0" w:space="0" w:color="auto"/>
      </w:divBdr>
    </w:div>
    <w:div w:id="1751927332">
      <w:marLeft w:val="0"/>
      <w:marRight w:val="0"/>
      <w:marTop w:val="0"/>
      <w:marBottom w:val="0"/>
      <w:divBdr>
        <w:top w:val="none" w:sz="0" w:space="0" w:color="auto"/>
        <w:left w:val="none" w:sz="0" w:space="0" w:color="auto"/>
        <w:bottom w:val="none" w:sz="0" w:space="0" w:color="auto"/>
        <w:right w:val="none" w:sz="0" w:space="0" w:color="auto"/>
      </w:divBdr>
    </w:div>
    <w:div w:id="1751927333">
      <w:marLeft w:val="0"/>
      <w:marRight w:val="0"/>
      <w:marTop w:val="0"/>
      <w:marBottom w:val="0"/>
      <w:divBdr>
        <w:top w:val="none" w:sz="0" w:space="0" w:color="auto"/>
        <w:left w:val="none" w:sz="0" w:space="0" w:color="auto"/>
        <w:bottom w:val="none" w:sz="0" w:space="0" w:color="auto"/>
        <w:right w:val="none" w:sz="0" w:space="0" w:color="auto"/>
      </w:divBdr>
    </w:div>
    <w:div w:id="1751927334">
      <w:marLeft w:val="0"/>
      <w:marRight w:val="0"/>
      <w:marTop w:val="0"/>
      <w:marBottom w:val="0"/>
      <w:divBdr>
        <w:top w:val="none" w:sz="0" w:space="0" w:color="auto"/>
        <w:left w:val="none" w:sz="0" w:space="0" w:color="auto"/>
        <w:bottom w:val="none" w:sz="0" w:space="0" w:color="auto"/>
        <w:right w:val="none" w:sz="0" w:space="0" w:color="auto"/>
      </w:divBdr>
    </w:div>
    <w:div w:id="1751927335">
      <w:marLeft w:val="0"/>
      <w:marRight w:val="0"/>
      <w:marTop w:val="0"/>
      <w:marBottom w:val="0"/>
      <w:divBdr>
        <w:top w:val="none" w:sz="0" w:space="0" w:color="auto"/>
        <w:left w:val="none" w:sz="0" w:space="0" w:color="auto"/>
        <w:bottom w:val="none" w:sz="0" w:space="0" w:color="auto"/>
        <w:right w:val="none" w:sz="0" w:space="0" w:color="auto"/>
      </w:divBdr>
    </w:div>
    <w:div w:id="1751927336">
      <w:marLeft w:val="0"/>
      <w:marRight w:val="0"/>
      <w:marTop w:val="0"/>
      <w:marBottom w:val="0"/>
      <w:divBdr>
        <w:top w:val="none" w:sz="0" w:space="0" w:color="auto"/>
        <w:left w:val="none" w:sz="0" w:space="0" w:color="auto"/>
        <w:bottom w:val="none" w:sz="0" w:space="0" w:color="auto"/>
        <w:right w:val="none" w:sz="0" w:space="0" w:color="auto"/>
      </w:divBdr>
    </w:div>
    <w:div w:id="1751927337">
      <w:marLeft w:val="0"/>
      <w:marRight w:val="0"/>
      <w:marTop w:val="0"/>
      <w:marBottom w:val="0"/>
      <w:divBdr>
        <w:top w:val="none" w:sz="0" w:space="0" w:color="auto"/>
        <w:left w:val="none" w:sz="0" w:space="0" w:color="auto"/>
        <w:bottom w:val="none" w:sz="0" w:space="0" w:color="auto"/>
        <w:right w:val="none" w:sz="0" w:space="0" w:color="auto"/>
      </w:divBdr>
    </w:div>
    <w:div w:id="1751927338">
      <w:marLeft w:val="0"/>
      <w:marRight w:val="0"/>
      <w:marTop w:val="0"/>
      <w:marBottom w:val="0"/>
      <w:divBdr>
        <w:top w:val="none" w:sz="0" w:space="0" w:color="auto"/>
        <w:left w:val="none" w:sz="0" w:space="0" w:color="auto"/>
        <w:bottom w:val="none" w:sz="0" w:space="0" w:color="auto"/>
        <w:right w:val="none" w:sz="0" w:space="0" w:color="auto"/>
      </w:divBdr>
    </w:div>
    <w:div w:id="1751927339">
      <w:marLeft w:val="0"/>
      <w:marRight w:val="0"/>
      <w:marTop w:val="0"/>
      <w:marBottom w:val="0"/>
      <w:divBdr>
        <w:top w:val="none" w:sz="0" w:space="0" w:color="auto"/>
        <w:left w:val="none" w:sz="0" w:space="0" w:color="auto"/>
        <w:bottom w:val="none" w:sz="0" w:space="0" w:color="auto"/>
        <w:right w:val="none" w:sz="0" w:space="0" w:color="auto"/>
      </w:divBdr>
    </w:div>
    <w:div w:id="1751927340">
      <w:marLeft w:val="0"/>
      <w:marRight w:val="0"/>
      <w:marTop w:val="0"/>
      <w:marBottom w:val="0"/>
      <w:divBdr>
        <w:top w:val="none" w:sz="0" w:space="0" w:color="auto"/>
        <w:left w:val="none" w:sz="0" w:space="0" w:color="auto"/>
        <w:bottom w:val="none" w:sz="0" w:space="0" w:color="auto"/>
        <w:right w:val="none" w:sz="0" w:space="0" w:color="auto"/>
      </w:divBdr>
    </w:div>
    <w:div w:id="1751927341">
      <w:marLeft w:val="0"/>
      <w:marRight w:val="0"/>
      <w:marTop w:val="0"/>
      <w:marBottom w:val="0"/>
      <w:divBdr>
        <w:top w:val="none" w:sz="0" w:space="0" w:color="auto"/>
        <w:left w:val="none" w:sz="0" w:space="0" w:color="auto"/>
        <w:bottom w:val="none" w:sz="0" w:space="0" w:color="auto"/>
        <w:right w:val="none" w:sz="0" w:space="0" w:color="auto"/>
      </w:divBdr>
    </w:div>
    <w:div w:id="1751927342">
      <w:marLeft w:val="0"/>
      <w:marRight w:val="0"/>
      <w:marTop w:val="0"/>
      <w:marBottom w:val="0"/>
      <w:divBdr>
        <w:top w:val="none" w:sz="0" w:space="0" w:color="auto"/>
        <w:left w:val="none" w:sz="0" w:space="0" w:color="auto"/>
        <w:bottom w:val="none" w:sz="0" w:space="0" w:color="auto"/>
        <w:right w:val="none" w:sz="0" w:space="0" w:color="auto"/>
      </w:divBdr>
    </w:div>
    <w:div w:id="17519273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530DC-3FAD-4FA9-BEE7-BFF352C38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32</Pages>
  <Words>3244</Words>
  <Characters>18497</Characters>
  <Application>Microsoft Office Word</Application>
  <DocSecurity>0</DocSecurity>
  <Lines>154</Lines>
  <Paragraphs>43</Paragraphs>
  <ScaleCrop>false</ScaleCrop>
  <Company/>
  <LinksUpToDate>false</LinksUpToDate>
  <CharactersWithSpaces>21698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Alex.Huang@FA</cp:lastModifiedBy>
  <cp:revision>333</cp:revision>
  <cp:lastPrinted>2007-07-19T00:46:00Z</cp:lastPrinted>
  <dcterms:created xsi:type="dcterms:W3CDTF">2013-08-08T02:33:00Z</dcterms:created>
  <dcterms:modified xsi:type="dcterms:W3CDTF">2019-03-26T05:44:00Z</dcterms:modified>
</cp:coreProperties>
</file>