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摩根中国世纪灵活配置混合型证券投资基金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二〇二三年七月二十一日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摩根中国世纪混合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11</w:t>
            </w:r>
            <w:r w:rsidRPr="00A76A42">
              <w:rPr>
                <w:rFonts w:eastAsiaTheme="minorEastAsia"/>
                <w:color w:val="000000" w:themeColor="text1"/>
                <w:kern w:val="0"/>
                <w:szCs w:val="21"/>
              </w:rPr>
              <w:t>月</w:t>
            </w:r>
            <w:r w:rsidRPr="00A76A42">
              <w:rPr>
                <w:rFonts w:eastAsiaTheme="minorEastAsia"/>
                <w:color w:val="000000" w:themeColor="text1"/>
                <w:kern w:val="0"/>
                <w:szCs w:val="21"/>
              </w:rPr>
              <w:t>11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86,656,548.85</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本基金采用定量及定性研究方法，自下而上优选在中国境内及香港、美国等海外市场上市的中国公司，通过严格风险控制，力争实现基金资产的长期增值。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、各市场资产配置策略</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本基金综合考虑不同市场的宏观经济环境、增长和通胀背景、不同市场的估值水平和流动性因素、相关公司所处的发展阶段、盈利前景和竞争环境以及其他重要要素将基金</w:t>
            </w:r>
            <w:r>
              <w:rPr>
                <w:rFonts w:eastAsiaTheme="minorEastAsia"/>
                <w:color w:val="000000" w:themeColor="text1"/>
                <w:kern w:val="0"/>
                <w:szCs w:val="21"/>
              </w:rPr>
              <w:lastRenderedPageBreak/>
              <w:t>资产在中国境内及香港、美国等海外市场之间进行配置。另外，本基金将根据各类证券的风险收益特征的相对变化，适度的调整确定基金资产在股票、债券及现金等类别资产间的分配比例。</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）中国境内市场投资策略</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本基金将专注投资于影响国民经济的龙头行业、经济转型和产业升级过程中的重点行业和具备成长潜力的新兴行业。</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）香港、美国等海外市场投资策略</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本基金债券投资将采取多种积极投资策略，自上而下地管理组合的久期，同时精选个券，以增强组合的持有期收益。</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、其他投资策略：包括股指期货投资策略、资产支持证券投资策略、权证投资策略、金融衍生品投资策略、存托凭证投资策略。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中证中国内地企业</w:t>
            </w:r>
            <w:r w:rsidRPr="00A76A42">
              <w:rPr>
                <w:rFonts w:eastAsiaTheme="minorEastAsia"/>
                <w:color w:val="000000" w:themeColor="text1"/>
                <w:kern w:val="0"/>
                <w:szCs w:val="21"/>
              </w:rPr>
              <w:t>500</w:t>
            </w:r>
            <w:r w:rsidRPr="00A76A42">
              <w:rPr>
                <w:rFonts w:eastAsiaTheme="minorEastAsia"/>
                <w:color w:val="000000" w:themeColor="text1"/>
                <w:kern w:val="0"/>
                <w:szCs w:val="21"/>
              </w:rPr>
              <w:t>指数收益率</w:t>
            </w:r>
            <w:r w:rsidRPr="00A76A42">
              <w:rPr>
                <w:rFonts w:eastAsiaTheme="minorEastAsia"/>
                <w:color w:val="000000" w:themeColor="text1"/>
                <w:kern w:val="0"/>
                <w:szCs w:val="21"/>
              </w:rPr>
              <w:t>×60%+</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×40%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267D9" w:rsidRDefault="00D55B2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A76A42">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55B22" w:rsidRPr="00A76A42" w:rsidTr="00D55B22">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D55B22" w:rsidRPr="00A76A42" w:rsidTr="00D55B2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-6,317,920.50</w:t>
            </w:r>
          </w:p>
        </w:tc>
      </w:tr>
      <w:tr w:rsidR="00D55B22" w:rsidRPr="00A76A42" w:rsidTr="00D55B2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-8,648,826.04</w:t>
            </w:r>
          </w:p>
        </w:tc>
      </w:tr>
      <w:tr w:rsidR="00D55B22" w:rsidRPr="00A76A42" w:rsidTr="00D55B2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-0.0994</w:t>
            </w:r>
          </w:p>
        </w:tc>
      </w:tr>
      <w:tr w:rsidR="00D55B22" w:rsidRPr="00A76A42" w:rsidTr="00D55B2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112,560,505.12</w:t>
            </w:r>
          </w:p>
        </w:tc>
      </w:tr>
      <w:tr w:rsidR="00D55B22" w:rsidRPr="00A76A42" w:rsidTr="00D55B22">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1.2989</w:t>
            </w:r>
          </w:p>
        </w:tc>
      </w:tr>
    </w:tbl>
    <w:p w:rsidR="006267D9" w:rsidRDefault="00D55B2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lastRenderedPageBreak/>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lastRenderedPageBreak/>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6267D9">
        <w:tc>
          <w:tcPr>
            <w:tcW w:w="1395" w:type="dxa"/>
            <w:vAlign w:val="center"/>
          </w:tcPr>
          <w:p w:rsidR="006267D9" w:rsidRDefault="00D55B22">
            <w:pPr>
              <w:jc w:val="left"/>
            </w:pPr>
            <w:r>
              <w:rPr>
                <w:rFonts w:eastAsiaTheme="minorEastAsia"/>
                <w:color w:val="000000" w:themeColor="text1"/>
                <w:szCs w:val="21"/>
              </w:rPr>
              <w:t>过去三个月</w:t>
            </w:r>
          </w:p>
        </w:tc>
        <w:tc>
          <w:tcPr>
            <w:tcW w:w="1092" w:type="dxa"/>
            <w:vAlign w:val="center"/>
          </w:tcPr>
          <w:p w:rsidR="006267D9" w:rsidRDefault="00D55B22">
            <w:pPr>
              <w:jc w:val="right"/>
            </w:pPr>
            <w:r>
              <w:rPr>
                <w:rFonts w:eastAsiaTheme="minorEastAsia"/>
                <w:color w:val="000000" w:themeColor="text1"/>
                <w:szCs w:val="21"/>
              </w:rPr>
              <w:t>-7.12%</w:t>
            </w:r>
          </w:p>
        </w:tc>
        <w:tc>
          <w:tcPr>
            <w:tcW w:w="1161" w:type="dxa"/>
            <w:vAlign w:val="center"/>
          </w:tcPr>
          <w:p w:rsidR="006267D9" w:rsidRDefault="00D55B22">
            <w:pPr>
              <w:jc w:val="right"/>
            </w:pPr>
            <w:r>
              <w:rPr>
                <w:rFonts w:eastAsiaTheme="minorEastAsia"/>
                <w:color w:val="000000" w:themeColor="text1"/>
                <w:szCs w:val="21"/>
              </w:rPr>
              <w:t>0.93%</w:t>
            </w:r>
          </w:p>
        </w:tc>
        <w:tc>
          <w:tcPr>
            <w:tcW w:w="1181" w:type="dxa"/>
            <w:vAlign w:val="center"/>
          </w:tcPr>
          <w:p w:rsidR="006267D9" w:rsidRDefault="00D55B22">
            <w:pPr>
              <w:jc w:val="right"/>
            </w:pPr>
            <w:r>
              <w:rPr>
                <w:rFonts w:eastAsiaTheme="minorEastAsia"/>
                <w:color w:val="000000" w:themeColor="text1"/>
                <w:szCs w:val="21"/>
              </w:rPr>
              <w:t>-3.79%</w:t>
            </w:r>
          </w:p>
        </w:tc>
        <w:tc>
          <w:tcPr>
            <w:tcW w:w="1188" w:type="dxa"/>
            <w:vAlign w:val="center"/>
          </w:tcPr>
          <w:p w:rsidR="006267D9" w:rsidRDefault="00D55B22">
            <w:pPr>
              <w:jc w:val="right"/>
            </w:pPr>
            <w:r>
              <w:rPr>
                <w:rFonts w:eastAsiaTheme="minorEastAsia"/>
                <w:color w:val="000000" w:themeColor="text1"/>
                <w:szCs w:val="21"/>
              </w:rPr>
              <w:t>0.56%</w:t>
            </w:r>
          </w:p>
        </w:tc>
        <w:tc>
          <w:tcPr>
            <w:tcW w:w="1199" w:type="dxa"/>
            <w:vAlign w:val="center"/>
          </w:tcPr>
          <w:p w:rsidR="006267D9" w:rsidRDefault="00D55B22">
            <w:pPr>
              <w:jc w:val="right"/>
            </w:pPr>
            <w:r>
              <w:rPr>
                <w:rFonts w:eastAsiaTheme="minorEastAsia"/>
                <w:color w:val="000000" w:themeColor="text1"/>
                <w:szCs w:val="21"/>
              </w:rPr>
              <w:t>-3.33%</w:t>
            </w:r>
          </w:p>
        </w:tc>
        <w:tc>
          <w:tcPr>
            <w:tcW w:w="1204" w:type="dxa"/>
            <w:vAlign w:val="center"/>
          </w:tcPr>
          <w:p w:rsidR="006267D9" w:rsidRDefault="00D55B22">
            <w:pPr>
              <w:jc w:val="right"/>
            </w:pPr>
            <w:r>
              <w:rPr>
                <w:rFonts w:eastAsiaTheme="minorEastAsia"/>
                <w:color w:val="000000" w:themeColor="text1"/>
                <w:szCs w:val="21"/>
              </w:rPr>
              <w:t>0.37%</w:t>
            </w:r>
          </w:p>
        </w:tc>
      </w:tr>
      <w:tr w:rsidR="006267D9">
        <w:tc>
          <w:tcPr>
            <w:tcW w:w="1395" w:type="dxa"/>
            <w:vAlign w:val="center"/>
          </w:tcPr>
          <w:p w:rsidR="006267D9" w:rsidRDefault="00D55B22">
            <w:pPr>
              <w:jc w:val="left"/>
            </w:pPr>
            <w:r>
              <w:rPr>
                <w:rFonts w:eastAsiaTheme="minorEastAsia"/>
                <w:color w:val="000000" w:themeColor="text1"/>
                <w:szCs w:val="21"/>
              </w:rPr>
              <w:t>过去六个月</w:t>
            </w:r>
          </w:p>
        </w:tc>
        <w:tc>
          <w:tcPr>
            <w:tcW w:w="1092" w:type="dxa"/>
            <w:vAlign w:val="center"/>
          </w:tcPr>
          <w:p w:rsidR="006267D9" w:rsidRDefault="00D55B22">
            <w:pPr>
              <w:jc w:val="right"/>
            </w:pPr>
            <w:r>
              <w:rPr>
                <w:rFonts w:eastAsiaTheme="minorEastAsia"/>
                <w:color w:val="000000" w:themeColor="text1"/>
                <w:szCs w:val="21"/>
              </w:rPr>
              <w:t>-6.59%</w:t>
            </w:r>
          </w:p>
        </w:tc>
        <w:tc>
          <w:tcPr>
            <w:tcW w:w="1161" w:type="dxa"/>
            <w:vAlign w:val="center"/>
          </w:tcPr>
          <w:p w:rsidR="006267D9" w:rsidRDefault="00D55B22">
            <w:pPr>
              <w:jc w:val="right"/>
            </w:pPr>
            <w:r>
              <w:rPr>
                <w:rFonts w:eastAsiaTheme="minorEastAsia"/>
                <w:color w:val="000000" w:themeColor="text1"/>
                <w:szCs w:val="21"/>
              </w:rPr>
              <w:t>1.05%</w:t>
            </w:r>
          </w:p>
        </w:tc>
        <w:tc>
          <w:tcPr>
            <w:tcW w:w="1181" w:type="dxa"/>
            <w:vAlign w:val="center"/>
          </w:tcPr>
          <w:p w:rsidR="006267D9" w:rsidRDefault="00D55B22">
            <w:pPr>
              <w:jc w:val="right"/>
            </w:pPr>
            <w:r>
              <w:rPr>
                <w:rFonts w:eastAsiaTheme="minorEastAsia"/>
                <w:color w:val="000000" w:themeColor="text1"/>
                <w:szCs w:val="21"/>
              </w:rPr>
              <w:t>-1.23%</w:t>
            </w:r>
          </w:p>
        </w:tc>
        <w:tc>
          <w:tcPr>
            <w:tcW w:w="1188" w:type="dxa"/>
            <w:vAlign w:val="center"/>
          </w:tcPr>
          <w:p w:rsidR="006267D9" w:rsidRDefault="00D55B22">
            <w:pPr>
              <w:jc w:val="right"/>
            </w:pPr>
            <w:r>
              <w:rPr>
                <w:rFonts w:eastAsiaTheme="minorEastAsia"/>
                <w:color w:val="000000" w:themeColor="text1"/>
                <w:szCs w:val="21"/>
              </w:rPr>
              <w:t>0.59%</w:t>
            </w:r>
          </w:p>
        </w:tc>
        <w:tc>
          <w:tcPr>
            <w:tcW w:w="1199" w:type="dxa"/>
            <w:vAlign w:val="center"/>
          </w:tcPr>
          <w:p w:rsidR="006267D9" w:rsidRDefault="00D55B22">
            <w:pPr>
              <w:jc w:val="right"/>
            </w:pPr>
            <w:r>
              <w:rPr>
                <w:rFonts w:eastAsiaTheme="minorEastAsia"/>
                <w:color w:val="000000" w:themeColor="text1"/>
                <w:szCs w:val="21"/>
              </w:rPr>
              <w:t>-5.36%</w:t>
            </w:r>
          </w:p>
        </w:tc>
        <w:tc>
          <w:tcPr>
            <w:tcW w:w="1204" w:type="dxa"/>
            <w:vAlign w:val="center"/>
          </w:tcPr>
          <w:p w:rsidR="006267D9" w:rsidRDefault="00D55B22">
            <w:pPr>
              <w:jc w:val="right"/>
            </w:pPr>
            <w:r>
              <w:rPr>
                <w:rFonts w:eastAsiaTheme="minorEastAsia"/>
                <w:color w:val="000000" w:themeColor="text1"/>
                <w:szCs w:val="21"/>
              </w:rPr>
              <w:t>0.46%</w:t>
            </w:r>
          </w:p>
        </w:tc>
      </w:tr>
      <w:tr w:rsidR="006267D9">
        <w:tc>
          <w:tcPr>
            <w:tcW w:w="1395" w:type="dxa"/>
            <w:vAlign w:val="center"/>
          </w:tcPr>
          <w:p w:rsidR="006267D9" w:rsidRDefault="00D55B22">
            <w:pPr>
              <w:jc w:val="left"/>
            </w:pPr>
            <w:r>
              <w:rPr>
                <w:rFonts w:eastAsiaTheme="minorEastAsia"/>
                <w:color w:val="000000" w:themeColor="text1"/>
                <w:szCs w:val="21"/>
              </w:rPr>
              <w:t>过去一年</w:t>
            </w:r>
          </w:p>
        </w:tc>
        <w:tc>
          <w:tcPr>
            <w:tcW w:w="1092" w:type="dxa"/>
            <w:vAlign w:val="center"/>
          </w:tcPr>
          <w:p w:rsidR="006267D9" w:rsidRDefault="00D55B22">
            <w:pPr>
              <w:jc w:val="right"/>
            </w:pPr>
            <w:r>
              <w:rPr>
                <w:rFonts w:eastAsiaTheme="minorEastAsia"/>
                <w:color w:val="000000" w:themeColor="text1"/>
                <w:szCs w:val="21"/>
              </w:rPr>
              <w:t>-17.26%</w:t>
            </w:r>
          </w:p>
        </w:tc>
        <w:tc>
          <w:tcPr>
            <w:tcW w:w="1161" w:type="dxa"/>
            <w:vAlign w:val="center"/>
          </w:tcPr>
          <w:p w:rsidR="006267D9" w:rsidRDefault="00D55B22">
            <w:pPr>
              <w:jc w:val="right"/>
            </w:pPr>
            <w:r>
              <w:rPr>
                <w:rFonts w:eastAsiaTheme="minorEastAsia"/>
                <w:color w:val="000000" w:themeColor="text1"/>
                <w:szCs w:val="21"/>
              </w:rPr>
              <w:t>1.21%</w:t>
            </w:r>
          </w:p>
        </w:tc>
        <w:tc>
          <w:tcPr>
            <w:tcW w:w="1181" w:type="dxa"/>
            <w:vAlign w:val="center"/>
          </w:tcPr>
          <w:p w:rsidR="006267D9" w:rsidRDefault="00D55B22">
            <w:pPr>
              <w:jc w:val="right"/>
            </w:pPr>
            <w:r>
              <w:rPr>
                <w:rFonts w:eastAsiaTheme="minorEastAsia"/>
                <w:color w:val="000000" w:themeColor="text1"/>
                <w:szCs w:val="21"/>
              </w:rPr>
              <w:t>-7.81%</w:t>
            </w:r>
          </w:p>
        </w:tc>
        <w:tc>
          <w:tcPr>
            <w:tcW w:w="1188" w:type="dxa"/>
            <w:vAlign w:val="center"/>
          </w:tcPr>
          <w:p w:rsidR="006267D9" w:rsidRDefault="00D55B22">
            <w:pPr>
              <w:jc w:val="right"/>
            </w:pPr>
            <w:r>
              <w:rPr>
                <w:rFonts w:eastAsiaTheme="minorEastAsia"/>
                <w:color w:val="000000" w:themeColor="text1"/>
                <w:szCs w:val="21"/>
              </w:rPr>
              <w:t>0.72%</w:t>
            </w:r>
          </w:p>
        </w:tc>
        <w:tc>
          <w:tcPr>
            <w:tcW w:w="1199" w:type="dxa"/>
            <w:vAlign w:val="center"/>
          </w:tcPr>
          <w:p w:rsidR="006267D9" w:rsidRDefault="00D55B22">
            <w:pPr>
              <w:jc w:val="right"/>
            </w:pPr>
            <w:r>
              <w:rPr>
                <w:rFonts w:eastAsiaTheme="minorEastAsia"/>
                <w:color w:val="000000" w:themeColor="text1"/>
                <w:szCs w:val="21"/>
              </w:rPr>
              <w:t>-9.45%</w:t>
            </w:r>
          </w:p>
        </w:tc>
        <w:tc>
          <w:tcPr>
            <w:tcW w:w="1204" w:type="dxa"/>
            <w:vAlign w:val="center"/>
          </w:tcPr>
          <w:p w:rsidR="006267D9" w:rsidRDefault="00D55B22">
            <w:pPr>
              <w:jc w:val="right"/>
            </w:pPr>
            <w:r>
              <w:rPr>
                <w:rFonts w:eastAsiaTheme="minorEastAsia"/>
                <w:color w:val="000000" w:themeColor="text1"/>
                <w:szCs w:val="21"/>
              </w:rPr>
              <w:t>0.49%</w:t>
            </w:r>
          </w:p>
        </w:tc>
      </w:tr>
      <w:tr w:rsidR="006267D9">
        <w:tc>
          <w:tcPr>
            <w:tcW w:w="1395" w:type="dxa"/>
            <w:vAlign w:val="center"/>
          </w:tcPr>
          <w:p w:rsidR="006267D9" w:rsidRDefault="00D55B22">
            <w:pPr>
              <w:jc w:val="left"/>
            </w:pPr>
            <w:r>
              <w:rPr>
                <w:rFonts w:eastAsiaTheme="minorEastAsia"/>
                <w:color w:val="000000" w:themeColor="text1"/>
                <w:szCs w:val="21"/>
              </w:rPr>
              <w:t>过去三年</w:t>
            </w:r>
          </w:p>
        </w:tc>
        <w:tc>
          <w:tcPr>
            <w:tcW w:w="1092" w:type="dxa"/>
            <w:vAlign w:val="center"/>
          </w:tcPr>
          <w:p w:rsidR="006267D9" w:rsidRDefault="00D55B22">
            <w:pPr>
              <w:jc w:val="right"/>
            </w:pPr>
            <w:r>
              <w:rPr>
                <w:rFonts w:eastAsiaTheme="minorEastAsia"/>
                <w:color w:val="000000" w:themeColor="text1"/>
                <w:szCs w:val="21"/>
              </w:rPr>
              <w:t>-26.82%</w:t>
            </w:r>
          </w:p>
        </w:tc>
        <w:tc>
          <w:tcPr>
            <w:tcW w:w="1161" w:type="dxa"/>
            <w:vAlign w:val="center"/>
          </w:tcPr>
          <w:p w:rsidR="006267D9" w:rsidRDefault="00D55B22">
            <w:pPr>
              <w:jc w:val="right"/>
            </w:pPr>
            <w:r>
              <w:rPr>
                <w:rFonts w:eastAsiaTheme="minorEastAsia"/>
                <w:color w:val="000000" w:themeColor="text1"/>
                <w:szCs w:val="21"/>
              </w:rPr>
              <w:t>1.47%</w:t>
            </w:r>
          </w:p>
        </w:tc>
        <w:tc>
          <w:tcPr>
            <w:tcW w:w="1181" w:type="dxa"/>
            <w:vAlign w:val="center"/>
          </w:tcPr>
          <w:p w:rsidR="006267D9" w:rsidRDefault="00D55B22">
            <w:pPr>
              <w:jc w:val="right"/>
            </w:pPr>
            <w:r>
              <w:rPr>
                <w:rFonts w:eastAsiaTheme="minorEastAsia"/>
                <w:color w:val="000000" w:themeColor="text1"/>
                <w:szCs w:val="21"/>
              </w:rPr>
              <w:t>-2.34%</w:t>
            </w:r>
          </w:p>
        </w:tc>
        <w:tc>
          <w:tcPr>
            <w:tcW w:w="1188" w:type="dxa"/>
            <w:vAlign w:val="center"/>
          </w:tcPr>
          <w:p w:rsidR="006267D9" w:rsidRDefault="00D55B22">
            <w:pPr>
              <w:jc w:val="right"/>
            </w:pPr>
            <w:r>
              <w:rPr>
                <w:rFonts w:eastAsiaTheme="minorEastAsia"/>
                <w:color w:val="000000" w:themeColor="text1"/>
                <w:szCs w:val="21"/>
              </w:rPr>
              <w:t>0.81%</w:t>
            </w:r>
          </w:p>
        </w:tc>
        <w:tc>
          <w:tcPr>
            <w:tcW w:w="1199" w:type="dxa"/>
            <w:vAlign w:val="center"/>
          </w:tcPr>
          <w:p w:rsidR="006267D9" w:rsidRDefault="00D55B22">
            <w:pPr>
              <w:jc w:val="right"/>
            </w:pPr>
            <w:r>
              <w:rPr>
                <w:rFonts w:eastAsiaTheme="minorEastAsia"/>
                <w:color w:val="000000" w:themeColor="text1"/>
                <w:szCs w:val="21"/>
              </w:rPr>
              <w:t>-24.48%</w:t>
            </w:r>
          </w:p>
        </w:tc>
        <w:tc>
          <w:tcPr>
            <w:tcW w:w="1204" w:type="dxa"/>
            <w:vAlign w:val="center"/>
          </w:tcPr>
          <w:p w:rsidR="006267D9" w:rsidRDefault="00D55B22">
            <w:pPr>
              <w:jc w:val="right"/>
            </w:pPr>
            <w:r>
              <w:rPr>
                <w:rFonts w:eastAsiaTheme="minorEastAsia"/>
                <w:color w:val="000000" w:themeColor="text1"/>
                <w:szCs w:val="21"/>
              </w:rPr>
              <w:t>0.66%</w:t>
            </w:r>
          </w:p>
        </w:tc>
      </w:tr>
      <w:tr w:rsidR="006267D9">
        <w:tc>
          <w:tcPr>
            <w:tcW w:w="1395" w:type="dxa"/>
            <w:vAlign w:val="center"/>
          </w:tcPr>
          <w:p w:rsidR="006267D9" w:rsidRDefault="00D55B22">
            <w:pPr>
              <w:jc w:val="left"/>
            </w:pPr>
            <w:r>
              <w:rPr>
                <w:rFonts w:eastAsiaTheme="minorEastAsia"/>
                <w:color w:val="000000" w:themeColor="text1"/>
                <w:szCs w:val="21"/>
              </w:rPr>
              <w:t>过去五年</w:t>
            </w:r>
          </w:p>
        </w:tc>
        <w:tc>
          <w:tcPr>
            <w:tcW w:w="1092" w:type="dxa"/>
            <w:vAlign w:val="center"/>
          </w:tcPr>
          <w:p w:rsidR="006267D9" w:rsidRDefault="00D55B22">
            <w:pPr>
              <w:jc w:val="right"/>
            </w:pPr>
            <w:r>
              <w:rPr>
                <w:rFonts w:eastAsiaTheme="minorEastAsia"/>
                <w:color w:val="000000" w:themeColor="text1"/>
                <w:szCs w:val="21"/>
              </w:rPr>
              <w:t>-10.48%</w:t>
            </w:r>
          </w:p>
        </w:tc>
        <w:tc>
          <w:tcPr>
            <w:tcW w:w="1161" w:type="dxa"/>
            <w:vAlign w:val="center"/>
          </w:tcPr>
          <w:p w:rsidR="006267D9" w:rsidRDefault="00D55B22">
            <w:pPr>
              <w:jc w:val="right"/>
            </w:pPr>
            <w:r>
              <w:rPr>
                <w:rFonts w:eastAsiaTheme="minorEastAsia"/>
                <w:color w:val="000000" w:themeColor="text1"/>
                <w:szCs w:val="21"/>
              </w:rPr>
              <w:t>1.38%</w:t>
            </w:r>
          </w:p>
        </w:tc>
        <w:tc>
          <w:tcPr>
            <w:tcW w:w="1181" w:type="dxa"/>
            <w:vAlign w:val="center"/>
          </w:tcPr>
          <w:p w:rsidR="006267D9" w:rsidRDefault="00D55B22">
            <w:pPr>
              <w:jc w:val="right"/>
            </w:pPr>
            <w:r>
              <w:rPr>
                <w:rFonts w:eastAsiaTheme="minorEastAsia"/>
                <w:color w:val="000000" w:themeColor="text1"/>
                <w:szCs w:val="21"/>
              </w:rPr>
              <w:t>11.11%</w:t>
            </w:r>
          </w:p>
        </w:tc>
        <w:tc>
          <w:tcPr>
            <w:tcW w:w="1188" w:type="dxa"/>
            <w:vAlign w:val="center"/>
          </w:tcPr>
          <w:p w:rsidR="006267D9" w:rsidRDefault="00D55B22">
            <w:pPr>
              <w:jc w:val="right"/>
            </w:pPr>
            <w:r>
              <w:rPr>
                <w:rFonts w:eastAsiaTheme="minorEastAsia"/>
                <w:color w:val="000000" w:themeColor="text1"/>
                <w:szCs w:val="21"/>
              </w:rPr>
              <w:t>0.79%</w:t>
            </w:r>
          </w:p>
        </w:tc>
        <w:tc>
          <w:tcPr>
            <w:tcW w:w="1199" w:type="dxa"/>
            <w:vAlign w:val="center"/>
          </w:tcPr>
          <w:p w:rsidR="006267D9" w:rsidRDefault="00D55B22">
            <w:pPr>
              <w:jc w:val="right"/>
            </w:pPr>
            <w:r>
              <w:rPr>
                <w:rFonts w:eastAsiaTheme="minorEastAsia"/>
                <w:color w:val="000000" w:themeColor="text1"/>
                <w:szCs w:val="21"/>
              </w:rPr>
              <w:t>-21.59%</w:t>
            </w:r>
          </w:p>
        </w:tc>
        <w:tc>
          <w:tcPr>
            <w:tcW w:w="1204" w:type="dxa"/>
            <w:vAlign w:val="center"/>
          </w:tcPr>
          <w:p w:rsidR="006267D9" w:rsidRDefault="00D55B22">
            <w:pPr>
              <w:jc w:val="right"/>
            </w:pPr>
            <w:r>
              <w:rPr>
                <w:rFonts w:eastAsiaTheme="minorEastAsia"/>
                <w:color w:val="000000" w:themeColor="text1"/>
                <w:szCs w:val="21"/>
              </w:rPr>
              <w:t>0.59%</w:t>
            </w:r>
          </w:p>
        </w:tc>
      </w:tr>
      <w:tr w:rsidR="006267D9">
        <w:tc>
          <w:tcPr>
            <w:tcW w:w="1395" w:type="dxa"/>
            <w:vAlign w:val="center"/>
          </w:tcPr>
          <w:p w:rsidR="006267D9" w:rsidRDefault="00D55B22">
            <w:pPr>
              <w:jc w:val="left"/>
            </w:pPr>
            <w:r>
              <w:rPr>
                <w:rFonts w:eastAsiaTheme="minorEastAsia"/>
                <w:color w:val="000000" w:themeColor="text1"/>
                <w:szCs w:val="21"/>
              </w:rPr>
              <w:t>自基金合同生效起至今</w:t>
            </w:r>
          </w:p>
        </w:tc>
        <w:tc>
          <w:tcPr>
            <w:tcW w:w="1092" w:type="dxa"/>
            <w:vAlign w:val="center"/>
          </w:tcPr>
          <w:p w:rsidR="006267D9" w:rsidRDefault="00D55B22">
            <w:pPr>
              <w:jc w:val="right"/>
            </w:pPr>
            <w:r>
              <w:rPr>
                <w:rFonts w:eastAsiaTheme="minorEastAsia"/>
                <w:color w:val="000000" w:themeColor="text1"/>
                <w:szCs w:val="21"/>
              </w:rPr>
              <w:t>29.89%</w:t>
            </w:r>
          </w:p>
        </w:tc>
        <w:tc>
          <w:tcPr>
            <w:tcW w:w="1161" w:type="dxa"/>
            <w:vAlign w:val="center"/>
          </w:tcPr>
          <w:p w:rsidR="006267D9" w:rsidRDefault="00D55B22">
            <w:pPr>
              <w:jc w:val="right"/>
            </w:pPr>
            <w:r>
              <w:rPr>
                <w:rFonts w:eastAsiaTheme="minorEastAsia"/>
                <w:color w:val="000000" w:themeColor="text1"/>
                <w:szCs w:val="21"/>
              </w:rPr>
              <w:t>1.29%</w:t>
            </w:r>
          </w:p>
        </w:tc>
        <w:tc>
          <w:tcPr>
            <w:tcW w:w="1181" w:type="dxa"/>
            <w:vAlign w:val="center"/>
          </w:tcPr>
          <w:p w:rsidR="006267D9" w:rsidRDefault="00D55B22">
            <w:pPr>
              <w:jc w:val="right"/>
            </w:pPr>
            <w:r>
              <w:rPr>
                <w:rFonts w:eastAsiaTheme="minorEastAsia"/>
                <w:color w:val="000000" w:themeColor="text1"/>
                <w:szCs w:val="21"/>
              </w:rPr>
              <w:t>24.64%</w:t>
            </w:r>
          </w:p>
        </w:tc>
        <w:tc>
          <w:tcPr>
            <w:tcW w:w="1188" w:type="dxa"/>
            <w:vAlign w:val="center"/>
          </w:tcPr>
          <w:p w:rsidR="006267D9" w:rsidRDefault="00D55B22">
            <w:pPr>
              <w:jc w:val="right"/>
            </w:pPr>
            <w:r>
              <w:rPr>
                <w:rFonts w:eastAsiaTheme="minorEastAsia"/>
                <w:color w:val="000000" w:themeColor="text1"/>
                <w:szCs w:val="21"/>
              </w:rPr>
              <w:t>0.73%</w:t>
            </w:r>
          </w:p>
        </w:tc>
        <w:tc>
          <w:tcPr>
            <w:tcW w:w="1199" w:type="dxa"/>
            <w:vAlign w:val="center"/>
          </w:tcPr>
          <w:p w:rsidR="006267D9" w:rsidRDefault="00D55B22">
            <w:pPr>
              <w:jc w:val="right"/>
            </w:pPr>
            <w:r>
              <w:rPr>
                <w:rFonts w:eastAsiaTheme="minorEastAsia"/>
                <w:color w:val="000000" w:themeColor="text1"/>
                <w:szCs w:val="21"/>
              </w:rPr>
              <w:t>5.25%</w:t>
            </w:r>
          </w:p>
        </w:tc>
        <w:tc>
          <w:tcPr>
            <w:tcW w:w="1204" w:type="dxa"/>
            <w:vAlign w:val="center"/>
          </w:tcPr>
          <w:p w:rsidR="006267D9" w:rsidRDefault="00D55B22">
            <w:pPr>
              <w:jc w:val="right"/>
            </w:pPr>
            <w:r>
              <w:rPr>
                <w:rFonts w:eastAsiaTheme="minorEastAsia"/>
                <w:color w:val="000000" w:themeColor="text1"/>
                <w:szCs w:val="21"/>
              </w:rPr>
              <w:t>0.56%</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摩根中国世纪灵活配置混合型证券投资基金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6267D9" w:rsidRDefault="00D55B2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6267D9" w:rsidRDefault="00D55B2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因中证指数公司于</w:t>
      </w:r>
      <w:r w:rsidRPr="00A76A42">
        <w:rPr>
          <w:rFonts w:eastAsiaTheme="minorEastAsia"/>
          <w:color w:val="000000" w:themeColor="text1"/>
          <w:szCs w:val="21"/>
        </w:rPr>
        <w:t>2020</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13</w:t>
      </w:r>
      <w:r w:rsidRPr="00A76A42">
        <w:rPr>
          <w:rFonts w:eastAsiaTheme="minorEastAsia"/>
          <w:color w:val="000000" w:themeColor="text1"/>
          <w:szCs w:val="21"/>
        </w:rPr>
        <w:t>日起将</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修订为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，本基金的业绩比较基准自同日起由</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变更为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指数收益率</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6267D9">
        <w:tc>
          <w:tcPr>
            <w:tcW w:w="851" w:type="dxa"/>
            <w:vAlign w:val="center"/>
          </w:tcPr>
          <w:p w:rsidR="006267D9" w:rsidRDefault="00D55B22">
            <w:pPr>
              <w:jc w:val="center"/>
            </w:pPr>
            <w:r>
              <w:rPr>
                <w:rFonts w:eastAsiaTheme="minorEastAsia"/>
                <w:color w:val="000000" w:themeColor="text1"/>
                <w:szCs w:val="21"/>
              </w:rPr>
              <w:t>王丽军</w:t>
            </w:r>
          </w:p>
        </w:tc>
        <w:tc>
          <w:tcPr>
            <w:tcW w:w="850" w:type="dxa"/>
            <w:vAlign w:val="center"/>
          </w:tcPr>
          <w:p w:rsidR="006267D9" w:rsidRDefault="00D55B22">
            <w:pPr>
              <w:jc w:val="center"/>
            </w:pPr>
            <w:r>
              <w:rPr>
                <w:rFonts w:eastAsiaTheme="minorEastAsia"/>
                <w:color w:val="000000" w:themeColor="text1"/>
                <w:szCs w:val="21"/>
              </w:rPr>
              <w:t>本基金基金经理</w:t>
            </w:r>
          </w:p>
        </w:tc>
        <w:tc>
          <w:tcPr>
            <w:tcW w:w="1560" w:type="dxa"/>
            <w:vAlign w:val="center"/>
          </w:tcPr>
          <w:p w:rsidR="006267D9" w:rsidRDefault="00D55B22">
            <w:pPr>
              <w:jc w:val="center"/>
            </w:pPr>
            <w:r>
              <w:rPr>
                <w:rFonts w:eastAsiaTheme="minorEastAsia"/>
                <w:color w:val="000000" w:themeColor="text1"/>
                <w:szCs w:val="21"/>
              </w:rPr>
              <w:t>2016-11-11</w:t>
            </w:r>
          </w:p>
        </w:tc>
        <w:tc>
          <w:tcPr>
            <w:tcW w:w="1559" w:type="dxa"/>
            <w:vAlign w:val="center"/>
          </w:tcPr>
          <w:p w:rsidR="006267D9" w:rsidRDefault="00D55B22">
            <w:pPr>
              <w:jc w:val="center"/>
            </w:pPr>
            <w:r>
              <w:rPr>
                <w:rFonts w:eastAsiaTheme="minorEastAsia"/>
                <w:color w:val="000000" w:themeColor="text1"/>
                <w:szCs w:val="21"/>
              </w:rPr>
              <w:t>-</w:t>
            </w:r>
          </w:p>
        </w:tc>
        <w:tc>
          <w:tcPr>
            <w:tcW w:w="1417" w:type="dxa"/>
            <w:vAlign w:val="center"/>
          </w:tcPr>
          <w:p w:rsidR="006267D9" w:rsidRDefault="00D55B22">
            <w:pPr>
              <w:jc w:val="center"/>
            </w:pPr>
            <w:r>
              <w:rPr>
                <w:rFonts w:eastAsiaTheme="minorEastAsia"/>
                <w:color w:val="000000" w:themeColor="text1"/>
                <w:szCs w:val="21"/>
              </w:rPr>
              <w:t>16</w:t>
            </w:r>
            <w:r>
              <w:rPr>
                <w:rFonts w:eastAsiaTheme="minorEastAsia"/>
                <w:color w:val="000000" w:themeColor="text1"/>
                <w:szCs w:val="21"/>
              </w:rPr>
              <w:t>年</w:t>
            </w:r>
          </w:p>
        </w:tc>
        <w:tc>
          <w:tcPr>
            <w:tcW w:w="2694" w:type="dxa"/>
            <w:vAlign w:val="center"/>
          </w:tcPr>
          <w:p w:rsidR="006267D9" w:rsidRDefault="00D55B22">
            <w:pPr>
              <w:jc w:val="left"/>
            </w:pPr>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bl>
    <w:p w:rsidR="006267D9" w:rsidRDefault="00D55B2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6267D9" w:rsidRDefault="00D55B2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szCs w:val="21"/>
        </w:rPr>
        <w:lastRenderedPageBreak/>
        <w:t>理活动相关的环节均得到公平对待。</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二季度市场整体一般，</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3.2%</w:t>
      </w:r>
      <w:r>
        <w:rPr>
          <w:rFonts w:eastAsiaTheme="minorEastAsia"/>
          <w:color w:val="000000" w:themeColor="text1"/>
          <w:szCs w:val="21"/>
        </w:rPr>
        <w:t>，上证指数下跌</w:t>
      </w:r>
      <w:r>
        <w:rPr>
          <w:rFonts w:eastAsiaTheme="minorEastAsia"/>
          <w:color w:val="000000" w:themeColor="text1"/>
          <w:szCs w:val="21"/>
        </w:rPr>
        <w:t>2.16%</w:t>
      </w:r>
      <w:r>
        <w:rPr>
          <w:rFonts w:eastAsiaTheme="minorEastAsia"/>
          <w:color w:val="000000" w:themeColor="text1"/>
          <w:szCs w:val="21"/>
        </w:rPr>
        <w:t>，除</w:t>
      </w:r>
      <w:r>
        <w:rPr>
          <w:rFonts w:eastAsiaTheme="minorEastAsia"/>
          <w:color w:val="000000" w:themeColor="text1"/>
          <w:szCs w:val="21"/>
        </w:rPr>
        <w:t>TMT</w:t>
      </w:r>
      <w:r>
        <w:rPr>
          <w:rFonts w:eastAsiaTheme="minorEastAsia"/>
          <w:color w:val="000000" w:themeColor="text1"/>
          <w:szCs w:val="21"/>
        </w:rPr>
        <w:t>几个行业涨幅较大，其余表现较弱，香港离岸市场表现更弱，本基金主要持仓包括低估值的油气、有色等资源型板块，中药、创新药等医药股，以及相对低位的港股科技股，整个</w:t>
      </w:r>
      <w:r>
        <w:rPr>
          <w:rFonts w:eastAsiaTheme="minorEastAsia"/>
          <w:color w:val="000000" w:themeColor="text1"/>
          <w:szCs w:val="21"/>
        </w:rPr>
        <w:t>TMT</w:t>
      </w:r>
      <w:r>
        <w:rPr>
          <w:rFonts w:eastAsiaTheme="minorEastAsia"/>
          <w:color w:val="000000" w:themeColor="text1"/>
          <w:szCs w:val="21"/>
        </w:rPr>
        <w:t>板块持仓较少，二季度表现存在一定压力。</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展望下半年经济，我们关注本轮库存周期见底时间，我们认为经济已处于底部区域，经济弱复苏的逻辑将逐渐得到企业盈利的验证，加上多数股票处于相对较低位置，收益相对于风险的性价比较高。</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我们看好如下行业：</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国内市场，我们看好中游制造业，包括技术门槛高的高端制造业，高端材料领域，工业自动化，军工以及智能汽车产业链，并持续关注半导体产业，</w:t>
      </w:r>
      <w:r>
        <w:rPr>
          <w:rFonts w:eastAsiaTheme="minorEastAsia"/>
          <w:color w:val="000000" w:themeColor="text1"/>
          <w:szCs w:val="21"/>
        </w:rPr>
        <w:t>ChatGPT</w:t>
      </w:r>
      <w:r>
        <w:rPr>
          <w:rFonts w:eastAsiaTheme="minorEastAsia"/>
          <w:color w:val="000000" w:themeColor="text1"/>
          <w:szCs w:val="21"/>
        </w:rPr>
        <w:t>的出现，将极大提升生产效率，未来也将改变很多行业的格局，我们也重点关注包括运营商、算力基础、应用领域相关公司的投资机会。</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香港市场，恒生科技以及创新药调整比较充分，提供了很好的投资机会，另外香港市场波动大，我们核心仓位一直在低估值的板块，包括原油、煤炭、铜铝，以及保险行业，目前市场对经济复苏预期比较弱，相关板块估值都在相对低位，具有一定的安全边际，另外铜铝、</w:t>
      </w:r>
      <w:r>
        <w:rPr>
          <w:rFonts w:eastAsiaTheme="minorEastAsia"/>
          <w:color w:val="000000" w:themeColor="text1"/>
          <w:szCs w:val="21"/>
        </w:rPr>
        <w:lastRenderedPageBreak/>
        <w:t>原油等资源品价格受美元的影响比较大，叠加长周期供给端的约束，整个资源品的价格或会维持在相对高位，相关公司利润中枢稳定，高分红带来有吸引力的股息率。</w:t>
      </w:r>
      <w:r>
        <w:rPr>
          <w:rFonts w:eastAsiaTheme="minorEastAsia"/>
          <w:color w:val="000000" w:themeColor="text1"/>
          <w:szCs w:val="21"/>
        </w:rPr>
        <w:t xml:space="preserve"> </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消费关注的重点还是在医药行业：重点关注几条线，一是院内复苏线，院内复苏是今年强逻辑，尤其是麻醉领域；二是中药，中药政策扶持或将延续，板块业绩持续性强；三是创新药，板块虽然受市场情绪影响波动比较大，但我们判断今年开始进入创新药商业化大年，因此重点看好。</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:-7.12%</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:-3.79%</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100,478,227.23</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88.47</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100,478,227.23</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88.47</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12,536,958.81</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11.04</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562,487.42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0.50</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113,577,673.46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19913716.93</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17.69%</w:t>
      </w:r>
      <w:r w:rsidRPr="00A76A42">
        <w:rPr>
          <w:rFonts w:eastAsiaTheme="minorEastAsia"/>
          <w:color w:val="000000" w:themeColor="text1"/>
          <w:szCs w:val="21"/>
        </w:rPr>
        <w:t>。</w:t>
      </w:r>
      <w:bookmarkStart w:id="1" w:name="_Toc351577071"/>
    </w:p>
    <w:bookmarkEnd w:id="1"/>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6267D9">
        <w:trPr>
          <w:jc w:val="center"/>
        </w:trPr>
        <w:tc>
          <w:tcPr>
            <w:tcW w:w="2410" w:type="dxa"/>
            <w:vAlign w:val="center"/>
          </w:tcPr>
          <w:p w:rsidR="006267D9" w:rsidRDefault="00D55B22">
            <w:pPr>
              <w:jc w:val="left"/>
            </w:pPr>
            <w:r>
              <w:rPr>
                <w:rFonts w:eastAsiaTheme="minorEastAsia"/>
                <w:color w:val="000000" w:themeColor="text1"/>
                <w:szCs w:val="21"/>
              </w:rPr>
              <w:t>中国</w:t>
            </w:r>
          </w:p>
        </w:tc>
        <w:tc>
          <w:tcPr>
            <w:tcW w:w="3118" w:type="dxa"/>
            <w:vAlign w:val="center"/>
          </w:tcPr>
          <w:p w:rsidR="006267D9" w:rsidRDefault="00D55B22">
            <w:pPr>
              <w:jc w:val="right"/>
            </w:pPr>
            <w:r>
              <w:rPr>
                <w:rFonts w:eastAsiaTheme="minorEastAsia"/>
                <w:color w:val="000000" w:themeColor="text1"/>
                <w:szCs w:val="21"/>
              </w:rPr>
              <w:t>80,564,510.30</w:t>
            </w:r>
          </w:p>
        </w:tc>
        <w:tc>
          <w:tcPr>
            <w:tcW w:w="3076" w:type="dxa"/>
            <w:vAlign w:val="center"/>
          </w:tcPr>
          <w:p w:rsidR="006267D9" w:rsidRDefault="00D55B22">
            <w:pPr>
              <w:jc w:val="right"/>
            </w:pPr>
            <w:r>
              <w:rPr>
                <w:rFonts w:eastAsiaTheme="minorEastAsia"/>
                <w:color w:val="000000" w:themeColor="text1"/>
                <w:szCs w:val="21"/>
              </w:rPr>
              <w:t>71.57</w:t>
            </w:r>
          </w:p>
        </w:tc>
      </w:tr>
      <w:tr w:rsidR="006267D9">
        <w:trPr>
          <w:jc w:val="center"/>
        </w:trPr>
        <w:tc>
          <w:tcPr>
            <w:tcW w:w="2410" w:type="dxa"/>
            <w:vAlign w:val="center"/>
          </w:tcPr>
          <w:p w:rsidR="006267D9" w:rsidRDefault="00D55B22">
            <w:pPr>
              <w:jc w:val="left"/>
            </w:pPr>
            <w:r>
              <w:rPr>
                <w:rFonts w:eastAsiaTheme="minorEastAsia"/>
                <w:color w:val="000000" w:themeColor="text1"/>
                <w:szCs w:val="21"/>
              </w:rPr>
              <w:t>中国香港</w:t>
            </w:r>
          </w:p>
        </w:tc>
        <w:tc>
          <w:tcPr>
            <w:tcW w:w="3118" w:type="dxa"/>
            <w:vAlign w:val="center"/>
          </w:tcPr>
          <w:p w:rsidR="006267D9" w:rsidRDefault="00D55B22">
            <w:pPr>
              <w:jc w:val="right"/>
            </w:pPr>
            <w:r>
              <w:rPr>
                <w:rFonts w:eastAsiaTheme="minorEastAsia"/>
                <w:color w:val="000000" w:themeColor="text1"/>
                <w:szCs w:val="21"/>
              </w:rPr>
              <w:t>19,913,716.93</w:t>
            </w:r>
          </w:p>
        </w:tc>
        <w:tc>
          <w:tcPr>
            <w:tcW w:w="3076" w:type="dxa"/>
            <w:vAlign w:val="center"/>
          </w:tcPr>
          <w:p w:rsidR="006267D9" w:rsidRDefault="00D55B22">
            <w:pPr>
              <w:jc w:val="right"/>
            </w:pPr>
            <w:r>
              <w:rPr>
                <w:rFonts w:eastAsiaTheme="minorEastAsia"/>
                <w:color w:val="000000" w:themeColor="text1"/>
                <w:szCs w:val="21"/>
              </w:rPr>
              <w:t>17.69</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100,478,227.23</w:t>
            </w:r>
          </w:p>
        </w:tc>
        <w:tc>
          <w:tcPr>
            <w:tcW w:w="3076" w:type="dxa"/>
            <w:vAlign w:val="center"/>
          </w:tcPr>
          <w:p w:rsidR="002C042C" w:rsidRPr="00A76A42" w:rsidRDefault="002C042C" w:rsidP="00D55B22">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89.2</w:t>
            </w:r>
            <w:r w:rsidR="00D55B22">
              <w:rPr>
                <w:rFonts w:eastAsiaTheme="minorEastAsia"/>
                <w:color w:val="000000" w:themeColor="text1"/>
                <w:szCs w:val="21"/>
              </w:rPr>
              <w:t>7</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6267D9">
        <w:tc>
          <w:tcPr>
            <w:tcW w:w="2787" w:type="dxa"/>
            <w:vAlign w:val="center"/>
          </w:tcPr>
          <w:p w:rsidR="006267D9" w:rsidRDefault="00D55B22">
            <w:pPr>
              <w:jc w:val="left"/>
            </w:pPr>
            <w:r>
              <w:rPr>
                <w:rFonts w:eastAsiaTheme="minorEastAsia"/>
                <w:color w:val="000000" w:themeColor="text1"/>
                <w:szCs w:val="21"/>
              </w:rPr>
              <w:t>医疗保健</w:t>
            </w:r>
          </w:p>
        </w:tc>
        <w:tc>
          <w:tcPr>
            <w:tcW w:w="2551" w:type="dxa"/>
            <w:vAlign w:val="center"/>
          </w:tcPr>
          <w:p w:rsidR="006267D9" w:rsidRDefault="00D55B22">
            <w:pPr>
              <w:jc w:val="right"/>
            </w:pPr>
            <w:r>
              <w:rPr>
                <w:rFonts w:eastAsiaTheme="minorEastAsia"/>
                <w:color w:val="000000" w:themeColor="text1"/>
                <w:szCs w:val="21"/>
              </w:rPr>
              <w:t>24,572,400.37</w:t>
            </w:r>
          </w:p>
        </w:tc>
        <w:tc>
          <w:tcPr>
            <w:tcW w:w="3175" w:type="dxa"/>
            <w:vAlign w:val="center"/>
          </w:tcPr>
          <w:p w:rsidR="006267D9" w:rsidRDefault="00D55B22">
            <w:pPr>
              <w:jc w:val="right"/>
            </w:pPr>
            <w:r>
              <w:rPr>
                <w:rFonts w:eastAsiaTheme="minorEastAsia"/>
                <w:color w:val="000000" w:themeColor="text1"/>
                <w:szCs w:val="21"/>
              </w:rPr>
              <w:t>21.83</w:t>
            </w:r>
          </w:p>
        </w:tc>
      </w:tr>
      <w:tr w:rsidR="006267D9">
        <w:tc>
          <w:tcPr>
            <w:tcW w:w="2787" w:type="dxa"/>
            <w:vAlign w:val="center"/>
          </w:tcPr>
          <w:p w:rsidR="006267D9" w:rsidRDefault="00D55B22">
            <w:pPr>
              <w:jc w:val="left"/>
            </w:pPr>
            <w:r>
              <w:rPr>
                <w:rFonts w:eastAsiaTheme="minorEastAsia"/>
                <w:color w:val="000000" w:themeColor="text1"/>
                <w:szCs w:val="21"/>
              </w:rPr>
              <w:t>能源</w:t>
            </w:r>
          </w:p>
        </w:tc>
        <w:tc>
          <w:tcPr>
            <w:tcW w:w="2551" w:type="dxa"/>
            <w:vAlign w:val="center"/>
          </w:tcPr>
          <w:p w:rsidR="006267D9" w:rsidRDefault="00D55B22">
            <w:pPr>
              <w:jc w:val="right"/>
            </w:pPr>
            <w:r>
              <w:rPr>
                <w:rFonts w:eastAsiaTheme="minorEastAsia"/>
                <w:color w:val="000000" w:themeColor="text1"/>
                <w:szCs w:val="21"/>
              </w:rPr>
              <w:t>23,837,518.16</w:t>
            </w:r>
          </w:p>
        </w:tc>
        <w:tc>
          <w:tcPr>
            <w:tcW w:w="3175" w:type="dxa"/>
            <w:vAlign w:val="center"/>
          </w:tcPr>
          <w:p w:rsidR="006267D9" w:rsidRDefault="00D55B22">
            <w:pPr>
              <w:jc w:val="right"/>
            </w:pPr>
            <w:r>
              <w:rPr>
                <w:rFonts w:eastAsiaTheme="minorEastAsia"/>
                <w:color w:val="000000" w:themeColor="text1"/>
                <w:szCs w:val="21"/>
              </w:rPr>
              <w:t>21.18</w:t>
            </w:r>
          </w:p>
        </w:tc>
      </w:tr>
      <w:tr w:rsidR="006267D9">
        <w:tc>
          <w:tcPr>
            <w:tcW w:w="2787" w:type="dxa"/>
            <w:vAlign w:val="center"/>
          </w:tcPr>
          <w:p w:rsidR="006267D9" w:rsidRDefault="00D55B22">
            <w:pPr>
              <w:jc w:val="left"/>
            </w:pPr>
            <w:r>
              <w:rPr>
                <w:rFonts w:eastAsiaTheme="minorEastAsia"/>
                <w:color w:val="000000" w:themeColor="text1"/>
                <w:szCs w:val="21"/>
              </w:rPr>
              <w:t>信息技术</w:t>
            </w:r>
          </w:p>
        </w:tc>
        <w:tc>
          <w:tcPr>
            <w:tcW w:w="2551" w:type="dxa"/>
            <w:vAlign w:val="center"/>
          </w:tcPr>
          <w:p w:rsidR="006267D9" w:rsidRDefault="00D55B22">
            <w:pPr>
              <w:jc w:val="right"/>
            </w:pPr>
            <w:r>
              <w:rPr>
                <w:rFonts w:eastAsiaTheme="minorEastAsia"/>
                <w:color w:val="000000" w:themeColor="text1"/>
                <w:szCs w:val="21"/>
              </w:rPr>
              <w:t>17,889,030.86</w:t>
            </w:r>
          </w:p>
        </w:tc>
        <w:tc>
          <w:tcPr>
            <w:tcW w:w="3175" w:type="dxa"/>
            <w:vAlign w:val="center"/>
          </w:tcPr>
          <w:p w:rsidR="006267D9" w:rsidRDefault="00D55B22">
            <w:pPr>
              <w:jc w:val="right"/>
            </w:pPr>
            <w:r>
              <w:rPr>
                <w:rFonts w:eastAsiaTheme="minorEastAsia"/>
                <w:color w:val="000000" w:themeColor="text1"/>
                <w:szCs w:val="21"/>
              </w:rPr>
              <w:t>15.89</w:t>
            </w:r>
          </w:p>
        </w:tc>
      </w:tr>
      <w:tr w:rsidR="006267D9">
        <w:tc>
          <w:tcPr>
            <w:tcW w:w="2787" w:type="dxa"/>
            <w:vAlign w:val="center"/>
          </w:tcPr>
          <w:p w:rsidR="006267D9" w:rsidRDefault="00D55B22">
            <w:pPr>
              <w:jc w:val="left"/>
            </w:pPr>
            <w:r>
              <w:rPr>
                <w:rFonts w:eastAsiaTheme="minorEastAsia"/>
                <w:color w:val="000000" w:themeColor="text1"/>
                <w:szCs w:val="21"/>
              </w:rPr>
              <w:t>基础材料</w:t>
            </w:r>
          </w:p>
        </w:tc>
        <w:tc>
          <w:tcPr>
            <w:tcW w:w="2551" w:type="dxa"/>
            <w:vAlign w:val="center"/>
          </w:tcPr>
          <w:p w:rsidR="006267D9" w:rsidRDefault="00D55B22">
            <w:pPr>
              <w:jc w:val="right"/>
            </w:pPr>
            <w:r>
              <w:rPr>
                <w:rFonts w:eastAsiaTheme="minorEastAsia"/>
                <w:color w:val="000000" w:themeColor="text1"/>
                <w:szCs w:val="21"/>
              </w:rPr>
              <w:t>10,340,590.24</w:t>
            </w:r>
          </w:p>
        </w:tc>
        <w:tc>
          <w:tcPr>
            <w:tcW w:w="3175" w:type="dxa"/>
            <w:vAlign w:val="center"/>
          </w:tcPr>
          <w:p w:rsidR="006267D9" w:rsidRDefault="00D55B22">
            <w:pPr>
              <w:jc w:val="right"/>
            </w:pPr>
            <w:r>
              <w:rPr>
                <w:rFonts w:eastAsiaTheme="minorEastAsia"/>
                <w:color w:val="000000" w:themeColor="text1"/>
                <w:szCs w:val="21"/>
              </w:rPr>
              <w:t>9.19</w:t>
            </w:r>
          </w:p>
        </w:tc>
      </w:tr>
      <w:tr w:rsidR="006267D9">
        <w:tc>
          <w:tcPr>
            <w:tcW w:w="2787" w:type="dxa"/>
            <w:vAlign w:val="center"/>
          </w:tcPr>
          <w:p w:rsidR="006267D9" w:rsidRDefault="00D55B22">
            <w:pPr>
              <w:jc w:val="left"/>
            </w:pPr>
            <w:r>
              <w:rPr>
                <w:rFonts w:eastAsiaTheme="minorEastAsia"/>
                <w:color w:val="000000" w:themeColor="text1"/>
                <w:szCs w:val="21"/>
              </w:rPr>
              <w:t>工业</w:t>
            </w:r>
          </w:p>
        </w:tc>
        <w:tc>
          <w:tcPr>
            <w:tcW w:w="2551" w:type="dxa"/>
            <w:vAlign w:val="center"/>
          </w:tcPr>
          <w:p w:rsidR="006267D9" w:rsidRDefault="00D55B22">
            <w:pPr>
              <w:jc w:val="right"/>
            </w:pPr>
            <w:r>
              <w:rPr>
                <w:rFonts w:eastAsiaTheme="minorEastAsia"/>
                <w:color w:val="000000" w:themeColor="text1"/>
                <w:szCs w:val="21"/>
              </w:rPr>
              <w:t>9,747,935.00</w:t>
            </w:r>
          </w:p>
        </w:tc>
        <w:tc>
          <w:tcPr>
            <w:tcW w:w="3175" w:type="dxa"/>
            <w:vAlign w:val="center"/>
          </w:tcPr>
          <w:p w:rsidR="006267D9" w:rsidRDefault="00D55B22">
            <w:pPr>
              <w:jc w:val="right"/>
            </w:pPr>
            <w:r>
              <w:rPr>
                <w:rFonts w:eastAsiaTheme="minorEastAsia"/>
                <w:color w:val="000000" w:themeColor="text1"/>
                <w:szCs w:val="21"/>
              </w:rPr>
              <w:t>8.66</w:t>
            </w:r>
          </w:p>
        </w:tc>
      </w:tr>
      <w:tr w:rsidR="006267D9">
        <w:tc>
          <w:tcPr>
            <w:tcW w:w="2787" w:type="dxa"/>
            <w:vAlign w:val="center"/>
          </w:tcPr>
          <w:p w:rsidR="006267D9" w:rsidRDefault="00D55B22">
            <w:pPr>
              <w:jc w:val="left"/>
            </w:pPr>
            <w:r>
              <w:rPr>
                <w:rFonts w:eastAsiaTheme="minorEastAsia"/>
                <w:color w:val="000000" w:themeColor="text1"/>
                <w:szCs w:val="21"/>
              </w:rPr>
              <w:t>金融</w:t>
            </w:r>
          </w:p>
        </w:tc>
        <w:tc>
          <w:tcPr>
            <w:tcW w:w="2551" w:type="dxa"/>
            <w:vAlign w:val="center"/>
          </w:tcPr>
          <w:p w:rsidR="006267D9" w:rsidRDefault="00D55B22">
            <w:pPr>
              <w:jc w:val="right"/>
            </w:pPr>
            <w:r>
              <w:rPr>
                <w:rFonts w:eastAsiaTheme="minorEastAsia"/>
                <w:color w:val="000000" w:themeColor="text1"/>
                <w:szCs w:val="21"/>
              </w:rPr>
              <w:t>6,585,344.07</w:t>
            </w:r>
          </w:p>
        </w:tc>
        <w:tc>
          <w:tcPr>
            <w:tcW w:w="3175" w:type="dxa"/>
            <w:vAlign w:val="center"/>
          </w:tcPr>
          <w:p w:rsidR="006267D9" w:rsidRDefault="00D55B22">
            <w:pPr>
              <w:jc w:val="right"/>
            </w:pPr>
            <w:r>
              <w:rPr>
                <w:rFonts w:eastAsiaTheme="minorEastAsia"/>
                <w:color w:val="000000" w:themeColor="text1"/>
                <w:szCs w:val="21"/>
              </w:rPr>
              <w:t>5.85</w:t>
            </w:r>
          </w:p>
        </w:tc>
      </w:tr>
      <w:tr w:rsidR="006267D9">
        <w:tc>
          <w:tcPr>
            <w:tcW w:w="2787" w:type="dxa"/>
            <w:vAlign w:val="center"/>
          </w:tcPr>
          <w:p w:rsidR="006267D9" w:rsidRDefault="00D55B22">
            <w:pPr>
              <w:jc w:val="left"/>
            </w:pPr>
            <w:r>
              <w:rPr>
                <w:rFonts w:eastAsiaTheme="minorEastAsia"/>
                <w:color w:val="000000" w:themeColor="text1"/>
                <w:szCs w:val="21"/>
              </w:rPr>
              <w:t>消费者非必需品</w:t>
            </w:r>
          </w:p>
        </w:tc>
        <w:tc>
          <w:tcPr>
            <w:tcW w:w="2551" w:type="dxa"/>
            <w:vAlign w:val="center"/>
          </w:tcPr>
          <w:p w:rsidR="006267D9" w:rsidRDefault="00D55B22">
            <w:pPr>
              <w:jc w:val="right"/>
            </w:pPr>
            <w:r>
              <w:rPr>
                <w:rFonts w:eastAsiaTheme="minorEastAsia"/>
                <w:color w:val="000000" w:themeColor="text1"/>
                <w:szCs w:val="21"/>
              </w:rPr>
              <w:t>4,203,540.00</w:t>
            </w:r>
          </w:p>
        </w:tc>
        <w:tc>
          <w:tcPr>
            <w:tcW w:w="3175" w:type="dxa"/>
            <w:vAlign w:val="center"/>
          </w:tcPr>
          <w:p w:rsidR="006267D9" w:rsidRDefault="00D55B22">
            <w:pPr>
              <w:jc w:val="right"/>
            </w:pPr>
            <w:r>
              <w:rPr>
                <w:rFonts w:eastAsiaTheme="minorEastAsia"/>
                <w:color w:val="000000" w:themeColor="text1"/>
                <w:szCs w:val="21"/>
              </w:rPr>
              <w:t>3.73</w:t>
            </w:r>
          </w:p>
        </w:tc>
      </w:tr>
      <w:tr w:rsidR="006267D9">
        <w:tc>
          <w:tcPr>
            <w:tcW w:w="2787" w:type="dxa"/>
            <w:vAlign w:val="center"/>
          </w:tcPr>
          <w:p w:rsidR="006267D9" w:rsidRDefault="00D55B22">
            <w:pPr>
              <w:jc w:val="left"/>
            </w:pPr>
            <w:r>
              <w:rPr>
                <w:rFonts w:eastAsiaTheme="minorEastAsia"/>
                <w:color w:val="000000" w:themeColor="text1"/>
                <w:szCs w:val="21"/>
              </w:rPr>
              <w:t>电信服务</w:t>
            </w:r>
          </w:p>
        </w:tc>
        <w:tc>
          <w:tcPr>
            <w:tcW w:w="2551" w:type="dxa"/>
            <w:vAlign w:val="center"/>
          </w:tcPr>
          <w:p w:rsidR="006267D9" w:rsidRDefault="00D55B22">
            <w:pPr>
              <w:jc w:val="right"/>
            </w:pPr>
            <w:r>
              <w:rPr>
                <w:rFonts w:eastAsiaTheme="minorEastAsia"/>
                <w:color w:val="000000" w:themeColor="text1"/>
                <w:szCs w:val="21"/>
              </w:rPr>
              <w:t>3,301,868.53</w:t>
            </w:r>
          </w:p>
        </w:tc>
        <w:tc>
          <w:tcPr>
            <w:tcW w:w="3175" w:type="dxa"/>
            <w:vAlign w:val="center"/>
          </w:tcPr>
          <w:p w:rsidR="006267D9" w:rsidRDefault="00D55B22">
            <w:pPr>
              <w:jc w:val="right"/>
            </w:pPr>
            <w:r>
              <w:rPr>
                <w:rFonts w:eastAsiaTheme="minorEastAsia"/>
                <w:color w:val="000000" w:themeColor="text1"/>
                <w:szCs w:val="21"/>
              </w:rPr>
              <w:t>2.93</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100,478,227.23</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89.27</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94"/>
        <w:gridCol w:w="1685"/>
        <w:gridCol w:w="763"/>
        <w:gridCol w:w="846"/>
        <w:gridCol w:w="629"/>
        <w:gridCol w:w="712"/>
        <w:gridCol w:w="1161"/>
        <w:gridCol w:w="1319"/>
        <w:gridCol w:w="904"/>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6267D9">
        <w:tc>
          <w:tcPr>
            <w:tcW w:w="0" w:type="auto"/>
            <w:vMerge w:val="restart"/>
            <w:vAlign w:val="center"/>
          </w:tcPr>
          <w:p w:rsidR="006267D9" w:rsidRDefault="00D55B22">
            <w:pPr>
              <w:jc w:val="center"/>
            </w:pPr>
            <w:r>
              <w:rPr>
                <w:rFonts w:eastAsiaTheme="minorEastAsia"/>
                <w:color w:val="000000" w:themeColor="text1"/>
                <w:szCs w:val="21"/>
              </w:rPr>
              <w:t>1</w:t>
            </w:r>
          </w:p>
        </w:tc>
        <w:tc>
          <w:tcPr>
            <w:tcW w:w="0" w:type="auto"/>
            <w:vMerge w:val="restart"/>
            <w:vAlign w:val="center"/>
          </w:tcPr>
          <w:p w:rsidR="006267D9" w:rsidRDefault="00D55B22">
            <w:pPr>
              <w:jc w:val="center"/>
            </w:pPr>
            <w:r>
              <w:rPr>
                <w:rFonts w:eastAsiaTheme="minorEastAsia"/>
                <w:color w:val="000000" w:themeColor="text1"/>
                <w:szCs w:val="21"/>
              </w:rPr>
              <w:t>ZTE Corporation</w:t>
            </w:r>
          </w:p>
        </w:tc>
        <w:tc>
          <w:tcPr>
            <w:tcW w:w="0" w:type="auto"/>
            <w:vMerge w:val="restart"/>
            <w:vAlign w:val="center"/>
          </w:tcPr>
          <w:p w:rsidR="006267D9" w:rsidRDefault="00D55B22">
            <w:pPr>
              <w:jc w:val="center"/>
            </w:pPr>
            <w:r>
              <w:rPr>
                <w:rFonts w:eastAsiaTheme="minorEastAsia"/>
                <w:color w:val="000000" w:themeColor="text1"/>
                <w:szCs w:val="21"/>
              </w:rPr>
              <w:t>中兴通讯</w:t>
            </w:r>
          </w:p>
        </w:tc>
        <w:tc>
          <w:tcPr>
            <w:tcW w:w="0" w:type="auto"/>
            <w:vAlign w:val="center"/>
          </w:tcPr>
          <w:p w:rsidR="006267D9" w:rsidRDefault="00D55B22">
            <w:pPr>
              <w:jc w:val="center"/>
            </w:pPr>
            <w:r>
              <w:rPr>
                <w:rFonts w:eastAsiaTheme="minorEastAsia"/>
                <w:color w:val="000000" w:themeColor="text1"/>
                <w:szCs w:val="21"/>
              </w:rPr>
              <w:t>000063</w:t>
            </w:r>
          </w:p>
        </w:tc>
        <w:tc>
          <w:tcPr>
            <w:tcW w:w="0" w:type="auto"/>
            <w:vAlign w:val="center"/>
          </w:tcPr>
          <w:p w:rsidR="006267D9" w:rsidRDefault="00D55B22">
            <w:pPr>
              <w:jc w:val="center"/>
            </w:pPr>
            <w:r>
              <w:rPr>
                <w:rFonts w:eastAsiaTheme="minorEastAsia"/>
                <w:color w:val="000000" w:themeColor="text1"/>
                <w:szCs w:val="21"/>
              </w:rPr>
              <w:t>深圳证券交易所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95,900.00</w:t>
            </w:r>
          </w:p>
        </w:tc>
        <w:tc>
          <w:tcPr>
            <w:tcW w:w="0" w:type="auto"/>
            <w:vAlign w:val="center"/>
          </w:tcPr>
          <w:p w:rsidR="006267D9" w:rsidRDefault="00D55B22">
            <w:pPr>
              <w:jc w:val="right"/>
            </w:pPr>
            <w:r>
              <w:rPr>
                <w:rFonts w:eastAsiaTheme="minorEastAsia"/>
                <w:color w:val="000000" w:themeColor="text1"/>
                <w:szCs w:val="21"/>
              </w:rPr>
              <w:t>4,367,286.00</w:t>
            </w:r>
          </w:p>
        </w:tc>
        <w:tc>
          <w:tcPr>
            <w:tcW w:w="0" w:type="auto"/>
            <w:vAlign w:val="center"/>
          </w:tcPr>
          <w:p w:rsidR="006267D9" w:rsidRDefault="00D55B22">
            <w:pPr>
              <w:jc w:val="right"/>
            </w:pPr>
            <w:r>
              <w:rPr>
                <w:rFonts w:eastAsiaTheme="minorEastAsia"/>
                <w:color w:val="000000" w:themeColor="text1"/>
                <w:szCs w:val="21"/>
              </w:rPr>
              <w:t>3.88</w:t>
            </w:r>
          </w:p>
        </w:tc>
      </w:tr>
      <w:tr w:rsidR="006267D9">
        <w:tc>
          <w:tcPr>
            <w:tcW w:w="0" w:type="auto"/>
            <w:vMerge/>
          </w:tcPr>
          <w:p w:rsidR="006267D9" w:rsidRDefault="006267D9"/>
        </w:tc>
        <w:tc>
          <w:tcPr>
            <w:tcW w:w="0" w:type="auto"/>
            <w:vMerge/>
          </w:tcPr>
          <w:p w:rsidR="006267D9" w:rsidRDefault="006267D9"/>
        </w:tc>
        <w:tc>
          <w:tcPr>
            <w:tcW w:w="0" w:type="auto"/>
            <w:vMerge/>
          </w:tcPr>
          <w:p w:rsidR="006267D9" w:rsidRDefault="006267D9"/>
        </w:tc>
        <w:tc>
          <w:tcPr>
            <w:tcW w:w="0" w:type="auto"/>
            <w:vAlign w:val="center"/>
          </w:tcPr>
          <w:p w:rsidR="006267D9" w:rsidRDefault="00D55B22">
            <w:pPr>
              <w:jc w:val="center"/>
            </w:pPr>
            <w:r>
              <w:rPr>
                <w:rFonts w:eastAsiaTheme="minorEastAsia"/>
                <w:color w:val="000000" w:themeColor="text1"/>
                <w:szCs w:val="21"/>
              </w:rPr>
              <w:t>763</w:t>
            </w:r>
          </w:p>
        </w:tc>
        <w:tc>
          <w:tcPr>
            <w:tcW w:w="0" w:type="auto"/>
            <w:vAlign w:val="center"/>
          </w:tcPr>
          <w:p w:rsidR="006267D9" w:rsidRDefault="00D55B22">
            <w:pPr>
              <w:jc w:val="center"/>
            </w:pPr>
            <w:r>
              <w:rPr>
                <w:rFonts w:eastAsiaTheme="minorEastAsia"/>
                <w:color w:val="000000" w:themeColor="text1"/>
                <w:szCs w:val="21"/>
              </w:rPr>
              <w:t>香港证券交易所</w:t>
            </w:r>
          </w:p>
        </w:tc>
        <w:tc>
          <w:tcPr>
            <w:tcW w:w="0" w:type="auto"/>
            <w:vAlign w:val="center"/>
          </w:tcPr>
          <w:p w:rsidR="006267D9" w:rsidRDefault="00D55B22">
            <w:pPr>
              <w:jc w:val="center"/>
            </w:pPr>
            <w:r>
              <w:rPr>
                <w:rFonts w:eastAsiaTheme="minorEastAsia"/>
                <w:color w:val="000000" w:themeColor="text1"/>
                <w:szCs w:val="21"/>
              </w:rPr>
              <w:t>中国香港</w:t>
            </w:r>
          </w:p>
        </w:tc>
        <w:tc>
          <w:tcPr>
            <w:tcW w:w="0" w:type="auto"/>
            <w:vAlign w:val="center"/>
          </w:tcPr>
          <w:p w:rsidR="006267D9" w:rsidRDefault="00D55B22">
            <w:pPr>
              <w:jc w:val="right"/>
            </w:pPr>
            <w:r>
              <w:rPr>
                <w:rFonts w:eastAsiaTheme="minorEastAsia"/>
                <w:color w:val="000000" w:themeColor="text1"/>
                <w:szCs w:val="21"/>
              </w:rPr>
              <w:t>98,800.00</w:t>
            </w:r>
          </w:p>
        </w:tc>
        <w:tc>
          <w:tcPr>
            <w:tcW w:w="0" w:type="auto"/>
            <w:vAlign w:val="center"/>
          </w:tcPr>
          <w:p w:rsidR="006267D9" w:rsidRDefault="00D55B22">
            <w:pPr>
              <w:jc w:val="right"/>
            </w:pPr>
            <w:r>
              <w:rPr>
                <w:rFonts w:eastAsiaTheme="minorEastAsia"/>
                <w:color w:val="000000" w:themeColor="text1"/>
                <w:szCs w:val="21"/>
              </w:rPr>
              <w:t>2,860,276.99</w:t>
            </w:r>
          </w:p>
        </w:tc>
        <w:tc>
          <w:tcPr>
            <w:tcW w:w="0" w:type="auto"/>
            <w:vAlign w:val="center"/>
          </w:tcPr>
          <w:p w:rsidR="006267D9" w:rsidRDefault="00D55B22">
            <w:pPr>
              <w:jc w:val="right"/>
            </w:pPr>
            <w:r>
              <w:rPr>
                <w:rFonts w:eastAsiaTheme="minorEastAsia"/>
                <w:color w:val="000000" w:themeColor="text1"/>
                <w:szCs w:val="21"/>
              </w:rPr>
              <w:t>2.54</w:t>
            </w:r>
          </w:p>
        </w:tc>
      </w:tr>
      <w:tr w:rsidR="006267D9">
        <w:tc>
          <w:tcPr>
            <w:tcW w:w="0" w:type="auto"/>
            <w:vMerge w:val="restart"/>
            <w:vAlign w:val="center"/>
          </w:tcPr>
          <w:p w:rsidR="006267D9" w:rsidRDefault="00D55B22">
            <w:pPr>
              <w:jc w:val="center"/>
            </w:pPr>
            <w:r>
              <w:rPr>
                <w:rFonts w:eastAsiaTheme="minorEastAsia"/>
                <w:color w:val="000000" w:themeColor="text1"/>
                <w:szCs w:val="21"/>
              </w:rPr>
              <w:t>2</w:t>
            </w:r>
          </w:p>
        </w:tc>
        <w:tc>
          <w:tcPr>
            <w:tcW w:w="0" w:type="auto"/>
            <w:vMerge w:val="restart"/>
            <w:vAlign w:val="center"/>
          </w:tcPr>
          <w:p w:rsidR="006267D9" w:rsidRDefault="00D55B22">
            <w:pPr>
              <w:jc w:val="center"/>
            </w:pPr>
            <w:r>
              <w:rPr>
                <w:rFonts w:eastAsiaTheme="minorEastAsia"/>
                <w:color w:val="000000" w:themeColor="text1"/>
                <w:szCs w:val="21"/>
              </w:rPr>
              <w:t>Zijin Mining Group Company Limited</w:t>
            </w:r>
          </w:p>
        </w:tc>
        <w:tc>
          <w:tcPr>
            <w:tcW w:w="0" w:type="auto"/>
            <w:vMerge w:val="restart"/>
            <w:vAlign w:val="center"/>
          </w:tcPr>
          <w:p w:rsidR="006267D9" w:rsidRDefault="00D55B22">
            <w:pPr>
              <w:jc w:val="center"/>
            </w:pPr>
            <w:r>
              <w:rPr>
                <w:rFonts w:eastAsiaTheme="minorEastAsia"/>
                <w:color w:val="000000" w:themeColor="text1"/>
                <w:szCs w:val="21"/>
              </w:rPr>
              <w:t>紫金矿业</w:t>
            </w:r>
          </w:p>
        </w:tc>
        <w:tc>
          <w:tcPr>
            <w:tcW w:w="0" w:type="auto"/>
            <w:vAlign w:val="center"/>
          </w:tcPr>
          <w:p w:rsidR="006267D9" w:rsidRDefault="00D55B22">
            <w:pPr>
              <w:jc w:val="center"/>
            </w:pPr>
            <w:r>
              <w:rPr>
                <w:rFonts w:eastAsiaTheme="minorEastAsia"/>
                <w:color w:val="000000" w:themeColor="text1"/>
                <w:szCs w:val="21"/>
              </w:rPr>
              <w:t>2899</w:t>
            </w:r>
          </w:p>
        </w:tc>
        <w:tc>
          <w:tcPr>
            <w:tcW w:w="0" w:type="auto"/>
            <w:vAlign w:val="center"/>
          </w:tcPr>
          <w:p w:rsidR="006267D9" w:rsidRDefault="00D55B22">
            <w:pPr>
              <w:jc w:val="center"/>
            </w:pPr>
            <w:r>
              <w:rPr>
                <w:rFonts w:eastAsiaTheme="minorEastAsia"/>
                <w:color w:val="000000" w:themeColor="text1"/>
                <w:szCs w:val="21"/>
              </w:rPr>
              <w:t>香港证券交易所</w:t>
            </w:r>
          </w:p>
        </w:tc>
        <w:tc>
          <w:tcPr>
            <w:tcW w:w="0" w:type="auto"/>
            <w:vAlign w:val="center"/>
          </w:tcPr>
          <w:p w:rsidR="006267D9" w:rsidRDefault="00D55B22">
            <w:pPr>
              <w:jc w:val="center"/>
            </w:pPr>
            <w:r>
              <w:rPr>
                <w:rFonts w:eastAsiaTheme="minorEastAsia"/>
                <w:color w:val="000000" w:themeColor="text1"/>
                <w:szCs w:val="21"/>
              </w:rPr>
              <w:t>中国香港</w:t>
            </w:r>
          </w:p>
        </w:tc>
        <w:tc>
          <w:tcPr>
            <w:tcW w:w="0" w:type="auto"/>
            <w:vAlign w:val="center"/>
          </w:tcPr>
          <w:p w:rsidR="006267D9" w:rsidRDefault="00D55B22">
            <w:pPr>
              <w:jc w:val="right"/>
            </w:pPr>
            <w:r>
              <w:rPr>
                <w:rFonts w:eastAsiaTheme="minorEastAsia"/>
                <w:color w:val="000000" w:themeColor="text1"/>
                <w:szCs w:val="21"/>
              </w:rPr>
              <w:t>350,000.00</w:t>
            </w:r>
          </w:p>
        </w:tc>
        <w:tc>
          <w:tcPr>
            <w:tcW w:w="0" w:type="auto"/>
            <w:vAlign w:val="center"/>
          </w:tcPr>
          <w:p w:rsidR="006267D9" w:rsidRDefault="00D55B22">
            <w:pPr>
              <w:jc w:val="right"/>
            </w:pPr>
            <w:r>
              <w:rPr>
                <w:rFonts w:eastAsiaTheme="minorEastAsia"/>
                <w:color w:val="000000" w:themeColor="text1"/>
                <w:szCs w:val="21"/>
              </w:rPr>
              <w:t>3,710,969.50</w:t>
            </w:r>
          </w:p>
        </w:tc>
        <w:tc>
          <w:tcPr>
            <w:tcW w:w="0" w:type="auto"/>
            <w:vAlign w:val="center"/>
          </w:tcPr>
          <w:p w:rsidR="006267D9" w:rsidRDefault="00D55B22">
            <w:pPr>
              <w:jc w:val="right"/>
            </w:pPr>
            <w:r>
              <w:rPr>
                <w:rFonts w:eastAsiaTheme="minorEastAsia"/>
                <w:color w:val="000000" w:themeColor="text1"/>
                <w:szCs w:val="21"/>
              </w:rPr>
              <w:t>3.30</w:t>
            </w:r>
          </w:p>
        </w:tc>
      </w:tr>
      <w:tr w:rsidR="006267D9">
        <w:tc>
          <w:tcPr>
            <w:tcW w:w="0" w:type="auto"/>
            <w:vMerge/>
          </w:tcPr>
          <w:p w:rsidR="006267D9" w:rsidRDefault="006267D9"/>
        </w:tc>
        <w:tc>
          <w:tcPr>
            <w:tcW w:w="0" w:type="auto"/>
            <w:vMerge/>
          </w:tcPr>
          <w:p w:rsidR="006267D9" w:rsidRDefault="006267D9"/>
        </w:tc>
        <w:tc>
          <w:tcPr>
            <w:tcW w:w="0" w:type="auto"/>
            <w:vMerge/>
          </w:tcPr>
          <w:p w:rsidR="006267D9" w:rsidRDefault="006267D9"/>
        </w:tc>
        <w:tc>
          <w:tcPr>
            <w:tcW w:w="0" w:type="auto"/>
            <w:vAlign w:val="center"/>
          </w:tcPr>
          <w:p w:rsidR="006267D9" w:rsidRDefault="00D55B22">
            <w:pPr>
              <w:jc w:val="center"/>
            </w:pPr>
            <w:r>
              <w:rPr>
                <w:rFonts w:eastAsiaTheme="minorEastAsia"/>
                <w:color w:val="000000" w:themeColor="text1"/>
                <w:szCs w:val="21"/>
              </w:rPr>
              <w:t>601899</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299,802.00</w:t>
            </w:r>
          </w:p>
        </w:tc>
        <w:tc>
          <w:tcPr>
            <w:tcW w:w="0" w:type="auto"/>
            <w:vAlign w:val="center"/>
          </w:tcPr>
          <w:p w:rsidR="006267D9" w:rsidRDefault="00D55B22">
            <w:pPr>
              <w:jc w:val="right"/>
            </w:pPr>
            <w:r>
              <w:rPr>
                <w:rFonts w:eastAsiaTheme="minorEastAsia"/>
                <w:color w:val="000000" w:themeColor="text1"/>
                <w:szCs w:val="21"/>
              </w:rPr>
              <w:t>3,408,748.74</w:t>
            </w:r>
          </w:p>
        </w:tc>
        <w:tc>
          <w:tcPr>
            <w:tcW w:w="0" w:type="auto"/>
            <w:vAlign w:val="center"/>
          </w:tcPr>
          <w:p w:rsidR="006267D9" w:rsidRDefault="00D55B22">
            <w:pPr>
              <w:jc w:val="right"/>
            </w:pPr>
            <w:r>
              <w:rPr>
                <w:rFonts w:eastAsiaTheme="minorEastAsia"/>
                <w:color w:val="000000" w:themeColor="text1"/>
                <w:szCs w:val="21"/>
              </w:rPr>
              <w:t>3.03</w:t>
            </w:r>
          </w:p>
        </w:tc>
      </w:tr>
      <w:tr w:rsidR="006267D9">
        <w:tc>
          <w:tcPr>
            <w:tcW w:w="0" w:type="auto"/>
            <w:vAlign w:val="center"/>
          </w:tcPr>
          <w:p w:rsidR="006267D9" w:rsidRDefault="00D55B22">
            <w:pPr>
              <w:jc w:val="center"/>
            </w:pPr>
            <w:r>
              <w:rPr>
                <w:rFonts w:eastAsiaTheme="minorEastAsia"/>
                <w:color w:val="000000" w:themeColor="text1"/>
                <w:szCs w:val="21"/>
              </w:rPr>
              <w:t>3</w:t>
            </w:r>
          </w:p>
        </w:tc>
        <w:tc>
          <w:tcPr>
            <w:tcW w:w="0" w:type="auto"/>
            <w:vAlign w:val="center"/>
          </w:tcPr>
          <w:p w:rsidR="006267D9" w:rsidRDefault="00D55B22">
            <w:pPr>
              <w:jc w:val="center"/>
            </w:pPr>
            <w:r>
              <w:rPr>
                <w:rFonts w:eastAsiaTheme="minorEastAsia"/>
                <w:color w:val="000000" w:themeColor="text1"/>
                <w:szCs w:val="21"/>
              </w:rPr>
              <w:t xml:space="preserve">PetroChina </w:t>
            </w:r>
            <w:r>
              <w:rPr>
                <w:rFonts w:eastAsiaTheme="minorEastAsia"/>
                <w:color w:val="000000" w:themeColor="text1"/>
                <w:szCs w:val="21"/>
              </w:rPr>
              <w:lastRenderedPageBreak/>
              <w:t>Company Limited</w:t>
            </w:r>
          </w:p>
        </w:tc>
        <w:tc>
          <w:tcPr>
            <w:tcW w:w="0" w:type="auto"/>
            <w:vAlign w:val="center"/>
          </w:tcPr>
          <w:p w:rsidR="006267D9" w:rsidRDefault="00D55B22">
            <w:pPr>
              <w:jc w:val="center"/>
            </w:pPr>
            <w:r>
              <w:rPr>
                <w:rFonts w:eastAsiaTheme="minorEastAsia"/>
                <w:color w:val="000000" w:themeColor="text1"/>
                <w:szCs w:val="21"/>
              </w:rPr>
              <w:lastRenderedPageBreak/>
              <w:t>中国</w:t>
            </w:r>
            <w:r>
              <w:rPr>
                <w:rFonts w:eastAsiaTheme="minorEastAsia"/>
                <w:color w:val="000000" w:themeColor="text1"/>
                <w:szCs w:val="21"/>
              </w:rPr>
              <w:lastRenderedPageBreak/>
              <w:t>石油股份</w:t>
            </w:r>
          </w:p>
        </w:tc>
        <w:tc>
          <w:tcPr>
            <w:tcW w:w="0" w:type="auto"/>
            <w:vAlign w:val="center"/>
          </w:tcPr>
          <w:p w:rsidR="006267D9" w:rsidRDefault="00D55B22">
            <w:pPr>
              <w:jc w:val="center"/>
            </w:pPr>
            <w:r>
              <w:rPr>
                <w:rFonts w:eastAsiaTheme="minorEastAsia"/>
                <w:color w:val="000000" w:themeColor="text1"/>
                <w:szCs w:val="21"/>
              </w:rPr>
              <w:lastRenderedPageBreak/>
              <w:t>857</w:t>
            </w:r>
          </w:p>
        </w:tc>
        <w:tc>
          <w:tcPr>
            <w:tcW w:w="0" w:type="auto"/>
            <w:vAlign w:val="center"/>
          </w:tcPr>
          <w:p w:rsidR="006267D9" w:rsidRDefault="00D55B22">
            <w:pPr>
              <w:jc w:val="center"/>
            </w:pPr>
            <w:r>
              <w:rPr>
                <w:rFonts w:eastAsiaTheme="minorEastAsia"/>
                <w:color w:val="000000" w:themeColor="text1"/>
                <w:szCs w:val="21"/>
              </w:rPr>
              <w:t>香</w:t>
            </w:r>
            <w:r>
              <w:rPr>
                <w:rFonts w:eastAsiaTheme="minorEastAsia"/>
                <w:color w:val="000000" w:themeColor="text1"/>
                <w:szCs w:val="21"/>
              </w:rPr>
              <w:lastRenderedPageBreak/>
              <w:t>港证券交易所</w:t>
            </w:r>
          </w:p>
        </w:tc>
        <w:tc>
          <w:tcPr>
            <w:tcW w:w="0" w:type="auto"/>
            <w:vAlign w:val="center"/>
          </w:tcPr>
          <w:p w:rsidR="006267D9" w:rsidRDefault="00D55B22">
            <w:pPr>
              <w:jc w:val="center"/>
            </w:pPr>
            <w:r>
              <w:rPr>
                <w:rFonts w:eastAsiaTheme="minorEastAsia"/>
                <w:color w:val="000000" w:themeColor="text1"/>
                <w:szCs w:val="21"/>
              </w:rPr>
              <w:lastRenderedPageBreak/>
              <w:t>中国</w:t>
            </w:r>
            <w:r>
              <w:rPr>
                <w:rFonts w:eastAsiaTheme="minorEastAsia"/>
                <w:color w:val="000000" w:themeColor="text1"/>
                <w:szCs w:val="21"/>
              </w:rPr>
              <w:lastRenderedPageBreak/>
              <w:t>香港</w:t>
            </w:r>
          </w:p>
        </w:tc>
        <w:tc>
          <w:tcPr>
            <w:tcW w:w="0" w:type="auto"/>
            <w:vAlign w:val="center"/>
          </w:tcPr>
          <w:p w:rsidR="006267D9" w:rsidRDefault="00D55B22">
            <w:pPr>
              <w:jc w:val="right"/>
            </w:pPr>
            <w:r>
              <w:rPr>
                <w:rFonts w:eastAsiaTheme="minorEastAsia"/>
                <w:color w:val="000000" w:themeColor="text1"/>
                <w:szCs w:val="21"/>
              </w:rPr>
              <w:lastRenderedPageBreak/>
              <w:t>684,000.00</w:t>
            </w:r>
          </w:p>
        </w:tc>
        <w:tc>
          <w:tcPr>
            <w:tcW w:w="0" w:type="auto"/>
            <w:vAlign w:val="center"/>
          </w:tcPr>
          <w:p w:rsidR="006267D9" w:rsidRDefault="00D55B22">
            <w:pPr>
              <w:jc w:val="right"/>
            </w:pPr>
            <w:r>
              <w:rPr>
                <w:rFonts w:eastAsiaTheme="minorEastAsia"/>
                <w:color w:val="000000" w:themeColor="text1"/>
                <w:szCs w:val="21"/>
              </w:rPr>
              <w:t>3,418,038.01</w:t>
            </w:r>
          </w:p>
        </w:tc>
        <w:tc>
          <w:tcPr>
            <w:tcW w:w="0" w:type="auto"/>
            <w:vAlign w:val="center"/>
          </w:tcPr>
          <w:p w:rsidR="006267D9" w:rsidRDefault="00D55B22">
            <w:pPr>
              <w:jc w:val="right"/>
            </w:pPr>
            <w:r>
              <w:rPr>
                <w:rFonts w:eastAsiaTheme="minorEastAsia"/>
                <w:color w:val="000000" w:themeColor="text1"/>
                <w:szCs w:val="21"/>
              </w:rPr>
              <w:t>3.04</w:t>
            </w:r>
          </w:p>
        </w:tc>
      </w:tr>
      <w:tr w:rsidR="006267D9">
        <w:tc>
          <w:tcPr>
            <w:tcW w:w="0" w:type="auto"/>
            <w:vAlign w:val="center"/>
          </w:tcPr>
          <w:p w:rsidR="006267D9" w:rsidRDefault="00D55B22">
            <w:pPr>
              <w:jc w:val="center"/>
            </w:pPr>
            <w:r>
              <w:rPr>
                <w:rFonts w:eastAsiaTheme="minorEastAsia"/>
                <w:color w:val="000000" w:themeColor="text1"/>
                <w:szCs w:val="21"/>
              </w:rPr>
              <w:t>3</w:t>
            </w:r>
          </w:p>
        </w:tc>
        <w:tc>
          <w:tcPr>
            <w:tcW w:w="0" w:type="auto"/>
            <w:vAlign w:val="center"/>
          </w:tcPr>
          <w:p w:rsidR="006267D9" w:rsidRDefault="00D55B22">
            <w:pPr>
              <w:jc w:val="center"/>
            </w:pPr>
            <w:r>
              <w:rPr>
                <w:rFonts w:eastAsiaTheme="minorEastAsia"/>
                <w:color w:val="000000" w:themeColor="text1"/>
                <w:szCs w:val="21"/>
              </w:rPr>
              <w:t>PetroChina Company Limited</w:t>
            </w:r>
          </w:p>
        </w:tc>
        <w:tc>
          <w:tcPr>
            <w:tcW w:w="0" w:type="auto"/>
            <w:vAlign w:val="center"/>
          </w:tcPr>
          <w:p w:rsidR="006267D9" w:rsidRDefault="00D55B22">
            <w:pPr>
              <w:jc w:val="center"/>
            </w:pPr>
            <w:r>
              <w:rPr>
                <w:rFonts w:eastAsiaTheme="minorEastAsia"/>
                <w:color w:val="000000" w:themeColor="text1"/>
                <w:szCs w:val="21"/>
              </w:rPr>
              <w:t>中国石油</w:t>
            </w:r>
          </w:p>
        </w:tc>
        <w:tc>
          <w:tcPr>
            <w:tcW w:w="0" w:type="auto"/>
            <w:vAlign w:val="center"/>
          </w:tcPr>
          <w:p w:rsidR="006267D9" w:rsidRDefault="00D55B22">
            <w:pPr>
              <w:jc w:val="center"/>
            </w:pPr>
            <w:r>
              <w:rPr>
                <w:rFonts w:eastAsiaTheme="minorEastAsia"/>
                <w:color w:val="000000" w:themeColor="text1"/>
                <w:szCs w:val="21"/>
              </w:rPr>
              <w:t>601857</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449,106.00</w:t>
            </w:r>
          </w:p>
        </w:tc>
        <w:tc>
          <w:tcPr>
            <w:tcW w:w="0" w:type="auto"/>
            <w:vAlign w:val="center"/>
          </w:tcPr>
          <w:p w:rsidR="006267D9" w:rsidRDefault="00D55B22">
            <w:pPr>
              <w:jc w:val="right"/>
            </w:pPr>
            <w:r>
              <w:rPr>
                <w:rFonts w:eastAsiaTheme="minorEastAsia"/>
                <w:color w:val="000000" w:themeColor="text1"/>
                <w:szCs w:val="21"/>
              </w:rPr>
              <w:t>3,354,821.82</w:t>
            </w:r>
          </w:p>
        </w:tc>
        <w:tc>
          <w:tcPr>
            <w:tcW w:w="0" w:type="auto"/>
            <w:vAlign w:val="center"/>
          </w:tcPr>
          <w:p w:rsidR="006267D9" w:rsidRDefault="00D55B22">
            <w:pPr>
              <w:jc w:val="right"/>
            </w:pPr>
            <w:r>
              <w:rPr>
                <w:rFonts w:eastAsiaTheme="minorEastAsia"/>
                <w:color w:val="000000" w:themeColor="text1"/>
                <w:szCs w:val="21"/>
              </w:rPr>
              <w:t>2.98</w:t>
            </w:r>
          </w:p>
        </w:tc>
      </w:tr>
      <w:tr w:rsidR="006267D9">
        <w:tc>
          <w:tcPr>
            <w:tcW w:w="0" w:type="auto"/>
            <w:vAlign w:val="center"/>
          </w:tcPr>
          <w:p w:rsidR="006267D9" w:rsidRDefault="00D55B22">
            <w:pPr>
              <w:jc w:val="center"/>
            </w:pPr>
            <w:r>
              <w:rPr>
                <w:rFonts w:eastAsiaTheme="minorEastAsia"/>
                <w:color w:val="000000" w:themeColor="text1"/>
                <w:szCs w:val="21"/>
              </w:rPr>
              <w:t>4</w:t>
            </w:r>
          </w:p>
        </w:tc>
        <w:tc>
          <w:tcPr>
            <w:tcW w:w="0" w:type="auto"/>
            <w:vAlign w:val="center"/>
          </w:tcPr>
          <w:p w:rsidR="006267D9" w:rsidRDefault="00D55B22">
            <w:pPr>
              <w:jc w:val="center"/>
            </w:pPr>
            <w:r>
              <w:rPr>
                <w:rFonts w:eastAsiaTheme="minorEastAsia"/>
                <w:color w:val="000000" w:themeColor="text1"/>
                <w:szCs w:val="21"/>
              </w:rPr>
              <w:t>Zhejiang Shuanghuan Driveline Co.,Ltd.</w:t>
            </w:r>
          </w:p>
        </w:tc>
        <w:tc>
          <w:tcPr>
            <w:tcW w:w="0" w:type="auto"/>
            <w:vAlign w:val="center"/>
          </w:tcPr>
          <w:p w:rsidR="006267D9" w:rsidRDefault="00D55B22">
            <w:pPr>
              <w:jc w:val="center"/>
            </w:pPr>
            <w:r>
              <w:rPr>
                <w:rFonts w:eastAsiaTheme="minorEastAsia"/>
                <w:color w:val="000000" w:themeColor="text1"/>
                <w:szCs w:val="21"/>
              </w:rPr>
              <w:t>双环传动</w:t>
            </w:r>
          </w:p>
        </w:tc>
        <w:tc>
          <w:tcPr>
            <w:tcW w:w="0" w:type="auto"/>
            <w:vAlign w:val="center"/>
          </w:tcPr>
          <w:p w:rsidR="006267D9" w:rsidRDefault="00D55B22">
            <w:pPr>
              <w:jc w:val="center"/>
            </w:pPr>
            <w:r>
              <w:rPr>
                <w:rFonts w:eastAsiaTheme="minorEastAsia"/>
                <w:color w:val="000000" w:themeColor="text1"/>
                <w:szCs w:val="21"/>
              </w:rPr>
              <w:t>002472</w:t>
            </w:r>
          </w:p>
        </w:tc>
        <w:tc>
          <w:tcPr>
            <w:tcW w:w="0" w:type="auto"/>
            <w:vAlign w:val="center"/>
          </w:tcPr>
          <w:p w:rsidR="006267D9" w:rsidRDefault="00D55B22">
            <w:pPr>
              <w:jc w:val="center"/>
            </w:pPr>
            <w:r>
              <w:rPr>
                <w:rFonts w:eastAsiaTheme="minorEastAsia"/>
                <w:color w:val="000000" w:themeColor="text1"/>
                <w:szCs w:val="21"/>
              </w:rPr>
              <w:t>深圳证券交易所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115,800.00</w:t>
            </w:r>
          </w:p>
        </w:tc>
        <w:tc>
          <w:tcPr>
            <w:tcW w:w="0" w:type="auto"/>
            <w:vAlign w:val="center"/>
          </w:tcPr>
          <w:p w:rsidR="006267D9" w:rsidRDefault="00D55B22">
            <w:pPr>
              <w:jc w:val="right"/>
            </w:pPr>
            <w:r>
              <w:rPr>
                <w:rFonts w:eastAsiaTheme="minorEastAsia"/>
                <w:color w:val="000000" w:themeColor="text1"/>
                <w:szCs w:val="21"/>
              </w:rPr>
              <w:t>4,203,540.00</w:t>
            </w:r>
          </w:p>
        </w:tc>
        <w:tc>
          <w:tcPr>
            <w:tcW w:w="0" w:type="auto"/>
            <w:vAlign w:val="center"/>
          </w:tcPr>
          <w:p w:rsidR="006267D9" w:rsidRDefault="00D55B22">
            <w:pPr>
              <w:jc w:val="right"/>
            </w:pPr>
            <w:r>
              <w:rPr>
                <w:rFonts w:eastAsiaTheme="minorEastAsia"/>
                <w:color w:val="000000" w:themeColor="text1"/>
                <w:szCs w:val="21"/>
              </w:rPr>
              <w:t>3.73</w:t>
            </w:r>
          </w:p>
        </w:tc>
      </w:tr>
      <w:tr w:rsidR="006267D9">
        <w:tc>
          <w:tcPr>
            <w:tcW w:w="0" w:type="auto"/>
            <w:vAlign w:val="center"/>
          </w:tcPr>
          <w:p w:rsidR="006267D9" w:rsidRDefault="00D55B22">
            <w:pPr>
              <w:jc w:val="center"/>
            </w:pPr>
            <w:r>
              <w:rPr>
                <w:rFonts w:eastAsiaTheme="minorEastAsia"/>
                <w:color w:val="000000" w:themeColor="text1"/>
                <w:szCs w:val="21"/>
              </w:rPr>
              <w:t>5</w:t>
            </w:r>
          </w:p>
        </w:tc>
        <w:tc>
          <w:tcPr>
            <w:tcW w:w="0" w:type="auto"/>
            <w:vAlign w:val="center"/>
          </w:tcPr>
          <w:p w:rsidR="006267D9" w:rsidRDefault="00D55B22">
            <w:pPr>
              <w:jc w:val="center"/>
            </w:pPr>
            <w:r>
              <w:rPr>
                <w:rFonts w:eastAsiaTheme="minorEastAsia"/>
                <w:color w:val="000000" w:themeColor="text1"/>
                <w:szCs w:val="21"/>
              </w:rPr>
              <w:t>Humanwell Healthcare (group) Co.,Ltd.</w:t>
            </w:r>
          </w:p>
        </w:tc>
        <w:tc>
          <w:tcPr>
            <w:tcW w:w="0" w:type="auto"/>
            <w:vAlign w:val="center"/>
          </w:tcPr>
          <w:p w:rsidR="006267D9" w:rsidRDefault="00D55B22">
            <w:pPr>
              <w:jc w:val="center"/>
            </w:pPr>
            <w:r>
              <w:rPr>
                <w:rFonts w:eastAsiaTheme="minorEastAsia"/>
                <w:color w:val="000000" w:themeColor="text1"/>
                <w:szCs w:val="21"/>
              </w:rPr>
              <w:t>人福医药</w:t>
            </w:r>
          </w:p>
        </w:tc>
        <w:tc>
          <w:tcPr>
            <w:tcW w:w="0" w:type="auto"/>
            <w:vAlign w:val="center"/>
          </w:tcPr>
          <w:p w:rsidR="006267D9" w:rsidRDefault="00D55B22">
            <w:pPr>
              <w:jc w:val="center"/>
            </w:pPr>
            <w:r>
              <w:rPr>
                <w:rFonts w:eastAsiaTheme="minorEastAsia"/>
                <w:color w:val="000000" w:themeColor="text1"/>
                <w:szCs w:val="21"/>
              </w:rPr>
              <w:t>600079</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134,400.00</w:t>
            </w:r>
          </w:p>
        </w:tc>
        <w:tc>
          <w:tcPr>
            <w:tcW w:w="0" w:type="auto"/>
            <w:vAlign w:val="center"/>
          </w:tcPr>
          <w:p w:rsidR="006267D9" w:rsidRDefault="00D55B22">
            <w:pPr>
              <w:jc w:val="right"/>
            </w:pPr>
            <w:r>
              <w:rPr>
                <w:rFonts w:eastAsiaTheme="minorEastAsia"/>
                <w:color w:val="000000" w:themeColor="text1"/>
                <w:szCs w:val="21"/>
              </w:rPr>
              <w:t>3,620,736.00</w:t>
            </w:r>
          </w:p>
        </w:tc>
        <w:tc>
          <w:tcPr>
            <w:tcW w:w="0" w:type="auto"/>
            <w:vAlign w:val="center"/>
          </w:tcPr>
          <w:p w:rsidR="006267D9" w:rsidRDefault="00D55B22">
            <w:pPr>
              <w:jc w:val="right"/>
            </w:pPr>
            <w:r>
              <w:rPr>
                <w:rFonts w:eastAsiaTheme="minorEastAsia"/>
                <w:color w:val="000000" w:themeColor="text1"/>
                <w:szCs w:val="21"/>
              </w:rPr>
              <w:t>3.22</w:t>
            </w:r>
          </w:p>
        </w:tc>
      </w:tr>
      <w:tr w:rsidR="006267D9">
        <w:tc>
          <w:tcPr>
            <w:tcW w:w="0" w:type="auto"/>
            <w:vAlign w:val="center"/>
          </w:tcPr>
          <w:p w:rsidR="006267D9" w:rsidRDefault="00D55B22">
            <w:pPr>
              <w:jc w:val="center"/>
            </w:pPr>
            <w:r>
              <w:rPr>
                <w:rFonts w:eastAsiaTheme="minorEastAsia"/>
                <w:color w:val="000000" w:themeColor="text1"/>
                <w:szCs w:val="21"/>
              </w:rPr>
              <w:t>6</w:t>
            </w:r>
          </w:p>
        </w:tc>
        <w:tc>
          <w:tcPr>
            <w:tcW w:w="0" w:type="auto"/>
            <w:vAlign w:val="center"/>
          </w:tcPr>
          <w:p w:rsidR="006267D9" w:rsidRDefault="00D55B22">
            <w:pPr>
              <w:jc w:val="center"/>
            </w:pPr>
            <w:r>
              <w:rPr>
                <w:rFonts w:eastAsiaTheme="minorEastAsia"/>
                <w:color w:val="000000" w:themeColor="text1"/>
                <w:szCs w:val="21"/>
              </w:rPr>
              <w:t>China Shenhua Energy Company Limited</w:t>
            </w:r>
          </w:p>
        </w:tc>
        <w:tc>
          <w:tcPr>
            <w:tcW w:w="0" w:type="auto"/>
            <w:vAlign w:val="center"/>
          </w:tcPr>
          <w:p w:rsidR="006267D9" w:rsidRDefault="00D55B22">
            <w:pPr>
              <w:jc w:val="center"/>
            </w:pPr>
            <w:r>
              <w:rPr>
                <w:rFonts w:eastAsiaTheme="minorEastAsia"/>
                <w:color w:val="000000" w:themeColor="text1"/>
                <w:szCs w:val="21"/>
              </w:rPr>
              <w:t>中国神华</w:t>
            </w:r>
          </w:p>
        </w:tc>
        <w:tc>
          <w:tcPr>
            <w:tcW w:w="0" w:type="auto"/>
            <w:vAlign w:val="center"/>
          </w:tcPr>
          <w:p w:rsidR="006267D9" w:rsidRDefault="00D55B22">
            <w:pPr>
              <w:jc w:val="center"/>
            </w:pPr>
            <w:r>
              <w:rPr>
                <w:rFonts w:eastAsiaTheme="minorEastAsia"/>
                <w:color w:val="000000" w:themeColor="text1"/>
                <w:szCs w:val="21"/>
              </w:rPr>
              <w:t>601088</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114,500.00</w:t>
            </w:r>
          </w:p>
        </w:tc>
        <w:tc>
          <w:tcPr>
            <w:tcW w:w="0" w:type="auto"/>
            <w:vAlign w:val="center"/>
          </w:tcPr>
          <w:p w:rsidR="006267D9" w:rsidRDefault="00D55B22">
            <w:pPr>
              <w:jc w:val="right"/>
            </w:pPr>
            <w:r>
              <w:rPr>
                <w:rFonts w:eastAsiaTheme="minorEastAsia"/>
                <w:color w:val="000000" w:themeColor="text1"/>
                <w:szCs w:val="21"/>
              </w:rPr>
              <w:t>3,520,875.00</w:t>
            </w:r>
          </w:p>
        </w:tc>
        <w:tc>
          <w:tcPr>
            <w:tcW w:w="0" w:type="auto"/>
            <w:vAlign w:val="center"/>
          </w:tcPr>
          <w:p w:rsidR="006267D9" w:rsidRDefault="00D55B22">
            <w:pPr>
              <w:jc w:val="right"/>
            </w:pPr>
            <w:r>
              <w:rPr>
                <w:rFonts w:eastAsiaTheme="minorEastAsia"/>
                <w:color w:val="000000" w:themeColor="text1"/>
                <w:szCs w:val="21"/>
              </w:rPr>
              <w:t>3.13</w:t>
            </w:r>
          </w:p>
        </w:tc>
      </w:tr>
      <w:tr w:rsidR="006267D9">
        <w:tc>
          <w:tcPr>
            <w:tcW w:w="0" w:type="auto"/>
            <w:vAlign w:val="center"/>
          </w:tcPr>
          <w:p w:rsidR="006267D9" w:rsidRDefault="00D55B22">
            <w:pPr>
              <w:jc w:val="center"/>
            </w:pPr>
            <w:r>
              <w:rPr>
                <w:rFonts w:eastAsiaTheme="minorEastAsia"/>
                <w:color w:val="000000" w:themeColor="text1"/>
                <w:szCs w:val="21"/>
              </w:rPr>
              <w:t>7</w:t>
            </w:r>
          </w:p>
        </w:tc>
        <w:tc>
          <w:tcPr>
            <w:tcW w:w="0" w:type="auto"/>
            <w:vAlign w:val="center"/>
          </w:tcPr>
          <w:p w:rsidR="006267D9" w:rsidRDefault="00D55B22">
            <w:pPr>
              <w:jc w:val="center"/>
            </w:pPr>
            <w:r>
              <w:rPr>
                <w:rFonts w:eastAsiaTheme="minorEastAsia"/>
                <w:color w:val="000000" w:themeColor="text1"/>
                <w:szCs w:val="21"/>
              </w:rPr>
              <w:t>China Petroleum &amp; Chemical Corporation</w:t>
            </w:r>
          </w:p>
        </w:tc>
        <w:tc>
          <w:tcPr>
            <w:tcW w:w="0" w:type="auto"/>
            <w:vAlign w:val="center"/>
          </w:tcPr>
          <w:p w:rsidR="006267D9" w:rsidRDefault="00D55B22">
            <w:pPr>
              <w:jc w:val="center"/>
            </w:pPr>
            <w:r>
              <w:rPr>
                <w:rFonts w:eastAsiaTheme="minorEastAsia"/>
                <w:color w:val="000000" w:themeColor="text1"/>
                <w:szCs w:val="21"/>
              </w:rPr>
              <w:t>中国石化</w:t>
            </w:r>
          </w:p>
        </w:tc>
        <w:tc>
          <w:tcPr>
            <w:tcW w:w="0" w:type="auto"/>
            <w:vAlign w:val="center"/>
          </w:tcPr>
          <w:p w:rsidR="006267D9" w:rsidRDefault="00D55B22">
            <w:pPr>
              <w:jc w:val="center"/>
            </w:pPr>
            <w:r>
              <w:rPr>
                <w:rFonts w:eastAsiaTheme="minorEastAsia"/>
                <w:color w:val="000000" w:themeColor="text1"/>
                <w:szCs w:val="21"/>
              </w:rPr>
              <w:t>600028</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547,746.00</w:t>
            </w:r>
          </w:p>
        </w:tc>
        <w:tc>
          <w:tcPr>
            <w:tcW w:w="0" w:type="auto"/>
            <w:vAlign w:val="center"/>
          </w:tcPr>
          <w:p w:rsidR="006267D9" w:rsidRDefault="00D55B22">
            <w:pPr>
              <w:jc w:val="right"/>
            </w:pPr>
            <w:r>
              <w:rPr>
                <w:rFonts w:eastAsiaTheme="minorEastAsia"/>
                <w:color w:val="000000" w:themeColor="text1"/>
                <w:szCs w:val="21"/>
              </w:rPr>
              <w:t>3,483,664.56</w:t>
            </w:r>
          </w:p>
        </w:tc>
        <w:tc>
          <w:tcPr>
            <w:tcW w:w="0" w:type="auto"/>
            <w:vAlign w:val="center"/>
          </w:tcPr>
          <w:p w:rsidR="006267D9" w:rsidRDefault="00D55B22">
            <w:pPr>
              <w:jc w:val="right"/>
            </w:pPr>
            <w:r>
              <w:rPr>
                <w:rFonts w:eastAsiaTheme="minorEastAsia"/>
                <w:color w:val="000000" w:themeColor="text1"/>
                <w:szCs w:val="21"/>
              </w:rPr>
              <w:t>3.09</w:t>
            </w:r>
          </w:p>
        </w:tc>
      </w:tr>
      <w:tr w:rsidR="006267D9">
        <w:tc>
          <w:tcPr>
            <w:tcW w:w="0" w:type="auto"/>
            <w:vAlign w:val="center"/>
          </w:tcPr>
          <w:p w:rsidR="006267D9" w:rsidRDefault="00D55B22">
            <w:pPr>
              <w:jc w:val="center"/>
            </w:pPr>
            <w:r>
              <w:rPr>
                <w:rFonts w:eastAsiaTheme="minorEastAsia"/>
                <w:color w:val="000000" w:themeColor="text1"/>
                <w:szCs w:val="21"/>
              </w:rPr>
              <w:t>8</w:t>
            </w:r>
          </w:p>
        </w:tc>
        <w:tc>
          <w:tcPr>
            <w:tcW w:w="0" w:type="auto"/>
            <w:vAlign w:val="center"/>
          </w:tcPr>
          <w:p w:rsidR="006267D9" w:rsidRDefault="00D55B22">
            <w:pPr>
              <w:jc w:val="center"/>
            </w:pPr>
            <w:r>
              <w:rPr>
                <w:rFonts w:eastAsiaTheme="minorEastAsia"/>
                <w:color w:val="000000" w:themeColor="text1"/>
                <w:szCs w:val="21"/>
              </w:rPr>
              <w:t>China CSSC Holdings Limited</w:t>
            </w:r>
          </w:p>
        </w:tc>
        <w:tc>
          <w:tcPr>
            <w:tcW w:w="0" w:type="auto"/>
            <w:vAlign w:val="center"/>
          </w:tcPr>
          <w:p w:rsidR="006267D9" w:rsidRDefault="00D55B22">
            <w:pPr>
              <w:jc w:val="center"/>
            </w:pPr>
            <w:r>
              <w:rPr>
                <w:rFonts w:eastAsiaTheme="minorEastAsia"/>
                <w:color w:val="000000" w:themeColor="text1"/>
                <w:szCs w:val="21"/>
              </w:rPr>
              <w:t>中国船舶</w:t>
            </w:r>
          </w:p>
        </w:tc>
        <w:tc>
          <w:tcPr>
            <w:tcW w:w="0" w:type="auto"/>
            <w:vAlign w:val="center"/>
          </w:tcPr>
          <w:p w:rsidR="006267D9" w:rsidRDefault="00D55B22">
            <w:pPr>
              <w:jc w:val="center"/>
            </w:pPr>
            <w:r>
              <w:rPr>
                <w:rFonts w:eastAsiaTheme="minorEastAsia"/>
                <w:color w:val="000000" w:themeColor="text1"/>
                <w:szCs w:val="21"/>
              </w:rPr>
              <w:t>600150</w:t>
            </w:r>
          </w:p>
        </w:tc>
        <w:tc>
          <w:tcPr>
            <w:tcW w:w="0" w:type="auto"/>
            <w:vAlign w:val="center"/>
          </w:tcPr>
          <w:p w:rsidR="006267D9" w:rsidRDefault="00D55B22">
            <w:pPr>
              <w:jc w:val="center"/>
            </w:pPr>
            <w:r>
              <w:rPr>
                <w:rFonts w:eastAsiaTheme="minorEastAsia"/>
                <w:color w:val="000000" w:themeColor="text1"/>
                <w:szCs w:val="21"/>
              </w:rPr>
              <w:t>上海证</w:t>
            </w:r>
            <w:r>
              <w:rPr>
                <w:rFonts w:eastAsiaTheme="minorEastAsia"/>
                <w:color w:val="000000" w:themeColor="text1"/>
                <w:szCs w:val="21"/>
              </w:rPr>
              <w:lastRenderedPageBreak/>
              <w:t>券交易所</w:t>
            </w:r>
          </w:p>
        </w:tc>
        <w:tc>
          <w:tcPr>
            <w:tcW w:w="0" w:type="auto"/>
            <w:vAlign w:val="center"/>
          </w:tcPr>
          <w:p w:rsidR="006267D9" w:rsidRDefault="00D55B22">
            <w:pPr>
              <w:jc w:val="center"/>
            </w:pPr>
            <w:r>
              <w:rPr>
                <w:rFonts w:eastAsiaTheme="minorEastAsia"/>
                <w:color w:val="000000" w:themeColor="text1"/>
                <w:szCs w:val="21"/>
              </w:rPr>
              <w:lastRenderedPageBreak/>
              <w:t>中国</w:t>
            </w:r>
          </w:p>
        </w:tc>
        <w:tc>
          <w:tcPr>
            <w:tcW w:w="0" w:type="auto"/>
            <w:vAlign w:val="center"/>
          </w:tcPr>
          <w:p w:rsidR="006267D9" w:rsidRDefault="00D55B22">
            <w:pPr>
              <w:jc w:val="right"/>
            </w:pPr>
            <w:r>
              <w:rPr>
                <w:rFonts w:eastAsiaTheme="minorEastAsia"/>
                <w:color w:val="000000" w:themeColor="text1"/>
                <w:szCs w:val="21"/>
              </w:rPr>
              <w:t>105,000.00</w:t>
            </w:r>
          </w:p>
        </w:tc>
        <w:tc>
          <w:tcPr>
            <w:tcW w:w="0" w:type="auto"/>
            <w:vAlign w:val="center"/>
          </w:tcPr>
          <w:p w:rsidR="006267D9" w:rsidRDefault="00D55B22">
            <w:pPr>
              <w:jc w:val="right"/>
            </w:pPr>
            <w:r>
              <w:rPr>
                <w:rFonts w:eastAsiaTheme="minorEastAsia"/>
                <w:color w:val="000000" w:themeColor="text1"/>
                <w:szCs w:val="21"/>
              </w:rPr>
              <w:t>3,455,550.00</w:t>
            </w:r>
          </w:p>
        </w:tc>
        <w:tc>
          <w:tcPr>
            <w:tcW w:w="0" w:type="auto"/>
            <w:vAlign w:val="center"/>
          </w:tcPr>
          <w:p w:rsidR="006267D9" w:rsidRDefault="00D55B22">
            <w:pPr>
              <w:jc w:val="right"/>
            </w:pPr>
            <w:r>
              <w:rPr>
                <w:rFonts w:eastAsiaTheme="minorEastAsia"/>
                <w:color w:val="000000" w:themeColor="text1"/>
                <w:szCs w:val="21"/>
              </w:rPr>
              <w:t>3.07</w:t>
            </w:r>
          </w:p>
        </w:tc>
      </w:tr>
      <w:tr w:rsidR="006267D9">
        <w:tc>
          <w:tcPr>
            <w:tcW w:w="0" w:type="auto"/>
            <w:vAlign w:val="center"/>
          </w:tcPr>
          <w:p w:rsidR="006267D9" w:rsidRDefault="00D55B22">
            <w:pPr>
              <w:jc w:val="center"/>
            </w:pPr>
            <w:r>
              <w:rPr>
                <w:rFonts w:eastAsiaTheme="minorEastAsia"/>
                <w:color w:val="000000" w:themeColor="text1"/>
                <w:szCs w:val="21"/>
              </w:rPr>
              <w:t>9</w:t>
            </w:r>
          </w:p>
        </w:tc>
        <w:tc>
          <w:tcPr>
            <w:tcW w:w="0" w:type="auto"/>
            <w:vAlign w:val="center"/>
          </w:tcPr>
          <w:p w:rsidR="006267D9" w:rsidRDefault="00D55B22">
            <w:pPr>
              <w:jc w:val="center"/>
            </w:pPr>
            <w:r>
              <w:rPr>
                <w:rFonts w:eastAsiaTheme="minorEastAsia"/>
                <w:color w:val="000000" w:themeColor="text1"/>
                <w:szCs w:val="21"/>
              </w:rPr>
              <w:t>Wuhan Huazhong Numerical Control Co.,Ltd.</w:t>
            </w:r>
          </w:p>
        </w:tc>
        <w:tc>
          <w:tcPr>
            <w:tcW w:w="0" w:type="auto"/>
            <w:vAlign w:val="center"/>
          </w:tcPr>
          <w:p w:rsidR="006267D9" w:rsidRDefault="00D55B22">
            <w:pPr>
              <w:jc w:val="center"/>
            </w:pPr>
            <w:r>
              <w:rPr>
                <w:rFonts w:eastAsiaTheme="minorEastAsia"/>
                <w:color w:val="000000" w:themeColor="text1"/>
                <w:szCs w:val="21"/>
              </w:rPr>
              <w:t>华中数控</w:t>
            </w:r>
          </w:p>
        </w:tc>
        <w:tc>
          <w:tcPr>
            <w:tcW w:w="0" w:type="auto"/>
            <w:vAlign w:val="center"/>
          </w:tcPr>
          <w:p w:rsidR="006267D9" w:rsidRDefault="00D55B22">
            <w:pPr>
              <w:jc w:val="center"/>
            </w:pPr>
            <w:r>
              <w:rPr>
                <w:rFonts w:eastAsiaTheme="minorEastAsia"/>
                <w:color w:val="000000" w:themeColor="text1"/>
                <w:szCs w:val="21"/>
              </w:rPr>
              <w:t>300161</w:t>
            </w:r>
          </w:p>
        </w:tc>
        <w:tc>
          <w:tcPr>
            <w:tcW w:w="0" w:type="auto"/>
            <w:vAlign w:val="center"/>
          </w:tcPr>
          <w:p w:rsidR="006267D9" w:rsidRDefault="00D55B22">
            <w:pPr>
              <w:jc w:val="center"/>
            </w:pPr>
            <w:r>
              <w:rPr>
                <w:rFonts w:eastAsiaTheme="minorEastAsia"/>
                <w:color w:val="000000" w:themeColor="text1"/>
                <w:szCs w:val="21"/>
              </w:rPr>
              <w:t>深圳证券交易所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64,284.00</w:t>
            </w:r>
          </w:p>
        </w:tc>
        <w:tc>
          <w:tcPr>
            <w:tcW w:w="0" w:type="auto"/>
            <w:vAlign w:val="center"/>
          </w:tcPr>
          <w:p w:rsidR="006267D9" w:rsidRDefault="00D55B22">
            <w:pPr>
              <w:jc w:val="right"/>
            </w:pPr>
            <w:r>
              <w:rPr>
                <w:rFonts w:eastAsiaTheme="minorEastAsia"/>
                <w:color w:val="000000" w:themeColor="text1"/>
                <w:szCs w:val="21"/>
              </w:rPr>
              <w:t>3,440,479.68</w:t>
            </w:r>
          </w:p>
        </w:tc>
        <w:tc>
          <w:tcPr>
            <w:tcW w:w="0" w:type="auto"/>
            <w:vAlign w:val="center"/>
          </w:tcPr>
          <w:p w:rsidR="006267D9" w:rsidRDefault="00D55B22">
            <w:pPr>
              <w:jc w:val="right"/>
            </w:pPr>
            <w:r>
              <w:rPr>
                <w:rFonts w:eastAsiaTheme="minorEastAsia"/>
                <w:color w:val="000000" w:themeColor="text1"/>
                <w:szCs w:val="21"/>
              </w:rPr>
              <w:t>3.06</w:t>
            </w:r>
          </w:p>
        </w:tc>
      </w:tr>
      <w:tr w:rsidR="006267D9">
        <w:tc>
          <w:tcPr>
            <w:tcW w:w="0" w:type="auto"/>
            <w:vAlign w:val="center"/>
          </w:tcPr>
          <w:p w:rsidR="006267D9" w:rsidRDefault="00D55B22">
            <w:pPr>
              <w:jc w:val="center"/>
            </w:pPr>
            <w:r>
              <w:rPr>
                <w:rFonts w:eastAsiaTheme="minorEastAsia"/>
                <w:color w:val="000000" w:themeColor="text1"/>
                <w:szCs w:val="21"/>
              </w:rPr>
              <w:t>10</w:t>
            </w:r>
          </w:p>
        </w:tc>
        <w:tc>
          <w:tcPr>
            <w:tcW w:w="0" w:type="auto"/>
            <w:vAlign w:val="center"/>
          </w:tcPr>
          <w:p w:rsidR="006267D9" w:rsidRDefault="00D55B22">
            <w:pPr>
              <w:jc w:val="center"/>
            </w:pPr>
            <w:r>
              <w:rPr>
                <w:rFonts w:eastAsiaTheme="minorEastAsia"/>
                <w:color w:val="000000" w:themeColor="text1"/>
                <w:szCs w:val="21"/>
              </w:rPr>
              <w:t>Shaanxi Coal Industry Company Limited</w:t>
            </w:r>
          </w:p>
        </w:tc>
        <w:tc>
          <w:tcPr>
            <w:tcW w:w="0" w:type="auto"/>
            <w:vAlign w:val="center"/>
          </w:tcPr>
          <w:p w:rsidR="006267D9" w:rsidRDefault="00D55B22">
            <w:pPr>
              <w:jc w:val="center"/>
            </w:pPr>
            <w:r>
              <w:rPr>
                <w:rFonts w:eastAsiaTheme="minorEastAsia"/>
                <w:color w:val="000000" w:themeColor="text1"/>
                <w:szCs w:val="21"/>
              </w:rPr>
              <w:t>陕西煤业</w:t>
            </w:r>
          </w:p>
        </w:tc>
        <w:tc>
          <w:tcPr>
            <w:tcW w:w="0" w:type="auto"/>
            <w:vAlign w:val="center"/>
          </w:tcPr>
          <w:p w:rsidR="006267D9" w:rsidRDefault="00D55B22">
            <w:pPr>
              <w:jc w:val="center"/>
            </w:pPr>
            <w:r>
              <w:rPr>
                <w:rFonts w:eastAsiaTheme="minorEastAsia"/>
                <w:color w:val="000000" w:themeColor="text1"/>
                <w:szCs w:val="21"/>
              </w:rPr>
              <w:t>601225</w:t>
            </w:r>
          </w:p>
        </w:tc>
        <w:tc>
          <w:tcPr>
            <w:tcW w:w="0" w:type="auto"/>
            <w:vAlign w:val="center"/>
          </w:tcPr>
          <w:p w:rsidR="006267D9" w:rsidRDefault="00D55B22">
            <w:pPr>
              <w:jc w:val="center"/>
            </w:pPr>
            <w:r>
              <w:rPr>
                <w:rFonts w:eastAsiaTheme="minorEastAsia"/>
                <w:color w:val="000000" w:themeColor="text1"/>
                <w:szCs w:val="21"/>
              </w:rPr>
              <w:t>上海证券交易所</w:t>
            </w:r>
          </w:p>
        </w:tc>
        <w:tc>
          <w:tcPr>
            <w:tcW w:w="0" w:type="auto"/>
            <w:vAlign w:val="center"/>
          </w:tcPr>
          <w:p w:rsidR="006267D9" w:rsidRDefault="00D55B22">
            <w:pPr>
              <w:jc w:val="center"/>
            </w:pPr>
            <w:r>
              <w:rPr>
                <w:rFonts w:eastAsiaTheme="minorEastAsia"/>
                <w:color w:val="000000" w:themeColor="text1"/>
                <w:szCs w:val="21"/>
              </w:rPr>
              <w:t>中国</w:t>
            </w:r>
          </w:p>
        </w:tc>
        <w:tc>
          <w:tcPr>
            <w:tcW w:w="0" w:type="auto"/>
            <w:vAlign w:val="center"/>
          </w:tcPr>
          <w:p w:rsidR="006267D9" w:rsidRDefault="00D55B22">
            <w:pPr>
              <w:jc w:val="right"/>
            </w:pPr>
            <w:r>
              <w:rPr>
                <w:rFonts w:eastAsiaTheme="minorEastAsia"/>
                <w:color w:val="000000" w:themeColor="text1"/>
                <w:szCs w:val="21"/>
              </w:rPr>
              <w:t>189,100.00</w:t>
            </w:r>
          </w:p>
        </w:tc>
        <w:tc>
          <w:tcPr>
            <w:tcW w:w="0" w:type="auto"/>
            <w:vAlign w:val="center"/>
          </w:tcPr>
          <w:p w:rsidR="006267D9" w:rsidRDefault="00D55B22">
            <w:pPr>
              <w:jc w:val="right"/>
            </w:pPr>
            <w:r>
              <w:rPr>
                <w:rFonts w:eastAsiaTheme="minorEastAsia"/>
                <w:color w:val="000000" w:themeColor="text1"/>
                <w:szCs w:val="21"/>
              </w:rPr>
              <w:t>3,439,729.00</w:t>
            </w:r>
          </w:p>
        </w:tc>
        <w:tc>
          <w:tcPr>
            <w:tcW w:w="0" w:type="auto"/>
            <w:vAlign w:val="center"/>
          </w:tcPr>
          <w:p w:rsidR="006267D9" w:rsidRDefault="00D55B22">
            <w:pPr>
              <w:jc w:val="right"/>
            </w:pPr>
            <w:r>
              <w:rPr>
                <w:rFonts w:eastAsiaTheme="minorEastAsia"/>
                <w:color w:val="000000" w:themeColor="text1"/>
                <w:szCs w:val="21"/>
              </w:rPr>
              <w:t>3.06</w:t>
            </w:r>
          </w:p>
        </w:tc>
      </w:tr>
    </w:tbl>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本基金投资的前十名证券的发行主体中，人福医药集团股份公司（股票代码</w:t>
      </w:r>
      <w:r w:rsidRPr="00A76A42">
        <w:rPr>
          <w:rFonts w:eastAsiaTheme="minorEastAsia"/>
          <w:color w:val="000000" w:themeColor="text1"/>
          <w:sz w:val="24"/>
        </w:rPr>
        <w:t>600079</w:t>
      </w:r>
      <w:r w:rsidRPr="00A76A42">
        <w:rPr>
          <w:rFonts w:eastAsiaTheme="minorEastAsia"/>
          <w:color w:val="000000" w:themeColor="text1"/>
          <w:sz w:val="24"/>
        </w:rPr>
        <w:t>）在报告编制日前一年内曾受到上海证券交易所的处罚。</w:t>
      </w:r>
    </w:p>
    <w:p w:rsidR="006267D9" w:rsidRDefault="00D55B22">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本基金对上述主体所发行证券的投资决策程序符合相关法律法规、基金合同及公司投资制度的要求。</w:t>
      </w:r>
    </w:p>
    <w:p w:rsidR="006267D9" w:rsidRDefault="00D55B22">
      <w:pPr>
        <w:widowControl/>
        <w:spacing w:line="360" w:lineRule="auto"/>
        <w:ind w:left="120" w:hangingChars="50" w:hanging="120"/>
        <w:rPr>
          <w:rFonts w:eastAsiaTheme="minorEastAsia"/>
          <w:color w:val="000000" w:themeColor="text1"/>
          <w:sz w:val="24"/>
        </w:rPr>
      </w:pPr>
      <w:r>
        <w:rPr>
          <w:rFonts w:eastAsiaTheme="minorEastAsia"/>
          <w:color w:val="000000" w:themeColor="text1"/>
          <w:sz w:val="24"/>
        </w:rPr>
        <w:t>除上述股票外，本基金投资的其余前十名证券的发行主体本期未出现被监管部门立案调查，或在报告编制日前一年内受到公开谴责、处罚的情形。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41,122.33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380,447.21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140,917.88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562,487.42</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87,807,539.27</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3,207,247.14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4,358,237.56</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86,656,548.85</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7</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（一）中国证监会批准本基金募集的文件</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（二）摩根中国世纪灵活配置混合型证券投资基金（</w:t>
      </w:r>
      <w:r>
        <w:rPr>
          <w:rFonts w:eastAsiaTheme="minorEastAsia"/>
          <w:color w:val="000000" w:themeColor="text1"/>
          <w:szCs w:val="21"/>
        </w:rPr>
        <w:t>QDII</w:t>
      </w:r>
      <w:r>
        <w:rPr>
          <w:rFonts w:eastAsiaTheme="minorEastAsia"/>
          <w:color w:val="000000" w:themeColor="text1"/>
          <w:szCs w:val="21"/>
        </w:rPr>
        <w:t>）基金合同</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（三）摩根中国世纪灵活配置混合型证券投资基金（</w:t>
      </w:r>
      <w:r>
        <w:rPr>
          <w:rFonts w:eastAsiaTheme="minorEastAsia"/>
          <w:color w:val="000000" w:themeColor="text1"/>
          <w:szCs w:val="21"/>
        </w:rPr>
        <w:t>QDII</w:t>
      </w:r>
      <w:r>
        <w:rPr>
          <w:rFonts w:eastAsiaTheme="minorEastAsia"/>
          <w:color w:val="000000" w:themeColor="text1"/>
          <w:szCs w:val="21"/>
        </w:rPr>
        <w:t>）托管协议</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6267D9" w:rsidRDefault="00D55B22">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（八）中国证监会要求的其他文件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二〇二三年七月二十一日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D94B1C">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D94B1C">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D94B1C">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摩根中国世纪灵活配置混合型证券投资基金</w:t>
    </w:r>
    <w:r w:rsidRPr="006669C9">
      <w:t>(QDII)2023</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7D9"/>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5C23"/>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D6CEB"/>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5B22"/>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4B1C"/>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133</TotalTime>
  <Pages>15</Pages>
  <Words>1174</Words>
  <Characters>6693</Characters>
  <Application>Microsoft Office Word</Application>
  <DocSecurity>0</DocSecurity>
  <Lines>55</Lines>
  <Paragraphs>15</Paragraphs>
  <ScaleCrop>false</ScaleCrop>
  <Company>TRT. Ltd. Co.</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23</cp:revision>
  <cp:lastPrinted>2007-07-19T00:46:00Z</cp:lastPrinted>
  <dcterms:created xsi:type="dcterms:W3CDTF">2014-12-16T02:40:00Z</dcterms:created>
  <dcterms:modified xsi:type="dcterms:W3CDTF">2023-07-20T06:20:00Z</dcterms:modified>
</cp:coreProperties>
</file>