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44C15BAA"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48E65E7A"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48C3405E"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05892C05"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7A6A756F"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61281750" w14:textId="77777777" w:rsidR="00D06738" w:rsidRDefault="00454D20" w:rsidRPr="00FF6B9A">
      <w:pPr>
        <w:spacing w:line="360" w:lineRule="auto"/>
        <w:jc w:val="center"/>
        <w:rPr>
          <w:rFonts w:eastAsiaTheme="minorEastAsia"/>
          <w:b/>
          <w:color w:themeColor="text1" w:val="000000"/>
          <w:sz w:val="36"/>
          <w:szCs w:val="36"/>
        </w:rPr>
      </w:pPr>
      <w:r w:rsidRPr="00FF6B9A">
        <w:rPr>
          <w:rFonts w:eastAsiaTheme="minorEastAsia"/>
          <w:b/>
          <w:color w:themeColor="text1" w:val="000000"/>
          <w:sz w:val="36"/>
          <w:szCs w:val="36"/>
        </w:rPr>
        <w:t/>
      </w:r>
      <w:proofErr w:type="spellStart"/>
      <w:r w:rsidRPr="00FF6B9A">
        <w:rPr>
          <w:rFonts w:eastAsiaTheme="minorEastAsia"/>
          <w:b/>
          <w:color w:themeColor="text1" w:val="000000"/>
          <w:sz w:val="36"/>
          <w:szCs w:val="36"/>
        </w:rPr>
        <w:t/>
      </w:r>
      <w:proofErr w:type="spellEnd"/>
      <w:r w:rsidRPr="00FF6B9A">
        <w:rPr>
          <w:rFonts w:eastAsiaTheme="minorEastAsia"/>
          <w:b/>
          <w:color w:themeColor="text1" w:val="000000"/>
          <w:sz w:val="36"/>
          <w:szCs w:val="36"/>
        </w:rPr>
        <w:t>上投摩根策略精选灵活配置混合型证券投资基金</w:t>
      </w:r>
    </w:p>
    <w:p w14:paraId="5A1338CB" w14:textId="77777777" w:rsidR="00D06738" w:rsidRDefault="00454D20" w:rsidRPr="00FF6B9A">
      <w:pPr>
        <w:spacing w:line="360" w:lineRule="auto"/>
        <w:jc w:val="center"/>
        <w:rPr>
          <w:rFonts w:eastAsiaTheme="minorEastAsia"/>
          <w:b/>
          <w:color w:themeColor="text1" w:val="000000"/>
          <w:sz w:val="36"/>
          <w:szCs w:val="36"/>
        </w:rPr>
      </w:pPr>
      <w:r w:rsidRPr="00FF6B9A">
        <w:rPr>
          <w:rFonts w:eastAsiaTheme="minorEastAsia"/>
          <w:b/>
          <w:color w:themeColor="text1" w:val="000000"/>
          <w:sz w:val="36"/>
          <w:szCs w:val="36"/>
        </w:rPr>
        <w:t/>
      </w:r>
      <w:proofErr w:type="spellStart"/>
      <w:r w:rsidRPr="00FF6B9A">
        <w:rPr>
          <w:rFonts w:eastAsiaTheme="minorEastAsia"/>
          <w:b/>
          <w:color w:themeColor="text1" w:val="000000"/>
          <w:sz w:val="36"/>
          <w:szCs w:val="36"/>
        </w:rPr>
        <w:t/>
      </w:r>
      <w:proofErr w:type="spellEnd"/>
      <w:r w:rsidRPr="00FF6B9A">
        <w:rPr>
          <w:rFonts w:eastAsiaTheme="minorEastAsia"/>
          <w:b/>
          <w:color w:themeColor="text1" w:val="000000"/>
          <w:sz w:val="36"/>
          <w:szCs w:val="36"/>
        </w:rPr>
        <w:t>2021年第3季度报告</w:t>
      </w:r>
    </w:p>
    <w:p w14:paraId="2E76B0B1" w14:textId="77777777" w:rsidR="00D06738" w:rsidRDefault="00454D20" w:rsidRPr="00FF6B9A">
      <w:pPr>
        <w:spacing w:line="360" w:lineRule="auto"/>
        <w:jc w:val="center"/>
        <w:rPr>
          <w:rFonts w:eastAsiaTheme="minorEastAsia"/>
          <w:b/>
          <w:color w:themeColor="text1" w:val="000000"/>
          <w:sz w:val="36"/>
          <w:szCs w:val="36"/>
        </w:rPr>
      </w:pPr>
      <w:r w:rsidRPr="00FF6B9A">
        <w:rPr>
          <w:rFonts w:eastAsiaTheme="minorEastAsia"/>
          <w:b/>
          <w:color w:themeColor="text1" w:val="000000"/>
          <w:sz w:val="36"/>
          <w:szCs w:val="36"/>
        </w:rPr>
        <w:t/>
      </w:r>
      <w:proofErr w:type="spellStart"/>
      <w:r w:rsidRPr="00FF6B9A">
        <w:rPr>
          <w:rFonts w:eastAsiaTheme="minorEastAsia"/>
          <w:b/>
          <w:color w:themeColor="text1" w:val="000000"/>
          <w:sz w:val="36"/>
          <w:szCs w:val="36"/>
        </w:rPr>
        <w:t/>
      </w:r>
      <w:proofErr w:type="spellEnd"/>
      <w:r w:rsidRPr="00FF6B9A">
        <w:rPr>
          <w:rFonts w:eastAsiaTheme="minorEastAsia"/>
          <w:b/>
          <w:color w:themeColor="text1" w:val="000000"/>
          <w:sz w:val="36"/>
          <w:szCs w:val="36"/>
        </w:rPr>
        <w:t>2021年9月30日</w:t>
      </w:r>
    </w:p>
    <w:p w14:paraId="1A655430" w14:textId="77777777" w:rsidR="00D06738" w:rsidRDefault="00D06738" w:rsidRPr="00FF6B9A">
      <w:pPr>
        <w:spacing w:line="360" w:lineRule="auto"/>
        <w:jc w:val="center"/>
        <w:rPr>
          <w:rFonts w:eastAsiaTheme="minorEastAsia"/>
          <w:b/>
          <w:bCs/>
          <w:color w:themeColor="text1" w:val="000000"/>
          <w:sz w:val="24"/>
          <w:szCs w:val="24"/>
        </w:rPr>
      </w:pPr>
    </w:p>
    <w:p w14:paraId="3C5B7FC4" w14:textId="77777777" w:rsidR="00D06738" w:rsidRDefault="00D06738" w:rsidRPr="00FF6B9A">
      <w:pPr>
        <w:spacing w:line="360" w:lineRule="auto"/>
        <w:jc w:val="center"/>
        <w:rPr>
          <w:rFonts w:eastAsiaTheme="minorEastAsia"/>
          <w:b/>
          <w:bCs/>
          <w:color w:themeColor="text1" w:val="000000"/>
          <w:sz w:val="24"/>
          <w:szCs w:val="24"/>
        </w:rPr>
      </w:pPr>
    </w:p>
    <w:p w14:paraId="1D41633D" w14:textId="77777777" w:rsidR="00D06738" w:rsidRDefault="00D06738" w:rsidRPr="00FF6B9A">
      <w:pPr>
        <w:spacing w:line="360" w:lineRule="auto"/>
        <w:jc w:val="center"/>
        <w:rPr>
          <w:rFonts w:eastAsiaTheme="minorEastAsia"/>
          <w:b/>
          <w:bCs/>
          <w:color w:themeColor="text1" w:val="000000"/>
          <w:sz w:val="24"/>
          <w:szCs w:val="24"/>
        </w:rPr>
      </w:pPr>
    </w:p>
    <w:p w14:paraId="7088D740" w14:textId="77777777" w:rsidR="00D06738" w:rsidRDefault="00D06738" w:rsidRPr="00FF6B9A">
      <w:pPr>
        <w:spacing w:line="360" w:lineRule="auto"/>
        <w:jc w:val="center"/>
        <w:rPr>
          <w:rFonts w:eastAsiaTheme="minorEastAsia"/>
          <w:b/>
          <w:bCs/>
          <w:color w:themeColor="text1" w:val="000000"/>
          <w:sz w:val="24"/>
          <w:szCs w:val="24"/>
        </w:rPr>
      </w:pPr>
    </w:p>
    <w:p w14:paraId="4CB6A604" w14:textId="77777777" w:rsidR="00D06738" w:rsidRDefault="00D06738" w:rsidRPr="00FF6B9A">
      <w:pPr>
        <w:spacing w:line="360" w:lineRule="auto"/>
        <w:jc w:val="center"/>
        <w:rPr>
          <w:rFonts w:eastAsiaTheme="minorEastAsia"/>
          <w:b/>
          <w:bCs/>
          <w:color w:themeColor="text1" w:val="000000"/>
          <w:sz w:val="24"/>
          <w:szCs w:val="24"/>
        </w:rPr>
      </w:pPr>
    </w:p>
    <w:p w14:paraId="160BB35C" w14:textId="77777777" w:rsidR="00D06738" w:rsidRDefault="00D06738" w:rsidRPr="00FF6B9A">
      <w:pPr>
        <w:spacing w:line="360" w:lineRule="auto"/>
        <w:jc w:val="center"/>
        <w:rPr>
          <w:rFonts w:eastAsiaTheme="minorEastAsia"/>
          <w:b/>
          <w:bCs/>
          <w:color w:themeColor="text1" w:val="000000"/>
          <w:sz w:val="24"/>
          <w:szCs w:val="24"/>
        </w:rPr>
      </w:pPr>
    </w:p>
    <w:p w14:paraId="59EC83F9" w14:textId="77777777" w:rsidR="00D06738" w:rsidRDefault="00D06738" w:rsidRPr="00FF6B9A">
      <w:pPr>
        <w:spacing w:line="360" w:lineRule="auto"/>
        <w:jc w:val="center"/>
        <w:rPr>
          <w:rFonts w:eastAsiaTheme="minorEastAsia"/>
          <w:b/>
          <w:bCs/>
          <w:color w:themeColor="text1" w:val="000000"/>
          <w:sz w:val="24"/>
          <w:szCs w:val="24"/>
        </w:rPr>
      </w:pPr>
    </w:p>
    <w:p w14:paraId="618FC018" w14:textId="77777777" w:rsidR="00D06738" w:rsidRDefault="00D06738" w:rsidRPr="00FF6B9A">
      <w:pPr>
        <w:spacing w:line="360" w:lineRule="auto"/>
        <w:jc w:val="center"/>
        <w:rPr>
          <w:rFonts w:eastAsiaTheme="minorEastAsia"/>
          <w:b/>
          <w:bCs/>
          <w:color w:themeColor="text1" w:val="000000"/>
          <w:sz w:val="24"/>
          <w:szCs w:val="24"/>
        </w:rPr>
      </w:pPr>
    </w:p>
    <w:p w14:paraId="62C95459" w14:textId="77777777" w:rsidR="00D06738" w:rsidRDefault="00D06738" w:rsidRPr="00FF6B9A">
      <w:pPr>
        <w:spacing w:line="360" w:lineRule="auto"/>
        <w:jc w:val="center"/>
        <w:rPr>
          <w:rFonts w:eastAsiaTheme="minorEastAsia"/>
          <w:b/>
          <w:bCs/>
          <w:color w:themeColor="text1" w:val="000000"/>
          <w:sz w:val="24"/>
          <w:szCs w:val="24"/>
        </w:rPr>
      </w:pPr>
    </w:p>
    <w:p w14:paraId="60B5CF4B" w14:textId="77777777" w:rsidR="00D06738" w:rsidRDefault="00D06738" w:rsidRPr="00FF6B9A">
      <w:pPr>
        <w:spacing w:line="360" w:lineRule="auto"/>
        <w:jc w:val="center"/>
        <w:rPr>
          <w:rFonts w:eastAsiaTheme="minorEastAsia"/>
          <w:b/>
          <w:bCs/>
          <w:color w:themeColor="text1" w:val="000000"/>
          <w:sz w:val="24"/>
          <w:szCs w:val="24"/>
        </w:rPr>
      </w:pPr>
    </w:p>
    <w:p w14:paraId="39DE5ED7" w14:textId="77777777" w:rsidR="00D06738" w:rsidRDefault="00D06738" w:rsidRPr="00FF6B9A">
      <w:pPr>
        <w:spacing w:line="360" w:lineRule="auto"/>
        <w:jc w:val="center"/>
        <w:rPr>
          <w:rFonts w:eastAsiaTheme="minorEastAsia"/>
          <w:b/>
          <w:bCs/>
          <w:color w:themeColor="text1" w:val="000000"/>
          <w:sz w:val="24"/>
          <w:szCs w:val="24"/>
        </w:rPr>
      </w:pPr>
    </w:p>
    <w:p w14:paraId="22E93BD8" w14:textId="77777777" w:rsidR="00D06738" w:rsidRDefault="00D06738" w:rsidRPr="00FF6B9A">
      <w:pPr>
        <w:spacing w:line="360" w:lineRule="auto"/>
        <w:jc w:val="center"/>
        <w:rPr>
          <w:rFonts w:eastAsiaTheme="minorEastAsia"/>
          <w:b/>
          <w:bCs/>
          <w:color w:themeColor="text1" w:val="000000"/>
          <w:sz w:val="24"/>
          <w:szCs w:val="24"/>
        </w:rPr>
      </w:pPr>
    </w:p>
    <w:p w14:paraId="68A989DC" w14:textId="77777777" w:rsidR="00D06738" w:rsidRDefault="00D06738" w:rsidRPr="00FF6B9A">
      <w:pPr>
        <w:spacing w:line="360" w:lineRule="auto"/>
        <w:jc w:val="center"/>
        <w:rPr>
          <w:rFonts w:eastAsiaTheme="minorEastAsia"/>
          <w:b/>
          <w:bCs/>
          <w:color w:themeColor="text1" w:val="000000"/>
          <w:sz w:val="24"/>
          <w:szCs w:val="24"/>
        </w:rPr>
      </w:pPr>
    </w:p>
    <w:p w14:paraId="4B1AA632" w14:textId="77777777" w:rsidR="00D06738" w:rsidRDefault="00D06738" w:rsidRPr="00FF6B9A">
      <w:pPr>
        <w:spacing w:line="360" w:lineRule="auto"/>
        <w:rPr>
          <w:rFonts w:eastAsiaTheme="minorEastAsia"/>
          <w:b/>
          <w:bCs/>
          <w:color w:themeColor="text1" w:val="000000"/>
          <w:sz w:val="24"/>
          <w:szCs w:val="24"/>
        </w:rPr>
      </w:pPr>
    </w:p>
    <w:p w14:paraId="5866ADDF" w14:textId="77777777" w:rsidR="00D06738" w:rsidRDefault="00454D20" w:rsidRPr="00FF6B9A">
      <w:pPr>
        <w:spacing w:line="360" w:lineRule="auto"/>
        <w:ind w:firstLine="2168" w:firstLineChars="900"/>
        <w:rPr>
          <w:rFonts w:eastAsiaTheme="minorEastAsia"/>
          <w:b/>
          <w:color w:themeColor="text1" w:val="000000"/>
          <w:sz w:val="24"/>
          <w:szCs w:val="24"/>
        </w:rPr>
      </w:pPr>
      <w:r w:rsidRPr="00FF6B9A">
        <w:rPr>
          <w:rFonts w:eastAsiaTheme="minorEastAsia"/>
          <w:b/>
          <w:color w:themeColor="text1" w:val="000000"/>
          <w:sz w:val="24"/>
          <w:szCs w:val="24"/>
        </w:rPr>
        <w:t>基金管理人：</w:t>
      </w:r>
      <w:r w:rsidRPr="00FF6B9A">
        <w:rPr>
          <w:rFonts w:eastAsiaTheme="minorEastAsia"/>
          <w:b/>
          <w:color w:themeColor="text1" w:val="000000"/>
          <w:sz w:val="24"/>
          <w:szCs w:val="24"/>
        </w:rPr>
        <w:t/>
      </w:r>
      <w:proofErr w:type="spellStart"/>
      <w:r w:rsidRPr="00FF6B9A">
        <w:rPr>
          <w:rFonts w:eastAsiaTheme="minorEastAsia"/>
          <w:b/>
          <w:color w:themeColor="text1" w:val="000000"/>
          <w:sz w:val="24"/>
          <w:szCs w:val="24"/>
        </w:rPr>
        <w:t/>
      </w:r>
      <w:proofErr w:type="spellEnd"/>
      <w:r w:rsidRPr="00FF6B9A">
        <w:rPr>
          <w:rFonts w:eastAsiaTheme="minorEastAsia"/>
          <w:b/>
          <w:color w:themeColor="text1" w:val="000000"/>
          <w:sz w:val="24"/>
          <w:szCs w:val="24"/>
        </w:rPr>
        <w:t>上投摩根基金管理有限公司</w:t>
      </w:r>
    </w:p>
    <w:p w14:paraId="76291874" w14:textId="77777777" w:rsidR="00D06738" w:rsidRDefault="00454D20" w:rsidRPr="00FF6B9A">
      <w:pPr>
        <w:spacing w:line="360" w:lineRule="auto"/>
        <w:ind w:firstLine="2168" w:firstLineChars="900"/>
        <w:rPr>
          <w:rFonts w:eastAsiaTheme="minorEastAsia"/>
          <w:b/>
          <w:color w:themeColor="text1" w:val="000000"/>
          <w:sz w:val="24"/>
          <w:szCs w:val="24"/>
        </w:rPr>
      </w:pPr>
      <w:r w:rsidRPr="00FF6B9A">
        <w:rPr>
          <w:rFonts w:eastAsiaTheme="minorEastAsia"/>
          <w:b/>
          <w:color w:themeColor="text1" w:val="000000"/>
          <w:sz w:val="24"/>
          <w:szCs w:val="24"/>
        </w:rPr>
        <w:t>基金托管人：</w:t>
      </w:r>
      <w:r w:rsidRPr="00FF6B9A">
        <w:rPr>
          <w:rFonts w:eastAsiaTheme="minorEastAsia"/>
          <w:b/>
          <w:color w:themeColor="text1" w:val="000000"/>
          <w:sz w:val="24"/>
          <w:szCs w:val="24"/>
        </w:rPr>
        <w:t/>
      </w:r>
      <w:proofErr w:type="spellStart"/>
      <w:r w:rsidRPr="00FF6B9A">
        <w:rPr>
          <w:rFonts w:eastAsiaTheme="minorEastAsia"/>
          <w:b/>
          <w:color w:themeColor="text1" w:val="000000"/>
          <w:sz w:val="24"/>
          <w:szCs w:val="24"/>
        </w:rPr>
        <w:t/>
      </w:r>
      <w:proofErr w:type="spellEnd"/>
      <w:r w:rsidRPr="00FF6B9A">
        <w:rPr>
          <w:rFonts w:eastAsiaTheme="minorEastAsia"/>
          <w:b/>
          <w:color w:themeColor="text1" w:val="000000"/>
          <w:sz w:val="24"/>
          <w:szCs w:val="24"/>
        </w:rPr>
        <w:t>中国银行股份有限公司</w:t>
      </w:r>
    </w:p>
    <w:p w14:paraId="219C0F2E" w14:textId="77777777" w:rsidR="00D06738" w:rsidRDefault="00454D20" w:rsidRPr="00FF6B9A">
      <w:pPr>
        <w:spacing w:line="360" w:lineRule="auto"/>
        <w:ind w:firstLine="2168" w:firstLineChars="900"/>
        <w:rPr>
          <w:rFonts w:eastAsiaTheme="minorEastAsia"/>
          <w:b/>
          <w:color w:themeColor="text1" w:val="000000"/>
          <w:sz w:val="24"/>
          <w:szCs w:val="24"/>
        </w:rPr>
        <w:sectPr w:rsidR="00D06738" w:rsidRPr="00FF6B9A">
          <w:headerReference r:id="rId8" w:type="default"/>
          <w:footerReference r:id="rId9" w:type="default"/>
          <w:pgSz w:h="15840" w:w="11926"/>
          <w:pgMar w:bottom="851" w:footer="992" w:gutter="0" w:header="851" w:left="1418" w:right="1418" w:top="1418"/>
          <w:cols w:space="720"/>
        </w:sectPr>
      </w:pPr>
      <w:r w:rsidRPr="00FF6B9A">
        <w:rPr>
          <w:rFonts w:eastAsiaTheme="minorEastAsia"/>
          <w:b/>
          <w:color w:themeColor="text1" w:val="000000"/>
          <w:sz w:val="24"/>
          <w:szCs w:val="24"/>
        </w:rPr>
        <w:t>报告送出日期：</w:t>
      </w:r>
      <w:r w:rsidRPr="00FF6B9A">
        <w:rPr>
          <w:rFonts w:eastAsiaTheme="minorEastAsia"/>
          <w:b/>
          <w:color w:themeColor="text1" w:val="000000"/>
          <w:sz w:val="24"/>
          <w:szCs w:val="24"/>
        </w:rPr>
        <w:t/>
      </w:r>
      <w:proofErr w:type="spellStart"/>
      <w:r w:rsidRPr="00FF6B9A">
        <w:rPr>
          <w:rFonts w:eastAsiaTheme="minorEastAsia"/>
          <w:b/>
          <w:color w:themeColor="text1" w:val="000000"/>
          <w:sz w:val="24"/>
          <w:szCs w:val="24"/>
        </w:rPr>
        <w:t/>
      </w:r>
      <w:proofErr w:type="spellEnd"/>
      <w:r w:rsidRPr="00FF6B9A">
        <w:rPr>
          <w:rFonts w:eastAsiaTheme="minorEastAsia"/>
          <w:b/>
          <w:color w:themeColor="text1" w:val="000000"/>
          <w:sz w:val="24"/>
          <w:szCs w:val="24"/>
        </w:rPr>
        <w:t>二〇二一年十月二十七日</w:t>
      </w:r>
    </w:p>
    <w:p w14:paraId="7AFF270F" w14:textId="77777777" w:rsidR="00D06738" w:rsidRDefault="00454D20" w:rsidRPr="00FF6B9A">
      <w:pPr>
        <w:pStyle w:val="1"/>
        <w:spacing w:after="312" w:afterLines="100" w:before="312" w:beforeLines="100" w:line="360" w:lineRule="auto"/>
        <w:jc w:val="center"/>
        <w:rPr>
          <w:rFonts w:eastAsiaTheme="minorEastAsia"/>
          <w:b w:val="0"/>
          <w:bCs w:val="0"/>
          <w:color w:themeColor="text1" w:val="000000"/>
          <w:kern w:val="0"/>
          <w:sz w:val="24"/>
          <w:szCs w:val="24"/>
        </w:rPr>
      </w:pPr>
      <w:r w:rsidRPr="00FF6B9A">
        <w:rPr>
          <w:rFonts w:eastAsiaTheme="minorEastAsia"/>
          <w:color w:themeColor="text1" w:val="000000"/>
          <w:kern w:val="0"/>
          <w:sz w:val="24"/>
          <w:szCs w:val="24"/>
        </w:rPr>
        <w:lastRenderedPageBreak/>
        <w:t xml:space="preserve">§1  </w:t>
      </w:r>
      <w:r w:rsidRPr="00FF6B9A">
        <w:rPr>
          <w:rFonts w:eastAsiaTheme="minorEastAsia"/>
          <w:color w:themeColor="text1" w:val="000000"/>
          <w:kern w:val="0"/>
          <w:sz w:val="24"/>
          <w:szCs w:val="24"/>
        </w:rPr>
        <w:t>重要提示</w:t>
      </w:r>
    </w:p>
    <w:p>
      <w:pPr>
        <w:spacing w:line="360" w:lineRule="auto"/>
        <w:ind w:firstLine="420" w:firstLineChars="200"/>
        <w:rPr>
          <w:rFonts w:eastAsiaTheme="minorEastAsia"/>
          <w:color w:themeColor="text1" w:val="000000"/>
        </w:rPr>
      </w:pPr>
      <w:r>
        <w:rPr>
          <w:rFonts w:eastAsia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eastAsiaTheme="minorEastAsia"/>
          <w:color w:themeColor="text1" w:val="000000"/>
        </w:rPr>
      </w:pPr>
      <w:r>
        <w:rPr>
          <w:rFonts w:eastAsiaTheme="minorEastAsia"/>
          <w:color w:themeColor="text1" w:val="000000"/>
        </w:rPr>
        <w:t xml:space="preserve">基金托管人中国银行股份有限公司根据本基金合同规定，于2021年10月26日复核了本报告中的财务指标、净值表现和投资组合报告等内容，保证复核内容不存在虚假记载、误导性陈述或者重大遗漏。 </w:t>
      </w:r>
    </w:p>
    <w:p>
      <w:pPr>
        <w:spacing w:line="360" w:lineRule="auto"/>
        <w:ind w:firstLine="420" w:firstLineChars="200"/>
        <w:rPr>
          <w:rFonts w:eastAsiaTheme="minorEastAsia"/>
          <w:color w:themeColor="text1" w:val="000000"/>
        </w:rPr>
      </w:pPr>
      <w:r>
        <w:rPr>
          <w:rFonts w:eastAsia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eastAsiaTheme="minorEastAsia"/>
          <w:color w:themeColor="text1" w:val="000000"/>
        </w:rPr>
      </w:pPr>
      <w:r>
        <w:rPr>
          <w:rFonts w:eastAsia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eastAsiaTheme="minorEastAsia"/>
          <w:color w:themeColor="text1" w:val="000000"/>
        </w:rPr>
      </w:pPr>
      <w:r>
        <w:rPr>
          <w:rFonts w:eastAsiaTheme="minorEastAsia"/>
          <w:color w:themeColor="text1" w:val="000000"/>
        </w:rPr>
        <w:t>本报告中财务资料未经审计。</w:t>
      </w:r>
    </w:p>
    <w:p w14:paraId="298A5200"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本报告期自2021年7月1日起至9月30日止。</w:t>
      </w:r>
    </w:p>
    <w:p w14:paraId="3A78A50A"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t xml:space="preserve">§2  </w:t>
      </w:r>
      <w:r w:rsidRPr="00FF6B9A">
        <w:rPr>
          <w:rFonts w:eastAsiaTheme="minor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rsidRPr="00FF6B9A">
        <w:tc>
          <w:tcPr>
            <w:tcW w:type="dxa" w:w="2835"/>
            <w:vAlign w:val="center"/>
          </w:tcPr>
          <w:p w14:paraId="41603EB5"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基金简称</w:t>
            </w:r>
          </w:p>
        </w:tc>
        <w:tc>
          <w:tcPr>
            <w:tcW w:type="dxa" w:w="5479"/>
            <w:gridSpan w:val="2"/>
            <w:vAlign w:val="center"/>
          </w:tcPr>
          <w:p w14:paraId="245289EF"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上投摩根策略精选混合</w:t>
            </w:r>
          </w:p>
        </w:tc>
      </w:tr>
      <w:tr w14:paraId="6487C456" w14:textId="77777777" w:rsidR="00D06738" w:rsidRPr="00FF6B9A">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002654</w:t>
            </w:r>
          </w:p>
        </w:tc>
      </w:tr>
      <w:tr w14:paraId="2443AB88" w14:textId="77777777" w:rsidR="00D06738" w:rsidRPr="00FF6B9A">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gramStart"/>
            <w:r w:rsidRPr="00FF6B9A">
              <w:rPr>
                <w:rFonts w:eastAsiaTheme="minorEastAsia"/>
                <w:color w:themeColor="text1" w:val="000000"/>
                <w:kern w:val="0"/>
              </w:rPr>
              <w:t/>
            </w:r>
            <w:proofErr w:type="spellEnd"/>
            <w:r w:rsidRPr="00FF6B9A">
              <w:rPr>
                <w:rFonts w:eastAsiaTheme="minorEastAsia"/>
                <w:color w:themeColor="text1" w:val="000000"/>
                <w:kern w:val="0"/>
              </w:rPr>
              <w:t/>
            </w:r>
            <w:proofErr w:type="spellStart"/>
            <w:proofErr w:type="gramEnd"/>
            <w:r w:rsidRPr="00FF6B9A">
              <w:rPr>
                <w:rFonts w:eastAsiaTheme="minorEastAsia"/>
                <w:color w:themeColor="text1" w:val="000000"/>
                <w:kern w:val="0"/>
              </w:rPr>
              <w:t/>
            </w:r>
            <w:proofErr w:type="spellEnd"/>
            <w:r w:rsidRPr="00FF6B9A">
              <w:rPr>
                <w:rFonts w:eastAsiaTheme="minorEastAsia"/>
                <w:color w:themeColor="text1" w:val="000000"/>
                <w:kern w:val="0"/>
              </w:rPr>
              <w:t>002654</w:t>
            </w:r>
          </w:p>
        </w:tc>
      </w:tr>
      <w:tr w14:paraId="7AF1FD7C" w14:textId="77777777" w:rsidR="00D06738" w:rsidRPr="00FF6B9A">
        <w:tc>
          <w:tcPr>
            <w:tcW w:type="dxa" w:w="2835"/>
            <w:vAlign w:val="center"/>
          </w:tcPr>
          <w:p w14:paraId="042D4F2C"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基金运作方式</w:t>
            </w:r>
          </w:p>
        </w:tc>
        <w:tc>
          <w:tcPr>
            <w:tcW w:type="dxa" w:w="5479"/>
            <w:gridSpan w:val="2"/>
            <w:vAlign w:val="center"/>
          </w:tcPr>
          <w:p w14:paraId="594303B4"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契约型开放式</w:t>
            </w:r>
          </w:p>
        </w:tc>
      </w:tr>
      <w:tr w14:paraId="5E254ABC" w14:textId="77777777" w:rsidR="00D06738" w:rsidRPr="00FF6B9A">
        <w:tc>
          <w:tcPr>
            <w:tcW w:type="dxa" w:w="2835"/>
            <w:vAlign w:val="center"/>
          </w:tcPr>
          <w:p w14:paraId="309669DF"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基金合同生效日</w:t>
            </w:r>
          </w:p>
        </w:tc>
        <w:tc>
          <w:tcPr>
            <w:tcW w:type="dxa" w:w="5479"/>
            <w:gridSpan w:val="2"/>
            <w:vAlign w:val="center"/>
          </w:tcPr>
          <w:p w14:paraId="1568522D"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2016年6月16日</w:t>
            </w:r>
          </w:p>
        </w:tc>
      </w:tr>
      <w:tr w14:paraId="06DF9713" w14:textId="77777777" w:rsidR="00D06738" w:rsidRPr="00FF6B9A">
        <w:tc>
          <w:tcPr>
            <w:tcW w:type="dxa" w:w="2835"/>
            <w:vAlign w:val="center"/>
          </w:tcPr>
          <w:p w14:paraId="57B0E596"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报告期末基金份额总额</w:t>
            </w:r>
          </w:p>
        </w:tc>
        <w:tc>
          <w:tcPr>
            <w:tcW w:type="dxa" w:w="5479"/>
            <w:gridSpan w:val="2"/>
            <w:vAlign w:val="center"/>
          </w:tcPr>
          <w:p w14:paraId="38649CC9"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13,109,348.54</w:t>
            </w:r>
            <w:r w:rsidRPr="00FF6B9A">
              <w:rPr>
                <w:rFonts w:eastAsiaTheme="minorEastAsia"/>
                <w:color w:themeColor="text1" w:val="000000"/>
                <w:kern w:val="0"/>
              </w:rPr>
              <w:t>份</w:t>
            </w:r>
          </w:p>
        </w:tc>
      </w:tr>
      <w:tr w14:paraId="03D1AE98" w14:textId="77777777" w:rsidR="00D06738" w:rsidRPr="00FF6B9A">
        <w:tc>
          <w:tcPr>
            <w:tcW w:type="dxa" w:w="2835"/>
            <w:vAlign w:val="center"/>
          </w:tcPr>
          <w:p w14:paraId="4AB37564"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投资目标</w:t>
            </w:r>
          </w:p>
        </w:tc>
        <w:tc>
          <w:tcPr>
            <w:tcW w:type="dxa" w:w="5479"/>
            <w:gridSpan w:val="2"/>
            <w:vAlign w:val="center"/>
          </w:tcPr>
          <w:p w14:paraId="61AB4DB9"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在严格的风险控制的前提下，采用定性与定量的分析，自下而上精选个股，力争实现基金资产的长期增值。</w:t>
            </w:r>
          </w:p>
        </w:tc>
      </w:tr>
      <w:tr w14:paraId="0CFEC550" w14:textId="77777777" w:rsidR="00D06738" w:rsidRPr="00FF6B9A">
        <w:tc>
          <w:tcPr>
            <w:tcW w:type="dxa" w:w="2835"/>
            <w:vAlign w:val="center"/>
          </w:tcPr>
          <w:p w14:paraId="1E239E6A"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投资策略</w:t>
            </w:r>
          </w:p>
        </w:tc>
        <w:tc>
          <w:tcPr>
            <w:tcW w:type="dxa" w:w="5479"/>
            <w:gridSpan w:val="2"/>
            <w:vAlign w:val="center"/>
          </w:tcPr>
          <w:p>
            <w:pPr>
              <w:adjustRightInd w:val="0"/>
              <w:spacing w:before="29" w:line="360" w:lineRule="auto"/>
              <w:ind w:left="17"/>
              <w:rPr>
                <w:rFonts w:eastAsiaTheme="minorEastAsia"/>
                <w:color w:themeColor="text1" w:val="000000"/>
              </w:rPr>
            </w:pPr>
            <w:r>
              <w:rPr>
                <w:rFonts w:eastAsiaTheme="minorEastAsia"/>
                <w:color w:themeColor="text1" w:val="000000"/>
                <w:kern w:val="0"/>
              </w:rPr>
              <w:t>1、资产配置策略</w:t>
            </w:r>
          </w:p>
          <w:p>
            <w:pPr>
              <w:adjustRightInd w:val="0"/>
              <w:spacing w:before="29" w:line="360" w:lineRule="auto"/>
              <w:ind w:left="17"/>
              <w:rPr>
                <w:rFonts w:eastAsiaTheme="minorEastAsia"/>
                <w:color w:themeColor="text1" w:val="000000"/>
              </w:rPr>
            </w:pPr>
            <w:r>
              <w:rPr>
                <w:rFonts w:eastAsiaTheme="minorEastAsia"/>
                <w:color w:themeColor="text1" w:val="000000"/>
                <w:kern w:val="0"/>
              </w:rP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w:t>
            </w:r>
          </w:p>
          <w:p>
            <w:pPr>
              <w:adjustRightInd w:val="0"/>
              <w:spacing w:before="29" w:line="360" w:lineRule="auto"/>
              <w:ind w:left="17"/>
              <w:rPr>
                <w:rFonts w:eastAsiaTheme="minorEastAsia"/>
                <w:color w:themeColor="text1" w:val="000000"/>
              </w:rPr>
            </w:pPr>
            <w:r>
              <w:rPr>
                <w:rFonts w:eastAsiaTheme="minorEastAsia"/>
                <w:color w:themeColor="text1" w:val="000000"/>
                <w:kern w:val="0"/>
              </w:rPr>
              <w:t>2、股票投资策略</w:t>
            </w:r>
          </w:p>
          <w:p>
            <w:pPr>
              <w:adjustRightInd w:val="0"/>
              <w:spacing w:before="29" w:line="360" w:lineRule="auto"/>
              <w:ind w:left="17"/>
              <w:rPr>
                <w:rFonts w:eastAsiaTheme="minorEastAsia"/>
                <w:color w:themeColor="text1" w:val="000000"/>
              </w:rPr>
            </w:pPr>
            <w:r>
              <w:rPr>
                <w:rFonts w:eastAsiaTheme="minorEastAsia"/>
                <w:color w:themeColor="text1" w:val="000000"/>
                <w:kern w:val="0"/>
              </w:rPr>
              <w:t>本基金将主要通过运用主题轮动策略与行业轮动策略，结合“自下而上”精选个股，充分挖掘并把握市场中潜在的投资机会，力争把握经济发展与转型中的投资机会。</w:t>
            </w:r>
          </w:p>
          <w:p>
            <w:pPr>
              <w:adjustRightInd w:val="0"/>
              <w:spacing w:before="29" w:line="360" w:lineRule="auto"/>
              <w:ind w:left="17"/>
              <w:rPr>
                <w:rFonts w:eastAsiaTheme="minorEastAsia"/>
                <w:color w:themeColor="text1" w:val="000000"/>
              </w:rPr>
            </w:pPr>
            <w:r>
              <w:rPr>
                <w:rFonts w:eastAsiaTheme="minorEastAsia"/>
                <w:color w:themeColor="text1" w:val="000000"/>
                <w:kern w:val="0"/>
              </w:rPr>
              <w:t>3、固定收益类投资策略</w:t>
            </w:r>
          </w:p>
          <w:p>
            <w:pPr>
              <w:adjustRightInd w:val="0"/>
              <w:spacing w:before="29" w:line="360" w:lineRule="auto"/>
              <w:ind w:left="17"/>
              <w:rPr>
                <w:rFonts w:eastAsiaTheme="minorEastAsia"/>
                <w:color w:themeColor="text1" w:val="000000"/>
              </w:rPr>
            </w:pPr>
            <w:r>
              <w:rPr>
                <w:rFonts w:eastAsiaTheme="minorEastAsia"/>
                <w:color w:themeColor="text1" w:val="000000"/>
                <w:kern w:val="0"/>
              </w:rPr>
              <w:t>对于固定收益类资产的选择，本基金将以价值分析为主线，在综合研究的基础上实施积极主动的组合管理，自上而下进行组合构建，自下而上进行个券选择。</w:t>
            </w:r>
          </w:p>
          <w:p w14:paraId="57810DE4"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4、其他投资策略: 包括可转换债券投资策略、中小企业私募债投资策略、股指期货投资策略、股票期权投资策略、资产支持证券投资策略、存托凭证投资策略。</w:t>
            </w:r>
          </w:p>
        </w:tc>
      </w:tr>
      <w:tr w14:paraId="43AD7C9F" w14:textId="77777777" w:rsidR="00D06738" w:rsidRPr="00FF6B9A">
        <w:tc>
          <w:tcPr>
            <w:tcW w:type="dxa" w:w="2835"/>
            <w:vAlign w:val="center"/>
          </w:tcPr>
          <w:p w14:paraId="24E44D9B"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业绩比较基准</w:t>
            </w:r>
          </w:p>
        </w:tc>
        <w:tc>
          <w:tcPr>
            <w:tcW w:type="dxa" w:w="5479"/>
            <w:gridSpan w:val="2"/>
            <w:vAlign w:val="center"/>
          </w:tcPr>
          <w:p w14:paraId="6581E7FB"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中证800指数收益率*60%+中债总指数收益率*40%</w:t>
            </w:r>
          </w:p>
        </w:tc>
      </w:tr>
      <w:tr w14:paraId="42EA0DB3" w14:textId="77777777" w:rsidR="00D06738" w:rsidRPr="00FF6B9A">
        <w:tc>
          <w:tcPr>
            <w:tcW w:type="dxa" w:w="2835"/>
            <w:vAlign w:val="center"/>
          </w:tcPr>
          <w:p w14:paraId="7192C3F0"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风险收益特征</w:t>
            </w:r>
          </w:p>
        </w:tc>
        <w:tc>
          <w:tcPr>
            <w:tcW w:type="dxa" w:w="5479"/>
            <w:gridSpan w:val="2"/>
            <w:vAlign w:val="center"/>
          </w:tcPr>
          <w:p>
            <w:pPr>
              <w:adjustRightInd w:val="0"/>
              <w:spacing w:before="29" w:line="360" w:lineRule="auto"/>
              <w:ind w:left="17"/>
              <w:rPr>
                <w:rFonts w:eastAsiaTheme="minorEastAsia"/>
                <w:color w:themeColor="text1" w:val="000000"/>
              </w:rPr>
            </w:pPr>
            <w:r>
              <w:rPr>
                <w:rFonts w:eastAsiaTheme="minorEastAsia"/>
                <w:color w:themeColor="text1" w:val="000000"/>
                <w:kern w:val="0"/>
              </w:rPr>
              <w:t>本基金属于混合型基金产品，预期风险和收益水平高于债券型基金和货币市场基金，低于股票型基金，属于较高风险收益水平的基金产品。</w:t>
            </w:r>
          </w:p>
          <w:p w14:paraId="2673C8C6"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rsidRPr="00FF6B9A">
        <w:tc>
          <w:tcPr>
            <w:tcW w:type="dxa" w:w="2835"/>
            <w:vAlign w:val="center"/>
          </w:tcPr>
          <w:p w14:paraId="281C6797"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基金管理人</w:t>
            </w:r>
          </w:p>
        </w:tc>
        <w:tc>
          <w:tcPr>
            <w:tcW w:type="dxa" w:w="5479"/>
            <w:gridSpan w:val="2"/>
            <w:vAlign w:val="center"/>
          </w:tcPr>
          <w:p w14:paraId="64BEE458"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上投摩根基金管理有限公司</w:t>
            </w:r>
          </w:p>
        </w:tc>
      </w:tr>
      <w:tr w14:paraId="76894E86" w14:textId="77777777" w:rsidR="00D06738" w:rsidRPr="00FF6B9A">
        <w:tc>
          <w:tcPr>
            <w:tcW w:type="dxa" w:w="2835"/>
            <w:vAlign w:val="center"/>
          </w:tcPr>
          <w:p w14:paraId="7825DD99"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基金托管人</w:t>
            </w:r>
          </w:p>
        </w:tc>
        <w:tc>
          <w:tcPr>
            <w:tcW w:type="dxa" w:w="5479"/>
            <w:gridSpan w:val="2"/>
            <w:vAlign w:val="center"/>
          </w:tcPr>
          <w:p w14:paraId="5FB3246D" w14:textId="77777777" w:rsidR="00D06738" w:rsidRDefault="00454D20" w:rsidRPr="00FF6B9A">
            <w:pPr>
              <w:adjustRightInd w:val="0"/>
              <w:spacing w:before="29" w:line="360" w:lineRule="auto"/>
              <w:ind w:left="17"/>
              <w:rPr>
                <w:rFonts w:eastAsiaTheme="minorEastAsia"/>
                <w:color w:themeColor="text1" w:val="00000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中国银行股份有限公司</w:t>
            </w:r>
          </w:p>
        </w:tc>
      </w:tr>
    </w:tbl>
    <w:p w14:paraId="0FD2B1FF"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t xml:space="preserve">§3  </w:t>
      </w:r>
      <w:r w:rsidRPr="00FF6B9A">
        <w:rPr>
          <w:rFonts w:eastAsiaTheme="minorEastAsia"/>
          <w:color w:themeColor="text1" w:val="000000"/>
          <w:kern w:val="0"/>
          <w:sz w:val="24"/>
          <w:szCs w:val="24"/>
        </w:rPr>
        <w:t>主要财务指标和基金净值表现</w:t>
      </w:r>
    </w:p>
    <w:p w14:paraId="210337B7"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3.1 </w:t>
      </w:r>
      <w:r w:rsidRPr="00FF6B9A">
        <w:rPr>
          <w:rFonts w:eastAsiaTheme="minorEastAsia"/>
          <w:b/>
          <w:bCs/>
          <w:color w:themeColor="text1" w:val="000000"/>
          <w:kern w:val="0"/>
          <w:sz w:val="24"/>
          <w:szCs w:val="24"/>
        </w:rPr>
        <w:t>主要财务指标</w:t>
      </w:r>
    </w:p>
    <w:p w14:paraId="137D242D"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rsidRPr="00FF6B9A">
        <w:tc>
          <w:tcPr>
            <w:tcW w:type="dxa" w:w="3402"/>
            <w:vAlign w:val="center"/>
          </w:tcPr>
          <w:p w14:paraId="42E18AC5" w14:textId="77777777" w:rsidR="00D06738" w:rsidRDefault="00454D20" w:rsidRPr="00FF6B9A">
            <w:pPr>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lastRenderedPageBreak/>
              <w:t>主要财务指标</w:t>
            </w: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
            </w:r>
          </w:p>
        </w:tc>
        <w:tc>
          <w:tcPr>
            <w:tcW w:type="dxa" w:w="4962"/>
            <w:hMerge w:val="restart"/>
            <w:vAlign w:val="center"/>
          </w:tcPr>
          <w:p w14:paraId="619578C9" w14:textId="77777777" w:rsidR="00D06738" w:rsidRDefault="00454D20" w:rsidRPr="00FF6B9A">
            <w:pPr>
              <w:adjustRightInd w:val="0"/>
              <w:spacing w:before="29" w:line="360" w:lineRule="auto"/>
              <w:ind w:left="17"/>
              <w:jc w:val="center"/>
              <w:rPr>
                <w:rFonts w:eastAsiaTheme="minorEastAsia"/>
                <w:color w:themeColor="text1" w:val="000000"/>
              </w:rPr>
            </w:pPr>
            <w:r w:rsidRPr="00FF6B9A">
              <w:rPr>
                <w:rFonts w:eastAsiaTheme="minorEastAsia"/>
                <w:color w:themeColor="text1" w:val="000000"/>
              </w:rPr>
              <w:t>报告期</w:t>
            </w:r>
          </w:p>
          <w:p w14:paraId="3E47B353" w14:textId="77777777" w:rsidR="00D06738" w:rsidRDefault="00454D20" w:rsidRPr="00FF6B9A">
            <w:pPr>
              <w:adjustRightInd w:val="0"/>
              <w:spacing w:before="29" w:line="360" w:lineRule="auto"/>
              <w:ind w:left="17"/>
              <w:jc w:val="center"/>
              <w:rPr>
                <w:rFonts w:eastAsiaTheme="minorEastAsia"/>
                <w:color w:themeColor="text1" w:val="000000"/>
              </w:rPr>
            </w:pPr>
            <w:r w:rsidRPr="00FF6B9A">
              <w:rPr>
                <w:rFonts w:eastAsiaTheme="minorEastAsia"/>
                <w:color w:themeColor="text1" w:val="000000"/>
              </w:rPr>
              <w:t>(</w:t>
            </w:r>
            <w:proofErr w:type="spellStart"/>
            <w:r w:rsidRPr="00FF6B9A">
              <w:rPr>
                <w:rFonts w:eastAsiaTheme="minorEastAsia"/>
                <w:color w:themeColor="text1" w:val="000000"/>
              </w:rPr>
              <w:t/>
            </w:r>
            <w:proofErr w:type="spellEnd"/>
            <w:r w:rsidRPr="00FF6B9A">
              <w:rPr>
                <w:rFonts w:eastAsiaTheme="minorEastAsia"/>
                <w:color w:themeColor="text1" w:val="000000"/>
              </w:rPr>
              <w:t>2021年7月1日-</w:t>
            </w:r>
            <w:proofErr w:type="spellStart"/>
            <w:r w:rsidRPr="00FF6B9A">
              <w:rPr>
                <w:rFonts w:eastAsiaTheme="minorEastAsia"/>
                <w:color w:themeColor="text1" w:val="000000"/>
              </w:rPr>
              <w:t/>
            </w:r>
            <w:proofErr w:type="spellEnd"/>
            <w:r w:rsidRPr="00FF6B9A">
              <w:rPr>
                <w:rFonts w:eastAsiaTheme="minorEastAsia"/>
                <w:color w:themeColor="text1" w:val="000000"/>
              </w:rPr>
              <w:t>2021年9月30日)</w:t>
            </w:r>
          </w:p>
        </w:tc>
        <w:tc>
          <w:tcPr>
            <w:tcW w:type="dxa" w:w="2410"/>
            <w:hMerge/>
            <w:vAlign w:val="center"/>
          </w:tcPr>
          <w:p w14:paraId="5FB75E1A" w14:textId="77777777" w:rsidR="00D06738" w:rsidRDefault="00454D20" w:rsidRPr="00FF6B9A">
            <w:pPr>
              <w:adjustRightInd w:val="0"/>
              <w:spacing w:before="29" w:line="360" w:lineRule="auto"/>
              <w:ind w:left="17"/>
              <w:jc w:val="center"/>
              <w:rPr>
                <w:rFonts w:eastAsiaTheme="minorEastAsia"/>
                <w:color w:themeColor="text1" w:val="000000"/>
              </w:rPr>
            </w:pPr>
            <w:r w:rsidRPr="00FF6B9A">
              <w:rPr>
                <w:rFonts w:eastAsiaTheme="minorEastAsia"/>
                <w:color w:themeColor="text1" w:val="000000"/>
              </w:rPr>
              <w:t>上期金额</w:t>
            </w: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
            </w:r>
          </w:p>
        </w:tc>
      </w:tr>
      <w:tr w14:paraId="221834C8" w14:textId="77777777" w:rsidR="00D06738" w:rsidRPr="00FF6B9A">
        <w:tc>
          <w:tcPr>
            <w:tcW w:type="dxa" w:w="3402"/>
            <w:vAlign w:val="center"/>
          </w:tcPr>
          <w:p w14:paraId="19330D2C"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1.</w:t>
            </w:r>
            <w:r w:rsidRPr="00FF6B9A">
              <w:rPr>
                <w:rFonts w:eastAsiaTheme="minorEastAsia"/>
                <w:color w:themeColor="text1" w:val="000000"/>
                <w:kern w:val="0"/>
              </w:rPr>
              <w:t>本期已实现收益</w:t>
            </w:r>
          </w:p>
        </w:tc>
        <w:tc>
          <w:tcPr>
            <w:tcW w:type="dxa" w:w="4962"/>
            <w:hMerge w:val="restart"/>
            <w:vAlign w:val="center"/>
          </w:tcPr>
          <w:p w14:paraId="568D140B"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3,715,187.50</w:t>
            </w:r>
          </w:p>
        </w:tc>
        <w:tc>
          <w:tcPr>
            <w:tcW w:type="dxa" w:w="2410"/>
            <w:hMerge/>
            <w:vAlign w:val="center"/>
          </w:tcPr>
          <w:p w14:paraId="7D46D9A3"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w:t>
            </w:r>
          </w:p>
        </w:tc>
      </w:tr>
      <w:tr w14:paraId="10AEC81A" w14:textId="77777777" w:rsidR="00D06738" w:rsidRPr="00FF6B9A">
        <w:tc>
          <w:tcPr>
            <w:tcW w:type="dxa" w:w="3402"/>
            <w:vAlign w:val="center"/>
          </w:tcPr>
          <w:p w14:paraId="15ADAC28"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2.</w:t>
            </w:r>
            <w:r w:rsidRPr="00FF6B9A">
              <w:rPr>
                <w:rFonts w:eastAsiaTheme="minorEastAsia"/>
                <w:color w:themeColor="text1" w:val="000000"/>
                <w:kern w:val="0"/>
              </w:rPr>
              <w:t>本期利润</w:t>
            </w:r>
          </w:p>
        </w:tc>
        <w:tc>
          <w:tcPr>
            <w:tcW w:type="dxa" w:w="4962"/>
            <w:hMerge w:val="restart"/>
            <w:vAlign w:val="center"/>
          </w:tcPr>
          <w:p w14:paraId="42B249A8"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106,609.22</w:t>
            </w:r>
          </w:p>
        </w:tc>
        <w:tc>
          <w:tcPr>
            <w:tcW w:type="dxa" w:w="2410"/>
            <w:hMerge/>
            <w:vAlign w:val="center"/>
          </w:tcPr>
          <w:p w14:paraId="4CC084AD"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w:t>
            </w:r>
          </w:p>
        </w:tc>
      </w:tr>
      <w:tr w14:paraId="5C8E1F6F" w14:textId="77777777" w:rsidR="00D06738" w:rsidRPr="00FF6B9A">
        <w:tc>
          <w:tcPr>
            <w:tcW w:type="dxa" w:w="3402"/>
            <w:vAlign w:val="center"/>
          </w:tcPr>
          <w:p w14:paraId="1C3F4C76"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3.</w:t>
            </w:r>
            <w:r w:rsidRPr="00FF6B9A">
              <w:rPr>
                <w:rFonts w:eastAsiaTheme="minorEastAsia"/>
                <w:color w:themeColor="text1" w:val="000000"/>
                <w:kern w:val="0"/>
              </w:rPr>
              <w:t>加权平均基金份额本期利润</w:t>
            </w:r>
          </w:p>
        </w:tc>
        <w:tc>
          <w:tcPr>
            <w:tcW w:type="dxa" w:w="4962"/>
            <w:hMerge w:val="restart"/>
            <w:vAlign w:val="center"/>
          </w:tcPr>
          <w:p w14:paraId="43651B7D"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0.0077</w:t>
            </w:r>
          </w:p>
        </w:tc>
        <w:tc>
          <w:tcPr>
            <w:tcW w:type="dxa" w:w="2410"/>
            <w:hMerge/>
            <w:vAlign w:val="center"/>
          </w:tcPr>
          <w:p w14:paraId="18DC7556"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w:t>
            </w:r>
          </w:p>
        </w:tc>
      </w:tr>
      <w:tr w14:paraId="19975AED" w14:textId="77777777" w:rsidR="00D06738" w:rsidRPr="00FF6B9A">
        <w:tc>
          <w:tcPr>
            <w:tcW w:type="dxa" w:w="3402"/>
            <w:vAlign w:val="center"/>
          </w:tcPr>
          <w:p w14:paraId="5358D232"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4.</w:t>
            </w:r>
            <w:r w:rsidRPr="00FF6B9A">
              <w:rPr>
                <w:rFonts w:eastAsiaTheme="minorEastAsia"/>
                <w:color w:themeColor="text1" w:val="000000"/>
                <w:kern w:val="0"/>
              </w:rPr>
              <w:t>期末基金资产净值</w:t>
            </w:r>
          </w:p>
        </w:tc>
        <w:tc>
          <w:tcPr>
            <w:tcW w:type="dxa" w:w="4962"/>
            <w:hMerge w:val="restart"/>
            <w:vAlign w:val="center"/>
          </w:tcPr>
          <w:p w14:paraId="11849F16"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20,458,878.54</w:t>
            </w:r>
          </w:p>
        </w:tc>
        <w:tc>
          <w:tcPr>
            <w:tcW w:type="dxa" w:w="2410"/>
            <w:hMerge/>
            <w:vAlign w:val="center"/>
          </w:tcPr>
          <w:p w14:paraId="27D7B715"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w:t>
            </w:r>
          </w:p>
        </w:tc>
      </w:tr>
      <w:tr w14:paraId="5BC36451" w14:textId="77777777" w:rsidR="00D06738" w:rsidRPr="00FF6B9A">
        <w:trPr>
          <w:trHeight w:val="158"/>
        </w:trPr>
        <w:tc>
          <w:tcPr>
            <w:tcW w:type="dxa" w:w="3402"/>
            <w:vAlign w:val="center"/>
          </w:tcPr>
          <w:p w14:paraId="5E87F5B6" w14:textId="77777777" w:rsidR="00D06738" w:rsidRDefault="00454D20" w:rsidRPr="00FF6B9A">
            <w:pPr>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5.</w:t>
            </w:r>
            <w:r w:rsidRPr="00FF6B9A">
              <w:rPr>
                <w:rFonts w:eastAsiaTheme="minorEastAsia"/>
                <w:color w:themeColor="text1" w:val="000000"/>
                <w:kern w:val="0"/>
              </w:rPr>
              <w:t>期末基金份额净值</w:t>
            </w:r>
          </w:p>
        </w:tc>
        <w:tc>
          <w:tcPr>
            <w:tcW w:type="dxa" w:w="4962"/>
            <w:hMerge w:val="restart"/>
            <w:vAlign w:val="center"/>
          </w:tcPr>
          <w:p w14:paraId="20EA2920"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1.5606</w:t>
            </w:r>
          </w:p>
        </w:tc>
        <w:tc>
          <w:tcPr>
            <w:tcW w:type="dxa" w:w="2410"/>
            <w:hMerge/>
            <w:vAlign w:val="center"/>
          </w:tcPr>
          <w:p w14:paraId="52387A94" w14:textId="77777777" w:rsidR="00D06738" w:rsidRDefault="00454D20" w:rsidRPr="00FF6B9A">
            <w:pPr>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w:t>
            </w:r>
          </w:p>
        </w:tc>
      </w:tr>
    </w:tbl>
    <w:p>
      <w:pPr>
        <w:autoSpaceDE w:val="0"/>
        <w:autoSpaceDN w:val="0"/>
        <w:adjustRightInd w:val="0"/>
        <w:spacing w:line="360" w:lineRule="auto"/>
        <w:jc w:val="left"/>
        <w:rPr>
          <w:rFonts w:eastAsiaTheme="minorEastAsia"/>
          <w:color w:themeColor="text1" w:val="000000"/>
        </w:rPr>
      </w:pPr>
      <w:r>
        <w:rPr>
          <w:rFonts w:eastAsia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3560E0A0"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3.2 </w:t>
      </w:r>
      <w:r w:rsidRPr="00FF6B9A">
        <w:rPr>
          <w:rFonts w:eastAsiaTheme="minorEastAsia"/>
          <w:b/>
          <w:bCs/>
          <w:color w:themeColor="text1" w:val="000000"/>
          <w:kern w:val="0"/>
          <w:sz w:val="24"/>
          <w:szCs w:val="24"/>
        </w:rPr>
        <w:t>基金净值表现</w:t>
      </w:r>
    </w:p>
    <w:p w14:paraId="60962101"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3.2.1 </w:t>
      </w:r>
      <w:r w:rsidRPr="00FF6B9A">
        <w:rPr>
          <w:rFonts w:eastAsiaTheme="minorEastAsia"/>
          <w:b/>
          <w:bCs/>
          <w:color w:themeColor="text1" w:val="000000"/>
          <w:kern w:val="0"/>
          <w:sz w:val="24"/>
          <w:szCs w:val="24"/>
        </w:rPr>
        <w:t>本报告</w:t>
      </w:r>
      <w:proofErr w:type="gramStart"/>
      <w:r w:rsidRPr="00FF6B9A">
        <w:rPr>
          <w:rFonts w:eastAsiaTheme="minorEastAsia"/>
          <w:b/>
          <w:bCs/>
          <w:color w:themeColor="text1" w:val="000000"/>
          <w:kern w:val="0"/>
          <w:sz w:val="24"/>
          <w:szCs w:val="24"/>
        </w:rPr>
        <w:t>期基金</w:t>
      </w:r>
      <w:proofErr w:type="gramEnd"/>
      <w:r w:rsidRPr="00FF6B9A">
        <w:rPr>
          <w:rFonts w:eastAsiaTheme="minor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rsidRPr="00FF6B9A">
        <w:tc>
          <w:tcPr>
            <w:tcW w:type="dxa" w:w="1395"/>
            <w:vAlign w:val="center"/>
          </w:tcPr>
          <w:p w14:paraId="7A7D1D1E"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阶段</w:t>
            </w: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
            </w:r>
          </w:p>
        </w:tc>
        <w:tc>
          <w:tcPr>
            <w:tcW w:type="dxa" w:w="1092"/>
            <w:vAlign w:val="center"/>
          </w:tcPr>
          <w:p w14:paraId="2CD30E79"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净值增长率</w:t>
            </w:r>
            <w:r w:rsidRPr="00FF6B9A">
              <w:rPr>
                <w:rFonts w:ascii="宋体" w:cs="宋体" w:hAnsi="宋体" w:hint="eastAsia"/>
                <w:color w:themeColor="text1" w:val="000000"/>
                <w:kern w:val="0"/>
              </w:rPr>
              <w:t>①</w:t>
            </w:r>
          </w:p>
        </w:tc>
        <w:tc>
          <w:tcPr>
            <w:tcW w:type="dxa" w:w="1161"/>
            <w:vAlign w:val="center"/>
          </w:tcPr>
          <w:p w14:paraId="37DEF420"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净值增长率标准差</w:t>
            </w:r>
            <w:r w:rsidRPr="00FF6B9A">
              <w:rPr>
                <w:rFonts w:ascii="宋体" w:cs="宋体" w:hAnsi="宋体" w:hint="eastAsia"/>
                <w:color w:themeColor="text1" w:val="000000"/>
                <w:kern w:val="0"/>
              </w:rPr>
              <w:t>②</w:t>
            </w:r>
          </w:p>
        </w:tc>
        <w:tc>
          <w:tcPr>
            <w:tcW w:type="dxa" w:w="1181"/>
            <w:vAlign w:val="center"/>
          </w:tcPr>
          <w:p w14:paraId="7F4843FE"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业绩比较基准收益率</w:t>
            </w:r>
            <w:r w:rsidRPr="00FF6B9A">
              <w:rPr>
                <w:rFonts w:ascii="宋体" w:cs="宋体" w:hAnsi="宋体" w:hint="eastAsia"/>
                <w:color w:themeColor="text1" w:val="000000"/>
                <w:kern w:val="0"/>
              </w:rPr>
              <w:t>③</w:t>
            </w:r>
          </w:p>
        </w:tc>
        <w:tc>
          <w:tcPr>
            <w:tcW w:type="dxa" w:w="1188"/>
            <w:vAlign w:val="center"/>
          </w:tcPr>
          <w:p w14:paraId="12655559"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业绩比较基准收益率标准差</w:t>
            </w:r>
            <w:r w:rsidRPr="00FF6B9A">
              <w:rPr>
                <w:rFonts w:ascii="宋体" w:cs="宋体" w:hAnsi="宋体" w:hint="eastAsia"/>
                <w:color w:themeColor="text1" w:val="000000"/>
                <w:kern w:val="0"/>
              </w:rPr>
              <w:t>④</w:t>
            </w:r>
          </w:p>
        </w:tc>
        <w:tc>
          <w:tcPr>
            <w:tcW w:type="dxa" w:w="1199"/>
            <w:vAlign w:val="center"/>
          </w:tcPr>
          <w:p w14:paraId="5487E45D"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ascii="宋体" w:cs="宋体" w:hAnsi="宋体" w:hint="eastAsia"/>
                <w:color w:themeColor="text1" w:val="000000"/>
                <w:kern w:val="0"/>
              </w:rPr>
              <w:t>①</w:t>
            </w:r>
            <w:r w:rsidRPr="00FF6B9A">
              <w:rPr>
                <w:rFonts w:eastAsiaTheme="minorEastAsia"/>
                <w:color w:themeColor="text1" w:val="000000"/>
                <w:kern w:val="0"/>
              </w:rPr>
              <w:t>-</w:t>
            </w:r>
            <w:r w:rsidRPr="00FF6B9A">
              <w:rPr>
                <w:rFonts w:ascii="宋体" w:cs="宋体" w:hAnsi="宋体" w:hint="eastAsia"/>
                <w:color w:themeColor="text1" w:val="000000"/>
                <w:kern w:val="0"/>
              </w:rPr>
              <w:t>③</w:t>
            </w:r>
          </w:p>
        </w:tc>
        <w:tc>
          <w:tcPr>
            <w:tcW w:type="dxa" w:w="1204"/>
            <w:vAlign w:val="center"/>
          </w:tcPr>
          <w:p w14:paraId="7C50A3FD"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ascii="宋体" w:cs="宋体" w:hAnsi="宋体" w:hint="eastAsia"/>
                <w:color w:themeColor="text1" w:val="000000"/>
                <w:kern w:val="0"/>
              </w:rPr>
              <w:t>②</w:t>
            </w:r>
            <w:r w:rsidRPr="00FF6B9A">
              <w:rPr>
                <w:rFonts w:eastAsiaTheme="minorEastAsia"/>
                <w:color w:themeColor="text1" w:val="000000"/>
                <w:kern w:val="0"/>
              </w:rPr>
              <w:t>-</w:t>
            </w:r>
            <w:r w:rsidRPr="00FF6B9A">
              <w:rPr>
                <w:rFonts w:ascii="宋体" w:cs="宋体" w:hAnsi="宋体" w:hint="eastAsia"/>
                <w:color w:themeColor="text1" w:val="000000"/>
                <w:kern w:val="0"/>
              </w:rPr>
              <w:t>④</w:t>
            </w:r>
          </w:p>
        </w:tc>
      </w:tr>
      <w:tr>
        <w:tc>
          <w:tcPr>
            <w:vAlign w:val="center"/>
          </w:tcPr>
          <w:p>
            <w:pPr>
              <w:jc w:val="left"/>
            </w:pPr>
            <w:r>
              <w:rPr>
                <w:rFonts w:eastAsiaTheme="minorEastAsia"/>
                <w:color w:themeColor="text1" w:val="000000"/>
                <w:kern w:val="0"/>
              </w:rPr>
              <w:t>过去三个月</w:t>
            </w:r>
          </w:p>
        </w:tc>
        <w:tc>
          <w:tcPr>
            <w:vAlign w:val="center"/>
          </w:tcPr>
          <w:p>
            <w:pPr>
              <w:jc w:val="center"/>
            </w:pPr>
            <w:r>
              <w:rPr>
                <w:rFonts w:eastAsiaTheme="minorEastAsia"/>
                <w:color w:themeColor="text1" w:val="000000"/>
                <w:kern w:val="0"/>
              </w:rPr>
              <w:t>-0.06%</w:t>
            </w:r>
          </w:p>
        </w:tc>
        <w:tc>
          <w:tcPr>
            <w:vAlign w:val="center"/>
          </w:tcPr>
          <w:p>
            <w:pPr>
              <w:jc w:val="center"/>
            </w:pPr>
            <w:r>
              <w:rPr>
                <w:rFonts w:eastAsiaTheme="minorEastAsia"/>
                <w:color w:themeColor="text1" w:val="000000"/>
                <w:kern w:val="0"/>
              </w:rPr>
              <w:t>1.84%</w:t>
            </w:r>
          </w:p>
        </w:tc>
        <w:tc>
          <w:tcPr>
            <w:vAlign w:val="center"/>
          </w:tcPr>
          <w:p>
            <w:pPr>
              <w:jc w:val="center"/>
            </w:pPr>
            <w:r>
              <w:rPr>
                <w:rFonts w:eastAsiaTheme="minorEastAsia"/>
                <w:color w:themeColor="text1" w:val="000000"/>
                <w:kern w:val="0"/>
              </w:rPr>
              <w:t>-2.11%</w:t>
            </w:r>
          </w:p>
        </w:tc>
        <w:tc>
          <w:tcPr>
            <w:vAlign w:val="center"/>
          </w:tcPr>
          <w:p>
            <w:pPr>
              <w:jc w:val="center"/>
            </w:pPr>
            <w:r>
              <w:rPr>
                <w:rFonts w:eastAsiaTheme="minorEastAsia"/>
                <w:color w:themeColor="text1" w:val="000000"/>
                <w:kern w:val="0"/>
              </w:rPr>
              <w:t>0.66%</w:t>
            </w:r>
          </w:p>
        </w:tc>
        <w:tc>
          <w:tcPr>
            <w:vAlign w:val="center"/>
          </w:tcPr>
          <w:p>
            <w:pPr>
              <w:jc w:val="center"/>
            </w:pPr>
            <w:r>
              <w:rPr>
                <w:rFonts w:eastAsiaTheme="minorEastAsia"/>
                <w:color w:themeColor="text1" w:val="000000"/>
                <w:kern w:val="0"/>
              </w:rPr>
              <w:t>2.05%</w:t>
            </w:r>
          </w:p>
        </w:tc>
        <w:tc>
          <w:tcPr>
            <w:vAlign w:val="center"/>
          </w:tcPr>
          <w:p>
            <w:pPr>
              <w:jc w:val="center"/>
            </w:pPr>
            <w:r>
              <w:rPr>
                <w:rFonts w:eastAsiaTheme="minorEastAsia"/>
                <w:color w:themeColor="text1" w:val="000000"/>
                <w:kern w:val="0"/>
              </w:rPr>
              <w:t>1.18%</w:t>
            </w:r>
          </w:p>
        </w:tc>
      </w:tr>
      <w:tr>
        <w:tc>
          <w:tcPr>
            <w:vAlign w:val="center"/>
          </w:tcPr>
          <w:p>
            <w:pPr>
              <w:jc w:val="left"/>
            </w:pPr>
            <w:r>
              <w:rPr>
                <w:rFonts w:eastAsiaTheme="minorEastAsia"/>
                <w:color w:themeColor="text1" w:val="000000"/>
                <w:kern w:val="0"/>
              </w:rPr>
              <w:t>过去六个月</w:t>
            </w:r>
          </w:p>
        </w:tc>
        <w:tc>
          <w:tcPr>
            <w:vAlign w:val="center"/>
          </w:tcPr>
          <w:p>
            <w:pPr>
              <w:jc w:val="center"/>
            </w:pPr>
            <w:r>
              <w:rPr>
                <w:rFonts w:eastAsiaTheme="minorEastAsia"/>
                <w:color w:themeColor="text1" w:val="000000"/>
                <w:kern w:val="0"/>
              </w:rPr>
              <w:t>7.73%</w:t>
            </w:r>
          </w:p>
        </w:tc>
        <w:tc>
          <w:tcPr>
            <w:vAlign w:val="center"/>
          </w:tcPr>
          <w:p>
            <w:pPr>
              <w:jc w:val="center"/>
            </w:pPr>
            <w:r>
              <w:rPr>
                <w:rFonts w:eastAsiaTheme="minorEastAsia"/>
                <w:color w:themeColor="text1" w:val="000000"/>
                <w:kern w:val="0"/>
              </w:rPr>
              <w:t>1.44%</w:t>
            </w:r>
          </w:p>
        </w:tc>
        <w:tc>
          <w:tcPr>
            <w:vAlign w:val="center"/>
          </w:tcPr>
          <w:p>
            <w:pPr>
              <w:jc w:val="center"/>
            </w:pPr>
            <w:r>
              <w:rPr>
                <w:rFonts w:eastAsiaTheme="minorEastAsia"/>
                <w:color w:themeColor="text1" w:val="000000"/>
                <w:kern w:val="0"/>
              </w:rPr>
              <w:t>0.76%</w:t>
            </w:r>
          </w:p>
        </w:tc>
        <w:tc>
          <w:tcPr>
            <w:vAlign w:val="center"/>
          </w:tcPr>
          <w:p>
            <w:pPr>
              <w:jc w:val="center"/>
            </w:pPr>
            <w:r>
              <w:rPr>
                <w:rFonts w:eastAsiaTheme="minorEastAsia"/>
                <w:color w:themeColor="text1" w:val="000000"/>
                <w:kern w:val="0"/>
              </w:rPr>
              <w:t>0.60%</w:t>
            </w:r>
          </w:p>
        </w:tc>
        <w:tc>
          <w:tcPr>
            <w:vAlign w:val="center"/>
          </w:tcPr>
          <w:p>
            <w:pPr>
              <w:jc w:val="center"/>
            </w:pPr>
            <w:r>
              <w:rPr>
                <w:rFonts w:eastAsiaTheme="minorEastAsia"/>
                <w:color w:themeColor="text1" w:val="000000"/>
                <w:kern w:val="0"/>
              </w:rPr>
              <w:t>6.97%</w:t>
            </w:r>
          </w:p>
        </w:tc>
        <w:tc>
          <w:tcPr>
            <w:vAlign w:val="center"/>
          </w:tcPr>
          <w:p>
            <w:pPr>
              <w:jc w:val="center"/>
            </w:pPr>
            <w:r>
              <w:rPr>
                <w:rFonts w:eastAsiaTheme="minorEastAsia"/>
                <w:color w:themeColor="text1" w:val="000000"/>
                <w:kern w:val="0"/>
              </w:rPr>
              <w:t>0.84%</w:t>
            </w:r>
          </w:p>
        </w:tc>
      </w:tr>
      <w:tr>
        <w:tc>
          <w:tcPr>
            <w:vAlign w:val="center"/>
          </w:tcPr>
          <w:p>
            <w:pPr>
              <w:jc w:val="left"/>
            </w:pPr>
            <w:r>
              <w:rPr>
                <w:rFonts w:eastAsiaTheme="minorEastAsia"/>
                <w:color w:themeColor="text1" w:val="000000"/>
                <w:kern w:val="0"/>
              </w:rPr>
              <w:t>过去一年</w:t>
            </w:r>
          </w:p>
        </w:tc>
        <w:tc>
          <w:tcPr>
            <w:vAlign w:val="center"/>
          </w:tcPr>
          <w:p>
            <w:pPr>
              <w:jc w:val="center"/>
            </w:pPr>
            <w:r>
              <w:rPr>
                <w:rFonts w:eastAsiaTheme="minorEastAsia"/>
                <w:color w:themeColor="text1" w:val="000000"/>
                <w:kern w:val="0"/>
              </w:rPr>
              <w:t>17.87%</w:t>
            </w:r>
          </w:p>
        </w:tc>
        <w:tc>
          <w:tcPr>
            <w:vAlign w:val="center"/>
          </w:tcPr>
          <w:p>
            <w:pPr>
              <w:jc w:val="center"/>
            </w:pPr>
            <w:r>
              <w:rPr>
                <w:rFonts w:eastAsiaTheme="minorEastAsia"/>
                <w:color w:themeColor="text1" w:val="000000"/>
                <w:kern w:val="0"/>
              </w:rPr>
              <w:t>1.40%</w:t>
            </w:r>
          </w:p>
        </w:tc>
        <w:tc>
          <w:tcPr>
            <w:vAlign w:val="center"/>
          </w:tcPr>
          <w:p>
            <w:pPr>
              <w:jc w:val="center"/>
            </w:pPr>
            <w:r>
              <w:rPr>
                <w:rFonts w:eastAsiaTheme="minorEastAsia"/>
                <w:color w:themeColor="text1" w:val="000000"/>
                <w:kern w:val="0"/>
              </w:rPr>
              <w:t>5.81%</w:t>
            </w:r>
          </w:p>
        </w:tc>
        <w:tc>
          <w:tcPr>
            <w:vAlign w:val="center"/>
          </w:tcPr>
          <w:p>
            <w:pPr>
              <w:jc w:val="center"/>
            </w:pPr>
            <w:r>
              <w:rPr>
                <w:rFonts w:eastAsiaTheme="minorEastAsia"/>
                <w:color w:themeColor="text1" w:val="000000"/>
                <w:kern w:val="0"/>
              </w:rPr>
              <w:t>0.68%</w:t>
            </w:r>
          </w:p>
        </w:tc>
        <w:tc>
          <w:tcPr>
            <w:vAlign w:val="center"/>
          </w:tcPr>
          <w:p>
            <w:pPr>
              <w:jc w:val="center"/>
            </w:pPr>
            <w:r>
              <w:rPr>
                <w:rFonts w:eastAsiaTheme="minorEastAsia"/>
                <w:color w:themeColor="text1" w:val="000000"/>
                <w:kern w:val="0"/>
              </w:rPr>
              <w:t>12.06%</w:t>
            </w:r>
          </w:p>
        </w:tc>
        <w:tc>
          <w:tcPr>
            <w:vAlign w:val="center"/>
          </w:tcPr>
          <w:p>
            <w:pPr>
              <w:jc w:val="center"/>
            </w:pPr>
            <w:r>
              <w:rPr>
                <w:rFonts w:eastAsiaTheme="minorEastAsia"/>
                <w:color w:themeColor="text1" w:val="000000"/>
                <w:kern w:val="0"/>
              </w:rPr>
              <w:t>0.72%</w:t>
            </w:r>
          </w:p>
        </w:tc>
      </w:tr>
      <w:tr>
        <w:tc>
          <w:tcPr>
            <w:vAlign w:val="center"/>
          </w:tcPr>
          <w:p>
            <w:pPr>
              <w:jc w:val="left"/>
            </w:pPr>
            <w:r>
              <w:rPr>
                <w:rFonts w:eastAsiaTheme="minorEastAsia"/>
                <w:color w:themeColor="text1" w:val="000000"/>
                <w:kern w:val="0"/>
              </w:rPr>
              <w:t>过去三年</w:t>
            </w:r>
          </w:p>
        </w:tc>
        <w:tc>
          <w:tcPr>
            <w:vAlign w:val="center"/>
          </w:tcPr>
          <w:p>
            <w:pPr>
              <w:jc w:val="center"/>
            </w:pPr>
            <w:r>
              <w:rPr>
                <w:rFonts w:eastAsiaTheme="minorEastAsia"/>
                <w:color w:themeColor="text1" w:val="000000"/>
                <w:kern w:val="0"/>
              </w:rPr>
              <w:t>98.80%</w:t>
            </w:r>
          </w:p>
        </w:tc>
        <w:tc>
          <w:tcPr>
            <w:vAlign w:val="center"/>
          </w:tcPr>
          <w:p>
            <w:pPr>
              <w:jc w:val="center"/>
            </w:pPr>
            <w:r>
              <w:rPr>
                <w:rFonts w:eastAsiaTheme="minorEastAsia"/>
                <w:color w:themeColor="text1" w:val="000000"/>
                <w:kern w:val="0"/>
              </w:rPr>
              <w:t>1.47%</w:t>
            </w:r>
          </w:p>
        </w:tc>
        <w:tc>
          <w:tcPr>
            <w:vAlign w:val="center"/>
          </w:tcPr>
          <w:p>
            <w:pPr>
              <w:jc w:val="center"/>
            </w:pPr>
            <w:r>
              <w:rPr>
                <w:rFonts w:eastAsiaTheme="minorEastAsia"/>
                <w:color w:themeColor="text1" w:val="000000"/>
                <w:kern w:val="0"/>
              </w:rPr>
              <w:t>27.96%</w:t>
            </w:r>
          </w:p>
        </w:tc>
        <w:tc>
          <w:tcPr>
            <w:vAlign w:val="center"/>
          </w:tcPr>
          <w:p>
            <w:pPr>
              <w:jc w:val="center"/>
            </w:pPr>
            <w:r>
              <w:rPr>
                <w:rFonts w:eastAsiaTheme="minorEastAsia"/>
                <w:color w:themeColor="text1" w:val="000000"/>
                <w:kern w:val="0"/>
              </w:rPr>
              <w:t>0.80%</w:t>
            </w:r>
          </w:p>
        </w:tc>
        <w:tc>
          <w:tcPr>
            <w:vAlign w:val="center"/>
          </w:tcPr>
          <w:p>
            <w:pPr>
              <w:jc w:val="center"/>
            </w:pPr>
            <w:r>
              <w:rPr>
                <w:rFonts w:eastAsiaTheme="minorEastAsia"/>
                <w:color w:themeColor="text1" w:val="000000"/>
                <w:kern w:val="0"/>
              </w:rPr>
              <w:t>70.84%</w:t>
            </w:r>
          </w:p>
        </w:tc>
        <w:tc>
          <w:tcPr>
            <w:vAlign w:val="center"/>
          </w:tcPr>
          <w:p>
            <w:pPr>
              <w:jc w:val="center"/>
            </w:pPr>
            <w:r>
              <w:rPr>
                <w:rFonts w:eastAsiaTheme="minorEastAsia"/>
                <w:color w:themeColor="text1" w:val="000000"/>
                <w:kern w:val="0"/>
              </w:rPr>
              <w:t>0.67%</w:t>
            </w:r>
          </w:p>
        </w:tc>
      </w:tr>
      <w:tr>
        <w:tc>
          <w:tcPr>
            <w:vAlign w:val="center"/>
          </w:tcPr>
          <w:p>
            <w:pPr>
              <w:jc w:val="left"/>
            </w:pPr>
            <w:r>
              <w:rPr>
                <w:rFonts w:eastAsiaTheme="minorEastAsia"/>
                <w:color w:themeColor="text1" w:val="000000"/>
                <w:kern w:val="0"/>
              </w:rPr>
              <w:t>过去五年</w:t>
            </w:r>
          </w:p>
        </w:tc>
        <w:tc>
          <w:tcPr>
            <w:vAlign w:val="center"/>
          </w:tcPr>
          <w:p>
            <w:pPr>
              <w:jc w:val="center"/>
            </w:pPr>
            <w:r>
              <w:rPr>
                <w:rFonts w:eastAsiaTheme="minorEastAsia"/>
                <w:color w:themeColor="text1" w:val="000000"/>
                <w:kern w:val="0"/>
              </w:rPr>
              <w:t>55.13%</w:t>
            </w:r>
          </w:p>
        </w:tc>
        <w:tc>
          <w:tcPr>
            <w:vAlign w:val="center"/>
          </w:tcPr>
          <w:p>
            <w:pPr>
              <w:jc w:val="center"/>
            </w:pPr>
            <w:r>
              <w:rPr>
                <w:rFonts w:eastAsiaTheme="minorEastAsia"/>
                <w:color w:themeColor="text1" w:val="000000"/>
                <w:kern w:val="0"/>
              </w:rPr>
              <w:t>1.33%</w:t>
            </w:r>
          </w:p>
        </w:tc>
        <w:tc>
          <w:tcPr>
            <w:vAlign w:val="center"/>
          </w:tcPr>
          <w:p>
            <w:pPr>
              <w:jc w:val="center"/>
            </w:pPr>
            <w:r>
              <w:rPr>
                <w:rFonts w:eastAsiaTheme="minorEastAsia"/>
                <w:color w:themeColor="text1" w:val="000000"/>
                <w:kern w:val="0"/>
              </w:rPr>
              <w:t>23.43%</w:t>
            </w:r>
          </w:p>
        </w:tc>
        <w:tc>
          <w:tcPr>
            <w:vAlign w:val="center"/>
          </w:tcPr>
          <w:p>
            <w:pPr>
              <w:jc w:val="center"/>
            </w:pPr>
            <w:r>
              <w:rPr>
                <w:rFonts w:eastAsiaTheme="minorEastAsia"/>
                <w:color w:themeColor="text1" w:val="000000"/>
                <w:kern w:val="0"/>
              </w:rPr>
              <w:t>0.71%</w:t>
            </w:r>
          </w:p>
        </w:tc>
        <w:tc>
          <w:tcPr>
            <w:vAlign w:val="center"/>
          </w:tcPr>
          <w:p>
            <w:pPr>
              <w:jc w:val="center"/>
            </w:pPr>
            <w:r>
              <w:rPr>
                <w:rFonts w:eastAsiaTheme="minorEastAsia"/>
                <w:color w:themeColor="text1" w:val="000000"/>
                <w:kern w:val="0"/>
              </w:rPr>
              <w:t>31.70%</w:t>
            </w:r>
          </w:p>
        </w:tc>
        <w:tc>
          <w:tcPr>
            <w:vAlign w:val="center"/>
          </w:tcPr>
          <w:p>
            <w:pPr>
              <w:jc w:val="center"/>
            </w:pPr>
            <w:r>
              <w:rPr>
                <w:rFonts w:eastAsiaTheme="minorEastAsia"/>
                <w:color w:themeColor="text1" w:val="000000"/>
                <w:kern w:val="0"/>
              </w:rPr>
              <w:t>0.62%</w:t>
            </w:r>
          </w:p>
        </w:tc>
      </w:tr>
      <w:tr>
        <w:tc>
          <w:tcPr>
            <w:vAlign w:val="center"/>
          </w:tcPr>
          <w:p>
            <w:pPr>
              <w:jc w:val="left"/>
            </w:pPr>
            <w:r>
              <w:rPr>
                <w:rFonts w:eastAsiaTheme="minorEastAsia"/>
                <w:color w:themeColor="text1" w:val="000000"/>
                <w:kern w:val="0"/>
              </w:rPr>
              <w:t>自基金合同生效起至今</w:t>
            </w:r>
          </w:p>
        </w:tc>
        <w:tc>
          <w:tcPr>
            <w:vAlign w:val="center"/>
          </w:tcPr>
          <w:p>
            <w:pPr>
              <w:jc w:val="center"/>
            </w:pPr>
            <w:r>
              <w:rPr>
                <w:rFonts w:eastAsiaTheme="minorEastAsia"/>
                <w:color w:themeColor="text1" w:val="000000"/>
                <w:kern w:val="0"/>
              </w:rPr>
              <w:t>56.06%</w:t>
            </w:r>
          </w:p>
        </w:tc>
        <w:tc>
          <w:tcPr>
            <w:vAlign w:val="center"/>
          </w:tcPr>
          <w:p>
            <w:pPr>
              <w:jc w:val="center"/>
            </w:pPr>
            <w:r>
              <w:rPr>
                <w:rFonts w:eastAsiaTheme="minorEastAsia"/>
                <w:color w:themeColor="text1" w:val="000000"/>
                <w:kern w:val="0"/>
              </w:rPr>
              <w:t>1.31%</w:t>
            </w:r>
          </w:p>
        </w:tc>
        <w:tc>
          <w:tcPr>
            <w:vAlign w:val="center"/>
          </w:tcPr>
          <w:p>
            <w:pPr>
              <w:jc w:val="center"/>
            </w:pPr>
            <w:r>
              <w:rPr>
                <w:rFonts w:eastAsiaTheme="minorEastAsia"/>
                <w:color w:themeColor="text1" w:val="000000"/>
                <w:kern w:val="0"/>
              </w:rPr>
              <w:t>28.19%</w:t>
            </w:r>
          </w:p>
        </w:tc>
        <w:tc>
          <w:tcPr>
            <w:vAlign w:val="center"/>
          </w:tcPr>
          <w:p>
            <w:pPr>
              <w:jc w:val="center"/>
            </w:pPr>
            <w:r>
              <w:rPr>
                <w:rFonts w:eastAsiaTheme="minorEastAsia"/>
                <w:color w:themeColor="text1" w:val="000000"/>
                <w:kern w:val="0"/>
              </w:rPr>
              <w:t>0.70%</w:t>
            </w:r>
          </w:p>
        </w:tc>
        <w:tc>
          <w:tcPr>
            <w:vAlign w:val="center"/>
          </w:tcPr>
          <w:p>
            <w:pPr>
              <w:jc w:val="center"/>
            </w:pPr>
            <w:r>
              <w:rPr>
                <w:rFonts w:eastAsiaTheme="minorEastAsia"/>
                <w:color w:themeColor="text1" w:val="000000"/>
                <w:kern w:val="0"/>
              </w:rPr>
              <w:t>27.87%</w:t>
            </w:r>
          </w:p>
        </w:tc>
        <w:tc>
          <w:tcPr>
            <w:vAlign w:val="center"/>
          </w:tcPr>
          <w:p>
            <w:pPr>
              <w:jc w:val="center"/>
            </w:pPr>
            <w:r>
              <w:rPr>
                <w:rFonts w:eastAsiaTheme="minorEastAsia"/>
                <w:color w:themeColor="text1" w:val="000000"/>
                <w:kern w:val="0"/>
              </w:rPr>
              <w:t>0.61%</w:t>
            </w:r>
          </w:p>
        </w:tc>
      </w:tr>
    </w:tbl>
    <w:p w14:paraId="11CC28FB"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604CD2E3"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3.2.2</w:t>
      </w:r>
      <w:r w:rsidRPr="00FF6B9A">
        <w:rPr>
          <w:rStyle w:val="afe"/>
          <w:color w:themeColor="text1" w:val="000000"/>
          <w:sz w:val="24"/>
          <w:szCs w:val="24"/>
          <w:shd w:color="auto" w:fill="FFFFFF" w:val="clear"/>
        </w:rPr>
        <w:t/>
      </w:r>
      <w:proofErr w:type="spellStart"/>
      <w:r w:rsidRPr="00FF6B9A">
        <w:rPr>
          <w:rStyle w:val="afe"/>
          <w:color w:themeColor="text1" w:val="000000"/>
          <w:sz w:val="24"/>
          <w:szCs w:val="24"/>
          <w:shd w:color="auto" w:fill="FFFFFF" w:val="clear"/>
        </w:rPr>
        <w:t/>
      </w:r>
      <w:proofErr w:type="spellEnd"/>
      <w:r w:rsidRPr="00FF6B9A">
        <w:rPr>
          <w:rStyle w:val="afe"/>
          <w:color w:themeColor="text1" w:val="000000"/>
          <w:sz w:val="24"/>
          <w:szCs w:val="24"/>
          <w:shd w:color="auto" w:fill="FFFFFF" w:val="clear"/>
        </w:rPr>
        <w:t>自基金合同生效以来</w:t>
      </w:r>
      <w:r w:rsidRPr="00FF6B9A">
        <w:rPr>
          <w:rFonts w:eastAsiaTheme="minorEastAsia"/>
          <w:b/>
          <w:bCs/>
          <w:color w:themeColor="text1" w:val="000000"/>
          <w:kern w:val="0"/>
          <w:sz w:val="24"/>
          <w:szCs w:val="24"/>
        </w:rPr>
        <w:t>基金累计净值增长率变动及其与同期业绩比较基准收益率变动的比较</w:t>
      </w:r>
    </w:p>
    <w:p w14:paraId="7E434705" w14:textId="77777777" w:rsidR="00D06738" w:rsidRDefault="00454D20" w:rsidRPr="00FF6B9A">
      <w:pPr>
        <w:spacing w:line="360" w:lineRule="auto"/>
        <w:jc w:val="center"/>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上投摩根策略精选灵活配置混合型证券投资基金</w:t>
      </w:r>
    </w:p>
    <w:p w14:paraId="760894FB" w14:textId="77777777" w:rsidR="00D06738" w:rsidRDefault="00454D20" w:rsidRPr="00FF6B9A">
      <w:pPr>
        <w:pStyle w:val="ae"/>
        <w:snapToGrid w:val="0"/>
        <w:spacing w:line="360" w:lineRule="auto"/>
        <w:jc w:val="center"/>
        <w:rPr>
          <w:rFonts w:ascii="Times New Roman" w:cs="Times New Roman" w:eastAsiaTheme="minorEastAsia" w:hAnsi="Times New Roman"/>
          <w:color w:themeColor="text1" w:val="000000"/>
        </w:rPr>
      </w:pPr>
      <w:r w:rsidRPr="00FF6B9A">
        <w:rPr>
          <w:rFonts w:ascii="Times New Roman" w:cs="Times New Roman" w:eastAsiaTheme="minorEastAsia" w:hAnsi="Times New Roman"/>
          <w:color w:themeColor="text1" w:val="000000"/>
        </w:rPr>
        <w:t>累计净值增长率与业绩比较基准收益率历史走势对比图</w:t>
      </w:r>
    </w:p>
    <w:p w14:paraId="42485F4A" w14:textId="77777777" w:rsidR="00D06738" w:rsidRDefault="00454D20" w:rsidRPr="00FF6B9A">
      <w:pPr>
        <w:pStyle w:val="ae"/>
        <w:snapToGrid w:val="0"/>
        <w:spacing w:line="360" w:lineRule="auto"/>
        <w:ind w:firstLine="480"/>
        <w:jc w:val="center"/>
        <w:rPr>
          <w:rFonts w:ascii="Times New Roman" w:cs="Times New Roman" w:eastAsiaTheme="minorEastAsia" w:hAnsi="Times New Roman"/>
          <w:color w:themeColor="text1" w:val="000000"/>
          <w:sz w:val="24"/>
          <w:szCs w:val="24"/>
        </w:rPr>
      </w:pPr>
      <w:r w:rsidRPr="00FF6B9A">
        <w:rPr>
          <w:rFonts w:ascii="Times New Roman" w:cs="Times New Roman" w:eastAsiaTheme="minorEastAsia" w:hAnsi="Times New Roman"/>
          <w:color w:themeColor="text1" w:val="000000"/>
        </w:rPr>
        <w:t>(</w:t>
      </w:r>
      <w:proofErr w:type="spellStart"/>
      <w:r w:rsidRPr="00FF6B9A">
        <w:rPr>
          <w:rFonts w:ascii="Times New Roman" w:cs="Times New Roman" w:eastAsiaTheme="minorEastAsia" w:hAnsi="Times New Roman"/>
          <w:color w:themeColor="text1" w:val="000000"/>
        </w:rPr>
        <w:t/>
      </w:r>
      <w:proofErr w:type="spellEnd"/>
      <w:r w:rsidRPr="00FF6B9A">
        <w:rPr>
          <w:rFonts w:ascii="Times New Roman" w:cs="Times New Roman" w:eastAsiaTheme="minorEastAsia" w:hAnsi="Times New Roman"/>
          <w:color w:themeColor="text1" w:val="000000"/>
        </w:rPr>
        <w:t>2016年6月16日</w:t>
      </w:r>
      <w:r w:rsidRPr="00FF6B9A">
        <w:rPr>
          <w:rFonts w:ascii="Times New Roman" w:cs="Times New Roman" w:eastAsiaTheme="minorEastAsia" w:hAnsi="Times New Roman"/>
          <w:color w:themeColor="text1" w:val="000000"/>
        </w:rPr>
        <w:t>至</w:t>
      </w:r>
      <w:r w:rsidRPr="00FF6B9A">
        <w:rPr>
          <w:rFonts w:ascii="Times New Roman" w:cs="Times New Roman" w:eastAsiaTheme="minorEastAsia" w:hAnsi="Times New Roman"/>
          <w:color w:themeColor="text1" w:val="000000"/>
        </w:rPr>
        <w:t/>
      </w:r>
      <w:proofErr w:type="spellStart"/>
      <w:r w:rsidRPr="00FF6B9A">
        <w:rPr>
          <w:rFonts w:ascii="Times New Roman" w:cs="Times New Roman" w:eastAsiaTheme="minorEastAsia" w:hAnsi="Times New Roman"/>
          <w:color w:themeColor="text1" w:val="000000"/>
        </w:rPr>
        <w:t/>
      </w:r>
      <w:proofErr w:type="spellEnd"/>
      <w:r w:rsidRPr="00FF6B9A">
        <w:rPr>
          <w:rFonts w:ascii="Times New Roman" w:cs="Times New Roman" w:eastAsiaTheme="minorEastAsia" w:hAnsi="Times New Roman"/>
          <w:color w:themeColor="text1" w:val="000000"/>
        </w:rPr>
        <w:t>2021年9月30日)</w:t>
      </w:r>
    </w:p>
    <w:p w14:paraId="6D7C6855" w14:textId="77777777" w:rsidR="00D06738" w:rsidRDefault="00454D20" w:rsidRPr="00FF6B9A">
      <w:pPr>
        <w:pStyle w:val="ae"/>
        <w:snapToGrid w:val="0"/>
        <w:spacing w:before="120" w:line="360" w:lineRule="auto"/>
        <w:jc w:val="center"/>
        <w:rPr>
          <w:rFonts w:ascii="Times New Roman" w:cs="Times New Roman" w:eastAsiaTheme="minorEastAsia" w:hAnsi="Times New Roman"/>
          <w:color w:themeColor="text1" w:val="000000"/>
          <w:sz w:val="24"/>
          <w:szCs w:val="24"/>
        </w:rPr>
      </w:pPr>
      <w:r w:rsidRPr="00FF6B9A">
        <w:rPr>
          <w:rFonts w:ascii="Times New Roman" w:cs="Times New Roman" w:eastAsiaTheme="minorEastAsia" w:hAnsi="Times New Roman"/>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eastAsiaTheme="minorEastAsia"/>
          <w:color w:themeColor="text1" w:val="000000"/>
        </w:rPr>
      </w:pPr>
      <w:r>
        <w:rPr>
          <w:rFonts w:eastAsiaTheme="minorEastAsia"/>
          <w:color w:themeColor="text1" w:val="000000"/>
        </w:rPr>
        <w:t>注：本基金合同生效日为2016年6月16日，图示的时间段为合同生效日至本报告期末。</w:t>
      </w:r>
    </w:p>
    <w:p w14:paraId="58BB6589"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本基金建仓期为本基金合同生效日起6个月，建仓期结束时资产配置比例符合本基金基金合同规定。</w:t>
      </w:r>
    </w:p>
    <w:p w14:paraId="28331EE6" w14:textId="77777777" w:rsidR="00D06738" w:rsidRDefault="00D06738" w:rsidRPr="00FF6B9A">
      <w:pPr>
        <w:tabs>
          <w:tab w:pos="1800" w:val="left"/>
        </w:tabs>
        <w:spacing w:line="360" w:lineRule="auto"/>
        <w:rPr>
          <w:rFonts w:eastAsiaTheme="minorEastAsia"/>
          <w:color w:themeColor="text1" w:val="000000"/>
          <w:sz w:val="24"/>
          <w:szCs w:val="24"/>
        </w:rPr>
      </w:pPr>
    </w:p>
    <w:p w14:paraId="6B938858" w14:textId="77777777" w:rsidR="00D06738" w:rsidRDefault="00D06738" w:rsidRPr="00FF6B9A">
      <w:pPr>
        <w:tabs>
          <w:tab w:pos="1800" w:val="left"/>
        </w:tabs>
        <w:spacing w:line="288" w:lineRule="auto"/>
        <w:rPr>
          <w:rFonts w:eastAsiaTheme="minorEastAsia"/>
          <w:color w:themeColor="text1" w:val="000000"/>
          <w:sz w:val="24"/>
          <w:szCs w:val="24"/>
        </w:rPr>
      </w:pPr>
    </w:p>
    <w:p w14:paraId="0B771B4D"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t xml:space="preserve">§4  </w:t>
      </w:r>
      <w:r w:rsidRPr="00FF6B9A">
        <w:rPr>
          <w:rFonts w:eastAsiaTheme="minorEastAsia"/>
          <w:color w:themeColor="text1" w:val="000000"/>
          <w:kern w:val="0"/>
          <w:sz w:val="24"/>
          <w:szCs w:val="24"/>
        </w:rPr>
        <w:t>管理人报告</w:t>
      </w:r>
    </w:p>
    <w:p w14:paraId="735F051A"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4.1 </w:t>
      </w:r>
      <w:r w:rsidRPr="00FF6B9A">
        <w:rPr>
          <w:rFonts w:eastAsiaTheme="minorEastAsia"/>
          <w:b/>
          <w:bCs/>
          <w:color w:themeColor="text1" w:val="000000"/>
          <w:kern w:val="0"/>
          <w:sz w:val="24"/>
          <w:szCs w:val="24"/>
        </w:rPr>
        <w:t>基金经理</w:t>
      </w:r>
      <w:r w:rsidRPr="00FF6B9A">
        <w:rPr>
          <w:rFonts w:eastAsiaTheme="minorEastAsia"/>
          <w:b/>
          <w:bCs/>
          <w:color w:themeColor="text1" w:val="000000"/>
          <w:kern w:val="0"/>
          <w:sz w:val="24"/>
          <w:szCs w:val="24"/>
        </w:rPr>
        <w:t>(</w:t>
      </w:r>
      <w:r w:rsidRPr="00FF6B9A">
        <w:rPr>
          <w:rFonts w:eastAsiaTheme="minorEastAsia"/>
          <w:b/>
          <w:bCs/>
          <w:color w:themeColor="text1" w:val="000000"/>
          <w:kern w:val="0"/>
          <w:sz w:val="24"/>
          <w:szCs w:val="24"/>
        </w:rPr>
        <w:t>或基金经理小组</w:t>
      </w:r>
      <w:r w:rsidRPr="00FF6B9A">
        <w:rPr>
          <w:rFonts w:eastAsiaTheme="minorEastAsia"/>
          <w:b/>
          <w:bCs/>
          <w:color w:themeColor="text1" w:val="000000"/>
          <w:kern w:val="0"/>
          <w:sz w:val="24"/>
          <w:szCs w:val="24"/>
        </w:rPr>
        <w:t>)</w:t>
      </w:r>
      <w:r w:rsidRPr="00FF6B9A">
        <w:rPr>
          <w:rFonts w:eastAsiaTheme="minorEastAsia"/>
          <w:b/>
          <w:bCs/>
          <w:color w:themeColor="text1"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rsidRPr="00FF6B9A">
        <w:trPr>
          <w:cantSplit/>
          <w:trHeight w:val="292"/>
        </w:trPr>
        <w:tc>
          <w:tcPr>
            <w:tcW w:type="dxa" w:w="851"/>
            <w:vMerge w:val="restart"/>
            <w:vAlign w:val="center"/>
          </w:tcPr>
          <w:p w14:paraId="1F53B620" w14:textId="77777777" w:rsidR="00D06738" w:rsidRDefault="00454D20" w:rsidRPr="00FF6B9A">
            <w:pPr>
              <w:widowControl/>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姓名</w:t>
            </w:r>
          </w:p>
        </w:tc>
        <w:tc>
          <w:tcPr>
            <w:tcW w:type="dxa" w:w="850"/>
            <w:vMerge w:val="restart"/>
            <w:vAlign w:val="center"/>
          </w:tcPr>
          <w:p w14:paraId="697EB0E1" w14:textId="77777777" w:rsidR="00D06738" w:rsidRDefault="00454D20" w:rsidRPr="00FF6B9A">
            <w:pPr>
              <w:widowControl/>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职务</w:t>
            </w:r>
          </w:p>
        </w:tc>
        <w:tc>
          <w:tcPr>
            <w:tcW w:type="dxa" w:w="3119"/>
            <w:gridSpan w:val="2"/>
            <w:vAlign w:val="center"/>
          </w:tcPr>
          <w:p w14:paraId="3C549DFA"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proofErr w:type="gramStart"/>
            <w:r w:rsidRPr="00FF6B9A">
              <w:rPr>
                <w:rFonts w:eastAsiaTheme="minorEastAsia"/>
                <w:color w:themeColor="text1" w:val="000000"/>
                <w:kern w:val="0"/>
              </w:rPr>
              <w:t>任本基金</w:t>
            </w:r>
            <w:proofErr w:type="gramEnd"/>
            <w:r w:rsidRPr="00FF6B9A">
              <w:rPr>
                <w:rFonts w:eastAsiaTheme="minorEastAsia"/>
                <w:color w:themeColor="text1" w:val="000000"/>
                <w:kern w:val="0"/>
              </w:rPr>
              <w:t>的基金经理期限</w:t>
            </w:r>
          </w:p>
        </w:tc>
        <w:tc>
          <w:tcPr>
            <w:tcW w:type="dxa" w:w="1417"/>
            <w:vMerge w:val="restart"/>
            <w:vAlign w:val="center"/>
          </w:tcPr>
          <w:p w14:paraId="153D4B6D"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证券从业年限</w:t>
            </w:r>
          </w:p>
        </w:tc>
        <w:tc>
          <w:tcPr>
            <w:tcW w:type="dxa" w:w="2694"/>
            <w:vMerge w:val="restart"/>
            <w:vAlign w:val="center"/>
          </w:tcPr>
          <w:p w14:paraId="6B8352A3" w14:textId="77777777" w:rsidR="00D06738" w:rsidRDefault="00454D20" w:rsidRPr="00FF6B9A">
            <w:pPr>
              <w:widowControl/>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说明</w:t>
            </w:r>
          </w:p>
        </w:tc>
      </w:tr>
      <w:tr w14:paraId="12458907" w14:textId="77777777" w:rsidR="00D06738" w:rsidRPr="00FF6B9A">
        <w:trPr>
          <w:cantSplit/>
        </w:trPr>
        <w:tc>
          <w:tcPr>
            <w:tcW w:type="dxa" w:w="851"/>
            <w:vMerge/>
            <w:vAlign w:val="center"/>
          </w:tcPr>
          <w:p w14:paraId="0E137D74" w14:textId="77777777" w:rsidR="00D06738" w:rsidRDefault="00D06738" w:rsidRPr="00FF6B9A">
            <w:pPr>
              <w:widowControl/>
              <w:spacing w:line="360" w:lineRule="auto"/>
              <w:jc w:val="left"/>
              <w:rPr>
                <w:rFonts w:eastAsiaTheme="minorEastAsia"/>
                <w:color w:themeColor="text1" w:val="000000"/>
                <w:kern w:val="0"/>
              </w:rPr>
            </w:pPr>
          </w:p>
        </w:tc>
        <w:tc>
          <w:tcPr>
            <w:tcW w:type="dxa" w:w="850"/>
            <w:vMerge/>
            <w:vAlign w:val="center"/>
          </w:tcPr>
          <w:p w14:paraId="1CC0886F" w14:textId="77777777" w:rsidR="00D06738" w:rsidRDefault="00D06738" w:rsidRPr="00FF6B9A">
            <w:pPr>
              <w:widowControl/>
              <w:spacing w:line="360" w:lineRule="auto"/>
              <w:jc w:val="left"/>
              <w:rPr>
                <w:rFonts w:eastAsiaTheme="minorEastAsia"/>
                <w:color w:themeColor="text1" w:val="000000"/>
                <w:kern w:val="0"/>
              </w:rPr>
            </w:pPr>
          </w:p>
        </w:tc>
        <w:tc>
          <w:tcPr>
            <w:tcW w:type="dxa" w:w="1560"/>
            <w:vAlign w:val="center"/>
          </w:tcPr>
          <w:p w14:paraId="213ED421"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任职日期</w:t>
            </w:r>
          </w:p>
        </w:tc>
        <w:tc>
          <w:tcPr>
            <w:tcW w:type="dxa" w:w="1559"/>
            <w:vAlign w:val="center"/>
          </w:tcPr>
          <w:p w14:paraId="025CCC9C"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离任日期</w:t>
            </w:r>
          </w:p>
        </w:tc>
        <w:tc>
          <w:tcPr>
            <w:tcW w:type="dxa" w:w="1417"/>
            <w:vMerge/>
            <w:vAlign w:val="center"/>
          </w:tcPr>
          <w:p w14:paraId="3D222F40" w14:textId="77777777" w:rsidR="00D06738" w:rsidRDefault="00D06738" w:rsidRPr="00FF6B9A">
            <w:pPr>
              <w:widowControl/>
              <w:spacing w:line="360" w:lineRule="auto"/>
              <w:jc w:val="left"/>
              <w:rPr>
                <w:rFonts w:eastAsiaTheme="minorEastAsia"/>
                <w:color w:themeColor="text1" w:val="000000"/>
                <w:kern w:val="0"/>
              </w:rPr>
            </w:pPr>
          </w:p>
        </w:tc>
        <w:tc>
          <w:tcPr>
            <w:tcW w:type="dxa" w:w="2694"/>
            <w:vMerge/>
            <w:vAlign w:val="center"/>
          </w:tcPr>
          <w:p w14:paraId="637B7507" w14:textId="77777777" w:rsidR="00D06738" w:rsidRDefault="00D06738" w:rsidRPr="00FF6B9A">
            <w:pPr>
              <w:widowControl/>
              <w:spacing w:line="360" w:lineRule="auto"/>
              <w:jc w:val="left"/>
              <w:rPr>
                <w:rFonts w:eastAsiaTheme="minorEastAsia"/>
                <w:color w:themeColor="text1" w:val="000000"/>
                <w:kern w:val="0"/>
              </w:rPr>
            </w:pPr>
          </w:p>
        </w:tc>
      </w:tr>
      <w:tr>
        <w:tc>
          <w:tcPr>
            <w:vAlign w:val="center"/>
          </w:tcPr>
          <w:p>
            <w:pPr>
              <w:jc w:val="center"/>
            </w:pPr>
            <w:r>
              <w:rPr>
                <w:rFonts w:eastAsiaTheme="minorEastAsia"/>
                <w:color w:themeColor="text1" w:val="000000"/>
              </w:rPr>
              <w:t>朱晓龙</w:t>
            </w:r>
          </w:p>
        </w:tc>
        <w:tc>
          <w:tcPr>
            <w:vAlign w:val="center"/>
          </w:tcPr>
          <w:p>
            <w:pPr>
              <w:jc w:val="center"/>
            </w:pPr>
            <w:r>
              <w:rPr>
                <w:rFonts w:eastAsiaTheme="minorEastAsia"/>
                <w:color w:themeColor="text1" w:val="000000"/>
              </w:rPr>
              <w:t>本基金基金经理、研究部总监</w:t>
            </w:r>
          </w:p>
        </w:tc>
        <w:tc>
          <w:tcPr>
            <w:vAlign w:val="center"/>
          </w:tcPr>
          <w:p>
            <w:pPr>
              <w:jc w:val="center"/>
            </w:pPr>
            <w:r>
              <w:rPr>
                <w:rFonts w:eastAsiaTheme="minorEastAsia"/>
                <w:color w:themeColor="text1" w:val="000000"/>
              </w:rPr>
              <w:t>2018-11-16</w:t>
            </w:r>
          </w:p>
        </w:tc>
        <w:tc>
          <w:tcPr>
            <w:vAlign w:val="center"/>
          </w:tcPr>
          <w:p>
            <w:pPr>
              <w:jc w:val="center"/>
            </w:pPr>
            <w:r>
              <w:rPr>
                <w:rFonts w:eastAsiaTheme="minorEastAsia"/>
                <w:color w:themeColor="text1" w:val="000000"/>
              </w:rPr>
              <w:t>-</w:t>
            </w:r>
          </w:p>
        </w:tc>
        <w:tc>
          <w:tcPr>
            <w:vAlign w:val="center"/>
          </w:tcPr>
          <w:p>
            <w:pPr>
              <w:jc w:val="center"/>
            </w:pPr>
            <w:r>
              <w:rPr>
                <w:rFonts w:eastAsiaTheme="minorEastAsia"/>
                <w:color w:themeColor="text1" w:val="000000"/>
              </w:rPr>
              <w:t>14年</w:t>
            </w:r>
          </w:p>
        </w:tc>
        <w:tc>
          <w:tcPr>
            <w:vAlign w:val="center"/>
          </w:tcPr>
          <w:p>
            <w:pPr>
              <w:jc w:val="both"/>
            </w:pPr>
            <w:r>
              <w:rPr>
                <w:rFonts w:eastAsiaTheme="minorEastAsia"/>
                <w:color w:themeColor="text1" w:val="000000"/>
              </w:rPr>
              <w:t>朱晓龙先生，自2007年7月至2011年8月在平安资产管理有限责任公司担任研究员；自2011年8月起加入上投摩根基金管理有限公司，历任行业专家、研究部副总监兼基金经理助理，现任研究部总监兼基金经理。自2018年11月起担任上投摩根策略精选灵活配置混合型证券投资基金基金经理，自2019年7月起同时担任上投摩根大盘蓝筹股票型证券投资基金基金经理，2019年8月至2020年12月同时担任上投摩根成长先锋混合型证券投资基金基金经理，自2020年6月起同时担任上投摩根研究驱动股票型证券投资基金基金经理。</w:t>
            </w:r>
          </w:p>
        </w:tc>
      </w:tr>
    </w:tbl>
    <w:p>
      <w:pPr>
        <w:autoSpaceDE w:val="0"/>
        <w:autoSpaceDN w:val="0"/>
        <w:adjustRightInd w:val="0"/>
        <w:spacing w:line="360" w:lineRule="auto"/>
        <w:jc w:val="left"/>
        <w:rPr>
          <w:rFonts w:eastAsiaTheme="minorEastAsia"/>
          <w:color w:themeColor="text1" w:val="000000"/>
        </w:rPr>
      </w:pPr>
      <w:r>
        <w:rPr>
          <w:rFonts w:eastAsiaTheme="minorEastAsia"/>
          <w:color w:themeColor="text1" w:val="000000"/>
        </w:rPr>
        <w:t>注：1.任职日期和离任日期均指根据公司决定确定的聘任日期和解聘日期。</w:t>
      </w:r>
    </w:p>
    <w:p w14:paraId="617FFBB9"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gramStart"/>
      <w:r w:rsidRPr="00FF6B9A">
        <w:rPr>
          <w:rFonts w:eastAsiaTheme="minorEastAsia"/>
          <w:color w:themeColor="text1" w:val="000000"/>
        </w:rPr>
        <w:t/>
      </w:r>
      <w:proofErr w:type="gramEnd"/>
      <w:r w:rsidRPr="00FF6B9A">
        <w:rPr>
          <w:rFonts w:eastAsiaTheme="minorEastAsia"/>
          <w:color w:themeColor="text1" w:val="000000"/>
        </w:rPr>
        <w:t>2.证券从业的含义遵从行业协会《证券业从业人员资格管理办法》的相关规定。</w:t>
      </w:r>
    </w:p>
    <w:p w14:paraId="4FBEFD21"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4.2 </w:t>
      </w:r>
      <w:r w:rsidRPr="00FF6B9A">
        <w:rPr>
          <w:rFonts w:eastAsiaTheme="minorEastAsia"/>
          <w:b/>
          <w:bCs/>
          <w:color w:themeColor="text1" w:val="000000"/>
          <w:kern w:val="0"/>
          <w:sz w:val="24"/>
          <w:szCs w:val="24"/>
        </w:rPr>
        <w:t>管理人对报告期内本基金运作遵规守信情况的说明</w:t>
      </w:r>
    </w:p>
    <w:p w14:paraId="6D01CD8D"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策略精选灵活配置混合型证券投资基金基金合同》的规定。基金经理对个股和投资组合的比例遵循了投资决策委员会的授权限制，基金投资比例符合基金合同和法律法规的要求。</w:t>
      </w:r>
    </w:p>
    <w:p w14:paraId="79379002"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639C8B3E"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4.3 </w:t>
      </w:r>
      <w:r w:rsidRPr="00FF6B9A">
        <w:rPr>
          <w:rFonts w:eastAsiaTheme="minorEastAsia"/>
          <w:b/>
          <w:bCs/>
          <w:color w:themeColor="text1" w:val="000000"/>
          <w:kern w:val="0"/>
          <w:sz w:val="24"/>
          <w:szCs w:val="24"/>
        </w:rPr>
        <w:t>公平交易专项说明</w:t>
      </w:r>
    </w:p>
    <w:p w14:paraId="0796C6BB"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 xml:space="preserve">4.3.1 </w:t>
      </w:r>
      <w:r w:rsidRPr="00FF6B9A">
        <w:rPr>
          <w:rFonts w:eastAsiaTheme="minorEastAsia"/>
          <w:color w:themeColor="text1" w:val="000000"/>
          <w:sz w:val="24"/>
          <w:szCs w:val="24"/>
        </w:rPr>
        <w:t>公平交易制度的执行情况</w:t>
      </w:r>
    </w:p>
    <w:p>
      <w:pPr>
        <w:spacing w:line="360" w:lineRule="auto"/>
        <w:ind w:firstLine="420" w:firstLineChars="200"/>
        <w:rPr>
          <w:rFonts w:eastAsiaTheme="minorEastAsia"/>
          <w:color w:themeColor="text1" w:val="000000"/>
        </w:rPr>
      </w:pPr>
      <w:r>
        <w:rPr>
          <w:rFonts w:eastAsia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eastAsiaTheme="minorEastAsia"/>
          <w:color w:themeColor="text1" w:val="000000"/>
        </w:rPr>
      </w:pPr>
      <w:r>
        <w:rPr>
          <w:rFonts w:eastAsia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 xml:space="preserve">4.3.2 </w:t>
      </w:r>
      <w:r w:rsidRPr="00FF6B9A">
        <w:rPr>
          <w:rFonts w:eastAsiaTheme="minorEastAsia"/>
          <w:color w:themeColor="text1" w:val="000000"/>
          <w:sz w:val="24"/>
          <w:szCs w:val="24"/>
        </w:rPr>
        <w:t>异常交易行为的专项说明</w:t>
      </w:r>
    </w:p>
    <w:p>
      <w:pPr>
        <w:spacing w:line="360" w:lineRule="auto"/>
        <w:ind w:firstLine="420" w:firstLineChars="200"/>
        <w:rPr>
          <w:rFonts w:eastAsiaTheme="minorEastAsia"/>
          <w:color w:themeColor="text1" w:val="000000"/>
        </w:rPr>
      </w:pPr>
      <w:r>
        <w:rPr>
          <w:rFonts w:eastAsiaTheme="minor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所有投资组合参与的交易所公开竞价同日反向交易成交较少的单边交易量超过该证券当日成交量的5%的情形：无。</w:t>
      </w:r>
    </w:p>
    <w:p w14:paraId="78B72EC9" w14:textId="77777777" w:rsidR="00D06738" w:rsidRDefault="00D06738" w:rsidRPr="00FF6B9A">
      <w:pPr>
        <w:spacing w:line="360" w:lineRule="auto"/>
        <w:ind w:firstLine="480" w:firstLineChars="200"/>
        <w:rPr>
          <w:rFonts w:eastAsiaTheme="minorEastAsia"/>
          <w:color w:themeColor="text1" w:val="000000"/>
          <w:sz w:val="24"/>
          <w:szCs w:val="24"/>
        </w:rPr>
      </w:pPr>
    </w:p>
    <w:p w14:paraId="268AD9F2"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4.4 </w:t>
      </w:r>
      <w:r w:rsidRPr="00FF6B9A">
        <w:rPr>
          <w:rFonts w:eastAsiaTheme="minorEastAsia"/>
          <w:b/>
          <w:bCs/>
          <w:color w:themeColor="text1" w:val="000000"/>
          <w:kern w:val="0"/>
          <w:sz w:val="24"/>
          <w:szCs w:val="24"/>
        </w:rPr>
        <w:t>报告期内基金的投资策略和业绩表现说明</w:t>
      </w:r>
    </w:p>
    <w:p w14:paraId="37D7D562"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4.4.1</w:t>
      </w:r>
      <w:r w:rsidRPr="00FF6B9A">
        <w:rPr>
          <w:rFonts w:eastAsiaTheme="minorEastAsia"/>
          <w:color w:themeColor="text1" w:val="000000"/>
          <w:sz w:val="24"/>
          <w:szCs w:val="24"/>
        </w:rPr>
        <w:t>报告期内基金投资策略和运作分析</w:t>
      </w:r>
    </w:p>
    <w:p>
      <w:pPr>
        <w:spacing w:line="360" w:lineRule="auto"/>
        <w:ind w:firstLine="420" w:firstLineChars="200"/>
        <w:rPr>
          <w:rFonts w:eastAsiaTheme="minorEastAsia"/>
          <w:color w:themeColor="text1" w:val="000000"/>
        </w:rPr>
      </w:pPr>
      <w:r>
        <w:rPr>
          <w:rFonts w:eastAsiaTheme="minorEastAsia"/>
          <w:color w:themeColor="text1" w:val="000000"/>
        </w:rPr>
        <w:t>2021年三季度，A股整体呈现震荡走势，从风格表现来看，中小市值整体表现占优；以申万行业分类统计来看，有色、采掘、公用事业、钢铁、化工表现居前；休闲服务、食品饮料、医药生物、农林牧渔、通信表现相对落后。</w:t>
      </w:r>
    </w:p>
    <w:p>
      <w:pPr>
        <w:spacing w:line="360" w:lineRule="auto"/>
        <w:ind w:firstLine="420" w:firstLineChars="200"/>
        <w:rPr>
          <w:rFonts w:eastAsiaTheme="minorEastAsia"/>
          <w:color w:themeColor="text1" w:val="000000"/>
        </w:rPr>
      </w:pPr>
      <w:r>
        <w:rPr>
          <w:rFonts w:eastAsiaTheme="minorEastAsia"/>
          <w:color w:themeColor="text1" w:val="000000"/>
        </w:rPr>
        <w:t>基本面方面，三季度地产投资走弱，基建、制造业投资有所企稳。美欧经济在德尔塔病毒的冲击下缓慢复苏。预计年内出口增速仍有韧性，受益于海外需求持续缓慢复苏。基建和制造业投资可能是年内的相对亮点。</w:t>
      </w:r>
    </w:p>
    <w:p>
      <w:pPr>
        <w:spacing w:line="360" w:lineRule="auto"/>
        <w:ind w:firstLine="420" w:firstLineChars="200"/>
        <w:rPr>
          <w:rFonts w:eastAsiaTheme="minorEastAsia"/>
          <w:color w:themeColor="text1" w:val="000000"/>
        </w:rPr>
      </w:pPr>
      <w:r>
        <w:rPr>
          <w:rFonts w:eastAsiaTheme="minorEastAsia"/>
          <w:color w:themeColor="text1" w:val="000000"/>
        </w:rPr>
        <w:t>资金面方面，由于信用紧缩导致社融增速出现明显下降，货币政策偏向宽松，流动性条件有所改善。海外美联储的缩减量化宽松的节奏相对缓慢，货币环境没有发生显著变化。</w:t>
      </w:r>
    </w:p>
    <w:p>
      <w:pPr>
        <w:spacing w:line="360" w:lineRule="auto"/>
        <w:ind w:firstLine="420" w:firstLineChars="200"/>
        <w:rPr>
          <w:rFonts w:eastAsiaTheme="minorEastAsia"/>
          <w:color w:themeColor="text1" w:val="000000"/>
        </w:rPr>
      </w:pPr>
      <w:r>
        <w:rPr>
          <w:rFonts w:eastAsiaTheme="minorEastAsia"/>
          <w:color w:themeColor="text1" w:val="000000"/>
        </w:rPr>
        <w:t>政策面方面，国内货币、财政政策均偏向积极，美国缩减量化宽松逐步落地，财政逐步加码。由于经济增速有下降压力，降准、专项债加速等政策陆续推出，社融增速可能出现企稳回升。美国中期重心仍在经济发展，货币环境大幅紧缩概率不大，财政发力是接下来对基本面的正面贡献因素。</w:t>
      </w:r>
    </w:p>
    <w:p w14:paraId="6E21DA7A"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关于基金运作，鉴于前期已经公告拟审议《关于上投摩根策略精选灵活配置混合型证券投资基金终止基金合同有关事项的议案》，接下来本基金在运作上拟降低基金波动率，降低股票仓位。</w:t>
      </w:r>
    </w:p>
    <w:p w14:paraId="23C77E45"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4.4.2</w:t>
      </w:r>
      <w:r w:rsidRPr="00FF6B9A">
        <w:rPr>
          <w:rFonts w:eastAsiaTheme="minorEastAsia"/>
          <w:color w:themeColor="text1" w:val="000000"/>
          <w:sz w:val="24"/>
          <w:szCs w:val="24"/>
        </w:rPr>
        <w:t>报告期内基金的业绩表现</w:t>
      </w:r>
    </w:p>
    <w:p w14:paraId="3743F1F6"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本报告期上投摩根策略精选混合份额净值增长率为:-0.06%，同期业绩比较基准收益率为:-2.11%。</w:t>
      </w:r>
    </w:p>
    <w:p w14:paraId="44A63C7D" w14:textId="77777777" w:rsidR="00D06738" w:rsidRDefault="00D06738" w:rsidRPr="00FF6B9A">
      <w:pPr>
        <w:spacing w:line="360" w:lineRule="auto"/>
        <w:ind w:firstLine="480" w:firstLineChars="200"/>
        <w:rPr>
          <w:rFonts w:eastAsiaTheme="minorEastAsia"/>
          <w:color w:themeColor="text1" w:val="000000"/>
          <w:sz w:val="24"/>
          <w:szCs w:val="24"/>
        </w:rPr>
      </w:pPr>
    </w:p>
    <w:p w14:paraId="7FECA9F5"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b/>
          <w:color w:themeColor="text1" w:val="000000"/>
          <w:kern w:val="0"/>
          <w:sz w:val="24"/>
          <w:szCs w:val="24"/>
        </w:rPr>
        <w:t/>
      </w:r>
      <w:proofErr w:type="spellStart"/>
      <w:r w:rsidRPr="00FF6B9A">
        <w:rPr>
          <w:rFonts w:eastAsiaTheme="minorEastAsia"/>
          <w:b/>
          <w:color w:themeColor="text1" w:val="000000"/>
          <w:kern w:val="0"/>
          <w:sz w:val="24"/>
          <w:szCs w:val="24"/>
        </w:rPr>
        <w:t/>
      </w:r>
      <w:proofErr w:type="spellEnd"/>
      <w:r w:rsidRPr="00FF6B9A">
        <w:rPr>
          <w:rFonts w:eastAsiaTheme="minorEastAsia"/>
          <w:b/>
          <w:color w:themeColor="text1" w:val="000000"/>
          <w:kern w:val="0"/>
          <w:sz w:val="24"/>
          <w:szCs w:val="24"/>
        </w:rPr>
        <w:t>4.5</w:t>
      </w:r>
      <w:r w:rsidRPr="00FF6B9A">
        <w:rPr>
          <w:rFonts w:eastAsiaTheme="minorEastAsia"/>
          <w:b/>
          <w:color w:themeColor="text1" w:val="000000"/>
          <w:kern w:val="0"/>
          <w:sz w:val="24"/>
          <w:szCs w:val="24"/>
        </w:rPr>
        <w:t>报告期内基金持有人数或基金资产净值预警说明</w:t>
      </w:r>
    </w:p>
    <w:p>
      <w:pPr>
        <w:spacing w:line="360" w:lineRule="auto"/>
        <w:ind w:firstLine="420" w:firstLineChars="200"/>
        <w:rPr>
          <w:rFonts w:eastAsiaTheme="minorEastAsia"/>
          <w:color w:themeColor="text1" w:val="000000"/>
        </w:rPr>
      </w:pPr>
      <w:r>
        <w:rPr>
          <w:rFonts w:eastAsiaTheme="minorEastAsia"/>
          <w:color w:themeColor="text1" w:val="000000"/>
          <w:kern w:val="0"/>
        </w:rPr>
        <w:t>报告期内，本基金存在连续六十个工作日基金资产净值低于五千万元的情况，出现该情况的时间范围为2021年07月01日至2021年09月30日。</w:t>
      </w:r>
    </w:p>
    <w:p w14:paraId="35411AB5"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kern w:val="0"/>
        </w:rPr>
        <w:t/>
      </w:r>
      <w:r w:rsidRPr="00FF6B9A">
        <w:rPr>
          <w:rFonts w:eastAsiaTheme="minorEastAsia"/>
          <w:color w:themeColor="text1" w:val="000000"/>
        </w:rPr>
        <w:t/>
      </w:r>
      <w:r w:rsidRPr="00FF6B9A">
        <w:rPr>
          <w:rFonts w:eastAsiaTheme="minorEastAsia"/>
          <w:color w:themeColor="text1" w:val="000000"/>
          <w:kern w:val="0"/>
        </w:rPr>
        <w:t>基金管理人拟调整本基金运作方式，加大营销力度，提升基金规模，方案已报监管机关。</w:t>
      </w:r>
    </w:p>
    <w:p w14:paraId="1DAA7197"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lastRenderedPageBreak/>
        <w:t xml:space="preserve">§5  </w:t>
      </w:r>
      <w:r w:rsidRPr="00FF6B9A">
        <w:rPr>
          <w:rFonts w:eastAsiaTheme="minorEastAsia"/>
          <w:color w:themeColor="text1" w:val="000000"/>
          <w:kern w:val="0"/>
          <w:sz w:val="24"/>
          <w:szCs w:val="24"/>
        </w:rPr>
        <w:t>投资组合报告</w:t>
      </w:r>
    </w:p>
    <w:p w14:paraId="2ED46D8C"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5.1 </w:t>
      </w:r>
      <w:r w:rsidRPr="00FF6B9A">
        <w:rPr>
          <w:rFonts w:eastAsiaTheme="minor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rsidRPr="00FF6B9A">
        <w:trPr>
          <w:jc w:val="center"/>
        </w:trPr>
        <w:tc>
          <w:tcPr>
            <w:tcW w:type="dxa" w:w="720"/>
            <w:vAlign w:val="center"/>
          </w:tcPr>
          <w:p w14:paraId="267B5679"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序号</w:t>
            </w:r>
          </w:p>
        </w:tc>
        <w:tc>
          <w:tcPr>
            <w:tcW w:type="dxa" w:w="3357"/>
            <w:vAlign w:val="center"/>
          </w:tcPr>
          <w:p w14:paraId="64B125CA"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项目</w:t>
            </w:r>
          </w:p>
        </w:tc>
        <w:tc>
          <w:tcPr>
            <w:tcW w:type="dxa" w:w="2977"/>
            <w:vAlign w:val="center"/>
          </w:tcPr>
          <w:p w14:paraId="7B039B4F"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金额</w:t>
            </w:r>
            <w:r w:rsidRPr="00FF6B9A">
              <w:rPr>
                <w:rFonts w:eastAsiaTheme="minorEastAsia"/>
                <w:color w:themeColor="text1" w:val="000000"/>
                <w:kern w:val="0"/>
              </w:rPr>
              <w:t>(</w:t>
            </w:r>
            <w:r w:rsidRPr="00FF6B9A">
              <w:rPr>
                <w:rFonts w:eastAsiaTheme="minorEastAsia"/>
                <w:color w:themeColor="text1" w:val="000000"/>
                <w:kern w:val="0"/>
              </w:rPr>
              <w:t>元</w:t>
            </w:r>
            <w:r w:rsidRPr="00FF6B9A">
              <w:rPr>
                <w:rFonts w:eastAsiaTheme="minorEastAsia"/>
                <w:color w:themeColor="text1" w:val="000000"/>
                <w:kern w:val="0"/>
              </w:rPr>
              <w:t>)</w:t>
            </w:r>
          </w:p>
        </w:tc>
        <w:tc>
          <w:tcPr>
            <w:tcW w:type="dxa" w:w="1843"/>
            <w:vAlign w:val="center"/>
          </w:tcPr>
          <w:p w14:paraId="546A193D"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占基金总资产的比例</w:t>
            </w:r>
            <w:r w:rsidRPr="00FF6B9A">
              <w:rPr>
                <w:rFonts w:eastAsiaTheme="minorEastAsia"/>
                <w:color w:themeColor="text1" w:val="000000"/>
                <w:kern w:val="0"/>
              </w:rPr>
              <w:t>(%)</w:t>
            </w:r>
          </w:p>
        </w:tc>
      </w:tr>
      <w:tr w14:paraId="2C5F8168" w14:textId="77777777" w:rsidR="00D06738" w:rsidRPr="00FF6B9A">
        <w:trPr>
          <w:jc w:val="center"/>
        </w:trPr>
        <w:tc>
          <w:tcPr>
            <w:tcW w:type="dxa" w:w="720"/>
            <w:vAlign w:val="center"/>
          </w:tcPr>
          <w:p w14:paraId="790AB276"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1</w:t>
            </w:r>
          </w:p>
        </w:tc>
        <w:tc>
          <w:tcPr>
            <w:tcW w:type="dxa" w:w="3357"/>
            <w:vAlign w:val="center"/>
          </w:tcPr>
          <w:p w14:paraId="2A6D52A1"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权益投资</w:t>
            </w:r>
          </w:p>
        </w:tc>
        <w:tc>
          <w:tcPr>
            <w:tcW w:type="dxa" w:w="2977"/>
            <w:vAlign w:val="center"/>
          </w:tcPr>
          <w:p w14:paraId="3F07A469"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16,114,566.28</w:t>
            </w:r>
          </w:p>
        </w:tc>
        <w:tc>
          <w:tcPr>
            <w:tcW w:type="dxa" w:w="1843"/>
            <w:vAlign w:val="center"/>
          </w:tcPr>
          <w:p w14:paraId="233B1348"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76.74</w:t>
            </w:r>
          </w:p>
        </w:tc>
      </w:tr>
      <w:tr w14:paraId="2113730F" w14:textId="77777777" w:rsidR="00D06738" w:rsidRPr="00FF6B9A">
        <w:trPr>
          <w:jc w:val="center"/>
        </w:trPr>
        <w:tc>
          <w:tcPr>
            <w:tcW w:type="dxa" w:w="720"/>
            <w:vAlign w:val="center"/>
          </w:tcPr>
          <w:p w14:paraId="66F43ADC" w14:textId="77777777" w:rsidR="00D06738" w:rsidRDefault="00D06738" w:rsidRPr="00FF6B9A">
            <w:pPr>
              <w:spacing w:before="29" w:line="360" w:lineRule="auto"/>
              <w:ind w:left="17"/>
              <w:jc w:val="center"/>
              <w:rPr>
                <w:rFonts w:eastAsiaTheme="minorEastAsia"/>
                <w:color w:themeColor="text1" w:val="000000"/>
                <w:kern w:val="0"/>
              </w:rPr>
            </w:pPr>
          </w:p>
        </w:tc>
        <w:tc>
          <w:tcPr>
            <w:tcW w:type="dxa" w:w="3357"/>
            <w:vAlign w:val="center"/>
          </w:tcPr>
          <w:p w14:paraId="42830015"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其中：股票</w:t>
            </w:r>
          </w:p>
        </w:tc>
        <w:tc>
          <w:tcPr>
            <w:tcW w:type="dxa" w:w="2977"/>
            <w:vAlign w:val="center"/>
          </w:tcPr>
          <w:p w14:paraId="36A710A1"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16,114,566.28</w:t>
            </w:r>
          </w:p>
        </w:tc>
        <w:tc>
          <w:tcPr>
            <w:tcW w:type="dxa" w:w="1843"/>
            <w:vAlign w:val="center"/>
          </w:tcPr>
          <w:p w14:paraId="4235B2A6"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76.74</w:t>
            </w:r>
          </w:p>
        </w:tc>
      </w:tr>
      <w:tr w14:paraId="7AF15202" w14:textId="77777777" w:rsidR="00D06738" w:rsidRPr="00FF6B9A">
        <w:trPr>
          <w:jc w:val="center"/>
        </w:trPr>
        <w:tc>
          <w:tcPr>
            <w:tcW w:type="dxa" w:w="720"/>
            <w:vAlign w:val="center"/>
          </w:tcPr>
          <w:p w14:paraId="0231B762"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2</w:t>
            </w:r>
          </w:p>
        </w:tc>
        <w:tc>
          <w:tcPr>
            <w:tcW w:type="dxa" w:w="3357"/>
            <w:vAlign w:val="center"/>
          </w:tcPr>
          <w:p w14:paraId="4854CF2B"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固定收益投资</w:t>
            </w:r>
          </w:p>
        </w:tc>
        <w:tc>
          <w:tcPr>
            <w:tcW w:type="dxa" w:w="2977"/>
            <w:vAlign w:val="center"/>
          </w:tcPr>
          <w:p w14:paraId="789C70AC"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249B7557"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r>
      <w:tr w14:paraId="19D15F90" w14:textId="77777777" w:rsidR="00D06738" w:rsidRPr="00FF6B9A">
        <w:trPr>
          <w:jc w:val="center"/>
        </w:trPr>
        <w:tc>
          <w:tcPr>
            <w:tcW w:type="dxa" w:w="720"/>
            <w:vAlign w:val="center"/>
          </w:tcPr>
          <w:p w14:paraId="16E41AE7" w14:textId="77777777" w:rsidR="00D06738" w:rsidRDefault="00D06738" w:rsidRPr="00FF6B9A">
            <w:pPr>
              <w:spacing w:before="29" w:line="360" w:lineRule="auto"/>
              <w:ind w:left="17"/>
              <w:jc w:val="center"/>
              <w:rPr>
                <w:rFonts w:eastAsiaTheme="minorEastAsia"/>
                <w:color w:themeColor="text1" w:val="000000"/>
                <w:kern w:val="0"/>
              </w:rPr>
            </w:pPr>
          </w:p>
        </w:tc>
        <w:tc>
          <w:tcPr>
            <w:tcW w:type="dxa" w:w="3357"/>
            <w:vAlign w:val="center"/>
          </w:tcPr>
          <w:p w14:paraId="47E8D347"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其中：债券</w:t>
            </w:r>
          </w:p>
        </w:tc>
        <w:tc>
          <w:tcPr>
            <w:tcW w:type="dxa" w:w="2977"/>
            <w:vAlign w:val="center"/>
          </w:tcPr>
          <w:p w14:paraId="49FE2FF2"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378238FF"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r>
      <w:tr w14:paraId="62562C15" w14:textId="77777777" w:rsidR="00D06738" w:rsidRPr="00FF6B9A">
        <w:trPr>
          <w:jc w:val="center"/>
        </w:trPr>
        <w:tc>
          <w:tcPr>
            <w:tcW w:type="dxa" w:w="720"/>
            <w:vAlign w:val="center"/>
          </w:tcPr>
          <w:p w14:paraId="104BD163" w14:textId="77777777" w:rsidR="00D06738" w:rsidRDefault="00D06738" w:rsidRPr="00FF6B9A">
            <w:pPr>
              <w:spacing w:before="29" w:line="360" w:lineRule="auto"/>
              <w:ind w:left="17"/>
              <w:jc w:val="center"/>
              <w:rPr>
                <w:rFonts w:eastAsiaTheme="minorEastAsia"/>
                <w:color w:themeColor="text1" w:val="000000"/>
                <w:kern w:val="0"/>
              </w:rPr>
            </w:pPr>
          </w:p>
        </w:tc>
        <w:tc>
          <w:tcPr>
            <w:tcW w:type="dxa" w:w="3357"/>
            <w:vAlign w:val="center"/>
          </w:tcPr>
          <w:p w14:paraId="47AC6DAD" w14:textId="77777777" w:rsidR="00D06738" w:rsidRDefault="00454D20" w:rsidRPr="00FF6B9A">
            <w:pPr>
              <w:autoSpaceDE w:val="0"/>
              <w:autoSpaceDN w:val="0"/>
              <w:adjustRightInd w:val="0"/>
              <w:spacing w:before="29" w:line="360" w:lineRule="auto"/>
              <w:ind w:firstLine="525" w:firstLineChars="250" w:left="17"/>
              <w:jc w:val="left"/>
              <w:rPr>
                <w:rFonts w:eastAsiaTheme="minorEastAsia"/>
                <w:color w:themeColor="text1" w:val="000000"/>
                <w:kern w:val="0"/>
              </w:rPr>
            </w:pPr>
            <w:r w:rsidRPr="00FF6B9A">
              <w:rPr>
                <w:rFonts w:eastAsiaTheme="minorEastAsia"/>
                <w:color w:themeColor="text1" w:val="000000"/>
                <w:kern w:val="0"/>
              </w:rPr>
              <w:t>资产支持证券</w:t>
            </w:r>
          </w:p>
        </w:tc>
        <w:tc>
          <w:tcPr>
            <w:tcW w:type="dxa" w:w="2977"/>
            <w:vAlign w:val="center"/>
          </w:tcPr>
          <w:p w14:paraId="3CF84DDB"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1CCF9364"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r w:rsidRPr="00FF6B9A">
              <w:rPr>
                <w:rFonts w:eastAsiaTheme="minorEastAsia"/>
                <w:color w:themeColor="text1" w:val="000000"/>
                <w:kern w:val="0"/>
              </w:rPr>
              <w:lastRenderedPageBreak/>
              <w:t>-</w:t>
            </w:r>
          </w:p>
        </w:tc>
      </w:tr>
      <w:tr w14:paraId="3F449325" w14:textId="77777777" w:rsidR="00D06738" w:rsidRPr="00FF6B9A">
        <w:trPr>
          <w:jc w:val="center"/>
        </w:trPr>
        <w:tc>
          <w:tcPr>
            <w:tcW w:type="dxa" w:w="720"/>
          </w:tcPr>
          <w:p w14:paraId="1EE609C8"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lastRenderedPageBreak/>
              <w:t>3</w:t>
            </w:r>
          </w:p>
        </w:tc>
        <w:tc>
          <w:tcPr>
            <w:tcW w:type="dxa" w:w="3357"/>
          </w:tcPr>
          <w:p w14:paraId="7A120390" w14:textId="77777777" w:rsidR="00D06738" w:rsidRDefault="00454D20" w:rsidRPr="00FF6B9A">
            <w:pPr>
              <w:spacing w:before="29" w:line="360" w:lineRule="auto"/>
              <w:ind w:left="105" w:leftChars="50"/>
              <w:rPr>
                <w:rFonts w:eastAsiaTheme="minorEastAsia"/>
                <w:color w:themeColor="text1" w:val="000000"/>
                <w:kern w:val="0"/>
              </w:rPr>
            </w:pPr>
            <w:r w:rsidRPr="00FF6B9A">
              <w:rPr>
                <w:rFonts w:eastAsiaTheme="minorEastAsia"/>
                <w:color w:themeColor="text1" w:val="000000"/>
                <w:kern w:val="0"/>
              </w:rPr>
              <w:t>贵金属投资</w:t>
            </w:r>
          </w:p>
        </w:tc>
        <w:tc>
          <w:tcPr>
            <w:tcW w:type="dxa" w:w="2977"/>
            <w:vAlign w:val="center"/>
          </w:tcPr>
          <w:p w14:paraId="201F9736"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76F8BBAB"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40209BD0" w14:textId="77777777" w:rsidR="00D06738" w:rsidRPr="00FF6B9A">
        <w:trPr>
          <w:jc w:val="center"/>
        </w:trPr>
        <w:tc>
          <w:tcPr>
            <w:tcW w:type="dxa" w:w="720"/>
            <w:vAlign w:val="center"/>
          </w:tcPr>
          <w:p w14:paraId="44CDCE61"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4</w:t>
            </w:r>
          </w:p>
        </w:tc>
        <w:tc>
          <w:tcPr>
            <w:tcW w:type="dxa" w:w="3357"/>
            <w:vAlign w:val="center"/>
          </w:tcPr>
          <w:p w14:paraId="26733435"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金融衍生</w:t>
            </w:r>
            <w:proofErr w:type="gramStart"/>
            <w:r w:rsidRPr="00FF6B9A">
              <w:rPr>
                <w:rFonts w:eastAsiaTheme="minorEastAsia"/>
                <w:color w:themeColor="text1" w:val="000000"/>
                <w:kern w:val="0"/>
              </w:rPr>
              <w:t>品投资</w:t>
            </w:r>
            <w:proofErr w:type="gramEnd"/>
          </w:p>
        </w:tc>
        <w:tc>
          <w:tcPr>
            <w:tcW w:type="dxa" w:w="2977"/>
            <w:vAlign w:val="center"/>
          </w:tcPr>
          <w:p w14:paraId="2CA6AE58"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117B3EB0"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r>
      <w:tr w14:paraId="69083124" w14:textId="77777777" w:rsidR="00D06738" w:rsidRPr="00FF6B9A">
        <w:trPr>
          <w:jc w:val="center"/>
        </w:trPr>
        <w:tc>
          <w:tcPr>
            <w:tcW w:type="dxa" w:w="720"/>
            <w:vAlign w:val="center"/>
          </w:tcPr>
          <w:p w14:paraId="3E06450B"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5</w:t>
            </w:r>
          </w:p>
        </w:tc>
        <w:tc>
          <w:tcPr>
            <w:tcW w:type="dxa" w:w="3357"/>
            <w:vAlign w:val="center"/>
          </w:tcPr>
          <w:p w14:paraId="11937F9B"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买入返售金融资产</w:t>
            </w:r>
          </w:p>
        </w:tc>
        <w:tc>
          <w:tcPr>
            <w:tcW w:type="dxa" w:w="2977"/>
            <w:vAlign w:val="center"/>
          </w:tcPr>
          <w:p w14:paraId="62931128"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843"/>
            <w:vAlign w:val="center"/>
          </w:tcPr>
          <w:p w14:paraId="3F06200C"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r>
      <w:tr w14:paraId="5EFCF5A8" w14:textId="77777777" w:rsidR="00D06738" w:rsidRPr="00FF6B9A">
        <w:trPr>
          <w:jc w:val="center"/>
        </w:trPr>
        <w:tc>
          <w:tcPr>
            <w:tcW w:type="dxa" w:w="720"/>
            <w:vAlign w:val="center"/>
          </w:tcPr>
          <w:p w14:paraId="7A522889" w14:textId="77777777" w:rsidR="00D06738" w:rsidRDefault="00D06738" w:rsidRPr="00FF6B9A">
            <w:pPr>
              <w:spacing w:before="29" w:line="360" w:lineRule="auto"/>
              <w:ind w:left="17"/>
              <w:jc w:val="center"/>
              <w:rPr>
                <w:rFonts w:eastAsiaTheme="minorEastAsia"/>
                <w:color w:themeColor="text1" w:val="000000"/>
                <w:kern w:val="0"/>
              </w:rPr>
            </w:pPr>
          </w:p>
        </w:tc>
        <w:tc>
          <w:tcPr>
            <w:tcW w:type="dxa" w:w="3357"/>
            <w:vAlign w:val="center"/>
          </w:tcPr>
          <w:p w14:paraId="3CEA16A4"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其中：买断式回购的买入返售金融资产</w:t>
            </w:r>
          </w:p>
        </w:tc>
        <w:tc>
          <w:tcPr>
            <w:tcW w:type="dxa" w:w="2977"/>
            <w:vAlign w:val="center"/>
          </w:tcPr>
          <w:p w14:paraId="7B73699E"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c>
          <w:tcPr>
            <w:tcW w:type="dxa" w:w="1843"/>
            <w:vAlign w:val="center"/>
          </w:tcPr>
          <w:p w14:paraId="15A7BCA6"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w:t>
            </w:r>
          </w:p>
        </w:tc>
      </w:tr>
      <w:tr w14:paraId="786251D7" w14:textId="77777777" w:rsidR="00D06738" w:rsidRPr="00FF6B9A">
        <w:trPr>
          <w:jc w:val="center"/>
        </w:trPr>
        <w:tc>
          <w:tcPr>
            <w:tcW w:type="dxa" w:w="720"/>
            <w:vAlign w:val="center"/>
          </w:tcPr>
          <w:p w14:paraId="29692791"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6</w:t>
            </w:r>
          </w:p>
        </w:tc>
        <w:tc>
          <w:tcPr>
            <w:tcW w:type="dxa" w:w="3357"/>
            <w:vAlign w:val="center"/>
          </w:tcPr>
          <w:p w14:paraId="421FB0FB" w14:textId="77777777" w:rsidR="00D06738" w:rsidRDefault="00454D20" w:rsidRPr="00FF6B9A">
            <w:pPr>
              <w:spacing w:before="29" w:line="360" w:lineRule="auto"/>
              <w:ind w:left="17"/>
              <w:jc w:val="left"/>
              <w:rPr>
                <w:rFonts w:eastAsiaTheme="minorEastAsia"/>
                <w:color w:themeColor="text1" w:val="000000"/>
                <w:kern w:val="0"/>
              </w:rPr>
            </w:pPr>
            <w:r w:rsidRPr="00FF6B9A">
              <w:rPr>
                <w:rFonts w:eastAsiaTheme="minorEastAsia"/>
                <w:color w:themeColor="text1" w:val="000000"/>
                <w:kern w:val="0"/>
              </w:rPr>
              <w:t>银行存款和结算备付金合计</w:t>
            </w:r>
          </w:p>
        </w:tc>
        <w:tc>
          <w:tcPr>
            <w:tcW w:type="dxa" w:w="2977"/>
            <w:vAlign w:val="center"/>
          </w:tcPr>
          <w:p w14:paraId="54D555B7"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4,278,500.26</w:t>
            </w:r>
          </w:p>
        </w:tc>
        <w:tc>
          <w:tcPr>
            <w:tcW w:type="dxa" w:w="1843"/>
            <w:vAlign w:val="center"/>
          </w:tcPr>
          <w:p w14:paraId="174620BB" w14:textId="77777777" w:rsidR="00D06738" w:rsidRDefault="00454D20" w:rsidRPr="00FF6B9A">
            <w:pPr>
              <w:spacing w:before="29" w:line="360" w:lineRule="auto"/>
              <w:ind w:left="17"/>
              <w:jc w:val="right"/>
              <w:rPr>
                <w:rFonts w:eastAsiaTheme="minorEastAsia"/>
                <w:color w:themeColor="text1" w:val="000000"/>
                <w:kern w:val="0"/>
              </w:rPr>
            </w:pPr>
            <w:r w:rsidRPr="00FF6B9A">
              <w:rPr>
                <w:rFonts w:eastAsiaTheme="minorEastAsia"/>
                <w:color w:themeColor="text1" w:val="000000"/>
                <w:kern w:val="0"/>
              </w:rPr>
              <w:t/>
            </w:r>
            <w:r w:rsidRPr="00FF6B9A">
              <w:rPr>
                <w:rFonts w:eastAsiaTheme="minorEastAsia"/>
                <w:color w:themeColor="text1" w:val="000000"/>
                <w:kern w:val="0"/>
              </w:rPr>
              <w:lastRenderedPageBreak/>
              <w:t>20.38</w:t>
            </w:r>
          </w:p>
        </w:tc>
      </w:tr>
      <w:tr w14:paraId="42ECF5E1" w14:textId="77777777" w:rsidR="00D06738" w:rsidRPr="00FF6B9A">
        <w:trPr>
          <w:jc w:val="center"/>
        </w:trPr>
        <w:tc>
          <w:tcPr>
            <w:tcW w:type="dxa" w:w="720"/>
            <w:vAlign w:val="center"/>
          </w:tcPr>
          <w:p w14:paraId="59AA2BC1"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7</w:t>
            </w:r>
          </w:p>
        </w:tc>
        <w:tc>
          <w:tcPr>
            <w:tcW w:type="dxa" w:w="3357"/>
            <w:vAlign w:val="center"/>
          </w:tcPr>
          <w:p w14:paraId="705D6B78" w14:textId="77777777" w:rsidR="00D06738" w:rsidRDefault="00454D20" w:rsidRPr="00FF6B9A">
            <w:pPr>
              <w:jc w:val="left"/>
              <w:rPr>
                <w:rFonts w:eastAsiaTheme="minorEastAsia"/>
                <w:color w:themeColor="text1" w:val="000000"/>
                <w:kern w:val="0"/>
              </w:rPr>
            </w:pPr>
            <w:r w:rsidRPr="00FF6B9A">
              <w:rPr>
                <w:rFonts w:eastAsiaTheme="minorEastAsia"/>
                <w:color w:themeColor="text1" w:val="000000"/>
                <w:kern w:val="0"/>
              </w:rPr>
              <w:t>其他各项资产</w:t>
            </w:r>
          </w:p>
        </w:tc>
        <w:tc>
          <w:tcPr>
            <w:tcW w:type="dxa" w:w="2977"/>
            <w:vAlign w:val="center"/>
          </w:tcPr>
          <w:p w14:paraId="4AF0CB10"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605,258.69</w:t>
            </w:r>
          </w:p>
        </w:tc>
        <w:tc>
          <w:tcPr>
            <w:tcW w:type="dxa" w:w="1843"/>
            <w:vAlign w:val="center"/>
          </w:tcPr>
          <w:p w14:paraId="12AAF10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2.88</w:t>
            </w:r>
          </w:p>
        </w:tc>
      </w:tr>
      <w:tr w14:paraId="4D6FFA71" w14:textId="77777777" w:rsidR="00D06738" w:rsidRPr="00FF6B9A">
        <w:trPr>
          <w:jc w:val="center"/>
        </w:trPr>
        <w:tc>
          <w:tcPr>
            <w:tcW w:type="dxa" w:w="720"/>
            <w:vAlign w:val="center"/>
          </w:tcPr>
          <w:p w14:paraId="17A180E6" w14:textId="77777777" w:rsidR="00D06738" w:rsidRDefault="00454D20" w:rsidRPr="00FF6B9A">
            <w:pPr>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8</w:t>
            </w:r>
          </w:p>
        </w:tc>
        <w:tc>
          <w:tcPr>
            <w:tcW w:type="dxa" w:w="3357"/>
            <w:vAlign w:val="center"/>
          </w:tcPr>
          <w:p w14:paraId="29DAA7F6" w14:textId="77777777" w:rsidR="00D06738" w:rsidRDefault="00454D20" w:rsidRPr="00FF6B9A">
            <w:pPr>
              <w:jc w:val="left"/>
              <w:rPr>
                <w:rFonts w:eastAsiaTheme="minorEastAsia"/>
                <w:color w:themeColor="text1" w:val="000000"/>
                <w:kern w:val="0"/>
              </w:rPr>
            </w:pPr>
            <w:r w:rsidRPr="00FF6B9A">
              <w:rPr>
                <w:rFonts w:eastAsiaTheme="minorEastAsia"/>
                <w:color w:themeColor="text1" w:val="000000"/>
                <w:kern w:val="0"/>
              </w:rPr>
              <w:t>合计</w:t>
            </w:r>
          </w:p>
        </w:tc>
        <w:tc>
          <w:tcPr>
            <w:tcW w:type="dxa" w:w="2977"/>
            <w:vAlign w:val="center"/>
          </w:tcPr>
          <w:p w14:paraId="446A48E1"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20,998,325.23</w:t>
            </w:r>
          </w:p>
        </w:tc>
        <w:tc>
          <w:tcPr>
            <w:tcW w:type="dxa" w:w="1843"/>
            <w:vAlign w:val="center"/>
          </w:tcPr>
          <w:p w14:paraId="3C7AC8A3"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100.00</w:t>
            </w:r>
          </w:p>
        </w:tc>
      </w:tr>
    </w:tbl>
    <w:p w14:paraId="6175743F" w14:textId="77777777" w:rsidR="00D06738" w:rsidRDefault="00D06738" w:rsidRPr="00FF6B9A">
      <w:pPr>
        <w:autoSpaceDE w:val="0"/>
        <w:autoSpaceDN w:val="0"/>
        <w:adjustRightInd w:val="0"/>
        <w:spacing w:line="360" w:lineRule="auto"/>
        <w:jc w:val="left"/>
        <w:rPr>
          <w:rFonts w:eastAsiaTheme="minorEastAsia"/>
          <w:color w:themeColor="text1" w:val="000000"/>
          <w:sz w:val="24"/>
          <w:szCs w:val="24"/>
        </w:rPr>
      </w:pPr>
    </w:p>
    <w:p w14:paraId="71F975B1"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5.2 </w:t>
      </w:r>
      <w:r w:rsidRPr="00FF6B9A">
        <w:rPr>
          <w:rFonts w:eastAsiaTheme="minorEastAsia"/>
          <w:b/>
          <w:bCs/>
          <w:color w:themeColor="text1" w:val="000000"/>
          <w:kern w:val="0"/>
          <w:sz w:val="24"/>
          <w:szCs w:val="24"/>
        </w:rPr>
        <w:t>报告期末按行业分类的股票投资组合</w:t>
      </w:r>
    </w:p>
    <w:p w14:paraId="0A24FB38" w14:textId="77777777" w:rsidR="00D06738" w:rsidRDefault="00454D20" w:rsidRPr="00FF6B9A">
      <w:pPr>
        <w:rPr>
          <w:b/>
        </w:rPr>
      </w:pPr>
      <w:r w:rsidRPr="00FF6B9A">
        <w:rPr>
          <w:b/>
          <w:color w:themeColor="text1" w:val="000000"/>
        </w:rPr>
        <w:t/>
      </w:r>
      <w:proofErr w:type="spellStart"/>
      <w:r w:rsidRPr="00FF6B9A">
        <w:rPr>
          <w:b/>
          <w:color w:themeColor="text1" w:val="000000"/>
        </w:rPr>
        <w:t/>
      </w:r>
      <w:proofErr w:type="spellEnd"/>
      <w:r w:rsidRPr="00FF6B9A">
        <w:rPr>
          <w:b/>
          <w:color w:themeColor="text1" w:val="000000"/>
        </w:rPr>
        <w:t/>
      </w:r>
      <w:r w:rsidRPr="00FF6B9A">
        <w:rPr>
          <w:rFonts w:eastAsiaTheme="minorEastAsia"/>
          <w:b/>
          <w:color w:themeColor="text1" w:val="000000"/>
          <w:kern w:val="0"/>
        </w:rPr>
        <w:t>5.2.1</w:t>
      </w:r>
      <w:r w:rsidRPr="00FF6B9A">
        <w:rPr>
          <w:rFonts w:eastAsiaTheme="minor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rsidRPr="00FF6B9A">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代码</w:t>
            </w: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占基金资产净值比例（％）</w:t>
            </w:r>
          </w:p>
        </w:tc>
      </w:tr>
      <w:tr w14:paraId="651FF96F"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2B8EF369"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904,910.00</w:t>
            </w:r>
          </w:p>
          <w:p w14:paraId="72CB0322" w14:textId="77777777" w:rsidR="00D06738" w:rsidRDefault="00D06738" w:rsidRPr="00FF6B9A">
            <w:pPr>
              <w:jc w:val="right"/>
              <w:rPr>
                <w:rFonts w:eastAsia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4.42</w:t>
            </w:r>
          </w:p>
          <w:p w14:paraId="5DCD6455" w14:textId="77777777" w:rsidR="00D06738" w:rsidRDefault="00D06738" w:rsidRPr="00FF6B9A">
            <w:pPr>
              <w:jc w:val="right"/>
              <w:rPr>
                <w:rFonts w:eastAsiaTheme="minorEastAsia"/>
                <w:color w:themeColor="text1" w:val="000000"/>
                <w:kern w:val="0"/>
              </w:rPr>
            </w:pPr>
          </w:p>
        </w:tc>
      </w:tr>
      <w:tr w14:paraId="3470B292"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13,682,636.16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66.88</w:t>
            </w:r>
          </w:p>
        </w:tc>
      </w:tr>
      <w:tr w14:paraId="53F8CFEC"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w:t>
            </w:r>
          </w:p>
        </w:tc>
      </w:tr>
      <w:tr w14:paraId="1B8429AC"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25A56BDE"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283,128.00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1.38</w:t>
            </w:r>
          </w:p>
        </w:tc>
      </w:tr>
      <w:tr w14:paraId="68AD7C4C"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538,056.00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2.63</w:t>
            </w:r>
          </w:p>
        </w:tc>
      </w:tr>
      <w:tr w14:paraId="545862F1"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4EB68E1B"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705,836.12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3.45</w:t>
            </w:r>
          </w:p>
        </w:tc>
      </w:tr>
      <w:tr w14:paraId="379675A7"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3FE1377D"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66630310"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07EC249A"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69D921F3"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w:t>
            </w:r>
          </w:p>
        </w:tc>
      </w:tr>
      <w:tr w14:paraId="090E46DF"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r w:rsidRPr="00FF6B9A">
              <w:rPr>
                <w:rFonts w:eastAsiaTheme="minorEastAsia"/>
                <w:color w:themeColor="text1" w:val="000000"/>
                <w:kern w:val="0"/>
              </w:rPr>
              <w:lastRenderedPageBreak/>
              <w:t/>
            </w:r>
            <w:proofErr w:type="spellEnd"/>
            <w:r w:rsidRPr="00FF6B9A">
              <w:rPr>
                <w:rFonts w:eastAsiaTheme="minorEastAsia"/>
                <w:color w:themeColor="text1" w:val="000000"/>
                <w:kern w:val="0"/>
              </w:rPr>
              <w:t>-</w:t>
            </w:r>
          </w:p>
        </w:tc>
      </w:tr>
      <w:tr w14:paraId="684B91C8"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58A809B6"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0C10CFD7"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78F46200"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rsidRPr="00FF6B9A">
            <w:pPr>
              <w:adjustRightInd w:val="0"/>
              <w:snapToGrid w:val="0"/>
              <w:spacing w:line="400" w:lineRule="exact"/>
              <w:jc w:val="center"/>
              <w:rPr>
                <w:rFonts w:eastAsiaTheme="minorEastAsia"/>
                <w:color w:themeColor="text1" w:val="000000"/>
                <w:kern w:val="0"/>
              </w:rPr>
            </w:pPr>
            <w:r w:rsidRPr="00FF6B9A">
              <w:rPr>
                <w:rFonts w:eastAsia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5AD397BD" w14:textId="77777777" w:rsidR="00D06738" w:rsidRPr="00FF6B9A">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rsidRPr="00FF6B9A">
            <w:pPr>
              <w:adjustRightInd w:val="0"/>
              <w:snapToGrid w:val="0"/>
              <w:spacing w:line="400" w:lineRule="exact"/>
              <w:jc w:val="center"/>
              <w:rPr>
                <w:rFonts w:eastAsia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rsidRPr="00FF6B9A">
            <w:pPr>
              <w:adjustRightInd w:val="0"/>
              <w:snapToGrid w:val="0"/>
              <w:spacing w:line="400" w:lineRule="exact"/>
              <w:rPr>
                <w:rFonts w:eastAsiaTheme="minorEastAsia"/>
                <w:color w:themeColor="text1" w:val="000000"/>
                <w:kern w:val="0"/>
              </w:rPr>
            </w:pPr>
            <w:r w:rsidRPr="00FF6B9A">
              <w:rPr>
                <w:rFonts w:eastAsia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16,114,566.28</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rsidRPr="00FF6B9A">
            <w:pPr>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78.77</w:t>
            </w:r>
          </w:p>
        </w:tc>
      </w:tr>
    </w:tbl>
    <w:p w14:paraId="0F45C821"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40B00694" w14:textId="77777777" w:rsidP="00FF6B9A" w:rsidR="00FF6B9A" w:rsidRDefault="00FF6B9A" w:rsidRPr="00FF6B9A">
      <w:pPr>
        <w:spacing w:line="360" w:lineRule="auto"/>
        <w:rPr>
          <w:rFonts w:eastAsiaTheme="minorEastAsia"/>
          <w:sz w:val="24"/>
          <w:szCs w:val="24"/>
        </w:rPr>
      </w:pPr>
      <w:bookmarkStart w:id="3"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type="auto" w:w="0"/>
        <w:tblLayout w:type="fixed"/>
        <w:tblLook w:firstColumn="1" w:firstRow="1" w:lastColumn="0" w:lastRow="0" w:noHBand="0" w:noVBand="1" w:val="04A0"/>
      </w:tblPr>
      <w:tblGrid>
        <w:gridCol w:w="817"/>
        <w:gridCol w:w="1276"/>
        <w:gridCol w:w="1701"/>
        <w:gridCol w:w="1276"/>
        <w:gridCol w:w="1842"/>
        <w:gridCol w:w="1616"/>
      </w:tblGrid>
      <w:tr w14:paraId="6EFFF3EB" w14:textId="77777777" w:rsidR="00FF6B9A" w:rsidRPr="00FF6B9A" w:rsidTr="00D913A1">
        <w:tc>
          <w:tcPr>
            <w:tcW w:type="dxa" w:w="817"/>
            <w:vAlign w:val="center"/>
          </w:tcPr>
          <w:p w14:paraId="3BF93561" w14:textId="77777777" w:rsidP="00D913A1" w:rsidR="00FF6B9A" w:rsidRDefault="00FF6B9A" w:rsidRPr="00FF6B9A">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type="dxa" w:w="1276"/>
            <w:vAlign w:val="center"/>
          </w:tcPr>
          <w:p w14:paraId="6281AD5E" w14:textId="77777777" w:rsidP="00D913A1" w:rsidR="00FF6B9A" w:rsidRDefault="00FF6B9A" w:rsidRPr="00FF6B9A">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type="dxa" w:w="1701"/>
            <w:vAlign w:val="center"/>
          </w:tcPr>
          <w:p w14:paraId="23E4D4E7" w14:textId="77777777" w:rsidP="00D913A1" w:rsidR="00FF6B9A" w:rsidRDefault="00FF6B9A" w:rsidRPr="00FF6B9A">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type="dxa" w:w="1276"/>
            <w:vAlign w:val="center"/>
          </w:tcPr>
          <w:p w14:paraId="1CC86F06" w14:textId="77777777" w:rsidP="00D913A1" w:rsidR="00FF6B9A" w:rsidRDefault="00FF6B9A" w:rsidRPr="00FF6B9A">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type="dxa" w:w="1842"/>
            <w:vAlign w:val="center"/>
          </w:tcPr>
          <w:p w14:paraId="5057E922" w14:textId="77777777" w:rsidP="00D913A1" w:rsidR="00FF6B9A" w:rsidRDefault="00FF6B9A" w:rsidRPr="00FF6B9A">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type="dxa" w:w="1616"/>
            <w:vAlign w:val="center"/>
          </w:tcPr>
          <w:p w14:paraId="5797A0C8" w14:textId="77777777" w:rsidP="00D913A1" w:rsidR="00FF6B9A" w:rsidRDefault="00FF6B9A" w:rsidRPr="00FF6B9A">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tc>
          <w:tcPr>
            <w:vAlign w:val="center"/>
          </w:tcPr>
          <w:p>
            <w:pPr>
              <w:jc w:val="center"/>
            </w:pPr>
            <w:r>
              <w:rPr>
                <w:rFonts w:eastAsiaTheme="minorEastAsia"/>
                <w:kern w:val="0"/>
                <w:sz w:val="24"/>
                <w:szCs w:val="24"/>
              </w:rPr>
              <w:t>1</w:t>
            </w:r>
          </w:p>
        </w:tc>
        <w:tc>
          <w:tcPr>
            <w:vAlign w:val="center"/>
          </w:tcPr>
          <w:p>
            <w:pPr>
              <w:jc w:val="center"/>
            </w:pPr>
            <w:r>
              <w:rPr>
                <w:rFonts w:eastAsiaTheme="minorEastAsia"/>
                <w:kern w:val="0"/>
                <w:sz w:val="24"/>
                <w:szCs w:val="24"/>
              </w:rPr>
              <w:t>603055</w:t>
            </w:r>
          </w:p>
        </w:tc>
        <w:tc>
          <w:tcPr>
            <w:vAlign w:val="center"/>
          </w:tcPr>
          <w:p>
            <w:pPr>
              <w:jc w:val="center"/>
            </w:pPr>
            <w:r>
              <w:rPr>
                <w:rFonts w:eastAsiaTheme="minorEastAsia"/>
                <w:kern w:val="0"/>
                <w:sz w:val="24"/>
                <w:szCs w:val="24"/>
              </w:rPr>
              <w:t>台华新材</w:t>
            </w:r>
          </w:p>
        </w:tc>
        <w:tc>
          <w:tcPr>
            <w:vAlign w:val="center"/>
          </w:tcPr>
          <w:p>
            <w:pPr>
              <w:jc w:val="right"/>
            </w:pPr>
            <w:r>
              <w:rPr>
                <w:rFonts w:eastAsiaTheme="minorEastAsia"/>
                <w:kern w:val="0"/>
                <w:sz w:val="24"/>
                <w:szCs w:val="24"/>
              </w:rPr>
              <w:t>57,500.00</w:t>
            </w:r>
          </w:p>
        </w:tc>
        <w:tc>
          <w:tcPr>
            <w:vAlign w:val="center"/>
          </w:tcPr>
          <w:p>
            <w:pPr>
              <w:jc w:val="right"/>
            </w:pPr>
            <w:r>
              <w:rPr>
                <w:rFonts w:eastAsiaTheme="minorEastAsia"/>
                <w:kern w:val="0"/>
                <w:sz w:val="24"/>
                <w:szCs w:val="24"/>
              </w:rPr>
              <w:t>941,850.00</w:t>
            </w:r>
          </w:p>
        </w:tc>
        <w:tc>
          <w:tcPr>
            <w:vAlign w:val="center"/>
          </w:tcPr>
          <w:p>
            <w:pPr>
              <w:jc w:val="right"/>
            </w:pPr>
            <w:r>
              <w:rPr>
                <w:rFonts w:eastAsiaTheme="minorEastAsia"/>
                <w:kern w:val="0"/>
                <w:sz w:val="24"/>
                <w:szCs w:val="24"/>
              </w:rPr>
              <w:t>4.60</w:t>
            </w:r>
          </w:p>
        </w:tc>
      </w:tr>
      <w:tr>
        <w:tc>
          <w:tcPr>
            <w:vAlign w:val="center"/>
          </w:tcPr>
          <w:p>
            <w:pPr>
              <w:jc w:val="center"/>
            </w:pPr>
            <w:r>
              <w:rPr>
                <w:rFonts w:eastAsiaTheme="minorEastAsia"/>
                <w:kern w:val="0"/>
                <w:sz w:val="24"/>
                <w:szCs w:val="24"/>
              </w:rPr>
              <w:t>2</w:t>
            </w:r>
          </w:p>
        </w:tc>
        <w:tc>
          <w:tcPr>
            <w:vAlign w:val="center"/>
          </w:tcPr>
          <w:p>
            <w:pPr>
              <w:jc w:val="center"/>
            </w:pPr>
            <w:r>
              <w:rPr>
                <w:rFonts w:eastAsiaTheme="minorEastAsia"/>
                <w:kern w:val="0"/>
                <w:sz w:val="24"/>
                <w:szCs w:val="24"/>
              </w:rPr>
              <w:t>300772</w:t>
            </w:r>
          </w:p>
        </w:tc>
        <w:tc>
          <w:tcPr>
            <w:vAlign w:val="center"/>
          </w:tcPr>
          <w:p>
            <w:pPr>
              <w:jc w:val="center"/>
            </w:pPr>
            <w:r>
              <w:rPr>
                <w:rFonts w:eastAsiaTheme="minorEastAsia"/>
                <w:kern w:val="0"/>
                <w:sz w:val="24"/>
                <w:szCs w:val="24"/>
              </w:rPr>
              <w:t>运达股份</w:t>
            </w:r>
          </w:p>
        </w:tc>
        <w:tc>
          <w:tcPr>
            <w:vAlign w:val="center"/>
          </w:tcPr>
          <w:p>
            <w:pPr>
              <w:jc w:val="right"/>
            </w:pPr>
            <w:r>
              <w:rPr>
                <w:rFonts w:eastAsiaTheme="minorEastAsia"/>
                <w:kern w:val="0"/>
                <w:sz w:val="24"/>
                <w:szCs w:val="24"/>
              </w:rPr>
              <w:t>17,500.00</w:t>
            </w:r>
          </w:p>
        </w:tc>
        <w:tc>
          <w:tcPr>
            <w:vAlign w:val="center"/>
          </w:tcPr>
          <w:p>
            <w:pPr>
              <w:jc w:val="right"/>
            </w:pPr>
            <w:r>
              <w:rPr>
                <w:rFonts w:eastAsiaTheme="minorEastAsia"/>
                <w:kern w:val="0"/>
                <w:sz w:val="24"/>
                <w:szCs w:val="24"/>
              </w:rPr>
              <w:t>915,250.00</w:t>
            </w:r>
          </w:p>
        </w:tc>
        <w:tc>
          <w:tcPr>
            <w:vAlign w:val="center"/>
          </w:tcPr>
          <w:p>
            <w:pPr>
              <w:jc w:val="right"/>
            </w:pPr>
            <w:r>
              <w:rPr>
                <w:rFonts w:eastAsiaTheme="minorEastAsia"/>
                <w:kern w:val="0"/>
                <w:sz w:val="24"/>
                <w:szCs w:val="24"/>
              </w:rPr>
              <w:t>4.47</w:t>
            </w:r>
          </w:p>
        </w:tc>
      </w:tr>
      <w:tr>
        <w:tc>
          <w:tcPr>
            <w:vAlign w:val="center"/>
          </w:tcPr>
          <w:p>
            <w:pPr>
              <w:jc w:val="center"/>
            </w:pPr>
            <w:r>
              <w:rPr>
                <w:rFonts w:eastAsiaTheme="minorEastAsia"/>
                <w:kern w:val="0"/>
                <w:sz w:val="24"/>
                <w:szCs w:val="24"/>
              </w:rPr>
              <w:t>3</w:t>
            </w:r>
          </w:p>
        </w:tc>
        <w:tc>
          <w:tcPr>
            <w:vAlign w:val="center"/>
          </w:tcPr>
          <w:p>
            <w:pPr>
              <w:jc w:val="center"/>
            </w:pPr>
            <w:r>
              <w:rPr>
                <w:rFonts w:eastAsiaTheme="minorEastAsia"/>
                <w:kern w:val="0"/>
                <w:sz w:val="24"/>
                <w:szCs w:val="24"/>
              </w:rPr>
              <w:t>300037</w:t>
            </w:r>
          </w:p>
        </w:tc>
        <w:tc>
          <w:tcPr>
            <w:vAlign w:val="center"/>
          </w:tcPr>
          <w:p>
            <w:pPr>
              <w:jc w:val="center"/>
            </w:pPr>
            <w:r>
              <w:rPr>
                <w:rFonts w:eastAsiaTheme="minorEastAsia"/>
                <w:kern w:val="0"/>
                <w:sz w:val="24"/>
                <w:szCs w:val="24"/>
              </w:rPr>
              <w:t>新宙邦</w:t>
            </w:r>
          </w:p>
        </w:tc>
        <w:tc>
          <w:tcPr>
            <w:vAlign w:val="center"/>
          </w:tcPr>
          <w:p>
            <w:pPr>
              <w:jc w:val="right"/>
            </w:pPr>
            <w:r>
              <w:rPr>
                <w:rFonts w:eastAsiaTheme="minorEastAsia"/>
                <w:kern w:val="0"/>
                <w:sz w:val="24"/>
                <w:szCs w:val="24"/>
              </w:rPr>
              <w:t>5,000.00</w:t>
            </w:r>
          </w:p>
        </w:tc>
        <w:tc>
          <w:tcPr>
            <w:vAlign w:val="center"/>
          </w:tcPr>
          <w:p>
            <w:pPr>
              <w:jc w:val="right"/>
            </w:pPr>
            <w:r>
              <w:rPr>
                <w:rFonts w:eastAsiaTheme="minorEastAsia"/>
                <w:kern w:val="0"/>
                <w:sz w:val="24"/>
                <w:szCs w:val="24"/>
              </w:rPr>
              <w:t>775,000.00</w:t>
            </w:r>
          </w:p>
        </w:tc>
        <w:tc>
          <w:tcPr>
            <w:vAlign w:val="center"/>
          </w:tcPr>
          <w:p>
            <w:pPr>
              <w:jc w:val="right"/>
            </w:pPr>
            <w:r>
              <w:rPr>
                <w:rFonts w:eastAsiaTheme="minorEastAsia"/>
                <w:kern w:val="0"/>
                <w:sz w:val="24"/>
                <w:szCs w:val="24"/>
              </w:rPr>
              <w:t>3.79</w:t>
            </w:r>
          </w:p>
        </w:tc>
      </w:tr>
      <w:tr>
        <w:tc>
          <w:tcPr>
            <w:vAlign w:val="center"/>
          </w:tcPr>
          <w:p>
            <w:pPr>
              <w:jc w:val="center"/>
            </w:pPr>
            <w:r>
              <w:rPr>
                <w:rFonts w:eastAsiaTheme="minorEastAsia"/>
                <w:kern w:val="0"/>
                <w:sz w:val="24"/>
                <w:szCs w:val="24"/>
              </w:rPr>
              <w:t>4</w:t>
            </w:r>
          </w:p>
        </w:tc>
        <w:tc>
          <w:tcPr>
            <w:vAlign w:val="center"/>
          </w:tcPr>
          <w:p>
            <w:pPr>
              <w:jc w:val="center"/>
            </w:pPr>
            <w:r>
              <w:rPr>
                <w:rFonts w:eastAsiaTheme="minorEastAsia"/>
                <w:kern w:val="0"/>
                <w:sz w:val="24"/>
                <w:szCs w:val="24"/>
              </w:rPr>
              <w:t>688188</w:t>
            </w:r>
          </w:p>
        </w:tc>
        <w:tc>
          <w:tcPr>
            <w:vAlign w:val="center"/>
          </w:tcPr>
          <w:p>
            <w:pPr>
              <w:jc w:val="center"/>
            </w:pPr>
            <w:r>
              <w:rPr>
                <w:rFonts w:eastAsiaTheme="minorEastAsia"/>
                <w:kern w:val="0"/>
                <w:sz w:val="24"/>
                <w:szCs w:val="24"/>
              </w:rPr>
              <w:t>柏楚电子</w:t>
            </w:r>
          </w:p>
        </w:tc>
        <w:tc>
          <w:tcPr>
            <w:vAlign w:val="center"/>
          </w:tcPr>
          <w:p>
            <w:pPr>
              <w:jc w:val="right"/>
            </w:pPr>
            <w:r>
              <w:rPr>
                <w:rFonts w:eastAsiaTheme="minorEastAsia"/>
                <w:kern w:val="0"/>
                <w:sz w:val="24"/>
                <w:szCs w:val="24"/>
              </w:rPr>
              <w:t>1,609.00</w:t>
            </w:r>
          </w:p>
        </w:tc>
        <w:tc>
          <w:tcPr>
            <w:vAlign w:val="center"/>
          </w:tcPr>
          <w:p>
            <w:pPr>
              <w:jc w:val="right"/>
            </w:pPr>
            <w:r>
              <w:rPr>
                <w:rFonts w:eastAsiaTheme="minorEastAsia"/>
                <w:kern w:val="0"/>
                <w:sz w:val="24"/>
                <w:szCs w:val="24"/>
              </w:rPr>
              <w:t>705,836.12</w:t>
            </w:r>
          </w:p>
        </w:tc>
        <w:tc>
          <w:tcPr>
            <w:vAlign w:val="center"/>
          </w:tcPr>
          <w:p>
            <w:pPr>
              <w:jc w:val="right"/>
            </w:pPr>
            <w:r>
              <w:rPr>
                <w:rFonts w:eastAsiaTheme="minorEastAsia"/>
                <w:kern w:val="0"/>
                <w:sz w:val="24"/>
                <w:szCs w:val="24"/>
              </w:rPr>
              <w:t>3.45</w:t>
            </w:r>
          </w:p>
        </w:tc>
      </w:tr>
      <w:tr>
        <w:tc>
          <w:tcPr>
            <w:vAlign w:val="center"/>
          </w:tcPr>
          <w:p>
            <w:pPr>
              <w:jc w:val="center"/>
            </w:pPr>
            <w:r>
              <w:rPr>
                <w:rFonts w:eastAsiaTheme="minorEastAsia"/>
                <w:kern w:val="0"/>
                <w:sz w:val="24"/>
                <w:szCs w:val="24"/>
              </w:rPr>
              <w:t>5</w:t>
            </w:r>
          </w:p>
        </w:tc>
        <w:tc>
          <w:tcPr>
            <w:vAlign w:val="center"/>
          </w:tcPr>
          <w:p>
            <w:pPr>
              <w:jc w:val="center"/>
            </w:pPr>
            <w:r>
              <w:rPr>
                <w:rFonts w:eastAsiaTheme="minorEastAsia"/>
                <w:kern w:val="0"/>
                <w:sz w:val="24"/>
                <w:szCs w:val="24"/>
              </w:rPr>
              <w:t>002531</w:t>
            </w:r>
          </w:p>
        </w:tc>
        <w:tc>
          <w:tcPr>
            <w:vAlign w:val="center"/>
          </w:tcPr>
          <w:p>
            <w:pPr>
              <w:jc w:val="center"/>
            </w:pPr>
            <w:r>
              <w:rPr>
                <w:rFonts w:eastAsiaTheme="minorEastAsia"/>
                <w:kern w:val="0"/>
                <w:sz w:val="24"/>
                <w:szCs w:val="24"/>
              </w:rPr>
              <w:t>天顺风能</w:t>
            </w:r>
          </w:p>
        </w:tc>
        <w:tc>
          <w:tcPr>
            <w:vAlign w:val="center"/>
          </w:tcPr>
          <w:p>
            <w:pPr>
              <w:jc w:val="right"/>
            </w:pPr>
            <w:r>
              <w:rPr>
                <w:rFonts w:eastAsiaTheme="minorEastAsia"/>
                <w:kern w:val="0"/>
                <w:sz w:val="24"/>
                <w:szCs w:val="24"/>
              </w:rPr>
              <w:t>39,300.00</w:t>
            </w:r>
          </w:p>
        </w:tc>
        <w:tc>
          <w:tcPr>
            <w:vAlign w:val="center"/>
          </w:tcPr>
          <w:p>
            <w:pPr>
              <w:jc w:val="right"/>
            </w:pPr>
            <w:r>
              <w:rPr>
                <w:rFonts w:eastAsiaTheme="minorEastAsia"/>
                <w:kern w:val="0"/>
                <w:sz w:val="24"/>
                <w:szCs w:val="24"/>
              </w:rPr>
              <w:t>697,575.00</w:t>
            </w:r>
          </w:p>
        </w:tc>
        <w:tc>
          <w:tcPr>
            <w:vAlign w:val="center"/>
          </w:tcPr>
          <w:p>
            <w:pPr>
              <w:jc w:val="right"/>
            </w:pPr>
            <w:r>
              <w:rPr>
                <w:rFonts w:eastAsiaTheme="minorEastAsia"/>
                <w:kern w:val="0"/>
                <w:sz w:val="24"/>
                <w:szCs w:val="24"/>
              </w:rPr>
              <w:t>3.41</w:t>
            </w:r>
          </w:p>
        </w:tc>
      </w:tr>
      <w:tr>
        <w:tc>
          <w:tcPr>
            <w:vAlign w:val="center"/>
          </w:tcPr>
          <w:p>
            <w:pPr>
              <w:jc w:val="center"/>
            </w:pPr>
            <w:r>
              <w:rPr>
                <w:rFonts w:eastAsiaTheme="minorEastAsia"/>
                <w:kern w:val="0"/>
                <w:sz w:val="24"/>
                <w:szCs w:val="24"/>
              </w:rPr>
              <w:t>6</w:t>
            </w:r>
          </w:p>
        </w:tc>
        <w:tc>
          <w:tcPr>
            <w:vAlign w:val="center"/>
          </w:tcPr>
          <w:p>
            <w:pPr>
              <w:jc w:val="center"/>
            </w:pPr>
            <w:r>
              <w:rPr>
                <w:rFonts w:eastAsiaTheme="minorEastAsia"/>
                <w:kern w:val="0"/>
                <w:sz w:val="24"/>
                <w:szCs w:val="24"/>
              </w:rPr>
              <w:t>002080</w:t>
            </w:r>
          </w:p>
        </w:tc>
        <w:tc>
          <w:tcPr>
            <w:vAlign w:val="center"/>
          </w:tcPr>
          <w:p>
            <w:pPr>
              <w:jc w:val="center"/>
            </w:pPr>
            <w:r>
              <w:rPr>
                <w:rFonts w:eastAsiaTheme="minorEastAsia"/>
                <w:kern w:val="0"/>
                <w:sz w:val="24"/>
                <w:szCs w:val="24"/>
              </w:rPr>
              <w:t>中材科技</w:t>
            </w:r>
          </w:p>
        </w:tc>
        <w:tc>
          <w:tcPr>
            <w:vAlign w:val="center"/>
          </w:tcPr>
          <w:p>
            <w:pPr>
              <w:jc w:val="right"/>
            </w:pPr>
            <w:r>
              <w:rPr>
                <w:rFonts w:eastAsiaTheme="minorEastAsia"/>
                <w:kern w:val="0"/>
                <w:sz w:val="24"/>
                <w:szCs w:val="24"/>
              </w:rPr>
              <w:t>18,200.00</w:t>
            </w:r>
          </w:p>
        </w:tc>
        <w:tc>
          <w:tcPr>
            <w:vAlign w:val="center"/>
          </w:tcPr>
          <w:p>
            <w:pPr>
              <w:jc w:val="right"/>
            </w:pPr>
            <w:r>
              <w:rPr>
                <w:rFonts w:eastAsiaTheme="minorEastAsia"/>
                <w:kern w:val="0"/>
                <w:sz w:val="24"/>
                <w:szCs w:val="24"/>
              </w:rPr>
              <w:t>644,280.00</w:t>
            </w:r>
          </w:p>
        </w:tc>
        <w:tc>
          <w:tcPr>
            <w:vAlign w:val="center"/>
          </w:tcPr>
          <w:p>
            <w:pPr>
              <w:jc w:val="right"/>
            </w:pPr>
            <w:r>
              <w:rPr>
                <w:rFonts w:eastAsiaTheme="minorEastAsia"/>
                <w:kern w:val="0"/>
                <w:sz w:val="24"/>
                <w:szCs w:val="24"/>
              </w:rPr>
              <w:t>3.15</w:t>
            </w:r>
          </w:p>
        </w:tc>
      </w:tr>
      <w:tr>
        <w:tc>
          <w:tcPr>
            <w:vAlign w:val="center"/>
          </w:tcPr>
          <w:p>
            <w:pPr>
              <w:jc w:val="center"/>
            </w:pPr>
            <w:r>
              <w:rPr>
                <w:rFonts w:eastAsiaTheme="minorEastAsia"/>
                <w:kern w:val="0"/>
                <w:sz w:val="24"/>
                <w:szCs w:val="24"/>
              </w:rPr>
              <w:t>7</w:t>
            </w:r>
          </w:p>
        </w:tc>
        <w:tc>
          <w:tcPr>
            <w:vAlign w:val="center"/>
          </w:tcPr>
          <w:p>
            <w:pPr>
              <w:jc w:val="center"/>
            </w:pPr>
            <w:r>
              <w:rPr>
                <w:rFonts w:eastAsiaTheme="minorEastAsia"/>
                <w:kern w:val="0"/>
                <w:sz w:val="24"/>
                <w:szCs w:val="24"/>
              </w:rPr>
              <w:t>600873</w:t>
            </w:r>
          </w:p>
        </w:tc>
        <w:tc>
          <w:tcPr>
            <w:vAlign w:val="center"/>
          </w:tcPr>
          <w:p>
            <w:pPr>
              <w:jc w:val="center"/>
            </w:pPr>
            <w:r>
              <w:rPr>
                <w:rFonts w:eastAsiaTheme="minorEastAsia"/>
                <w:kern w:val="0"/>
                <w:sz w:val="24"/>
                <w:szCs w:val="24"/>
              </w:rPr>
              <w:t>梅花生物</w:t>
            </w:r>
          </w:p>
        </w:tc>
        <w:tc>
          <w:tcPr>
            <w:vAlign w:val="center"/>
          </w:tcPr>
          <w:p>
            <w:pPr>
              <w:jc w:val="right"/>
            </w:pPr>
            <w:r>
              <w:rPr>
                <w:rFonts w:eastAsiaTheme="minorEastAsia"/>
                <w:kern w:val="0"/>
                <w:sz w:val="24"/>
                <w:szCs w:val="24"/>
              </w:rPr>
              <w:t>94,300.00</w:t>
            </w:r>
          </w:p>
        </w:tc>
        <w:tc>
          <w:tcPr>
            <w:vAlign w:val="center"/>
          </w:tcPr>
          <w:p>
            <w:pPr>
              <w:jc w:val="right"/>
            </w:pPr>
            <w:r>
              <w:rPr>
                <w:rFonts w:eastAsiaTheme="minorEastAsia"/>
                <w:kern w:val="0"/>
                <w:sz w:val="24"/>
                <w:szCs w:val="24"/>
              </w:rPr>
              <w:t>633,696.00</w:t>
            </w:r>
          </w:p>
        </w:tc>
        <w:tc>
          <w:tcPr>
            <w:vAlign w:val="center"/>
          </w:tcPr>
          <w:p>
            <w:pPr>
              <w:jc w:val="right"/>
            </w:pPr>
            <w:r>
              <w:rPr>
                <w:rFonts w:eastAsiaTheme="minorEastAsia"/>
                <w:kern w:val="0"/>
                <w:sz w:val="24"/>
                <w:szCs w:val="24"/>
              </w:rPr>
              <w:t>3.10</w:t>
            </w:r>
          </w:p>
        </w:tc>
      </w:tr>
      <w:tr>
        <w:tc>
          <w:tcPr>
            <w:vAlign w:val="center"/>
          </w:tcPr>
          <w:p>
            <w:pPr>
              <w:jc w:val="center"/>
            </w:pPr>
            <w:r>
              <w:rPr>
                <w:rFonts w:eastAsiaTheme="minorEastAsia"/>
                <w:kern w:val="0"/>
                <w:sz w:val="24"/>
                <w:szCs w:val="24"/>
              </w:rPr>
              <w:t>8</w:t>
            </w:r>
          </w:p>
        </w:tc>
        <w:tc>
          <w:tcPr>
            <w:vAlign w:val="center"/>
          </w:tcPr>
          <w:p>
            <w:pPr>
              <w:jc w:val="center"/>
            </w:pPr>
            <w:r>
              <w:rPr>
                <w:rFonts w:eastAsiaTheme="minorEastAsia"/>
                <w:kern w:val="0"/>
                <w:sz w:val="24"/>
                <w:szCs w:val="24"/>
              </w:rPr>
              <w:t>600089</w:t>
            </w:r>
          </w:p>
        </w:tc>
        <w:tc>
          <w:tcPr>
            <w:vAlign w:val="center"/>
          </w:tcPr>
          <w:p>
            <w:pPr>
              <w:jc w:val="center"/>
            </w:pPr>
            <w:r>
              <w:rPr>
                <w:rFonts w:eastAsiaTheme="minorEastAsia"/>
                <w:kern w:val="0"/>
                <w:sz w:val="24"/>
                <w:szCs w:val="24"/>
              </w:rPr>
              <w:t>特变电工</w:t>
            </w:r>
          </w:p>
        </w:tc>
        <w:tc>
          <w:tcPr>
            <w:vAlign w:val="center"/>
          </w:tcPr>
          <w:p>
            <w:pPr>
              <w:jc w:val="right"/>
            </w:pPr>
            <w:r>
              <w:rPr>
                <w:rFonts w:eastAsiaTheme="minorEastAsia"/>
                <w:kern w:val="0"/>
                <w:sz w:val="24"/>
                <w:szCs w:val="24"/>
              </w:rPr>
              <w:t>25,600.00</w:t>
            </w:r>
          </w:p>
        </w:tc>
        <w:tc>
          <w:tcPr>
            <w:vAlign w:val="center"/>
          </w:tcPr>
          <w:p>
            <w:pPr>
              <w:jc w:val="right"/>
            </w:pPr>
            <w:r>
              <w:rPr>
                <w:rFonts w:eastAsiaTheme="minorEastAsia"/>
                <w:kern w:val="0"/>
                <w:sz w:val="24"/>
                <w:szCs w:val="24"/>
              </w:rPr>
              <w:t>620,800.00</w:t>
            </w:r>
          </w:p>
        </w:tc>
        <w:tc>
          <w:tcPr>
            <w:vAlign w:val="center"/>
          </w:tcPr>
          <w:p>
            <w:pPr>
              <w:jc w:val="right"/>
            </w:pPr>
            <w:r>
              <w:rPr>
                <w:rFonts w:eastAsiaTheme="minorEastAsia"/>
                <w:kern w:val="0"/>
                <w:sz w:val="24"/>
                <w:szCs w:val="24"/>
              </w:rPr>
              <w:t>3.03</w:t>
            </w:r>
          </w:p>
        </w:tc>
      </w:tr>
      <w:tr>
        <w:tc>
          <w:tcPr>
            <w:vAlign w:val="center"/>
          </w:tcPr>
          <w:p>
            <w:pPr>
              <w:jc w:val="center"/>
            </w:pPr>
            <w:r>
              <w:rPr>
                <w:rFonts w:eastAsiaTheme="minorEastAsia"/>
                <w:kern w:val="0"/>
                <w:sz w:val="24"/>
                <w:szCs w:val="24"/>
              </w:rPr>
              <w:t>9</w:t>
            </w:r>
          </w:p>
        </w:tc>
        <w:tc>
          <w:tcPr>
            <w:vAlign w:val="center"/>
          </w:tcPr>
          <w:p>
            <w:pPr>
              <w:jc w:val="center"/>
            </w:pPr>
            <w:r>
              <w:rPr>
                <w:rFonts w:eastAsiaTheme="minorEastAsia"/>
                <w:kern w:val="0"/>
                <w:sz w:val="24"/>
                <w:szCs w:val="24"/>
              </w:rPr>
              <w:t>002386</w:t>
            </w:r>
          </w:p>
        </w:tc>
        <w:tc>
          <w:tcPr>
            <w:vAlign w:val="center"/>
          </w:tcPr>
          <w:p>
            <w:pPr>
              <w:jc w:val="center"/>
            </w:pPr>
            <w:r>
              <w:rPr>
                <w:rFonts w:eastAsiaTheme="minorEastAsia"/>
                <w:kern w:val="0"/>
                <w:sz w:val="24"/>
                <w:szCs w:val="24"/>
              </w:rPr>
              <w:t>天原股份</w:t>
            </w:r>
          </w:p>
        </w:tc>
        <w:tc>
          <w:tcPr>
            <w:vAlign w:val="center"/>
          </w:tcPr>
          <w:p>
            <w:pPr>
              <w:jc w:val="right"/>
            </w:pPr>
            <w:r>
              <w:rPr>
                <w:rFonts w:eastAsiaTheme="minorEastAsia"/>
                <w:kern w:val="0"/>
                <w:sz w:val="24"/>
                <w:szCs w:val="24"/>
              </w:rPr>
              <w:t>43,800.00</w:t>
            </w:r>
          </w:p>
        </w:tc>
        <w:tc>
          <w:tcPr>
            <w:vAlign w:val="center"/>
          </w:tcPr>
          <w:p>
            <w:pPr>
              <w:jc w:val="right"/>
            </w:pPr>
            <w:r>
              <w:rPr>
                <w:rFonts w:eastAsiaTheme="minorEastAsia"/>
                <w:kern w:val="0"/>
                <w:sz w:val="24"/>
                <w:szCs w:val="24"/>
              </w:rPr>
              <w:t>608,382.00</w:t>
            </w:r>
          </w:p>
        </w:tc>
        <w:tc>
          <w:tcPr>
            <w:vAlign w:val="center"/>
          </w:tcPr>
          <w:p>
            <w:pPr>
              <w:jc w:val="right"/>
            </w:pPr>
            <w:r>
              <w:rPr>
                <w:rFonts w:eastAsiaTheme="minorEastAsia"/>
                <w:kern w:val="0"/>
                <w:sz w:val="24"/>
                <w:szCs w:val="24"/>
              </w:rPr>
              <w:t>2.97</w:t>
            </w:r>
          </w:p>
        </w:tc>
      </w:tr>
      <w:tr>
        <w:tc>
          <w:tcPr>
            <w:vAlign w:val="center"/>
          </w:tcPr>
          <w:p>
            <w:pPr>
              <w:jc w:val="center"/>
            </w:pPr>
            <w:r>
              <w:rPr>
                <w:rFonts w:eastAsiaTheme="minorEastAsia"/>
                <w:kern w:val="0"/>
                <w:sz w:val="24"/>
                <w:szCs w:val="24"/>
              </w:rPr>
              <w:t>10</w:t>
            </w:r>
          </w:p>
        </w:tc>
        <w:tc>
          <w:tcPr>
            <w:vAlign w:val="center"/>
          </w:tcPr>
          <w:p>
            <w:pPr>
              <w:jc w:val="center"/>
            </w:pPr>
            <w:r>
              <w:rPr>
                <w:rFonts w:eastAsiaTheme="minorEastAsia"/>
                <w:kern w:val="0"/>
                <w:sz w:val="24"/>
                <w:szCs w:val="24"/>
              </w:rPr>
              <w:t>600489</w:t>
            </w:r>
          </w:p>
        </w:tc>
        <w:tc>
          <w:tcPr>
            <w:vAlign w:val="center"/>
          </w:tcPr>
          <w:p>
            <w:pPr>
              <w:jc w:val="center"/>
            </w:pPr>
            <w:r>
              <w:rPr>
                <w:rFonts w:eastAsiaTheme="minorEastAsia"/>
                <w:kern w:val="0"/>
                <w:sz w:val="24"/>
                <w:szCs w:val="24"/>
              </w:rPr>
              <w:t>中金黄金</w:t>
            </w:r>
          </w:p>
        </w:tc>
        <w:tc>
          <w:tcPr>
            <w:vAlign w:val="center"/>
          </w:tcPr>
          <w:p>
            <w:pPr>
              <w:jc w:val="right"/>
            </w:pPr>
            <w:r>
              <w:rPr>
                <w:rFonts w:eastAsiaTheme="minorEastAsia"/>
                <w:kern w:val="0"/>
                <w:sz w:val="24"/>
                <w:szCs w:val="24"/>
              </w:rPr>
              <w:t>71,000.00</w:t>
            </w:r>
          </w:p>
        </w:tc>
        <w:tc>
          <w:tcPr>
            <w:vAlign w:val="center"/>
          </w:tcPr>
          <w:p>
            <w:pPr>
              <w:jc w:val="right"/>
            </w:pPr>
            <w:r>
              <w:rPr>
                <w:rFonts w:eastAsiaTheme="minorEastAsia"/>
                <w:kern w:val="0"/>
                <w:sz w:val="24"/>
                <w:szCs w:val="24"/>
              </w:rPr>
              <w:t>594,270.00</w:t>
            </w:r>
          </w:p>
        </w:tc>
        <w:tc>
          <w:tcPr>
            <w:vAlign w:val="center"/>
          </w:tcPr>
          <w:p>
            <w:pPr>
              <w:jc w:val="right"/>
            </w:pPr>
            <w:r>
              <w:rPr>
                <w:rFonts w:eastAsiaTheme="minorEastAsia"/>
                <w:kern w:val="0"/>
                <w:sz w:val="24"/>
                <w:szCs w:val="24"/>
              </w:rPr>
              <w:t>2.90</w:t>
            </w:r>
          </w:p>
        </w:tc>
      </w:tr>
    </w:tbl>
    <w:bookmarkEnd w:id="3"/>
    <w:p w14:paraId="5DBD10B5" w14:textId="77777777" w:rsidR="00D06738" w:rsidRDefault="00D06738" w:rsidRPr="00FF6B9A">
      <w:pPr>
        <w:autoSpaceDE w:val="0"/>
        <w:autoSpaceDN w:val="0"/>
        <w:adjustRightInd w:val="0"/>
        <w:spacing w:line="360" w:lineRule="auto"/>
        <w:jc w:val="left"/>
        <w:rPr>
          <w:rFonts w:eastAsiaTheme="minorEastAsia"/>
          <w:b/>
          <w:bCs/>
          <w:color w:themeColor="text1" w:val="000000"/>
          <w:kern w:val="0"/>
          <w:sz w:val="24"/>
          <w:szCs w:val="24"/>
        </w:rPr>
      </w:pPr>
    </w:p>
    <w:p w14:paraId="3936D236"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5.4 </w:t>
      </w:r>
      <w:r w:rsidRPr="00FF6B9A">
        <w:rPr>
          <w:rFonts w:eastAsiaTheme="minorEastAsia"/>
          <w:b/>
          <w:bCs/>
          <w:color w:themeColor="text1" w:val="000000"/>
          <w:kern w:val="0"/>
          <w:sz w:val="24"/>
          <w:szCs w:val="24"/>
        </w:rPr>
        <w:t>报告期末按债券品种分类的债券投资组合</w:t>
      </w:r>
    </w:p>
    <w:p w14:paraId="19B23906"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本基金本报告期末未持有债券。</w:t>
      </w:r>
    </w:p>
    <w:p w14:paraId="65425732"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3D1805F6"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5.5 </w:t>
      </w:r>
      <w:r w:rsidRPr="00FF6B9A">
        <w:rPr>
          <w:rFonts w:eastAsiaTheme="minorEastAsia"/>
          <w:b/>
          <w:bCs/>
          <w:color w:themeColor="text1" w:val="000000"/>
          <w:kern w:val="0"/>
          <w:sz w:val="24"/>
          <w:szCs w:val="24"/>
        </w:rPr>
        <w:t>报告期末按公允价值占基金资产净值比例大小排序的前五名债券投资明细</w:t>
      </w:r>
    </w:p>
    <w:p w14:paraId="06FBBA06"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本基金本报告期末未持有债券。</w:t>
      </w:r>
    </w:p>
    <w:p w14:paraId="021C2896" w14:textId="77777777" w:rsidR="00D06738" w:rsidRDefault="00D06738" w:rsidRPr="00FF6B9A">
      <w:pPr>
        <w:autoSpaceDE w:val="0"/>
        <w:autoSpaceDN w:val="0"/>
        <w:adjustRightInd w:val="0"/>
        <w:spacing w:line="360" w:lineRule="auto"/>
        <w:jc w:val="left"/>
        <w:rPr>
          <w:rFonts w:eastAsiaTheme="minorEastAsia"/>
          <w:b/>
          <w:bCs/>
          <w:color w:themeColor="text1" w:val="000000"/>
          <w:kern w:val="0"/>
          <w:sz w:val="24"/>
          <w:szCs w:val="24"/>
        </w:rPr>
      </w:pPr>
    </w:p>
    <w:p w14:paraId="0D4DC302"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xml:space="preserve">5.6 </w:t>
      </w:r>
      <w:r w:rsidRPr="00FF6B9A">
        <w:rPr>
          <w:rFonts w:eastAsiaTheme="minor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lastRenderedPageBreak/>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本基金本报告期末未持有资产支持证券。</w:t>
      </w:r>
    </w:p>
    <w:p w14:paraId="7641962C" w14:textId="77777777" w:rsidR="00D06738" w:rsidRDefault="00D06738" w:rsidRPr="00FF6B9A">
      <w:pPr>
        <w:autoSpaceDE w:val="0"/>
        <w:autoSpaceDN w:val="0"/>
        <w:adjustRightInd w:val="0"/>
        <w:spacing w:line="360" w:lineRule="auto"/>
        <w:jc w:val="left"/>
        <w:rPr>
          <w:rFonts w:eastAsiaTheme="minorEastAsia"/>
          <w:color w:themeColor="text1" w:val="000000"/>
          <w:sz w:val="24"/>
          <w:szCs w:val="24"/>
        </w:rPr>
      </w:pPr>
    </w:p>
    <w:p w14:paraId="4D2AFCA3"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 xml:space="preserve">7 </w:t>
      </w:r>
      <w:r w:rsidRPr="00FF6B9A">
        <w:rPr>
          <w:rFonts w:eastAsiaTheme="minorEastAsia"/>
          <w:b/>
          <w:bCs/>
          <w:color w:themeColor="text1" w:val="000000"/>
          <w:kern w:val="0"/>
          <w:sz w:val="24"/>
          <w:szCs w:val="24"/>
        </w:rPr>
        <w:t>报告期末按公允价值占基金资产净值比例大小排序的前五名贵金属投资明细</w:t>
      </w:r>
    </w:p>
    <w:p w14:paraId="5072D892" w14:textId="77777777" w:rsidR="00D06738" w:rsidRDefault="00454D20" w:rsidRPr="00FF6B9A">
      <w:pPr>
        <w:widowControl/>
        <w:spacing w:line="360" w:lineRule="auto"/>
        <w:jc w:val="left"/>
        <w:rPr>
          <w:color w:themeColor="text1" w:val="000000"/>
        </w:rPr>
      </w:pPr>
      <w:r w:rsidRPr="00FF6B9A">
        <w:rPr>
          <w:color w:themeColor="text1" w:val="000000"/>
        </w:rPr>
        <w:t/>
      </w:r>
      <w:proofErr w:type="spellStart"/>
      <w:r w:rsidRPr="00FF6B9A">
        <w:rPr>
          <w:color w:themeColor="text1" w:val="000000"/>
        </w:rPr>
        <w:t/>
      </w:r>
      <w:proofErr w:type="gramStart"/>
      <w:r w:rsidRPr="00FF6B9A">
        <w:rPr>
          <w:color w:themeColor="text1" w:val="000000"/>
        </w:rPr>
        <w:t/>
      </w:r>
      <w:proofErr w:type="spellEnd"/>
      <w:r w:rsidRPr="00FF6B9A">
        <w:rPr>
          <w:color w:themeColor="text1" w:val="000000"/>
        </w:rPr>
        <w:t/>
      </w:r>
      <w:proofErr w:type="spellStart"/>
      <w:proofErr w:type="gramEnd"/>
      <w:r w:rsidRPr="00FF6B9A">
        <w:rPr>
          <w:color w:themeColor="text1" w:val="000000"/>
        </w:rPr>
        <w:t/>
      </w:r>
      <w:proofErr w:type="spellEnd"/>
      <w:r w:rsidRPr="00FF6B9A">
        <w:rPr>
          <w:color w:themeColor="text1" w:val="000000"/>
        </w:rPr>
        <w:t>本基金本报告期末未持有贵金属。</w:t>
      </w:r>
    </w:p>
    <w:p w14:paraId="60EB37E6"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3ACC4ABF"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 xml:space="preserve">8 </w:t>
      </w:r>
      <w:r w:rsidRPr="00FF6B9A">
        <w:rPr>
          <w:rFonts w:eastAsiaTheme="minorEastAsia"/>
          <w:b/>
          <w:bCs/>
          <w:color w:themeColor="text1" w:val="000000"/>
          <w:kern w:val="0"/>
          <w:sz w:val="24"/>
          <w:szCs w:val="24"/>
        </w:rPr>
        <w:t>报告期末按公允价值占基金资产净值比例大小排序的前五名权证投资明细</w:t>
      </w:r>
    </w:p>
    <w:p w14:paraId="5CD73A7B"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lastRenderedPageBreak/>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本基金本报告期末未持有权证。</w:t>
      </w:r>
    </w:p>
    <w:p w14:paraId="47EB757F"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szCs w:val="24"/>
        </w:rPr>
      </w:pPr>
    </w:p>
    <w:p w14:paraId="2F0769CC"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spellStart"/>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
      </w:r>
      <w:proofErr w:type="spellEnd"/>
      <w:r w:rsidRPr="00FF6B9A">
        <w:rPr>
          <w:rFonts w:eastAsiaTheme="minorEastAsia"/>
          <w:b/>
          <w:bCs/>
          <w:color w:themeColor="text1" w:val="000000"/>
          <w:kern w:val="0"/>
          <w:sz w:val="24"/>
          <w:szCs w:val="24"/>
        </w:rPr>
        <w:t/>
      </w:r>
      <w:proofErr w:type="gramEnd"/>
      <w:r w:rsidRPr="00FF6B9A">
        <w:rPr>
          <w:rFonts w:eastAsiaTheme="minorEastAsia"/>
          <w:b/>
          <w:bCs/>
          <w:color w:themeColor="text1" w:val="000000"/>
          <w:kern w:val="0"/>
          <w:sz w:val="24"/>
          <w:szCs w:val="24"/>
        </w:rPr>
        <w:t xml:space="preserve">5.9 </w:t>
      </w:r>
      <w:r w:rsidRPr="00FF6B9A">
        <w:rPr>
          <w:rFonts w:eastAsiaTheme="minorEastAsia"/>
          <w:b/>
          <w:bCs/>
          <w:color w:themeColor="text1" w:val="000000"/>
          <w:kern w:val="0"/>
          <w:sz w:val="24"/>
          <w:szCs w:val="24"/>
        </w:rPr>
        <w:t>报告期末本基金投资的股指期货交易情况说明</w:t>
      </w:r>
    </w:p>
    <w:p w14:paraId="73A71E08"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本基金本报告期末未持有股指期货。</w:t>
      </w:r>
    </w:p>
    <w:p w14:paraId="6D381369" w14:textId="77777777" w:rsidR="00D06738" w:rsidRDefault="00D06738" w:rsidRPr="00FF6B9A">
      <w:pPr>
        <w:adjustRightInd w:val="0"/>
        <w:snapToGrid w:val="0"/>
        <w:spacing w:line="360" w:lineRule="exact"/>
        <w:rPr>
          <w:rFonts w:eastAsiaTheme="minorEastAsia"/>
          <w:color w:themeColor="text1" w:val="000000"/>
          <w:sz w:val="24"/>
          <w:szCs w:val="24"/>
        </w:rPr>
      </w:pPr>
    </w:p>
    <w:p w14:paraId="288DDC9C"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lastRenderedPageBreak/>
        <w:t/>
      </w:r>
      <w:proofErr w:type="spellStart"/>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
      </w:r>
      <w:proofErr w:type="spellEnd"/>
      <w:r w:rsidRPr="00FF6B9A">
        <w:rPr>
          <w:rFonts w:eastAsiaTheme="minorEastAsia"/>
          <w:b/>
          <w:bCs/>
          <w:color w:themeColor="text1" w:val="000000"/>
          <w:kern w:val="0"/>
          <w:sz w:val="24"/>
          <w:szCs w:val="24"/>
        </w:rPr>
        <w:t/>
      </w:r>
      <w:proofErr w:type="gramEnd"/>
      <w:r w:rsidRPr="00FF6B9A">
        <w:rPr>
          <w:rFonts w:eastAsiaTheme="minorEastAsia"/>
          <w:b/>
          <w:bCs/>
          <w:color w:themeColor="text1" w:val="000000"/>
          <w:kern w:val="0"/>
          <w:sz w:val="24"/>
          <w:szCs w:val="24"/>
        </w:rPr>
        <w:t>5.10</w:t>
      </w:r>
      <w:r w:rsidRPr="00FF6B9A">
        <w:rPr>
          <w:rFonts w:eastAsiaTheme="minorEastAsia"/>
          <w:b/>
          <w:bCs/>
          <w:color w:themeColor="text1" w:val="000000"/>
          <w:kern w:val="0"/>
          <w:sz w:val="24"/>
          <w:szCs w:val="24"/>
        </w:rPr>
        <w:t>报告期末本基金投资的国债期货交易情况说明</w:t>
      </w:r>
    </w:p>
    <w:p w14:paraId="5490A7F4" w14:textId="77777777" w:rsidR="00D06738" w:rsidRDefault="00454D20" w:rsidRPr="00FF6B9A">
      <w:pPr>
        <w:autoSpaceDE w:val="0"/>
        <w:autoSpaceDN w:val="0"/>
        <w:adjustRightInd w:val="0"/>
        <w:spacing w:line="360" w:lineRule="auto"/>
        <w:jc w:val="left"/>
        <w:rPr>
          <w:rFonts w:eastAsiaTheme="minorEastAsia"/>
          <w:color w:themeColor="text1" w:val="000000"/>
          <w:sz w:val="24"/>
          <w:szCs w:val="24"/>
        </w:rPr>
      </w:pPr>
      <w:r w:rsidRPr="00FF6B9A">
        <w:rPr>
          <w:rFonts w:eastAsiaTheme="minorEastAsia"/>
          <w:color w:themeColor="text1" w:val="000000"/>
          <w:sz w:val="24"/>
          <w:szCs w:val="24"/>
        </w:rPr>
        <w:t/>
      </w:r>
      <w:proofErr w:type="spellStart"/>
      <w:r w:rsidRPr="00FF6B9A">
        <w:rPr>
          <w:rFonts w:eastAsiaTheme="minorEastAsia"/>
          <w:color w:themeColor="text1" w:val="000000"/>
          <w:sz w:val="24"/>
          <w:szCs w:val="24"/>
        </w:rPr>
        <w:t/>
      </w:r>
      <w:proofErr w:type="gramStart"/>
      <w:r w:rsidRPr="00FF6B9A">
        <w:rPr>
          <w:rFonts w:eastAsiaTheme="minorEastAsia"/>
          <w:color w:themeColor="text1" w:val="000000"/>
          <w:sz w:val="24"/>
          <w:szCs w:val="24"/>
        </w:rPr>
        <w:t/>
      </w:r>
      <w:proofErr w:type="spellEnd"/>
      <w:r w:rsidRPr="00FF6B9A">
        <w:rPr>
          <w:rFonts w:eastAsiaTheme="minorEastAsia"/>
          <w:color w:themeColor="text1" w:val="000000"/>
          <w:sz w:val="24"/>
          <w:szCs w:val="24"/>
        </w:rPr>
        <w:t/>
      </w:r>
      <w:proofErr w:type="spellStart"/>
      <w:proofErr w:type="gramEnd"/>
      <w:r w:rsidRPr="00FF6B9A">
        <w:rPr>
          <w:rFonts w:eastAsiaTheme="minorEastAsia"/>
          <w:color w:themeColor="text1" w:val="000000"/>
          <w:sz w:val="24"/>
          <w:szCs w:val="24"/>
        </w:rPr>
        <w:t/>
      </w:r>
      <w:proofErr w:type="spellEnd"/>
      <w:r w:rsidRPr="00FF6B9A">
        <w:rPr>
          <w:rFonts w:eastAsiaTheme="minorEastAsia"/>
          <w:color w:themeColor="text1" w:val="000000"/>
          <w:sz w:val="24"/>
          <w:szCs w:val="24"/>
        </w:rPr>
        <w:t>本基金本报告期末未持有国债期货。</w:t>
      </w:r>
    </w:p>
    <w:p w14:paraId="0AD515B3"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 xml:space="preserve">11 </w:t>
      </w:r>
      <w:r w:rsidRPr="00FF6B9A">
        <w:rPr>
          <w:rFonts w:eastAsiaTheme="minorEastAsia"/>
          <w:b/>
          <w:bCs/>
          <w:color w:themeColor="text1" w:val="000000"/>
          <w:kern w:val="0"/>
          <w:sz w:val="24"/>
          <w:szCs w:val="24"/>
        </w:rPr>
        <w:t>投资组合报告附注</w:t>
      </w:r>
    </w:p>
    <w:p w14:paraId="2BAE184B"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
      </w:r>
      <w:proofErr w:type="gramStart"/>
      <w:r w:rsidRPr="00FF6B9A">
        <w:rPr>
          <w:rFonts w:eastAsiaTheme="minorEastAsia"/>
          <w:color w:themeColor="text1" w:val="000000"/>
          <w:sz w:val="24"/>
          <w:szCs w:val="24"/>
        </w:rPr>
        <w:t>5.</w:t>
      </w:r>
      <w:proofErr w:type="gramEnd"/>
      <w:r w:rsidRPr="00FF6B9A">
        <w:rPr>
          <w:rFonts w:eastAsiaTheme="minorEastAsia"/>
          <w:color w:themeColor="text1" w:val="000000"/>
          <w:sz w:val="24"/>
          <w:szCs w:val="24"/>
        </w:rPr>
        <w:t>11.1报告期内本基金投资的前十名证券的发行主体本期没有出现被监管部门立案调查，或在报告编制日前一年内受到公开谴责、处罚的情形。</w:t>
      </w:r>
    </w:p>
    <w:p w14:paraId="50E6CBCA" w14:textId="77777777" w:rsidR="00D06738" w:rsidRDefault="00454D20" w:rsidRPr="00FF6B9A">
      <w:pPr>
        <w:spacing w:line="360" w:lineRule="auto"/>
        <w:rPr>
          <w:rFonts w:eastAsiaTheme="minorEastAsia"/>
          <w:color w:themeColor="text1" w:val="000000"/>
          <w:sz w:val="24"/>
          <w:szCs w:val="24"/>
        </w:rPr>
      </w:pPr>
      <w:r w:rsidRPr="00FF6B9A">
        <w:rPr>
          <w:rFonts w:eastAsiaTheme="minorEastAsia"/>
          <w:color w:themeColor="text1" w:val="000000"/>
          <w:sz w:val="24"/>
          <w:szCs w:val="24"/>
        </w:rPr>
        <w:t/>
      </w:r>
      <w:proofErr w:type="gramStart"/>
      <w:r w:rsidRPr="00FF6B9A">
        <w:rPr>
          <w:rFonts w:eastAsiaTheme="minorEastAsia"/>
          <w:color w:themeColor="text1" w:val="000000"/>
          <w:sz w:val="24"/>
          <w:szCs w:val="24"/>
        </w:rPr>
        <w:t>5.</w:t>
      </w:r>
      <w:proofErr w:type="gramEnd"/>
      <w:r w:rsidRPr="00FF6B9A">
        <w:rPr>
          <w:rFonts w:eastAsiaTheme="minorEastAsia"/>
          <w:color w:themeColor="text1" w:val="000000"/>
          <w:sz w:val="24"/>
          <w:szCs w:val="24"/>
        </w:rPr>
        <w:t>11.2报告期内本基金投资的前十名股票中没有在基金合同规定备选股票库之外的股票。</w:t>
      </w:r>
    </w:p>
    <w:p w14:paraId="4124D65B"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 xml:space="preserve">11.3 </w:t>
      </w:r>
      <w:r w:rsidRPr="00FF6B9A">
        <w:rPr>
          <w:rFonts w:eastAsiaTheme="minor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rsidRPr="00FF6B9A">
        <w:tc>
          <w:tcPr>
            <w:tcW w:type="dxa" w:w="1235"/>
            <w:vAlign w:val="center"/>
          </w:tcPr>
          <w:p w14:paraId="3D402FF5"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序号</w:t>
            </w:r>
          </w:p>
        </w:tc>
        <w:tc>
          <w:tcPr>
            <w:tcW w:type="dxa" w:w="2470"/>
            <w:vAlign w:val="center"/>
          </w:tcPr>
          <w:p w14:paraId="627CAE1B"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名称</w:t>
            </w:r>
          </w:p>
        </w:tc>
        <w:tc>
          <w:tcPr>
            <w:tcW w:type="dxa" w:w="4808"/>
            <w:vAlign w:val="center"/>
          </w:tcPr>
          <w:p w14:paraId="6430356C" w14:textId="77777777" w:rsidR="00D06738" w:rsidRDefault="00454D20" w:rsidRPr="00FF6B9A">
            <w:pPr>
              <w:autoSpaceDE w:val="0"/>
              <w:autoSpaceDN w:val="0"/>
              <w:adjustRightInd w:val="0"/>
              <w:spacing w:before="29" w:line="360" w:lineRule="auto"/>
              <w:ind w:left="17"/>
              <w:jc w:val="center"/>
              <w:rPr>
                <w:rFonts w:eastAsiaTheme="minorEastAsia"/>
                <w:color w:themeColor="text1" w:val="000000"/>
                <w:kern w:val="0"/>
              </w:rPr>
            </w:pPr>
            <w:r w:rsidRPr="00FF6B9A">
              <w:rPr>
                <w:rFonts w:eastAsiaTheme="minorEastAsia"/>
                <w:color w:themeColor="text1" w:val="000000"/>
                <w:kern w:val="0"/>
              </w:rPr>
              <w:t>金额</w:t>
            </w:r>
            <w:r w:rsidRPr="00FF6B9A">
              <w:rPr>
                <w:rFonts w:eastAsiaTheme="minorEastAsia"/>
                <w:color w:themeColor="text1" w:val="000000"/>
                <w:kern w:val="0"/>
              </w:rPr>
              <w:t>(</w:t>
            </w:r>
            <w:r w:rsidRPr="00FF6B9A">
              <w:rPr>
                <w:rFonts w:eastAsiaTheme="minorEastAsia"/>
                <w:color w:themeColor="text1" w:val="000000"/>
                <w:kern w:val="0"/>
              </w:rPr>
              <w:t>元</w:t>
            </w:r>
            <w:r w:rsidRPr="00FF6B9A">
              <w:rPr>
                <w:rFonts w:eastAsiaTheme="minorEastAsia"/>
                <w:color w:themeColor="text1" w:val="000000"/>
                <w:kern w:val="0"/>
              </w:rPr>
              <w:t>)</w:t>
            </w:r>
          </w:p>
        </w:tc>
      </w:tr>
      <w:tr w14:paraId="2C715D80" w14:textId="77777777" w:rsidR="00D06738" w:rsidRPr="00FF6B9A">
        <w:tc>
          <w:tcPr>
            <w:tcW w:type="dxa" w:w="1235"/>
            <w:vAlign w:val="center"/>
          </w:tcPr>
          <w:p w14:paraId="117C1A9A"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1</w:t>
            </w:r>
          </w:p>
        </w:tc>
        <w:tc>
          <w:tcPr>
            <w:tcW w:type="dxa" w:w="2470"/>
            <w:vAlign w:val="center"/>
          </w:tcPr>
          <w:p w14:paraId="61153B98"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存出保证金</w:t>
            </w:r>
          </w:p>
        </w:tc>
        <w:tc>
          <w:tcPr>
            <w:tcW w:type="dxa" w:w="4808"/>
            <w:vAlign w:val="center"/>
          </w:tcPr>
          <w:p w14:paraId="069C1229"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10,401.29</w:t>
            </w:r>
          </w:p>
        </w:tc>
      </w:tr>
      <w:tr w14:paraId="3C032846" w14:textId="77777777" w:rsidR="00D06738" w:rsidRPr="00FF6B9A">
        <w:tc>
          <w:tcPr>
            <w:tcW w:type="dxa" w:w="1235"/>
            <w:vAlign w:val="center"/>
          </w:tcPr>
          <w:p w14:paraId="141CD098"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2</w:t>
            </w:r>
          </w:p>
        </w:tc>
        <w:tc>
          <w:tcPr>
            <w:tcW w:type="dxa" w:w="2470"/>
            <w:vAlign w:val="center"/>
          </w:tcPr>
          <w:p w14:paraId="307B0992"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应收证券清算款</w:t>
            </w:r>
          </w:p>
        </w:tc>
        <w:tc>
          <w:tcPr>
            <w:tcW w:type="dxa" w:w="4808"/>
            <w:vAlign w:val="center"/>
          </w:tcPr>
          <w:p w14:paraId="7B2B0246"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557,556.42</w:t>
            </w:r>
          </w:p>
        </w:tc>
      </w:tr>
      <w:tr w14:paraId="176311B8" w14:textId="77777777" w:rsidR="00D06738" w:rsidRPr="00FF6B9A">
        <w:tc>
          <w:tcPr>
            <w:tcW w:type="dxa" w:w="1235"/>
            <w:vAlign w:val="center"/>
          </w:tcPr>
          <w:p w14:paraId="602CCE2F"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3</w:t>
            </w:r>
          </w:p>
        </w:tc>
        <w:tc>
          <w:tcPr>
            <w:tcW w:type="dxa" w:w="2470"/>
            <w:vAlign w:val="center"/>
          </w:tcPr>
          <w:p w14:paraId="31EEC93A"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应收股利</w:t>
            </w:r>
          </w:p>
        </w:tc>
        <w:tc>
          <w:tcPr>
            <w:tcW w:type="dxa" w:w="4808"/>
            <w:vAlign w:val="center"/>
          </w:tcPr>
          <w:p w14:paraId="30AA7BFB"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6C0EC699" w14:textId="77777777" w:rsidR="00D06738" w:rsidRPr="00FF6B9A">
        <w:tc>
          <w:tcPr>
            <w:tcW w:type="dxa" w:w="1235"/>
            <w:vAlign w:val="center"/>
          </w:tcPr>
          <w:p w14:paraId="4EAB88E6"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4</w:t>
            </w:r>
          </w:p>
        </w:tc>
        <w:tc>
          <w:tcPr>
            <w:tcW w:type="dxa" w:w="2470"/>
            <w:vAlign w:val="center"/>
          </w:tcPr>
          <w:p w14:paraId="25AFBD38"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应收利息</w:t>
            </w:r>
          </w:p>
        </w:tc>
        <w:tc>
          <w:tcPr>
            <w:tcW w:type="dxa" w:w="4808"/>
            <w:vAlign w:val="center"/>
          </w:tcPr>
          <w:p w14:paraId="61FAC2C4"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487.21</w:t>
            </w:r>
          </w:p>
        </w:tc>
      </w:tr>
      <w:tr w14:paraId="617FE4E0" w14:textId="77777777" w:rsidR="00D06738" w:rsidRPr="00FF6B9A">
        <w:tc>
          <w:tcPr>
            <w:tcW w:type="dxa" w:w="1235"/>
            <w:vAlign w:val="center"/>
          </w:tcPr>
          <w:p w14:paraId="0DE5BCEB"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5</w:t>
            </w:r>
          </w:p>
        </w:tc>
        <w:tc>
          <w:tcPr>
            <w:tcW w:type="dxa" w:w="2470"/>
            <w:vAlign w:val="center"/>
          </w:tcPr>
          <w:p w14:paraId="418D350C"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应收申购款</w:t>
            </w:r>
          </w:p>
        </w:tc>
        <w:tc>
          <w:tcPr>
            <w:tcW w:type="dxa" w:w="4808"/>
            <w:vAlign w:val="center"/>
          </w:tcPr>
          <w:p w14:paraId="6138F79B"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36,813.77</w:t>
            </w:r>
          </w:p>
        </w:tc>
      </w:tr>
      <w:tr w14:paraId="2FF8C6CF" w14:textId="77777777" w:rsidR="00D06738" w:rsidRPr="00FF6B9A">
        <w:tc>
          <w:tcPr>
            <w:tcW w:type="dxa" w:w="1235"/>
            <w:vAlign w:val="center"/>
          </w:tcPr>
          <w:p w14:paraId="027C50FA"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6</w:t>
            </w:r>
          </w:p>
        </w:tc>
        <w:tc>
          <w:tcPr>
            <w:tcW w:type="dxa" w:w="2470"/>
            <w:vAlign w:val="center"/>
          </w:tcPr>
          <w:p w14:paraId="763B3400"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其他应收款</w:t>
            </w:r>
          </w:p>
        </w:tc>
        <w:tc>
          <w:tcPr>
            <w:tcW w:type="dxa" w:w="4808"/>
            <w:vAlign w:val="center"/>
          </w:tcPr>
          <w:p w14:paraId="5846D225"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472C6A37" w14:textId="77777777" w:rsidR="00D06738" w:rsidRPr="00FF6B9A">
        <w:tc>
          <w:tcPr>
            <w:tcW w:type="dxa" w:w="1235"/>
            <w:vAlign w:val="center"/>
          </w:tcPr>
          <w:p w14:paraId="75EFC638"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7</w:t>
            </w:r>
          </w:p>
        </w:tc>
        <w:tc>
          <w:tcPr>
            <w:tcW w:type="dxa" w:w="2470"/>
            <w:vAlign w:val="center"/>
          </w:tcPr>
          <w:p w14:paraId="0A943614"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待摊费用</w:t>
            </w:r>
          </w:p>
        </w:tc>
        <w:tc>
          <w:tcPr>
            <w:tcW w:type="dxa" w:w="4808"/>
            <w:vAlign w:val="center"/>
          </w:tcPr>
          <w:p w14:paraId="72EB47BF"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1EB71240" w14:textId="77777777" w:rsidR="00D06738" w:rsidRPr="00FF6B9A">
        <w:tc>
          <w:tcPr>
            <w:tcW w:type="dxa" w:w="1235"/>
            <w:vAlign w:val="center"/>
          </w:tcPr>
          <w:p w14:paraId="4CA5E701"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lastRenderedPageBreak/>
              <w:t>8</w:t>
            </w:r>
          </w:p>
        </w:tc>
        <w:tc>
          <w:tcPr>
            <w:tcW w:type="dxa" w:w="2470"/>
            <w:vAlign w:val="center"/>
          </w:tcPr>
          <w:p w14:paraId="139BE609"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其他</w:t>
            </w:r>
          </w:p>
        </w:tc>
        <w:tc>
          <w:tcPr>
            <w:tcW w:type="dxa" w:w="4808"/>
            <w:vAlign w:val="center"/>
          </w:tcPr>
          <w:p w14:paraId="5ED4A47C"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w:t>
            </w:r>
          </w:p>
        </w:tc>
      </w:tr>
      <w:tr w14:paraId="3A99357C" w14:textId="77777777" w:rsidR="00D06738" w:rsidRPr="00FF6B9A">
        <w:tc>
          <w:tcPr>
            <w:tcW w:type="dxa" w:w="1235"/>
            <w:vAlign w:val="center"/>
          </w:tcPr>
          <w:p w14:paraId="7043D59F" w14:textId="77777777" w:rsidR="00D06738" w:rsidRDefault="00454D20" w:rsidRPr="00FF6B9A">
            <w:pPr>
              <w:autoSpaceDE w:val="0"/>
              <w:autoSpaceDN w:val="0"/>
              <w:adjustRightInd w:val="0"/>
              <w:spacing w:before="29" w:line="360" w:lineRule="auto"/>
              <w:ind w:left="15"/>
              <w:jc w:val="center"/>
              <w:rPr>
                <w:rFonts w:eastAsiaTheme="minorEastAsia"/>
                <w:color w:themeColor="text1" w:val="000000"/>
                <w:kern w:val="0"/>
              </w:rPr>
            </w:pPr>
            <w:r w:rsidRPr="00FF6B9A">
              <w:rPr>
                <w:rFonts w:eastAsiaTheme="minorEastAsia"/>
                <w:color w:themeColor="text1" w:val="000000"/>
                <w:kern w:val="0"/>
              </w:rPr>
              <w:t>9</w:t>
            </w:r>
          </w:p>
        </w:tc>
        <w:tc>
          <w:tcPr>
            <w:tcW w:type="dxa" w:w="2470"/>
            <w:vAlign w:val="center"/>
          </w:tcPr>
          <w:p w14:paraId="756733B0" w14:textId="77777777" w:rsidR="00D06738" w:rsidRDefault="00454D20" w:rsidRPr="00FF6B9A">
            <w:pPr>
              <w:autoSpaceDE w:val="0"/>
              <w:autoSpaceDN w:val="0"/>
              <w:adjustRightInd w:val="0"/>
              <w:spacing w:before="29" w:line="360" w:lineRule="auto"/>
              <w:ind w:left="15"/>
              <w:rPr>
                <w:rFonts w:eastAsiaTheme="minorEastAsia"/>
                <w:color w:themeColor="text1" w:val="000000"/>
                <w:kern w:val="0"/>
              </w:rPr>
            </w:pPr>
            <w:r w:rsidRPr="00FF6B9A">
              <w:rPr>
                <w:rFonts w:eastAsiaTheme="minorEastAsia"/>
                <w:color w:themeColor="text1" w:val="000000"/>
                <w:kern w:val="0"/>
              </w:rPr>
              <w:t>合计</w:t>
            </w:r>
          </w:p>
        </w:tc>
        <w:tc>
          <w:tcPr>
            <w:tcW w:type="dxa" w:w="4808"/>
            <w:vAlign w:val="center"/>
          </w:tcPr>
          <w:p w14:paraId="1336DBC1"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proofErr w:type="spellEnd"/>
            <w:r w:rsidRPr="00FF6B9A">
              <w:rPr>
                <w:rFonts w:eastAsiaTheme="minorEastAsia"/>
                <w:color w:themeColor="text1" w:val="000000"/>
                <w:kern w:val="0"/>
              </w:rPr>
              <w:t>605,258.69</w:t>
            </w:r>
          </w:p>
        </w:tc>
      </w:tr>
    </w:tbl>
    <w:p w14:paraId="4676AA60" w14:textId="77777777" w:rsidR="00D06738" w:rsidRDefault="00D06738" w:rsidRPr="00FF6B9A">
      <w:pPr>
        <w:autoSpaceDE w:val="0"/>
        <w:autoSpaceDN w:val="0"/>
        <w:adjustRightInd w:val="0"/>
        <w:spacing w:line="360" w:lineRule="auto"/>
        <w:rPr>
          <w:rFonts w:eastAsiaTheme="minorEastAsia"/>
          <w:color w:themeColor="text1" w:val="000000"/>
          <w:sz w:val="24"/>
          <w:szCs w:val="24"/>
        </w:rPr>
      </w:pPr>
    </w:p>
    <w:p w14:paraId="5172EF34"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11.4</w:t>
      </w:r>
      <w:r w:rsidRPr="00FF6B9A">
        <w:rPr>
          <w:rFonts w:eastAsiaTheme="minorEastAsia"/>
          <w:b/>
          <w:bCs/>
          <w:color w:themeColor="text1" w:val="000000"/>
          <w:kern w:val="0"/>
          <w:sz w:val="24"/>
          <w:szCs w:val="24"/>
        </w:rPr>
        <w:t>报告期末持有的处于转股期的可转换债券明细</w:t>
      </w:r>
    </w:p>
    <w:p w14:paraId="0C2B4847"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spellStart"/>
      <w:proofErr w:type="gramEnd"/>
      <w:r w:rsidRPr="00FF6B9A">
        <w:rPr>
          <w:rFonts w:eastAsiaTheme="minorEastAsia"/>
          <w:color w:themeColor="text1" w:val="000000"/>
        </w:rPr>
        <w:t/>
      </w:r>
      <w:proofErr w:type="spellEnd"/>
      <w:r w:rsidRPr="00FF6B9A">
        <w:rPr>
          <w:rFonts w:eastAsiaTheme="minorEastAsia"/>
          <w:color w:themeColor="text1" w:val="000000"/>
        </w:rPr>
        <w:t>本基金本报告期末未持有处于转股期的可转换债券。</w:t>
      </w:r>
    </w:p>
    <w:p w14:paraId="73809093" w14:textId="77777777" w:rsidR="00D06738" w:rsidRDefault="00D06738" w:rsidRPr="00FF6B9A">
      <w:pPr>
        <w:autoSpaceDE w:val="0"/>
        <w:autoSpaceDN w:val="0"/>
        <w:adjustRightInd w:val="0"/>
        <w:spacing w:line="360" w:lineRule="auto"/>
        <w:rPr>
          <w:rFonts w:eastAsiaTheme="minorEastAsia"/>
          <w:color w:themeColor="text1" w:val="000000"/>
          <w:sz w:val="24"/>
          <w:szCs w:val="24"/>
        </w:rPr>
      </w:pPr>
    </w:p>
    <w:p w14:paraId="26374DDE"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5.</w:t>
      </w:r>
      <w:proofErr w:type="gramEnd"/>
      <w:r w:rsidRPr="00FF6B9A">
        <w:rPr>
          <w:rFonts w:eastAsiaTheme="minorEastAsia"/>
          <w:b/>
          <w:bCs/>
          <w:color w:themeColor="text1" w:val="000000"/>
          <w:kern w:val="0"/>
          <w:sz w:val="24"/>
          <w:szCs w:val="24"/>
        </w:rPr>
        <w:t>11.5</w:t>
      </w:r>
      <w:r w:rsidRPr="00FF6B9A">
        <w:rPr>
          <w:rFonts w:eastAsiaTheme="minorEastAsia"/>
          <w:b/>
          <w:bCs/>
          <w:color w:themeColor="text1" w:val="000000"/>
          <w:kern w:val="0"/>
          <w:sz w:val="24"/>
          <w:szCs w:val="24"/>
        </w:rPr>
        <w:t>报告期末前十名股票中存在流通受限情况的说明</w:t>
      </w:r>
    </w:p>
    <w:p w14:paraId="7A502387"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rPr>
        <w:t/>
      </w:r>
      <w:proofErr w:type="gramStart"/>
      <w:r w:rsidRPr="00FF6B9A">
        <w:rPr>
          <w:rFonts w:eastAsiaTheme="minorEastAsia"/>
          <w:color w:themeColor="text1" w:val="000000"/>
        </w:rPr>
        <w:t/>
      </w:r>
      <w:proofErr w:type="gramEnd"/>
      <w:r w:rsidRPr="00FF6B9A">
        <w:rPr>
          <w:rFonts w:eastAsiaTheme="minorEastAsia"/>
          <w:color w:themeColor="text1" w:val="000000"/>
        </w:rPr>
        <w:t>本基金本报告期末前十名股票中不存在流通受限情况。</w:t>
      </w:r>
    </w:p>
    <w:p w14:paraId="6F6FE44E" w14:textId="77777777" w:rsidR="00D06738" w:rsidRDefault="00D06738" w:rsidRPr="00FF6B9A">
      <w:pPr>
        <w:autoSpaceDE w:val="0"/>
        <w:autoSpaceDN w:val="0"/>
        <w:adjustRightInd w:val="0"/>
        <w:spacing w:line="360" w:lineRule="auto"/>
        <w:rPr>
          <w:rFonts w:eastAsiaTheme="minorEastAsia"/>
          <w:color w:themeColor="text1" w:val="000000"/>
          <w:sz w:val="24"/>
          <w:szCs w:val="24"/>
        </w:rPr>
      </w:pPr>
    </w:p>
    <w:p w14:paraId="329684B0"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spellStart"/>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
      </w:r>
      <w:proofErr w:type="spellEnd"/>
      <w:r w:rsidRPr="00FF6B9A">
        <w:rPr>
          <w:rFonts w:eastAsiaTheme="minorEastAsia"/>
          <w:b/>
          <w:bCs/>
          <w:color w:themeColor="text1" w:val="000000"/>
          <w:kern w:val="0"/>
          <w:sz w:val="24"/>
          <w:szCs w:val="24"/>
        </w:rPr>
        <w:t/>
      </w:r>
      <w:proofErr w:type="gramEnd"/>
      <w:r w:rsidRPr="00FF6B9A">
        <w:rPr>
          <w:rFonts w:eastAsiaTheme="minorEastAsia"/>
          <w:b/>
          <w:bCs/>
          <w:color w:themeColor="text1" w:val="000000"/>
          <w:kern w:val="0"/>
          <w:sz w:val="24"/>
          <w:szCs w:val="24"/>
        </w:rPr>
        <w:t>5.11.6</w:t>
      </w:r>
      <w:r w:rsidRPr="00FF6B9A">
        <w:rPr>
          <w:rFonts w:eastAsiaTheme="minorEastAsia"/>
          <w:b/>
          <w:bCs/>
          <w:color w:themeColor="text1" w:val="000000"/>
          <w:kern w:val="0"/>
          <w:sz w:val="24"/>
          <w:szCs w:val="24"/>
        </w:rPr>
        <w:t>投资组合报告附注的其他文字描述部分</w:t>
      </w:r>
    </w:p>
    <w:p w14:paraId="536D339F"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因四舍五入的原因，投资组合报告中分项之和与合计数可能存在尾差。</w:t>
      </w:r>
    </w:p>
    <w:p w14:paraId="1F6232E1"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lastRenderedPageBreak/>
        <w:t xml:space="preserve">§6  </w:t>
      </w:r>
      <w:r w:rsidRPr="00FF6B9A">
        <w:rPr>
          <w:rFonts w:eastAsiaTheme="minorEastAsia"/>
          <w:color w:themeColor="text1" w:val="000000"/>
          <w:kern w:val="0"/>
          <w:sz w:val="24"/>
          <w:szCs w:val="24"/>
        </w:rPr>
        <w:t>开放式基金份额变动</w:t>
      </w:r>
    </w:p>
    <w:p w14:paraId="1546AC98" w14:textId="77777777" w:rsidR="00D06738" w:rsidRDefault="00454D20" w:rsidRPr="00FF6B9A">
      <w:pPr>
        <w:autoSpaceDE w:val="0"/>
        <w:autoSpaceDN w:val="0"/>
        <w:adjustRightInd w:val="0"/>
        <w:spacing w:before="29" w:line="360" w:lineRule="auto"/>
        <w:ind w:left="15"/>
        <w:jc w:val="right"/>
        <w:rPr>
          <w:rFonts w:eastAsiaTheme="minorEastAsia"/>
          <w:color w:themeColor="text1" w:val="000000"/>
          <w:kern w:val="0"/>
          <w:sz w:val="24"/>
          <w:szCs w:val="24"/>
        </w:rPr>
      </w:pPr>
      <w:r w:rsidRPr="00FF6B9A">
        <w:rPr>
          <w:rFonts w:eastAsiaTheme="minor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rsidRPr="00FF6B9A">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rsidRPr="00FF6B9A">
            <w:pPr>
              <w:autoSpaceDE w:val="0"/>
              <w:autoSpaceDN w:val="0"/>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本报告期期</w:t>
            </w:r>
            <w:proofErr w:type="gramStart"/>
            <w:r w:rsidRPr="00FF6B9A">
              <w:rPr>
                <w:rFonts w:eastAsiaTheme="minorEastAsia"/>
                <w:color w:themeColor="text1" w:val="000000"/>
                <w:kern w:val="0"/>
              </w:rPr>
              <w:t>初基金</w:t>
            </w:r>
            <w:proofErr w:type="gramEnd"/>
            <w:r w:rsidRPr="00FF6B9A">
              <w:rPr>
                <w:rFonts w:eastAsiaTheme="minor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rsidRPr="00FF6B9A">
            <w:pPr>
              <w:autoSpaceDE w:val="0"/>
              <w:autoSpaceDN w:val="0"/>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gramStart"/>
            <w:r w:rsidRPr="00FF6B9A">
              <w:rPr>
                <w:rFonts w:eastAsiaTheme="minorEastAsia"/>
                <w:color w:themeColor="text1" w:val="000000"/>
              </w:rPr>
              <w:t/>
            </w:r>
            <w:proofErr w:type="spellEnd"/>
            <w:r w:rsidRPr="00FF6B9A">
              <w:rPr>
                <w:rFonts w:eastAsiaTheme="minorEastAsia"/>
                <w:color w:themeColor="text1" w:val="000000"/>
              </w:rPr>
              <w:t/>
            </w:r>
            <w:proofErr w:type="gramEnd"/>
            <w:r w:rsidRPr="00FF6B9A">
              <w:rPr>
                <w:rFonts w:eastAsiaTheme="minorEastAsia"/>
                <w:color w:themeColor="text1" w:val="000000"/>
              </w:rPr>
              <w:t>15,663,184.56</w:t>
            </w:r>
          </w:p>
        </w:tc>
      </w:tr>
      <w:tr w14:paraId="464FC419" w14:textId="77777777" w:rsidR="00D06738" w:rsidRPr="00FF6B9A">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rsidRPr="00FF6B9A">
            <w:pPr>
              <w:autoSpaceDE w:val="0"/>
              <w:autoSpaceDN w:val="0"/>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r w:rsidRPr="00FF6B9A">
              <w:rPr>
                <w:rFonts w:eastAsiaTheme="minorEastAsia"/>
                <w:color w:themeColor="text1" w:val="000000"/>
              </w:rPr>
              <w:t/>
            </w:r>
            <w:proofErr w:type="spellEnd"/>
            <w:r w:rsidRPr="00FF6B9A">
              <w:rPr>
                <w:rFonts w:eastAsiaTheme="minorEastAsia"/>
                <w:color w:themeColor="text1" w:val="000000"/>
                <w:kern w:val="0"/>
              </w:rPr>
              <w:t>报告期期间</w:t>
            </w:r>
            <w:r w:rsidRPr="00FF6B9A">
              <w:rPr>
                <w:rFonts w:eastAsiaTheme="minor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rsidRPr="00FF6B9A">
            <w:pPr>
              <w:autoSpaceDE w:val="0"/>
              <w:autoSpaceDN w:val="0"/>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782,622.65</w:t>
            </w:r>
          </w:p>
        </w:tc>
      </w:tr>
      <w:tr w14:paraId="17EE7B14" w14:textId="77777777" w:rsidR="00D06738" w:rsidRPr="00FF6B9A">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rsidRPr="00FF6B9A">
            <w:pPr>
              <w:autoSpaceDE w:val="0"/>
              <w:autoSpaceDN w:val="0"/>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减：</w:t>
            </w:r>
            <w:r w:rsidRPr="00FF6B9A">
              <w:rPr>
                <w:rFonts w:eastAsiaTheme="minorEastAsia"/>
                <w:color w:themeColor="text1" w:val="000000"/>
                <w:kern w:val="0"/>
              </w:rPr>
              <w:t/>
            </w:r>
            <w:proofErr w:type="spellStart"/>
            <w:r w:rsidRPr="00FF6B9A">
              <w:rPr>
                <w:rFonts w:eastAsiaTheme="minorEastAsia"/>
                <w:color w:themeColor="text1" w:val="000000"/>
                <w:kern w:val="0"/>
              </w:rPr>
              <w:t/>
            </w:r>
            <w:r w:rsidRPr="00FF6B9A">
              <w:rPr>
                <w:rFonts w:eastAsiaTheme="minorEastAsia"/>
                <w:color w:themeColor="text1" w:val="000000"/>
              </w:rPr>
              <w:t/>
            </w:r>
            <w:proofErr w:type="spellEnd"/>
            <w:r w:rsidRPr="00FF6B9A">
              <w:rPr>
                <w:rFonts w:eastAsiaTheme="minorEastAsia"/>
                <w:color w:themeColor="text1" w:val="000000"/>
                <w:kern w:val="0"/>
              </w:rPr>
              <w:t>报告期期间</w:t>
            </w:r>
            <w:r w:rsidRPr="00FF6B9A">
              <w:rPr>
                <w:rFonts w:eastAsiaTheme="minor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rsidRPr="00FF6B9A">
            <w:pPr>
              <w:autoSpaceDE w:val="0"/>
              <w:autoSpaceDN w:val="0"/>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3,336,458.67</w:t>
            </w:r>
          </w:p>
        </w:tc>
      </w:tr>
      <w:tr w14:paraId="465F9B6E" w14:textId="77777777" w:rsidR="00D06738" w:rsidRPr="00FF6B9A">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rsidRPr="00FF6B9A">
            <w:pPr>
              <w:autoSpaceDE w:val="0"/>
              <w:autoSpaceDN w:val="0"/>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
            </w:r>
            <w:proofErr w:type="spellStart"/>
            <w:r w:rsidRPr="00FF6B9A">
              <w:rPr>
                <w:rFonts w:eastAsiaTheme="minorEastAsia"/>
                <w:color w:themeColor="text1" w:val="000000"/>
                <w:kern w:val="0"/>
              </w:rPr>
              <w:t/>
            </w:r>
            <w:r w:rsidRPr="00FF6B9A">
              <w:rPr>
                <w:rFonts w:eastAsiaTheme="minorEastAsia"/>
                <w:color w:themeColor="text1" w:val="000000"/>
              </w:rPr>
              <w:t/>
            </w:r>
            <w:proofErr w:type="spellEnd"/>
            <w:r w:rsidRPr="00FF6B9A">
              <w:rPr>
                <w:rFonts w:eastAsiaTheme="minorEastAsia"/>
                <w:color w:themeColor="text1" w:val="000000"/>
                <w:kern w:val="0"/>
              </w:rPr>
              <w:t>报告期期间</w:t>
            </w:r>
            <w:r w:rsidRPr="00FF6B9A">
              <w:rPr>
                <w:rFonts w:eastAsiaTheme="minor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rsidRPr="00FF6B9A">
            <w:pPr>
              <w:autoSpaceDE w:val="0"/>
              <w:autoSpaceDN w:val="0"/>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w:t>
            </w:r>
          </w:p>
        </w:tc>
      </w:tr>
      <w:tr w14:paraId="05E84194" w14:textId="77777777" w:rsidR="00D06738" w:rsidRPr="00FF6B9A">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rsidRPr="00FF6B9A">
            <w:pPr>
              <w:autoSpaceDE w:val="0"/>
              <w:autoSpaceDN w:val="0"/>
              <w:adjustRightInd w:val="0"/>
              <w:spacing w:before="29" w:line="360" w:lineRule="auto"/>
              <w:ind w:left="17"/>
              <w:rPr>
                <w:rFonts w:eastAsiaTheme="minorEastAsia"/>
                <w:color w:themeColor="text1" w:val="000000"/>
                <w:kern w:val="0"/>
              </w:rPr>
            </w:pPr>
            <w:r w:rsidRPr="00FF6B9A">
              <w:rPr>
                <w:rFonts w:eastAsiaTheme="minor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rsidRPr="00FF6B9A">
            <w:pPr>
              <w:autoSpaceDE w:val="0"/>
              <w:autoSpaceDN w:val="0"/>
              <w:adjustRightInd w:val="0"/>
              <w:spacing w:before="29" w:line="360" w:lineRule="auto"/>
              <w:ind w:left="17"/>
              <w:jc w:val="right"/>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13,109,348.54</w:t>
            </w:r>
          </w:p>
        </w:tc>
      </w:tr>
    </w:tbl>
    <w:p w14:paraId="3C94584F" w14:textId="77777777" w:rsidR="00D06738" w:rsidRDefault="00454D20" w:rsidRPr="00FF6B9A">
      <w:pPr>
        <w:pStyle w:val="1"/>
        <w:tabs>
          <w:tab w:pos="4156" w:val="center"/>
          <w:tab w:pos="8312" w:val="right"/>
        </w:tabs>
        <w:spacing w:after="312" w:afterLines="100" w:before="312" w:beforeLines="100" w:line="360" w:lineRule="auto"/>
        <w:jc w:val="center"/>
        <w:rPr>
          <w:color w:themeColor="text1" w:val="000000"/>
          <w:sz w:val="24"/>
          <w:szCs w:val="24"/>
        </w:rPr>
      </w:pPr>
      <w:r w:rsidRPr="00FF6B9A">
        <w:rPr>
          <w:rFonts w:eastAsiaTheme="minorEastAsia"/>
          <w:color w:themeColor="text1" w:val="000000"/>
          <w:kern w:val="0"/>
          <w:sz w:val="24"/>
          <w:szCs w:val="24"/>
        </w:rPr>
        <w:t/>
      </w:r>
      <w:proofErr w:type="spellStart"/>
      <w:r w:rsidRPr="00FF6B9A">
        <w:rPr>
          <w:rFonts w:eastAsiaTheme="minorEastAsia"/>
          <w:color w:themeColor="text1" w:val="000000"/>
          <w:kern w:val="0"/>
          <w:sz w:val="24"/>
          <w:szCs w:val="24"/>
        </w:rPr>
        <w:t/>
      </w:r>
      <w:proofErr w:type="spellEnd"/>
      <w:r w:rsidRPr="00FF6B9A">
        <w:rPr>
          <w:rFonts w:eastAsiaTheme="minorEastAsia"/>
          <w:color w:themeColor="text1" w:val="000000"/>
          <w:kern w:val="0"/>
          <w:sz w:val="24"/>
          <w:szCs w:val="24"/>
        </w:rPr>
        <w:t xml:space="preserve">§7  </w:t>
      </w:r>
      <w:r w:rsidRPr="00FF6B9A">
        <w:rPr>
          <w:color w:themeColor="text1" w:val="000000"/>
          <w:sz w:val="24"/>
          <w:szCs w:val="24"/>
        </w:rPr>
        <w:t>基金管理人运用</w:t>
      </w:r>
      <w:proofErr w:type="gramStart"/>
      <w:r w:rsidRPr="00FF6B9A">
        <w:rPr>
          <w:color w:themeColor="text1" w:val="000000"/>
          <w:sz w:val="24"/>
          <w:szCs w:val="24"/>
        </w:rPr>
        <w:t>固有资金</w:t>
      </w:r>
      <w:proofErr w:type="gramEnd"/>
      <w:r w:rsidRPr="00FF6B9A">
        <w:rPr>
          <w:color w:themeColor="text1" w:val="000000"/>
          <w:sz w:val="24"/>
          <w:szCs w:val="24"/>
        </w:rPr>
        <w:t>投资本基金情况</w:t>
      </w:r>
    </w:p>
    <w:p w14:paraId="220CB641" w14:textId="77777777" w:rsidR="00D06738" w:rsidRDefault="00454D20" w:rsidRPr="00FF6B9A">
      <w:pPr>
        <w:spacing w:line="360" w:lineRule="auto"/>
        <w:jc w:val="left"/>
        <w:rPr>
          <w:color w:themeColor="text1" w:val="000000"/>
          <w:sz w:val="24"/>
          <w:szCs w:val="24"/>
        </w:rPr>
      </w:pPr>
      <w:r w:rsidRPr="00FF6B9A">
        <w:rPr>
          <w:b/>
          <w:color w:themeColor="text1" w:val="000000"/>
          <w:sz w:val="24"/>
        </w:rPr>
        <w:t/>
      </w:r>
      <w:proofErr w:type="spellStart"/>
      <w:r w:rsidRPr="00FF6B9A">
        <w:rPr>
          <w:b/>
          <w:color w:themeColor="text1" w:val="000000"/>
          <w:sz w:val="24"/>
        </w:rPr>
        <w:t/>
      </w:r>
      <w:proofErr w:type="gramStart"/>
      <w:r w:rsidRPr="00FF6B9A">
        <w:rPr>
          <w:b/>
          <w:color w:themeColor="text1" w:val="000000"/>
          <w:sz w:val="24"/>
        </w:rPr>
        <w:t/>
      </w:r>
      <w:proofErr w:type="spellEnd"/>
      <w:r w:rsidRPr="00FF6B9A">
        <w:rPr>
          <w:b/>
          <w:color w:themeColor="text1" w:val="000000"/>
          <w:sz w:val="24"/>
        </w:rPr>
        <w:t/>
      </w:r>
      <w:proofErr w:type="gramEnd"/>
      <w:r w:rsidRPr="00FF6B9A">
        <w:rPr>
          <w:b/>
          <w:color w:themeColor="text1" w:val="000000"/>
          <w:sz w:val="24"/>
        </w:rPr>
        <w:t xml:space="preserve">7.1 </w:t>
      </w:r>
      <w:r w:rsidRPr="00FF6B9A">
        <w:rPr>
          <w:b/>
          <w:color w:themeColor="text1" w:val="000000"/>
          <w:sz w:val="24"/>
        </w:rPr>
        <w:t>基金管理人持有本基金份额变动情况</w:t>
      </w:r>
    </w:p>
    <w:p w14:paraId="3105CFED" w14:textId="77777777" w:rsidR="00D06738" w:rsidRDefault="00454D20" w:rsidRPr="00FF6B9A">
      <w:pPr>
        <w:autoSpaceDE w:val="0"/>
        <w:autoSpaceDN w:val="0"/>
        <w:adjustRightInd w:val="0"/>
        <w:spacing w:line="360" w:lineRule="auto"/>
        <w:jc w:val="left"/>
        <w:rPr>
          <w:rFonts w:eastAsiaTheme="minorEastAsia"/>
          <w:color w:themeColor="text1" w:val="000000"/>
        </w:rPr>
      </w:pPr>
      <w:r w:rsidRPr="00FF6B9A">
        <w:rPr>
          <w:rFonts w:eastAsiaTheme="minorEastAsia"/>
          <w:color w:themeColor="text1" w:val="000000"/>
          <w:kern w:val="0"/>
        </w:rPr>
        <w:t/>
      </w:r>
      <w:proofErr w:type="gramStart"/>
      <w:r w:rsidRPr="00FF6B9A">
        <w:rPr>
          <w:rFonts w:eastAsiaTheme="minorEastAsia"/>
          <w:color w:themeColor="text1" w:val="000000"/>
          <w:kern w:val="0"/>
        </w:rPr>
        <w:t/>
      </w:r>
      <w:proofErr w:type="spellStart"/>
      <w:proofErr w:type="gramEnd"/>
      <w:r w:rsidRPr="00FF6B9A">
        <w:rPr>
          <w:rFonts w:eastAsiaTheme="minorEastAsia"/>
          <w:color w:themeColor="text1" w:val="000000"/>
          <w:kern w:val="0"/>
        </w:rPr>
        <w:t/>
      </w:r>
      <w:proofErr w:type="spellEnd"/>
      <w:r w:rsidRPr="00FF6B9A">
        <w:rPr>
          <w:rFonts w:eastAsiaTheme="minorEastAsia"/>
          <w:color w:themeColor="text1" w:val="000000"/>
          <w:kern w:val="0"/>
        </w:rPr>
        <w:t>无。</w:t>
      </w:r>
    </w:p>
    <w:p w14:paraId="470676A3" w14:textId="77777777" w:rsidR="00D06738" w:rsidRDefault="00D06738" w:rsidRPr="00FF6B9A">
      <w:pPr>
        <w:autoSpaceDE w:val="0"/>
        <w:autoSpaceDN w:val="0"/>
        <w:adjustRightInd w:val="0"/>
        <w:spacing w:line="360" w:lineRule="auto"/>
        <w:jc w:val="left"/>
        <w:rPr>
          <w:rFonts w:eastAsiaTheme="minorEastAsia"/>
          <w:color w:themeColor="text1" w:val="000000"/>
          <w:kern w:val="0"/>
          <w:sz w:val="24"/>
        </w:rPr>
      </w:pPr>
    </w:p>
    <w:p w14:paraId="33A50992"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t/>
      </w:r>
      <w:proofErr w:type="spellStart"/>
      <w:r w:rsidRPr="00FF6B9A">
        <w:rPr>
          <w:rFonts w:eastAsiaTheme="minorEastAsia"/>
          <w:color w:themeColor="text1" w:val="000000"/>
          <w:kern w:val="0"/>
          <w:sz w:val="24"/>
          <w:szCs w:val="24"/>
        </w:rPr>
        <w:t/>
      </w:r>
      <w:proofErr w:type="spellEnd"/>
      <w:r w:rsidRPr="00FF6B9A">
        <w:rPr>
          <w:rFonts w:eastAsiaTheme="minorEastAsia"/>
          <w:color w:themeColor="text1" w:val="000000"/>
          <w:kern w:val="0"/>
          <w:sz w:val="24"/>
          <w:szCs w:val="24"/>
        </w:rPr>
        <w:t xml:space="preserve">§8  </w:t>
      </w:r>
      <w:r w:rsidRPr="00FF6B9A">
        <w:rPr>
          <w:rFonts w:eastAsiaTheme="minorEastAsia"/>
          <w:color w:themeColor="text1" w:val="000000"/>
          <w:kern w:val="0"/>
          <w:sz w:val="24"/>
          <w:szCs w:val="24"/>
        </w:rPr>
        <w:t>影响投资者决策的其他重要信息</w:t>
      </w:r>
    </w:p>
    <w:p w14:paraId="13FEDBC1" w14:textId="77777777" w:rsidR="00D06738" w:rsidRDefault="00454D20" w:rsidRPr="00FF6B9A">
      <w:pPr>
        <w:autoSpaceDE w:val="0"/>
        <w:autoSpaceDN w:val="0"/>
        <w:adjustRightInd w:val="0"/>
        <w:spacing w:line="360" w:lineRule="auto"/>
        <w:jc w:val="left"/>
        <w:rPr>
          <w:b/>
          <w:bCs/>
          <w:color w:val="000000"/>
          <w:kern w:val="0"/>
          <w:sz w:val="24"/>
          <w:szCs w:val="24"/>
        </w:rPr>
      </w:pPr>
      <w:r w:rsidRPr="00FF6B9A">
        <w:rPr>
          <w:b/>
          <w:color w:val="000000"/>
          <w:kern w:val="0"/>
          <w:sz w:val="24"/>
          <w:szCs w:val="24"/>
        </w:rPr>
        <w:t/>
      </w:r>
      <w:proofErr w:type="spellStart"/>
      <w:r w:rsidRPr="00FF6B9A">
        <w:rPr>
          <w:b/>
          <w:color w:val="000000"/>
          <w:kern w:val="0"/>
          <w:sz w:val="24"/>
          <w:szCs w:val="24"/>
        </w:rPr>
        <w:t/>
      </w:r>
      <w:proofErr w:type="gramStart"/>
      <w:r w:rsidRPr="00FF6B9A">
        <w:rPr>
          <w:b/>
          <w:color w:val="000000"/>
          <w:kern w:val="0"/>
          <w:sz w:val="24"/>
          <w:szCs w:val="24"/>
        </w:rPr>
        <w:t/>
      </w:r>
      <w:proofErr w:type="spellEnd"/>
      <w:r w:rsidRPr="00FF6B9A">
        <w:rPr>
          <w:b/>
          <w:color w:val="000000"/>
          <w:kern w:val="0"/>
          <w:sz w:val="24"/>
          <w:szCs w:val="24"/>
        </w:rPr>
        <w:t/>
      </w:r>
      <w:r w:rsidRPr="00FF6B9A">
        <w:rPr>
          <w:b/>
          <w:bCs/>
          <w:color w:val="000000"/>
          <w:kern w:val="0"/>
          <w:sz w:val="24"/>
          <w:szCs w:val="24"/>
        </w:rPr>
        <w:t/>
      </w:r>
      <w:proofErr w:type="gramEnd"/>
      <w:r w:rsidRPr="00FF6B9A">
        <w:rPr>
          <w:b/>
          <w:bCs/>
          <w:color w:val="000000"/>
          <w:kern w:val="0"/>
          <w:sz w:val="24"/>
          <w:szCs w:val="24"/>
        </w:rPr>
        <w:t xml:space="preserve">8.1 </w:t>
      </w:r>
      <w:r w:rsidRPr="00FF6B9A">
        <w:rPr>
          <w:b/>
          <w:bCs/>
          <w:color w:val="000000"/>
          <w:kern w:val="0"/>
          <w:sz w:val="24"/>
          <w:szCs w:val="24"/>
        </w:rPr>
        <w:t>影响投资者决策的其他重要信息</w:t>
      </w:r>
    </w:p>
    <w:p w14:paraId="3341339C" w14:textId="77777777" w:rsidR="00D06738" w:rsidRDefault="00454D20" w:rsidRPr="00FF6B9A">
      <w:pPr>
        <w:spacing w:line="360" w:lineRule="auto"/>
        <w:ind w:firstLine="420" w:firstLineChars="200"/>
        <w:rPr>
          <w:color w:val="000000"/>
        </w:rPr>
      </w:pPr>
      <w:r w:rsidRPr="00FF6B9A">
        <w:rPr>
          <w:color w:val="000000"/>
        </w:rPr>
        <w:t/>
      </w:r>
      <w:proofErr w:type="spellStart"/>
      <w:r w:rsidRPr="00FF6B9A">
        <w:rPr>
          <w:color w:val="000000"/>
        </w:rPr>
        <w:t/>
      </w:r>
      <w:proofErr w:type="spellEnd"/>
      <w:r w:rsidRPr="00FF6B9A">
        <w:rPr>
          <w:color w:val="000000"/>
        </w:rPr>
        <w:t>基金管理人于2021年9月29日发布《关于以通讯开会方式召开上投摩根策略精选灵活配置混合型证券投资基金基金份额持有人大会的公告》及相关提示性公告，经与基金托管人协商一致，提议召开基金份额持有人大会终止本基金的基金合同。</w:t>
      </w:r>
    </w:p>
    <w:p w14:paraId="6765BFDC" w14:textId="77777777" w:rsidR="00D06738" w:rsidRDefault="00454D20" w:rsidRPr="00FF6B9A">
      <w:pPr>
        <w:pStyle w:val="1"/>
        <w:spacing w:after="312" w:afterLines="100" w:before="312" w:beforeLines="100" w:line="360" w:lineRule="auto"/>
        <w:jc w:val="center"/>
        <w:rPr>
          <w:rFonts w:eastAsiaTheme="minorEastAsia"/>
          <w:color w:themeColor="text1" w:val="000000"/>
          <w:kern w:val="0"/>
          <w:sz w:val="24"/>
          <w:szCs w:val="24"/>
        </w:rPr>
      </w:pPr>
      <w:r w:rsidRPr="00FF6B9A">
        <w:rPr>
          <w:rFonts w:eastAsiaTheme="minorEastAsia"/>
          <w:color w:themeColor="text1" w:val="000000"/>
          <w:kern w:val="0"/>
          <w:sz w:val="24"/>
          <w:szCs w:val="24"/>
        </w:rPr>
        <w:lastRenderedPageBreak/>
        <w:t xml:space="preserve">§9  </w:t>
      </w:r>
      <w:r w:rsidRPr="00FF6B9A">
        <w:rPr>
          <w:rFonts w:eastAsiaTheme="minorEastAsia"/>
          <w:color w:themeColor="text1" w:val="000000"/>
          <w:kern w:val="0"/>
          <w:sz w:val="24"/>
          <w:szCs w:val="24"/>
        </w:rPr>
        <w:t>备查文件目录</w:t>
      </w:r>
    </w:p>
    <w:p w14:paraId="457E531B"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9.</w:t>
      </w:r>
      <w:proofErr w:type="gramEnd"/>
      <w:r w:rsidRPr="00FF6B9A">
        <w:rPr>
          <w:rFonts w:eastAsiaTheme="minorEastAsia"/>
          <w:b/>
          <w:bCs/>
          <w:color w:themeColor="text1" w:val="000000"/>
          <w:kern w:val="0"/>
          <w:sz w:val="24"/>
          <w:szCs w:val="24"/>
        </w:rPr>
        <w:t xml:space="preserve">1 </w:t>
      </w:r>
      <w:r w:rsidRPr="00FF6B9A">
        <w:rPr>
          <w:rFonts w:eastAsiaTheme="minorEastAsia"/>
          <w:b/>
          <w:bCs/>
          <w:color w:themeColor="text1" w:val="000000"/>
          <w:kern w:val="0"/>
          <w:sz w:val="24"/>
          <w:szCs w:val="24"/>
        </w:rPr>
        <w:t>备查文件目录</w:t>
      </w:r>
    </w:p>
    <w:p>
      <w:pPr>
        <w:spacing w:line="360" w:lineRule="auto"/>
        <w:ind w:firstLine="420" w:firstLineChars="200"/>
        <w:rPr>
          <w:rFonts w:eastAsiaTheme="minorEastAsia"/>
          <w:color w:themeColor="text1" w:val="000000"/>
        </w:rPr>
      </w:pPr>
      <w:r>
        <w:rPr>
          <w:rFonts w:eastAsiaTheme="minorEastAsia"/>
          <w:color w:themeColor="text1" w:val="000000"/>
        </w:rPr>
        <w:t>1、中国证监会批准上投摩根策略精选灵活配置混合型证券投资基金募集的文件</w:t>
      </w:r>
    </w:p>
    <w:p>
      <w:pPr>
        <w:spacing w:line="360" w:lineRule="auto"/>
        <w:ind w:firstLine="420" w:firstLineChars="200"/>
        <w:rPr>
          <w:rFonts w:eastAsiaTheme="minorEastAsia"/>
          <w:color w:themeColor="text1" w:val="000000"/>
        </w:rPr>
      </w:pPr>
      <w:r>
        <w:rPr>
          <w:rFonts w:eastAsiaTheme="minorEastAsia"/>
          <w:color w:themeColor="text1" w:val="000000"/>
        </w:rPr>
        <w:t>2、《上投摩根策略精选灵活配置混合型证券投资基金基金合同》</w:t>
      </w:r>
    </w:p>
    <w:p>
      <w:pPr>
        <w:spacing w:line="360" w:lineRule="auto"/>
        <w:ind w:firstLine="420" w:firstLineChars="200"/>
        <w:rPr>
          <w:rFonts w:eastAsiaTheme="minorEastAsia"/>
          <w:color w:themeColor="text1" w:val="000000"/>
        </w:rPr>
      </w:pPr>
      <w:r>
        <w:rPr>
          <w:rFonts w:eastAsiaTheme="minorEastAsia"/>
          <w:color w:themeColor="text1" w:val="000000"/>
        </w:rPr>
        <w:t>3、《上投摩根策略精选灵活配置混合型证券投资基金托管协议》</w:t>
      </w:r>
    </w:p>
    <w:p>
      <w:pPr>
        <w:spacing w:line="360" w:lineRule="auto"/>
        <w:ind w:firstLine="420" w:firstLineChars="200"/>
        <w:rPr>
          <w:rFonts w:eastAsiaTheme="minorEastAsia"/>
          <w:color w:themeColor="text1" w:val="000000"/>
        </w:rPr>
      </w:pPr>
      <w:r>
        <w:rPr>
          <w:rFonts w:eastAsiaTheme="minorEastAsia"/>
          <w:color w:themeColor="text1" w:val="000000"/>
        </w:rPr>
        <w:t>4、法律意见书</w:t>
      </w:r>
    </w:p>
    <w:p>
      <w:pPr>
        <w:spacing w:line="360" w:lineRule="auto"/>
        <w:ind w:firstLine="420" w:firstLineChars="200"/>
        <w:rPr>
          <w:rFonts w:eastAsiaTheme="minorEastAsia"/>
          <w:color w:themeColor="text1" w:val="000000"/>
        </w:rPr>
      </w:pPr>
      <w:r>
        <w:rPr>
          <w:rFonts w:eastAsiaTheme="minorEastAsia"/>
          <w:color w:themeColor="text1" w:val="000000"/>
        </w:rPr>
        <w:t>5、基金管理人业务资格批件、营业执照</w:t>
      </w:r>
    </w:p>
    <w:p>
      <w:pPr>
        <w:spacing w:line="360" w:lineRule="auto"/>
        <w:ind w:firstLine="420" w:firstLineChars="200"/>
        <w:rPr>
          <w:rFonts w:eastAsiaTheme="minorEastAsia"/>
          <w:color w:themeColor="text1" w:val="000000"/>
        </w:rPr>
      </w:pPr>
      <w:r>
        <w:rPr>
          <w:rFonts w:eastAsiaTheme="minorEastAsia"/>
          <w:color w:themeColor="text1" w:val="000000"/>
        </w:rPr>
        <w:t>6、基金托管人业务资格批件、营业执照</w:t>
      </w:r>
    </w:p>
    <w:p>
      <w:pPr>
        <w:spacing w:line="360" w:lineRule="auto"/>
        <w:ind w:firstLine="420" w:firstLineChars="200"/>
        <w:rPr>
          <w:rFonts w:eastAsiaTheme="minorEastAsia"/>
          <w:color w:themeColor="text1" w:val="000000"/>
        </w:rPr>
      </w:pPr>
      <w:r>
        <w:rPr>
          <w:rFonts w:eastAsiaTheme="minorEastAsia"/>
          <w:color w:themeColor="text1" w:val="000000"/>
        </w:rPr>
        <w:t>7、《上投摩根基金管理有限公司开放式基金业务规则》</w:t>
      </w:r>
    </w:p>
    <w:p w14:paraId="1A471A23"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8、中国证监会要求的其他文件</w:t>
      </w:r>
    </w:p>
    <w:p w14:paraId="34C276B3" w14:textId="77777777" w:rsidR="00D06738" w:rsidRDefault="00D06738" w:rsidRPr="00FF6B9A">
      <w:pPr>
        <w:spacing w:line="360" w:lineRule="auto"/>
        <w:ind w:firstLine="480" w:firstLineChars="200"/>
        <w:rPr>
          <w:rFonts w:eastAsiaTheme="minorEastAsia"/>
          <w:color w:themeColor="text1" w:val="000000"/>
          <w:sz w:val="24"/>
          <w:szCs w:val="24"/>
        </w:rPr>
      </w:pPr>
    </w:p>
    <w:p w14:paraId="23507D88"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9.</w:t>
      </w:r>
      <w:proofErr w:type="gramEnd"/>
      <w:r w:rsidRPr="00FF6B9A">
        <w:rPr>
          <w:rFonts w:eastAsiaTheme="minorEastAsia"/>
          <w:b/>
          <w:bCs/>
          <w:color w:themeColor="text1" w:val="000000"/>
          <w:kern w:val="0"/>
          <w:sz w:val="24"/>
          <w:szCs w:val="24"/>
        </w:rPr>
        <w:t xml:space="preserve">2 </w:t>
      </w:r>
      <w:r w:rsidRPr="00FF6B9A">
        <w:rPr>
          <w:rFonts w:eastAsiaTheme="minorEastAsia"/>
          <w:b/>
          <w:bCs/>
          <w:color w:themeColor="text1" w:val="000000"/>
          <w:kern w:val="0"/>
          <w:sz w:val="24"/>
          <w:szCs w:val="24"/>
        </w:rPr>
        <w:t>存放地点</w:t>
      </w:r>
    </w:p>
    <w:p w14:paraId="61EC8F57"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基金管理人或基金托管人住所。</w:t>
      </w:r>
    </w:p>
    <w:p w14:paraId="4B43DAA4" w14:textId="77777777" w:rsidR="00D06738" w:rsidRDefault="00D06738" w:rsidRPr="00FF6B9A">
      <w:pPr>
        <w:spacing w:line="360" w:lineRule="auto"/>
        <w:ind w:firstLine="480" w:firstLineChars="200"/>
        <w:rPr>
          <w:rFonts w:eastAsiaTheme="minorEastAsia"/>
          <w:color w:themeColor="text1" w:val="000000"/>
          <w:sz w:val="24"/>
          <w:szCs w:val="24"/>
        </w:rPr>
      </w:pPr>
    </w:p>
    <w:p w14:paraId="05279DD9" w14:textId="77777777" w:rsidR="00D06738" w:rsidRDefault="00454D20" w:rsidRPr="00FF6B9A">
      <w:pPr>
        <w:autoSpaceDE w:val="0"/>
        <w:autoSpaceDN w:val="0"/>
        <w:adjustRightInd w:val="0"/>
        <w:spacing w:line="360" w:lineRule="auto"/>
        <w:jc w:val="left"/>
        <w:rPr>
          <w:rFonts w:eastAsiaTheme="minorEastAsia"/>
          <w:b/>
          <w:bCs/>
          <w:color w:themeColor="text1" w:val="000000"/>
          <w:kern w:val="0"/>
          <w:sz w:val="24"/>
          <w:szCs w:val="24"/>
        </w:rPr>
      </w:pPr>
      <w:r w:rsidRPr="00FF6B9A">
        <w:rPr>
          <w:rFonts w:eastAsiaTheme="minorEastAsia"/>
          <w:b/>
          <w:bCs/>
          <w:color w:themeColor="text1" w:val="000000"/>
          <w:kern w:val="0"/>
          <w:sz w:val="24"/>
          <w:szCs w:val="24"/>
        </w:rPr>
        <w:t/>
      </w:r>
      <w:proofErr w:type="gramStart"/>
      <w:r w:rsidRPr="00FF6B9A">
        <w:rPr>
          <w:rFonts w:eastAsiaTheme="minorEastAsia"/>
          <w:b/>
          <w:bCs/>
          <w:color w:themeColor="text1" w:val="000000"/>
          <w:kern w:val="0"/>
          <w:sz w:val="24"/>
          <w:szCs w:val="24"/>
        </w:rPr>
        <w:t>9.</w:t>
      </w:r>
      <w:proofErr w:type="gramEnd"/>
      <w:r w:rsidRPr="00FF6B9A">
        <w:rPr>
          <w:rFonts w:eastAsiaTheme="minorEastAsia"/>
          <w:b/>
          <w:bCs/>
          <w:color w:themeColor="text1" w:val="000000"/>
          <w:kern w:val="0"/>
          <w:sz w:val="24"/>
          <w:szCs w:val="24"/>
        </w:rPr>
        <w:t xml:space="preserve">3 </w:t>
      </w:r>
      <w:r w:rsidRPr="00FF6B9A">
        <w:rPr>
          <w:rFonts w:eastAsiaTheme="minorEastAsia"/>
          <w:b/>
          <w:bCs/>
          <w:color w:themeColor="text1" w:val="000000"/>
          <w:kern w:val="0"/>
          <w:sz w:val="24"/>
          <w:szCs w:val="24"/>
        </w:rPr>
        <w:t>查阅方式</w:t>
      </w:r>
    </w:p>
    <w:p w14:paraId="5BDF4042" w14:textId="77777777" w:rsidR="00D06738" w:rsidRDefault="00454D20" w:rsidRPr="00FF6B9A">
      <w:pPr>
        <w:spacing w:line="360" w:lineRule="auto"/>
        <w:ind w:firstLine="420" w:firstLineChars="200"/>
        <w:rPr>
          <w:rFonts w:eastAsiaTheme="minorEastAsia"/>
          <w:color w:themeColor="text1" w:val="000000"/>
        </w:rPr>
      </w:pPr>
      <w:r w:rsidRPr="00FF6B9A">
        <w:rPr>
          <w:rFonts w:eastAsiaTheme="minorEastAsia"/>
          <w:color w:themeColor="text1" w:val="000000"/>
        </w:rPr>
        <w:t/>
      </w:r>
      <w:proofErr w:type="spellStart"/>
      <w:r w:rsidRPr="00FF6B9A">
        <w:rPr>
          <w:rFonts w:eastAsiaTheme="minorEastAsia"/>
          <w:color w:themeColor="text1" w:val="000000"/>
        </w:rPr>
        <w:t/>
      </w:r>
      <w:proofErr w:type="spellEnd"/>
      <w:r w:rsidRPr="00FF6B9A">
        <w:rPr>
          <w:rFonts w:eastAsiaTheme="minorEastAsia"/>
          <w:color w:themeColor="text1" w:val="000000"/>
        </w:rPr>
        <w:t>投资者可在营业时间免费查阅，也可按工本费购买复印件。</w:t>
      </w:r>
    </w:p>
    <w:p w14:paraId="1EB1072F" w14:textId="77777777" w:rsidR="00D06738" w:rsidRDefault="00D06738" w:rsidRPr="00FF6B9A">
      <w:pPr>
        <w:spacing w:line="360" w:lineRule="auto"/>
        <w:ind w:left="840"/>
        <w:jc w:val="right"/>
        <w:rPr>
          <w:rFonts w:eastAsiaTheme="minorEastAsia"/>
          <w:color w:themeColor="text1" w:val="000000"/>
          <w:sz w:val="24"/>
          <w:szCs w:val="24"/>
        </w:rPr>
      </w:pPr>
    </w:p>
    <w:p w14:paraId="086D5C70" w14:textId="77777777" w:rsidR="00D06738" w:rsidRDefault="00D06738" w:rsidRPr="00FF6B9A">
      <w:pPr>
        <w:spacing w:line="360" w:lineRule="auto"/>
        <w:ind w:left="840"/>
        <w:jc w:val="right"/>
        <w:rPr>
          <w:rFonts w:eastAsiaTheme="minorEastAsia"/>
          <w:color w:themeColor="text1" w:val="000000"/>
          <w:sz w:val="24"/>
          <w:szCs w:val="24"/>
        </w:rPr>
      </w:pPr>
    </w:p>
    <w:p w14:paraId="667FD74D" w14:textId="77777777" w:rsidR="00D06738" w:rsidRDefault="00D06738" w:rsidRPr="00FF6B9A">
      <w:pPr>
        <w:spacing w:line="360" w:lineRule="auto"/>
        <w:ind w:left="840"/>
        <w:jc w:val="right"/>
        <w:rPr>
          <w:rFonts w:eastAsiaTheme="minorEastAsia"/>
          <w:color w:themeColor="text1" w:val="000000"/>
          <w:sz w:val="24"/>
          <w:szCs w:val="24"/>
        </w:rPr>
      </w:pPr>
    </w:p>
    <w:p w14:paraId="5173A207" w14:textId="77777777" w:rsidR="00D06738" w:rsidRDefault="00D06738" w:rsidRPr="00FF6B9A">
      <w:pPr>
        <w:spacing w:line="360" w:lineRule="auto"/>
        <w:ind w:left="840"/>
        <w:jc w:val="right"/>
        <w:rPr>
          <w:rFonts w:eastAsiaTheme="minorEastAsia"/>
          <w:color w:themeColor="text1" w:val="000000"/>
          <w:sz w:val="24"/>
          <w:szCs w:val="24"/>
        </w:rPr>
      </w:pPr>
    </w:p>
    <w:p w14:paraId="5C1BC673" w14:textId="77777777" w:rsidR="00D06738" w:rsidRDefault="00D06738" w:rsidRPr="00FF6B9A">
      <w:pPr>
        <w:spacing w:line="360" w:lineRule="auto"/>
        <w:ind w:left="840"/>
        <w:jc w:val="right"/>
        <w:rPr>
          <w:rFonts w:eastAsiaTheme="minorEastAsia"/>
          <w:color w:themeColor="text1" w:val="000000"/>
          <w:sz w:val="24"/>
          <w:szCs w:val="24"/>
        </w:rPr>
      </w:pPr>
    </w:p>
    <w:p w14:paraId="309916CD" w14:textId="77777777" w:rsidR="00D06738" w:rsidRDefault="00D06738" w:rsidRPr="00FF6B9A">
      <w:pPr>
        <w:spacing w:line="360" w:lineRule="auto"/>
        <w:ind w:left="840"/>
        <w:jc w:val="right"/>
        <w:rPr>
          <w:rFonts w:eastAsiaTheme="minorEastAsia"/>
          <w:color w:themeColor="text1" w:val="000000"/>
          <w:sz w:val="24"/>
          <w:szCs w:val="24"/>
        </w:rPr>
      </w:pPr>
    </w:p>
    <w:p w14:paraId="7C0C74F6" w14:textId="77777777" w:rsidR="00D06738" w:rsidRDefault="00D06738" w:rsidRPr="00FF6B9A">
      <w:pPr>
        <w:spacing w:line="360" w:lineRule="auto"/>
        <w:ind w:left="840"/>
        <w:jc w:val="right"/>
        <w:rPr>
          <w:rFonts w:eastAsiaTheme="minorEastAsia"/>
          <w:color w:themeColor="text1" w:val="000000"/>
          <w:sz w:val="24"/>
          <w:szCs w:val="24"/>
        </w:rPr>
      </w:pPr>
    </w:p>
    <w:p w14:paraId="04EFEDF1" w14:textId="77777777" w:rsidR="00D06738" w:rsidRDefault="00D06738" w:rsidRPr="00FF6B9A">
      <w:pPr>
        <w:spacing w:line="360" w:lineRule="auto"/>
        <w:ind w:left="840"/>
        <w:jc w:val="right"/>
        <w:rPr>
          <w:rFonts w:eastAsiaTheme="minorEastAsia"/>
          <w:color w:themeColor="text1" w:val="000000"/>
          <w:sz w:val="24"/>
          <w:szCs w:val="24"/>
        </w:rPr>
      </w:pPr>
    </w:p>
    <w:p w14:paraId="0387F1AC" w14:textId="77777777" w:rsidR="00D06738" w:rsidRDefault="00454D20" w:rsidRPr="00FF6B9A">
      <w:pPr>
        <w:spacing w:line="360" w:lineRule="auto"/>
        <w:jc w:val="right"/>
        <w:rPr>
          <w:rFonts w:eastAsiaTheme="minorEastAsia"/>
          <w:b/>
          <w:bCs/>
          <w:color w:themeColor="text1" w:val="000000"/>
          <w:sz w:val="24"/>
          <w:szCs w:val="24"/>
        </w:rPr>
      </w:pPr>
      <w:r w:rsidRPr="00FF6B9A">
        <w:rPr>
          <w:rFonts w:eastAsiaTheme="minorEastAsia"/>
          <w:b/>
          <w:bCs/>
          <w:color w:themeColor="text1" w:val="000000"/>
          <w:sz w:val="24"/>
          <w:szCs w:val="24"/>
        </w:rPr>
        <w:t/>
      </w:r>
      <w:proofErr w:type="spellStart"/>
      <w:r w:rsidRPr="00FF6B9A">
        <w:rPr>
          <w:rFonts w:eastAsiaTheme="minorEastAsia"/>
          <w:b/>
          <w:bCs/>
          <w:color w:themeColor="text1" w:val="000000"/>
          <w:sz w:val="24"/>
          <w:szCs w:val="24"/>
        </w:rPr>
        <w:t/>
      </w:r>
      <w:proofErr w:type="spellEnd"/>
      <w:r w:rsidRPr="00FF6B9A">
        <w:rPr>
          <w:rFonts w:eastAsiaTheme="minorEastAsia"/>
          <w:b/>
          <w:bCs/>
          <w:color w:themeColor="text1" w:val="000000"/>
          <w:sz w:val="24"/>
          <w:szCs w:val="24"/>
        </w:rPr>
        <w:t>上投摩根基金管理有限公司</w:t>
      </w:r>
    </w:p>
    <w:p w14:paraId="114F1307" w14:textId="77777777" w:rsidR="00D06738" w:rsidRDefault="00454D20" w:rsidRPr="00FF6B9A">
      <w:pPr>
        <w:spacing w:line="360" w:lineRule="auto"/>
        <w:jc w:val="right"/>
        <w:rPr>
          <w:rFonts w:eastAsiaTheme="minorEastAsia"/>
          <w:b/>
          <w:bCs/>
          <w:color w:themeColor="text1" w:val="000000"/>
          <w:sz w:val="24"/>
          <w:szCs w:val="24"/>
        </w:rPr>
      </w:pPr>
      <w:r w:rsidRPr="00FF6B9A">
        <w:rPr>
          <w:rFonts w:eastAsiaTheme="minorEastAsia"/>
          <w:b/>
          <w:bCs/>
          <w:color w:themeColor="text1" w:val="000000"/>
          <w:sz w:val="24"/>
          <w:szCs w:val="24"/>
        </w:rPr>
        <w:t/>
      </w:r>
      <w:proofErr w:type="spellStart"/>
      <w:r w:rsidRPr="00FF6B9A">
        <w:rPr>
          <w:rFonts w:eastAsiaTheme="minorEastAsia"/>
          <w:b/>
          <w:bCs/>
          <w:color w:themeColor="text1" w:val="000000"/>
          <w:sz w:val="24"/>
          <w:szCs w:val="24"/>
        </w:rPr>
        <w:t/>
      </w:r>
      <w:proofErr w:type="spellEnd"/>
      <w:r w:rsidRPr="00FF6B9A">
        <w:rPr>
          <w:rFonts w:eastAsiaTheme="minorEastAsia"/>
          <w:b/>
          <w:bCs/>
          <w:color w:themeColor="text1" w:val="000000"/>
          <w:sz w:val="24"/>
          <w:szCs w:val="24"/>
        </w:rPr>
        <w:t>二〇二一年十月二十七日</w:t>
      </w:r>
    </w:p>
    <w:p w14:paraId="2199A838" w14:textId="77777777" w:rsidR="00D06738" w:rsidRDefault="00D06738" w:rsidRPr="00FF6B9A">
      <w:pPr>
        <w:spacing w:line="360" w:lineRule="auto"/>
        <w:ind w:left="840"/>
        <w:jc w:val="right"/>
        <w:rPr>
          <w:rFonts w:eastAsiaTheme="minorEastAsia"/>
          <w:b/>
          <w:bCs/>
          <w:color w:themeColor="text1" w:val="000000"/>
          <w:sz w:val="24"/>
          <w:szCs w:val="24"/>
        </w:rPr>
      </w:pPr>
    </w:p>
    <w:p w14:paraId="1ED73A6C" w14:textId="77777777" w:rsidR="00D06738" w:rsidRDefault="00D06738" w:rsidRPr="00FF6B9A">
      <w:pPr>
        <w:rPr>
          <w:rFonts w:eastAsiaTheme="minorEastAsia"/>
          <w:color w:themeColor="text1" w:val="000000"/>
          <w:sz w:val="24"/>
          <w:szCs w:val="24"/>
        </w:rPr>
      </w:pPr>
    </w:p>
    <w:sectPr w:rsidR="00D06738" w:rsidRPr="00FF6B9A">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A565" w14:textId="77777777" w:rsidR="007573EA" w:rsidRDefault="007573EA">
      <w:r>
        <w:separator/>
      </w:r>
    </w:p>
  </w:endnote>
  <w:endnote w:type="continuationSeparator" w:id="0">
    <w:p w14:paraId="487ADA0C" w14:textId="77777777"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78AE9C8" w14:textId="77777777" w:rsidR="007573EA" w:rsidRDefault="007573EA">
      <w:r>
        <w:separator/>
      </w:r>
    </w:p>
  </w:footnote>
  <w:footnote w:id="0" w:type="continuationSeparator">
    <w:p w14:paraId="43F62B92" w14:textId="77777777" w:rsidR="007573EA" w:rsidRDefault="007573E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上投摩根策略精选灵活配置混合型证券投资基金</w:t>
    </w:r>
    <w:proofErr w:type="spellStart"/>
    <w:proofErr w:type="gramEnd"/>
    <w:r>
      <w:rPr>
        <w:rFonts w:hint="eastAsia"/>
      </w:rPr>
      <w:t/>
    </w:r>
    <w:proofErr w:type="spellEnd"/>
    <w:r>
      <w:rPr>
        <w:rFonts w:hint="eastAsia"/>
      </w:rPr>
      <w:t>2021年第3季度报告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Grid" w:qFormat="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qFormat/>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4167</Words>
  <Characters>23756</Characters>
  <Application>Microsoft Office Word</Application>
  <DocSecurity>0</DocSecurity>
  <Lines>197</Lines>
  <Paragraphs>55</Paragraphs>
  <ScaleCrop>false</ScaleCrop>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良 虢</cp:lastModifiedBy>
  <dcterms:modified xsi:type="dcterms:W3CDTF">2021-06-04T04:09:00Z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