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上投摩根策略精选灵活配置混合型证券投资基金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2020年第4季度报告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2020年12月31日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二〇二一年一月二十二日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基金托管人中国银行股份有限公司根据本基金合同规定，于2021年1月21日复核了本报告中的财务指标、净值表现和投资组合报告等内容，保证复核内容不存在虚假记载、误导性陈述或者重大遗漏。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本报告期自2020年10月1日起至12月31日止。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上投摩根策略精选混合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002654</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002654</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2016年6月16日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18,323,942.64</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在严格的风险控制的前提下，采用定性与定量的分析，自下而上精选个股，力争实现基金资产的长期增值。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本基金将主要通过运用主题轮动策略与行业轮动策略，结合“自下而上”精选个股，充分挖掘并把握市场中潜在的投资机会，力争把握经济发展与转型中的投资机会。</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3、固定收益类投资策略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对于固定收益类资产的选择，本基金将以价值分析为主线，在综合研究的基础上实施积极主动的组合管理，自上而下进行组合构建，自下而上进行个券选择。</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中证800指数收益率*60%+中债总指数收益率*40%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2020年10月1日-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2020年12月31日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3,186,871.01</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3,833,438.83</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0.2069</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28,028,255.47</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1.5296</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15.53%</w:t>
            </w:r>
          </w:p>
        </w:tc>
        <w:tc>
          <w:tcPr>
            <w:vAlign w:val="center"/>
          </w:tcPr>
          <w:p>
            <w:pPr>
              <w:jc w:val="center"/>
            </w:pPr>
            <w:r>
              <w:rPr>
                <w:rFonts w:asciiTheme="minorEastAsia" w:eastAsiaTheme="minorEastAsia" w:hAnsiTheme="minorEastAsia"/>
                <w:color w:themeColor="text1" w:val="000000"/>
                <w:kern w:val="0"/>
              </w:rPr>
              <w:t>1.11%</w:t>
            </w:r>
          </w:p>
        </w:tc>
        <w:tc>
          <w:tcPr>
            <w:vAlign w:val="center"/>
          </w:tcPr>
          <w:p>
            <w:pPr>
              <w:jc w:val="center"/>
            </w:pPr>
            <w:r>
              <w:rPr>
                <w:rFonts w:asciiTheme="minorEastAsia" w:eastAsiaTheme="minorEastAsia" w:hAnsiTheme="minorEastAsia"/>
                <w:color w:themeColor="text1" w:val="000000"/>
                <w:kern w:val="0"/>
              </w:rPr>
              <w:t>7.01%</w:t>
            </w:r>
          </w:p>
        </w:tc>
        <w:tc>
          <w:tcPr>
            <w:vAlign w:val="center"/>
          </w:tcPr>
          <w:p>
            <w:pPr>
              <w:jc w:val="center"/>
            </w:pPr>
            <w:r>
              <w:rPr>
                <w:rFonts w:asciiTheme="minorEastAsia" w:eastAsiaTheme="minorEastAsia" w:hAnsiTheme="minorEastAsia"/>
                <w:color w:themeColor="text1" w:val="000000"/>
                <w:kern w:val="0"/>
              </w:rPr>
              <w:t>0.61%</w:t>
            </w:r>
          </w:p>
        </w:tc>
        <w:tc>
          <w:tcPr>
            <w:vAlign w:val="center"/>
          </w:tcPr>
          <w:p>
            <w:pPr>
              <w:jc w:val="center"/>
            </w:pPr>
            <w:r>
              <w:rPr>
                <w:rFonts w:asciiTheme="minorEastAsia" w:eastAsiaTheme="minorEastAsia" w:hAnsiTheme="minorEastAsia"/>
                <w:color w:themeColor="text1" w:val="000000"/>
                <w:kern w:val="0"/>
              </w:rPr>
              <w:t>8.52%</w:t>
            </w:r>
          </w:p>
        </w:tc>
        <w:tc>
          <w:tcPr>
            <w:vAlign w:val="center"/>
          </w:tcPr>
          <w:p>
            <w:pPr>
              <w:jc w:val="center"/>
            </w:pPr>
            <w:r>
              <w:rPr>
                <w:rFonts w:asciiTheme="minorEastAsia" w:eastAsiaTheme="minorEastAsia" w:hAnsiTheme="minorEastAsia"/>
                <w:color w:themeColor="text1" w:val="000000"/>
                <w:kern w:val="0"/>
              </w:rPr>
              <w:t>0.50%</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31.64%</w:t>
            </w:r>
          </w:p>
        </w:tc>
        <w:tc>
          <w:tcPr>
            <w:vAlign w:val="center"/>
          </w:tcPr>
          <w:p>
            <w:pPr>
              <w:jc w:val="center"/>
            </w:pPr>
            <w:r>
              <w:rPr>
                <w:rFonts w:asciiTheme="minorEastAsia" w:eastAsiaTheme="minorEastAsia" w:hAnsiTheme="minorEastAsia"/>
                <w:color w:themeColor="text1" w:val="000000"/>
                <w:kern w:val="0"/>
              </w:rPr>
              <w:t>1.43%</w:t>
            </w:r>
          </w:p>
        </w:tc>
        <w:tc>
          <w:tcPr>
            <w:vAlign w:val="center"/>
          </w:tcPr>
          <w:p>
            <w:pPr>
              <w:jc w:val="center"/>
            </w:pPr>
            <w:r>
              <w:rPr>
                <w:rFonts w:asciiTheme="minorEastAsia" w:eastAsiaTheme="minorEastAsia" w:hAnsiTheme="minorEastAsia"/>
                <w:color w:themeColor="text1" w:val="000000"/>
                <w:kern w:val="0"/>
              </w:rPr>
              <w:t>12.21%</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19.43%</w:t>
            </w:r>
          </w:p>
        </w:tc>
        <w:tc>
          <w:tcPr>
            <w:vAlign w:val="center"/>
          </w:tcPr>
          <w:p>
            <w:pPr>
              <w:jc w:val="center"/>
            </w:pPr>
            <w:r>
              <w:rPr>
                <w:rFonts w:asciiTheme="minorEastAsia" w:eastAsiaTheme="minorEastAsia" w:hAnsiTheme="minorEastAsia"/>
                <w:color w:themeColor="text1" w:val="000000"/>
                <w:kern w:val="0"/>
              </w:rPr>
              <w:t>0.64%</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59.67%</w:t>
            </w:r>
          </w:p>
        </w:tc>
        <w:tc>
          <w:tcPr>
            <w:vAlign w:val="center"/>
          </w:tcPr>
          <w:p>
            <w:pPr>
              <w:jc w:val="center"/>
            </w:pPr>
            <w:r>
              <w:rPr>
                <w:rFonts w:asciiTheme="minorEastAsia" w:eastAsiaTheme="minorEastAsia" w:hAnsiTheme="minorEastAsia"/>
                <w:color w:themeColor="text1" w:val="000000"/>
                <w:kern w:val="0"/>
              </w:rPr>
              <w:t>1.56%</w:t>
            </w:r>
          </w:p>
        </w:tc>
        <w:tc>
          <w:tcPr>
            <w:vAlign w:val="center"/>
          </w:tcPr>
          <w:p>
            <w:pPr>
              <w:jc w:val="center"/>
            </w:pPr>
            <w:r>
              <w:rPr>
                <w:rFonts w:asciiTheme="minorEastAsia" w:eastAsiaTheme="minorEastAsia" w:hAnsiTheme="minorEastAsia"/>
                <w:color w:themeColor="text1" w:val="000000"/>
                <w:kern w:val="0"/>
              </w:rPr>
              <w:t>15.41%</w:t>
            </w:r>
          </w:p>
        </w:tc>
        <w:tc>
          <w:tcPr>
            <w:vAlign w:val="center"/>
          </w:tcPr>
          <w:p>
            <w:pPr>
              <w:jc w:val="center"/>
            </w:pPr>
            <w:r>
              <w:rPr>
                <w:rFonts w:asciiTheme="minorEastAsia" w:eastAsiaTheme="minorEastAsia" w:hAnsiTheme="minorEastAsia"/>
                <w:color w:themeColor="text1" w:val="000000"/>
                <w:kern w:val="0"/>
              </w:rPr>
              <w:t>0.85%</w:t>
            </w:r>
          </w:p>
        </w:tc>
        <w:tc>
          <w:tcPr>
            <w:vAlign w:val="center"/>
          </w:tcPr>
          <w:p>
            <w:pPr>
              <w:jc w:val="center"/>
            </w:pPr>
            <w:r>
              <w:rPr>
                <w:rFonts w:asciiTheme="minorEastAsia" w:eastAsiaTheme="minorEastAsia" w:hAnsiTheme="minorEastAsia"/>
                <w:color w:themeColor="text1" w:val="000000"/>
                <w:kern w:val="0"/>
              </w:rPr>
              <w:t>44.26%</w:t>
            </w:r>
          </w:p>
        </w:tc>
        <w:tc>
          <w:tcPr>
            <w:vAlign w:val="center"/>
          </w:tcPr>
          <w:p>
            <w:pPr>
              <w:jc w:val="center"/>
            </w:pPr>
            <w:r>
              <w:rPr>
                <w:rFonts w:asciiTheme="minorEastAsia" w:eastAsiaTheme="minorEastAsia" w:hAnsiTheme="minorEastAsia"/>
                <w:color w:themeColor="text1" w:val="000000"/>
                <w:kern w:val="0"/>
              </w:rPr>
              <w:t>0.71%</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59.33%</w:t>
            </w:r>
          </w:p>
        </w:tc>
        <w:tc>
          <w:tcPr>
            <w:vAlign w:val="center"/>
          </w:tcPr>
          <w:p>
            <w:pPr>
              <w:jc w:val="center"/>
            </w:pPr>
            <w:r>
              <w:rPr>
                <w:rFonts w:asciiTheme="minorEastAsia" w:eastAsiaTheme="minorEastAsia" w:hAnsiTheme="minorEastAsia"/>
                <w:color w:themeColor="text1" w:val="000000"/>
                <w:kern w:val="0"/>
              </w:rPr>
              <w:t>1.47%</w:t>
            </w:r>
          </w:p>
        </w:tc>
        <w:tc>
          <w:tcPr>
            <w:vAlign w:val="center"/>
          </w:tcPr>
          <w:p>
            <w:pPr>
              <w:jc w:val="center"/>
            </w:pPr>
            <w:r>
              <w:rPr>
                <w:rFonts w:asciiTheme="minorEastAsia" w:eastAsiaTheme="minorEastAsia" w:hAnsiTheme="minorEastAsia"/>
                <w:color w:themeColor="text1" w:val="000000"/>
                <w:kern w:val="0"/>
              </w:rPr>
              <w:t>16.14%</w:t>
            </w:r>
          </w:p>
        </w:tc>
        <w:tc>
          <w:tcPr>
            <w:vAlign w:val="center"/>
          </w:tcPr>
          <w:p>
            <w:pPr>
              <w:jc w:val="center"/>
            </w:pPr>
            <w:r>
              <w:rPr>
                <w:rFonts w:asciiTheme="minorEastAsia" w:eastAsiaTheme="minorEastAsia" w:hAnsiTheme="minorEastAsia"/>
                <w:color w:themeColor="text1" w:val="000000"/>
                <w:kern w:val="0"/>
              </w:rPr>
              <w:t>0.80%</w:t>
            </w:r>
          </w:p>
        </w:tc>
        <w:tc>
          <w:tcPr>
            <w:vAlign w:val="center"/>
          </w:tcPr>
          <w:p>
            <w:pPr>
              <w:jc w:val="center"/>
            </w:pPr>
            <w:r>
              <w:rPr>
                <w:rFonts w:asciiTheme="minorEastAsia" w:eastAsiaTheme="minorEastAsia" w:hAnsiTheme="minorEastAsia"/>
                <w:color w:themeColor="text1" w:val="000000"/>
                <w:kern w:val="0"/>
              </w:rPr>
              <w:t>43.19%</w:t>
            </w:r>
          </w:p>
        </w:tc>
        <w:tc>
          <w:tcPr>
            <w:vAlign w:val="center"/>
          </w:tcPr>
          <w:p>
            <w:pPr>
              <w:jc w:val="center"/>
            </w:pPr>
            <w:r>
              <w:rPr>
                <w:rFonts w:asciiTheme="minorEastAsia" w:eastAsiaTheme="minorEastAsia" w:hAnsiTheme="minorEastAsia"/>
                <w:color w:themeColor="text1" w:val="000000"/>
                <w:kern w:val="0"/>
              </w:rPr>
              <w:t>0.67%</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52.96%</w:t>
            </w:r>
          </w:p>
        </w:tc>
        <w:tc>
          <w:tcPr>
            <w:vAlign w:val="center"/>
          </w:tcPr>
          <w:p>
            <w:pPr>
              <w:jc w:val="center"/>
            </w:pPr>
            <w:r>
              <w:rPr>
                <w:rFonts w:asciiTheme="minorEastAsia" w:eastAsiaTheme="minorEastAsia" w:hAnsiTheme="minorEastAsia"/>
                <w:color w:themeColor="text1" w:val="000000"/>
                <w:kern w:val="0"/>
              </w:rPr>
              <w:t>1.28%</w:t>
            </w:r>
          </w:p>
        </w:tc>
        <w:tc>
          <w:tcPr>
            <w:vAlign w:val="center"/>
          </w:tcPr>
          <w:p>
            <w:pPr>
              <w:jc w:val="center"/>
            </w:pPr>
            <w:r>
              <w:rPr>
                <w:rFonts w:asciiTheme="minorEastAsia" w:eastAsiaTheme="minorEastAsia" w:hAnsiTheme="minorEastAsia"/>
                <w:color w:themeColor="text1" w:val="000000"/>
                <w:kern w:val="0"/>
              </w:rPr>
              <w:t>30.00%</w:t>
            </w:r>
          </w:p>
        </w:tc>
        <w:tc>
          <w:tcPr>
            <w:vAlign w:val="center"/>
          </w:tcPr>
          <w:p>
            <w:pPr>
              <w:jc w:val="center"/>
            </w:pPr>
            <w:r>
              <w:rPr>
                <w:rFonts w:asciiTheme="minorEastAsia" w:eastAsiaTheme="minorEastAsia" w:hAnsiTheme="minorEastAsia"/>
                <w:color w:themeColor="text1" w:val="000000"/>
                <w:kern w:val="0"/>
              </w:rPr>
              <w:t>0.70%</w:t>
            </w:r>
          </w:p>
        </w:tc>
        <w:tc>
          <w:tcPr>
            <w:vAlign w:val="center"/>
          </w:tcPr>
          <w:p>
            <w:pPr>
              <w:jc w:val="center"/>
            </w:pPr>
            <w:r>
              <w:rPr>
                <w:rFonts w:asciiTheme="minorEastAsia" w:eastAsiaTheme="minorEastAsia" w:hAnsiTheme="minorEastAsia"/>
                <w:color w:themeColor="text1" w:val="000000"/>
                <w:kern w:val="0"/>
              </w:rPr>
              <w:t>22.96%</w:t>
            </w:r>
          </w:p>
        </w:tc>
        <w:tc>
          <w:tcPr>
            <w:vAlign w:val="center"/>
          </w:tcPr>
          <w:p>
            <w:pPr>
              <w:jc w:val="center"/>
            </w:pPr>
            <w:r>
              <w:rPr>
                <w:rFonts w:asciiTheme="minorEastAsia" w:eastAsiaTheme="minorEastAsia" w:hAnsiTheme="minorEastAsia"/>
                <w:color w:themeColor="text1" w:val="000000"/>
                <w:kern w:val="0"/>
              </w:rPr>
              <w:t>0.58%</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上投摩根策略精选灵活配置混合型证券投资基金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2016年6月16日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2020年12月31日)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注：本基金合同生效日为2016年6月16日，图示时间段为2016年6月16日至2020年12月31日。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本基金建仓期自2016年6月16日至2016年12月15日。建仓期结束时资产配置比例符合本基金基金合同规定。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朱晓龙</w:t>
            </w:r>
          </w:p>
        </w:tc>
        <w:tc>
          <w:tcPr>
            <w:vAlign w:val="center"/>
          </w:tcPr>
          <w:p>
            <w:pPr>
              <w:jc w:val="center"/>
            </w:pPr>
            <w:r>
              <w:rPr>
                <w:rFonts w:asciiTheme="minorEastAsia" w:eastAsiaTheme="minorEastAsia" w:hAnsiTheme="minorEastAsia"/>
                <w:color w:themeColor="text1" w:val="000000"/>
              </w:rPr>
              <w:t>本基金基金经理、研究部总监</w:t>
            </w:r>
          </w:p>
        </w:tc>
        <w:tc>
          <w:tcPr>
            <w:vAlign w:val="center"/>
          </w:tcPr>
          <w:p>
            <w:pPr>
              <w:jc w:val="center"/>
            </w:pPr>
            <w:r>
              <w:rPr>
                <w:rFonts w:asciiTheme="minorEastAsia" w:eastAsiaTheme="minorEastAsia" w:hAnsiTheme="minorEastAsia"/>
                <w:color w:themeColor="text1" w:val="000000"/>
              </w:rPr>
              <w:t>2018-11-16</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13年</w:t>
            </w:r>
          </w:p>
        </w:tc>
        <w:tc>
          <w:tcPr>
            <w:vAlign w:val="center"/>
          </w:tcPr>
          <w:p>
            <w:pPr>
              <w:jc w:val="both"/>
            </w:pPr>
            <w:r>
              <w:rPr>
                <w:rFonts w:asciiTheme="minorEastAsia" w:eastAsiaTheme="minorEastAsia" w:hAnsiTheme="minorEastAsia"/>
                <w:color w:themeColor="text1" w:val="000000"/>
              </w:rPr>
              <w:t>朱晓龙先生，自2007年7月至2011年8月在平安资产管理有限责任公司担任研究员；自2011年8月起加入上投摩根基金管理有限公司，历任行业专家、研究部副总监兼基金经理助理，现任研究部总监兼基金经理。自2018年11月起担任上投摩根策略精选灵活配置混合型证券投资基金基金经理，自2019年7月起同时担任上投摩根大盘蓝筹股票型证券投资基金基金经理，自2019年8月至2020年12月担任上投摩根成长先锋混合型证券投资基金基金经理，自2020年6月起同时担任上投摩根研究驱动股票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策略精选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2020年四季度，A股整体录得了不错的收益，以申万行业分类统计来看，电气设备，有色金属、食品饮料、汽车、家用电器等行业表现相对突出；商业贸易、传媒、房地产、通信、计算机表现相对落后。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基本面：2020年下半年以来，国内金融与经济数据持续复苏上行为最大亮点，需求正处于复苏通道中，预计2021年中国经济将进一步走出疫情冲击，全年实际GDP同比有望恢复到疫情前水平；考虑到今年经济增速逐季上升的情况，高点或将出现在一季度，二季度后增长可能逐步回落。通胀总体趋于上行，预计CPI节奏上先下后上，幅度温和；PPI有望在一季度同比转正，是企业盈利改善的积极信号。增长结构上，内生动力增强，制造业投资、可选消费有望强势；全球疫苗积极进展，将有利于服务业修复与出口韧性的保持。</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资金面：货币政策趋于中性。随着国内经济逐季好转，央行的货币政策操作已从“应对疫情下的危机模式”中逐步退出。随着复苏的确认，进一步宽松的机率降低，但亦不具备进一步收紧的基础，货币政策状态预计更趋中性。逆周期政策将减码，2020年信用扩张主要来自于政府逆周期政策发力与企业信贷、债券融资需求上升，进入2021年后均面临减速。</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政策面：货币政策相机抉择，财政政策持续发力。截至三季度，中国宏观杠杆率较去年底上升24.7%至270.1%，来自金融稳定与防范风险的制约在上升。预计2021年社融存量增速将逐步见到拐点，回落2%左右至12%附近。十四五规划开局年，把握“创新”、“绿色”等关键词。</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展望未来，我们认为国内经济逐步复苏的态势确定，中国经济早于全球发达经济体复苏，预计2021年二季度前需求都处于扩张区间；资金面上看，宽信用预计还将延续，政策基调保持稳定；整体而言，优质公司的成长性仍在持续，且在经历此次疫情后，相对一部分公司的竞争力并没有受到影响，反而有一定的加强，我们继续看好优质公司的持续成长性。</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关于基金运作，在个股配置方面，未来各个行业的优质公司仍将是本基金配置的重点，在行业配置上，我们坚持较为均衡的行业配置思路，追求重点通过选股获取合理的超额收益。</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本报告期上投摩根策略精选混合份额净值增长率为:15.53%，同期业绩比较基准收益率为:7.01%。</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报告期内，本基金存在连续六十个工作日基金资产净值低于五千万元的情况，出现该情况的时间范围为2020年02月03日至2020年12月31日。</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基金管理人拟调整本基金运作方式，加大营销力度，提升基金规模，方案已报监管机关。</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22,464,858.00</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78.54</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22,464,858.00</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78.54</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6,039,596.58</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21.11</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98,980.39</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0.35</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28,603,434.97</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877,070.16</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3.13</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16,850,649.37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60.12</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1,201,497.80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4.29</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3,307,018.17</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11.80</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228,622.50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0.82</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22,464,858.00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80.15</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601318</w:t>
            </w:r>
          </w:p>
        </w:tc>
        <w:tc>
          <w:tcPr>
            <w:vAlign w:val="center"/>
          </w:tcPr>
          <w:p>
            <w:pPr>
              <w:jc w:val="center"/>
            </w:pPr>
            <w:r>
              <w:rPr>
                <w:rFonts w:asciiTheme="minorEastAsia" w:cs="宋体" w:eastAsiaTheme="minorEastAsia" w:hAnsiTheme="minorEastAsia"/>
                <w:color w:themeColor="text1" w:val="000000"/>
                <w:kern w:val="0"/>
              </w:rPr>
              <w:t>中国平安</w:t>
            </w:r>
          </w:p>
        </w:tc>
        <w:tc>
          <w:tcPr>
            <w:vAlign w:val="center"/>
          </w:tcPr>
          <w:p>
            <w:pPr>
              <w:jc w:val="right"/>
            </w:pPr>
            <w:r>
              <w:rPr>
                <w:rFonts w:asciiTheme="minorEastAsia" w:cs="宋体" w:eastAsiaTheme="minorEastAsia" w:hAnsiTheme="minorEastAsia"/>
                <w:color w:themeColor="text1" w:val="000000"/>
                <w:kern w:val="0"/>
              </w:rPr>
              <w:t>18,654.00</w:t>
            </w:r>
          </w:p>
        </w:tc>
        <w:tc>
          <w:tcPr>
            <w:vAlign w:val="center"/>
          </w:tcPr>
          <w:p>
            <w:pPr>
              <w:jc w:val="right"/>
            </w:pPr>
            <w:r>
              <w:rPr>
                <w:rFonts w:asciiTheme="minorEastAsia" w:cs="宋体" w:eastAsiaTheme="minorEastAsia" w:hAnsiTheme="minorEastAsia"/>
                <w:color w:themeColor="text1" w:val="000000"/>
                <w:kern w:val="0"/>
              </w:rPr>
              <w:t>1,622,524.92</w:t>
            </w:r>
          </w:p>
        </w:tc>
        <w:tc>
          <w:tcPr>
            <w:vAlign w:val="center"/>
          </w:tcPr>
          <w:p>
            <w:pPr>
              <w:jc w:val="right"/>
            </w:pPr>
            <w:r>
              <w:rPr>
                <w:rFonts w:asciiTheme="minorEastAsia" w:cs="宋体" w:eastAsiaTheme="minorEastAsia" w:hAnsiTheme="minorEastAsia"/>
                <w:color w:themeColor="text1" w:val="000000"/>
                <w:kern w:val="0"/>
              </w:rPr>
              <w:t>5.79</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603486</w:t>
            </w:r>
          </w:p>
        </w:tc>
        <w:tc>
          <w:tcPr>
            <w:vAlign w:val="center"/>
          </w:tcPr>
          <w:p>
            <w:pPr>
              <w:jc w:val="center"/>
            </w:pPr>
            <w:r>
              <w:rPr>
                <w:rFonts w:asciiTheme="minorEastAsia" w:cs="宋体" w:eastAsiaTheme="minorEastAsia" w:hAnsiTheme="minorEastAsia"/>
                <w:color w:themeColor="text1" w:val="000000"/>
                <w:kern w:val="0"/>
              </w:rPr>
              <w:t>科沃斯</w:t>
            </w:r>
          </w:p>
        </w:tc>
        <w:tc>
          <w:tcPr>
            <w:vAlign w:val="center"/>
          </w:tcPr>
          <w:p>
            <w:pPr>
              <w:jc w:val="right"/>
            </w:pPr>
            <w:r>
              <w:rPr>
                <w:rFonts w:asciiTheme="minorEastAsia" w:cs="宋体" w:eastAsiaTheme="minorEastAsia" w:hAnsiTheme="minorEastAsia"/>
                <w:color w:themeColor="text1" w:val="000000"/>
                <w:kern w:val="0"/>
              </w:rPr>
              <w:t>10,763.00</w:t>
            </w:r>
          </w:p>
        </w:tc>
        <w:tc>
          <w:tcPr>
            <w:vAlign w:val="center"/>
          </w:tcPr>
          <w:p>
            <w:pPr>
              <w:jc w:val="right"/>
            </w:pPr>
            <w:r>
              <w:rPr>
                <w:rFonts w:asciiTheme="minorEastAsia" w:cs="宋体" w:eastAsiaTheme="minorEastAsia" w:hAnsiTheme="minorEastAsia"/>
                <w:color w:themeColor="text1" w:val="000000"/>
                <w:kern w:val="0"/>
              </w:rPr>
              <w:t>952,417.87</w:t>
            </w:r>
          </w:p>
        </w:tc>
        <w:tc>
          <w:tcPr>
            <w:vAlign w:val="center"/>
          </w:tcPr>
          <w:p>
            <w:pPr>
              <w:jc w:val="right"/>
            </w:pPr>
            <w:r>
              <w:rPr>
                <w:rFonts w:asciiTheme="minorEastAsia" w:cs="宋体" w:eastAsiaTheme="minorEastAsia" w:hAnsiTheme="minorEastAsia"/>
                <w:color w:themeColor="text1" w:val="000000"/>
                <w:kern w:val="0"/>
              </w:rPr>
              <w:t>3.40</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600519</w:t>
            </w:r>
          </w:p>
        </w:tc>
        <w:tc>
          <w:tcPr>
            <w:vAlign w:val="center"/>
          </w:tcPr>
          <w:p>
            <w:pPr>
              <w:jc w:val="center"/>
            </w:pPr>
            <w:r>
              <w:rPr>
                <w:rFonts w:asciiTheme="minorEastAsia" w:cs="宋体" w:eastAsiaTheme="minorEastAsia" w:hAnsiTheme="minorEastAsia"/>
                <w:color w:themeColor="text1" w:val="000000"/>
                <w:kern w:val="0"/>
              </w:rPr>
              <w:t>贵州茅台</w:t>
            </w:r>
          </w:p>
        </w:tc>
        <w:tc>
          <w:tcPr>
            <w:vAlign w:val="center"/>
          </w:tcPr>
          <w:p>
            <w:pPr>
              <w:jc w:val="right"/>
            </w:pPr>
            <w:r>
              <w:rPr>
                <w:rFonts w:asciiTheme="minorEastAsia" w:cs="宋体" w:eastAsiaTheme="minorEastAsia" w:hAnsiTheme="minorEastAsia"/>
                <w:color w:themeColor="text1" w:val="000000"/>
                <w:kern w:val="0"/>
              </w:rPr>
              <w:t>438.00</w:t>
            </w:r>
          </w:p>
        </w:tc>
        <w:tc>
          <w:tcPr>
            <w:vAlign w:val="center"/>
          </w:tcPr>
          <w:p>
            <w:pPr>
              <w:jc w:val="right"/>
            </w:pPr>
            <w:r>
              <w:rPr>
                <w:rFonts w:asciiTheme="minorEastAsia" w:cs="宋体" w:eastAsiaTheme="minorEastAsia" w:hAnsiTheme="minorEastAsia"/>
                <w:color w:themeColor="text1" w:val="000000"/>
                <w:kern w:val="0"/>
              </w:rPr>
              <w:t>875,124.00</w:t>
            </w:r>
          </w:p>
        </w:tc>
        <w:tc>
          <w:tcPr>
            <w:vAlign w:val="center"/>
          </w:tcPr>
          <w:p>
            <w:pPr>
              <w:jc w:val="right"/>
            </w:pPr>
            <w:r>
              <w:rPr>
                <w:rFonts w:asciiTheme="minorEastAsia" w:cs="宋体" w:eastAsiaTheme="minorEastAsia" w:hAnsiTheme="minorEastAsia"/>
                <w:color w:themeColor="text1" w:val="000000"/>
                <w:kern w:val="0"/>
              </w:rPr>
              <w:t>3.12</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300357</w:t>
            </w:r>
          </w:p>
        </w:tc>
        <w:tc>
          <w:tcPr>
            <w:vAlign w:val="center"/>
          </w:tcPr>
          <w:p>
            <w:pPr>
              <w:jc w:val="center"/>
            </w:pPr>
            <w:r>
              <w:rPr>
                <w:rFonts w:asciiTheme="minorEastAsia" w:cs="宋体" w:eastAsiaTheme="minorEastAsia" w:hAnsiTheme="minorEastAsia"/>
                <w:color w:themeColor="text1" w:val="000000"/>
                <w:kern w:val="0"/>
              </w:rPr>
              <w:t>我武生物</w:t>
            </w:r>
          </w:p>
        </w:tc>
        <w:tc>
          <w:tcPr>
            <w:vAlign w:val="center"/>
          </w:tcPr>
          <w:p>
            <w:pPr>
              <w:jc w:val="right"/>
            </w:pPr>
            <w:r>
              <w:rPr>
                <w:rFonts w:asciiTheme="minorEastAsia" w:cs="宋体" w:eastAsiaTheme="minorEastAsia" w:hAnsiTheme="minorEastAsia"/>
                <w:color w:themeColor="text1" w:val="000000"/>
                <w:kern w:val="0"/>
              </w:rPr>
              <w:t>11,400.00</w:t>
            </w:r>
          </w:p>
        </w:tc>
        <w:tc>
          <w:tcPr>
            <w:vAlign w:val="center"/>
          </w:tcPr>
          <w:p>
            <w:pPr>
              <w:jc w:val="right"/>
            </w:pPr>
            <w:r>
              <w:rPr>
                <w:rFonts w:asciiTheme="minorEastAsia" w:cs="宋体" w:eastAsiaTheme="minorEastAsia" w:hAnsiTheme="minorEastAsia"/>
                <w:color w:themeColor="text1" w:val="000000"/>
                <w:kern w:val="0"/>
              </w:rPr>
              <w:t>874,380.00</w:t>
            </w:r>
          </w:p>
        </w:tc>
        <w:tc>
          <w:tcPr>
            <w:vAlign w:val="center"/>
          </w:tcPr>
          <w:p>
            <w:pPr>
              <w:jc w:val="right"/>
            </w:pPr>
            <w:r>
              <w:rPr>
                <w:rFonts w:asciiTheme="minorEastAsia" w:cs="宋体" w:eastAsiaTheme="minorEastAsia" w:hAnsiTheme="minorEastAsia"/>
                <w:color w:themeColor="text1" w:val="000000"/>
                <w:kern w:val="0"/>
              </w:rPr>
              <w:t>3.12</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688598</w:t>
            </w:r>
          </w:p>
        </w:tc>
        <w:tc>
          <w:tcPr>
            <w:vAlign w:val="center"/>
          </w:tcPr>
          <w:p>
            <w:pPr>
              <w:jc w:val="center"/>
            </w:pPr>
            <w:r>
              <w:rPr>
                <w:rFonts w:asciiTheme="minorEastAsia" w:cs="宋体" w:eastAsiaTheme="minorEastAsia" w:hAnsiTheme="minorEastAsia"/>
                <w:color w:themeColor="text1" w:val="000000"/>
                <w:kern w:val="0"/>
              </w:rPr>
              <w:t>金博股份</w:t>
            </w:r>
          </w:p>
        </w:tc>
        <w:tc>
          <w:tcPr>
            <w:vAlign w:val="center"/>
          </w:tcPr>
          <w:p>
            <w:pPr>
              <w:jc w:val="right"/>
            </w:pPr>
            <w:r>
              <w:rPr>
                <w:rFonts w:asciiTheme="minorEastAsia" w:cs="宋体" w:eastAsiaTheme="minorEastAsia" w:hAnsiTheme="minorEastAsia"/>
                <w:color w:themeColor="text1" w:val="000000"/>
                <w:kern w:val="0"/>
              </w:rPr>
              <w:t>4,015.00</w:t>
            </w:r>
          </w:p>
        </w:tc>
        <w:tc>
          <w:tcPr>
            <w:vAlign w:val="center"/>
          </w:tcPr>
          <w:p>
            <w:pPr>
              <w:jc w:val="right"/>
            </w:pPr>
            <w:r>
              <w:rPr>
                <w:rFonts w:asciiTheme="minorEastAsia" w:cs="宋体" w:eastAsiaTheme="minorEastAsia" w:hAnsiTheme="minorEastAsia"/>
                <w:color w:themeColor="text1" w:val="000000"/>
                <w:kern w:val="0"/>
              </w:rPr>
              <w:t>868,364.20</w:t>
            </w:r>
          </w:p>
        </w:tc>
        <w:tc>
          <w:tcPr>
            <w:vAlign w:val="center"/>
          </w:tcPr>
          <w:p>
            <w:pPr>
              <w:jc w:val="right"/>
            </w:pPr>
            <w:r>
              <w:rPr>
                <w:rFonts w:asciiTheme="minorEastAsia" w:cs="宋体" w:eastAsiaTheme="minorEastAsia" w:hAnsiTheme="minorEastAsia"/>
                <w:color w:themeColor="text1" w:val="000000"/>
                <w:kern w:val="0"/>
              </w:rPr>
              <w:t>3.10</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002179</w:t>
            </w:r>
          </w:p>
        </w:tc>
        <w:tc>
          <w:tcPr>
            <w:vAlign w:val="center"/>
          </w:tcPr>
          <w:p>
            <w:pPr>
              <w:jc w:val="center"/>
            </w:pPr>
            <w:r>
              <w:rPr>
                <w:rFonts w:asciiTheme="minorEastAsia" w:cs="宋体" w:eastAsiaTheme="minorEastAsia" w:hAnsiTheme="minorEastAsia"/>
                <w:color w:themeColor="text1" w:val="000000"/>
                <w:kern w:val="0"/>
              </w:rPr>
              <w:t>中航光电</w:t>
            </w:r>
          </w:p>
        </w:tc>
        <w:tc>
          <w:tcPr>
            <w:vAlign w:val="center"/>
          </w:tcPr>
          <w:p>
            <w:pPr>
              <w:jc w:val="right"/>
            </w:pPr>
            <w:r>
              <w:rPr>
                <w:rFonts w:asciiTheme="minorEastAsia" w:cs="宋体" w:eastAsiaTheme="minorEastAsia" w:hAnsiTheme="minorEastAsia"/>
                <w:color w:themeColor="text1" w:val="000000"/>
                <w:kern w:val="0"/>
              </w:rPr>
              <w:t>11,036.00</w:t>
            </w:r>
          </w:p>
        </w:tc>
        <w:tc>
          <w:tcPr>
            <w:vAlign w:val="center"/>
          </w:tcPr>
          <w:p>
            <w:pPr>
              <w:jc w:val="right"/>
            </w:pPr>
            <w:r>
              <w:rPr>
                <w:rFonts w:asciiTheme="minorEastAsia" w:cs="宋体" w:eastAsiaTheme="minorEastAsia" w:hAnsiTheme="minorEastAsia"/>
                <w:color w:themeColor="text1" w:val="000000"/>
                <w:kern w:val="0"/>
              </w:rPr>
              <w:t>864,008.44</w:t>
            </w:r>
          </w:p>
        </w:tc>
        <w:tc>
          <w:tcPr>
            <w:vAlign w:val="center"/>
          </w:tcPr>
          <w:p>
            <w:pPr>
              <w:jc w:val="right"/>
            </w:pPr>
            <w:r>
              <w:rPr>
                <w:rFonts w:asciiTheme="minorEastAsia" w:cs="宋体" w:eastAsiaTheme="minorEastAsia" w:hAnsiTheme="minorEastAsia"/>
                <w:color w:themeColor="text1" w:val="000000"/>
                <w:kern w:val="0"/>
              </w:rPr>
              <w:t>3.08</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603068</w:t>
            </w:r>
          </w:p>
        </w:tc>
        <w:tc>
          <w:tcPr>
            <w:vAlign w:val="center"/>
          </w:tcPr>
          <w:p>
            <w:pPr>
              <w:jc w:val="center"/>
            </w:pPr>
            <w:r>
              <w:rPr>
                <w:rFonts w:asciiTheme="minorEastAsia" w:cs="宋体" w:eastAsiaTheme="minorEastAsia" w:hAnsiTheme="minorEastAsia"/>
                <w:color w:themeColor="text1" w:val="000000"/>
                <w:kern w:val="0"/>
              </w:rPr>
              <w:t>博通集成</w:t>
            </w:r>
          </w:p>
        </w:tc>
        <w:tc>
          <w:tcPr>
            <w:vAlign w:val="center"/>
          </w:tcPr>
          <w:p>
            <w:pPr>
              <w:jc w:val="right"/>
            </w:pPr>
            <w:r>
              <w:rPr>
                <w:rFonts w:asciiTheme="minorEastAsia" w:cs="宋体" w:eastAsiaTheme="minorEastAsia" w:hAnsiTheme="minorEastAsia"/>
                <w:color w:themeColor="text1" w:val="000000"/>
                <w:kern w:val="0"/>
              </w:rPr>
              <w:t>10,100.00</w:t>
            </w:r>
          </w:p>
        </w:tc>
        <w:tc>
          <w:tcPr>
            <w:vAlign w:val="center"/>
          </w:tcPr>
          <w:p>
            <w:pPr>
              <w:jc w:val="right"/>
            </w:pPr>
            <w:r>
              <w:rPr>
                <w:rFonts w:asciiTheme="minorEastAsia" w:cs="宋体" w:eastAsiaTheme="minorEastAsia" w:hAnsiTheme="minorEastAsia"/>
                <w:color w:themeColor="text1" w:val="000000"/>
                <w:kern w:val="0"/>
              </w:rPr>
              <w:t>861,328.00</w:t>
            </w:r>
          </w:p>
        </w:tc>
        <w:tc>
          <w:tcPr>
            <w:vAlign w:val="center"/>
          </w:tcPr>
          <w:p>
            <w:pPr>
              <w:jc w:val="right"/>
            </w:pPr>
            <w:r>
              <w:rPr>
                <w:rFonts w:asciiTheme="minorEastAsia" w:cs="宋体" w:eastAsiaTheme="minorEastAsia" w:hAnsiTheme="minorEastAsia"/>
                <w:color w:themeColor="text1" w:val="000000"/>
                <w:kern w:val="0"/>
              </w:rPr>
              <w:t>3.07</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000661</w:t>
            </w:r>
          </w:p>
        </w:tc>
        <w:tc>
          <w:tcPr>
            <w:vAlign w:val="center"/>
          </w:tcPr>
          <w:p>
            <w:pPr>
              <w:jc w:val="center"/>
            </w:pPr>
            <w:r>
              <w:rPr>
                <w:rFonts w:asciiTheme="minorEastAsia" w:cs="宋体" w:eastAsiaTheme="minorEastAsia" w:hAnsiTheme="minorEastAsia"/>
                <w:color w:themeColor="text1" w:val="000000"/>
                <w:kern w:val="0"/>
              </w:rPr>
              <w:t>长春高新</w:t>
            </w:r>
          </w:p>
        </w:tc>
        <w:tc>
          <w:tcPr>
            <w:vAlign w:val="center"/>
          </w:tcPr>
          <w:p>
            <w:pPr>
              <w:jc w:val="right"/>
            </w:pPr>
            <w:r>
              <w:rPr>
                <w:rFonts w:asciiTheme="minorEastAsia" w:cs="宋体" w:eastAsiaTheme="minorEastAsia" w:hAnsiTheme="minorEastAsia"/>
                <w:color w:themeColor="text1" w:val="000000"/>
                <w:kern w:val="0"/>
              </w:rPr>
              <w:t>1,917.00</w:t>
            </w:r>
          </w:p>
        </w:tc>
        <w:tc>
          <w:tcPr>
            <w:vAlign w:val="center"/>
          </w:tcPr>
          <w:p>
            <w:pPr>
              <w:jc w:val="right"/>
            </w:pPr>
            <w:r>
              <w:rPr>
                <w:rFonts w:asciiTheme="minorEastAsia" w:cs="宋体" w:eastAsiaTheme="minorEastAsia" w:hAnsiTheme="minorEastAsia"/>
                <w:color w:themeColor="text1" w:val="000000"/>
                <w:kern w:val="0"/>
              </w:rPr>
              <w:t>860,560.47</w:t>
            </w:r>
          </w:p>
        </w:tc>
        <w:tc>
          <w:tcPr>
            <w:vAlign w:val="center"/>
          </w:tcPr>
          <w:p>
            <w:pPr>
              <w:jc w:val="right"/>
            </w:pPr>
            <w:r>
              <w:rPr>
                <w:rFonts w:asciiTheme="minorEastAsia" w:cs="宋体" w:eastAsiaTheme="minorEastAsia" w:hAnsiTheme="minorEastAsia"/>
                <w:color w:themeColor="text1" w:val="000000"/>
                <w:kern w:val="0"/>
              </w:rPr>
              <w:t>3.07</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五粮液</w:t>
            </w:r>
          </w:p>
        </w:tc>
        <w:tc>
          <w:tcPr>
            <w:vAlign w:val="center"/>
          </w:tcPr>
          <w:p>
            <w:pPr>
              <w:jc w:val="right"/>
            </w:pPr>
            <w:r>
              <w:rPr>
                <w:rFonts w:asciiTheme="minorEastAsia" w:cs="宋体" w:eastAsiaTheme="minorEastAsia" w:hAnsiTheme="minorEastAsia"/>
                <w:color w:themeColor="text1" w:val="000000"/>
                <w:kern w:val="0"/>
              </w:rPr>
              <w:t>2,884.00</w:t>
            </w:r>
          </w:p>
        </w:tc>
        <w:tc>
          <w:tcPr>
            <w:vAlign w:val="center"/>
          </w:tcPr>
          <w:p>
            <w:pPr>
              <w:jc w:val="right"/>
            </w:pPr>
            <w:r>
              <w:rPr>
                <w:rFonts w:asciiTheme="minorEastAsia" w:cs="宋体" w:eastAsiaTheme="minorEastAsia" w:hAnsiTheme="minorEastAsia"/>
                <w:color w:themeColor="text1" w:val="000000"/>
                <w:kern w:val="0"/>
              </w:rPr>
              <w:t>841,695.40</w:t>
            </w:r>
          </w:p>
        </w:tc>
        <w:tc>
          <w:tcPr>
            <w:vAlign w:val="center"/>
          </w:tcPr>
          <w:p>
            <w:pPr>
              <w:jc w:val="right"/>
            </w:pPr>
            <w:r>
              <w:rPr>
                <w:rFonts w:asciiTheme="minorEastAsia" w:cs="宋体" w:eastAsiaTheme="minorEastAsia" w:hAnsiTheme="minorEastAsia"/>
                <w:color w:themeColor="text1" w:val="000000"/>
                <w:kern w:val="0"/>
              </w:rPr>
              <w:t>3.00</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688169</w:t>
            </w:r>
          </w:p>
        </w:tc>
        <w:tc>
          <w:tcPr>
            <w:vAlign w:val="center"/>
          </w:tcPr>
          <w:p>
            <w:pPr>
              <w:jc w:val="center"/>
            </w:pPr>
            <w:r>
              <w:rPr>
                <w:rFonts w:asciiTheme="minorEastAsia" w:cs="宋体" w:eastAsiaTheme="minorEastAsia" w:hAnsiTheme="minorEastAsia"/>
                <w:color w:themeColor="text1" w:val="000000"/>
                <w:kern w:val="0"/>
              </w:rPr>
              <w:t>石头科技</w:t>
            </w:r>
          </w:p>
        </w:tc>
        <w:tc>
          <w:tcPr>
            <w:vAlign w:val="center"/>
          </w:tcPr>
          <w:p>
            <w:pPr>
              <w:jc w:val="right"/>
            </w:pPr>
            <w:r>
              <w:rPr>
                <w:rFonts w:asciiTheme="minorEastAsia" w:cs="宋体" w:eastAsiaTheme="minorEastAsia" w:hAnsiTheme="minorEastAsia"/>
                <w:color w:themeColor="text1" w:val="000000"/>
                <w:kern w:val="0"/>
              </w:rPr>
              <w:t>808.00</w:t>
            </w:r>
          </w:p>
        </w:tc>
        <w:tc>
          <w:tcPr>
            <w:vAlign w:val="center"/>
          </w:tcPr>
          <w:p>
            <w:pPr>
              <w:jc w:val="right"/>
            </w:pPr>
            <w:r>
              <w:rPr>
                <w:rFonts w:asciiTheme="minorEastAsia" w:cs="宋体" w:eastAsiaTheme="minorEastAsia" w:hAnsiTheme="minorEastAsia"/>
                <w:color w:themeColor="text1" w:val="000000"/>
                <w:kern w:val="0"/>
              </w:rPr>
              <w:t>837,088.00</w:t>
            </w:r>
          </w:p>
        </w:tc>
        <w:tc>
          <w:tcPr>
            <w:vAlign w:val="center"/>
          </w:tcPr>
          <w:p>
            <w:pPr>
              <w:jc w:val="right"/>
            </w:pPr>
            <w:r>
              <w:rPr>
                <w:rFonts w:asciiTheme="minorEastAsia" w:cs="宋体" w:eastAsiaTheme="minorEastAsia" w:hAnsiTheme="minorEastAsia"/>
                <w:color w:themeColor="text1" w:val="000000"/>
                <w:kern w:val="0"/>
              </w:rPr>
              <w:t>2.99</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9,830.98</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58,480.67</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647.25</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30,021.49</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98,980.39</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因四舍五入的原因，投资组合报告中分项之和与合计数可能存在尾差。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19,327,107.72</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1,407,839.27</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2,411,004.35</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18,323,942.64</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1、中国证监会批准上投摩根策略精选灵活配置混合型证券投资基金募集的文件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2、《上投摩根策略精选灵活配置混合型证券投资基金基金合同》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3、《上投摩根策略精选灵活配置混合型证券投资基金托管协议》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4、法律意见书</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6、基金托管人业务资格批件、营业执照</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7、《上投摩根基金管理有限公司开放式基金业务规则》</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8、中国证监会要求的其他文件</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基金管理人或基金托管人住所。</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二〇二一年一月二十二日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上投摩根策略精选灵活配置混合型证券投资基金</w:t>
    </w:r>
    <w:proofErr w:type="spellStart"/>
    <w:proofErr w:type="gramEnd"/>
    <w:r>
      <w:rPr>
        <w:rFonts w:hint="eastAsia"/>
      </w:rPr>
      <w:t/>
    </w:r>
    <w:proofErr w:type="spellEnd"/>
    <w:r>
      <w:rPr>
        <w:rFonts w:hint="eastAsia"/>
      </w:rPr>
      <w:t>2020年第4季度报告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