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上投摩根策略精选灵活配置混合型证券投资基金</w:t>
      </w:r>
    </w:p>
    <w:p w:rsidR="00B84E97" w:rsidRDefault="00C23B5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B84E97" w:rsidRDefault="00C23B51">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jc w:val="center"/>
        <w:rPr>
          <w:rFonts w:asciiTheme="minorEastAsia" w:eastAsiaTheme="minorEastAsia" w:hAnsiTheme="minorEastAsia"/>
          <w:b/>
          <w:bCs/>
          <w:color w:val="000000" w:themeColor="text1"/>
          <w:sz w:val="24"/>
          <w:szCs w:val="24"/>
        </w:rPr>
      </w:pPr>
    </w:p>
    <w:p w:rsidR="00B84E97" w:rsidRDefault="00B84E97">
      <w:pPr>
        <w:spacing w:line="360" w:lineRule="auto"/>
        <w:rPr>
          <w:rFonts w:asciiTheme="minorEastAsia" w:eastAsiaTheme="minorEastAsia" w:hAnsiTheme="minorEastAsia"/>
          <w:b/>
          <w:bCs/>
          <w:color w:val="000000" w:themeColor="text1"/>
          <w:sz w:val="24"/>
          <w:szCs w:val="24"/>
        </w:rPr>
      </w:pPr>
    </w:p>
    <w:p w:rsidR="00B84E97" w:rsidRDefault="00C23B5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B84E97" w:rsidRDefault="00C23B5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B84E97" w:rsidRDefault="00C23B51">
      <w:pPr>
        <w:spacing w:line="360" w:lineRule="auto"/>
        <w:ind w:firstLineChars="900" w:firstLine="2168"/>
        <w:rPr>
          <w:rFonts w:asciiTheme="minorEastAsia" w:eastAsiaTheme="minorEastAsia" w:hAnsiTheme="minorEastAsia"/>
          <w:b/>
          <w:color w:val="000000" w:themeColor="text1"/>
          <w:sz w:val="24"/>
          <w:szCs w:val="24"/>
        </w:rPr>
        <w:sectPr w:rsidR="00B84E97">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二〇二〇年四月二十二日</w:t>
      </w:r>
    </w:p>
    <w:p w:rsidR="00B84E97" w:rsidRDefault="00C23B51">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上投摩根策略精选混合</w:t>
            </w:r>
          </w:p>
        </w:tc>
      </w:tr>
      <w:tr w:rsidR="00B84E97">
        <w:tc>
          <w:tcPr>
            <w:tcW w:w="2835" w:type="dxa"/>
            <w:tcBorders>
              <w:top w:val="single" w:sz="4" w:space="0" w:color="auto"/>
              <w:left w:val="single" w:sz="4" w:space="0" w:color="auto"/>
              <w:bottom w:val="single" w:sz="4" w:space="0" w:color="auto"/>
              <w:right w:val="single" w:sz="4" w:space="0" w:color="auto"/>
            </w:tcBorders>
            <w:vAlign w:val="center"/>
          </w:tcPr>
          <w:p w:rsidR="00B84E97" w:rsidRDefault="00C23B5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002654</w:t>
            </w:r>
          </w:p>
        </w:tc>
      </w:tr>
      <w:tr w:rsidR="00B84E97">
        <w:tc>
          <w:tcPr>
            <w:tcW w:w="2835" w:type="dxa"/>
            <w:tcBorders>
              <w:top w:val="single" w:sz="4" w:space="0" w:color="auto"/>
              <w:left w:val="single" w:sz="4" w:space="0" w:color="auto"/>
              <w:bottom w:val="single" w:sz="4" w:space="0" w:color="auto"/>
              <w:right w:val="single" w:sz="4" w:space="0" w:color="auto"/>
            </w:tcBorders>
            <w:vAlign w:val="center"/>
          </w:tcPr>
          <w:p w:rsidR="00B84E97" w:rsidRDefault="00C23B5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002654</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2016</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6</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16</w:t>
            </w:r>
            <w:r>
              <w:rPr>
                <w:rFonts w:asciiTheme="minorEastAsia" w:eastAsiaTheme="minorEastAsia" w:hAnsiTheme="minorEastAsia"/>
                <w:color w:val="000000" w:themeColor="text1"/>
                <w:kern w:val="0"/>
              </w:rPr>
              <w:t>日</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33,979,190.49</w:t>
            </w:r>
            <w:r>
              <w:rPr>
                <w:rFonts w:asciiTheme="minorEastAsia" w:eastAsiaTheme="minorEastAsia" w:hAnsiTheme="minorEastAsia" w:hint="eastAsia"/>
                <w:color w:val="000000" w:themeColor="text1"/>
                <w:kern w:val="0"/>
              </w:rPr>
              <w:t>份</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在严格的风险控制的前提下，采用定性与定量的分析，自下而上精选个股，力争实现基金资产的长期增值。</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、资产配置策略</w:t>
            </w:r>
          </w:p>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asciiTheme="minorEastAsia" w:eastAsiaTheme="minorEastAsia" w:hAnsiTheme="minorEastAsia"/>
                <w:color w:val="000000" w:themeColor="text1"/>
                <w:kern w:val="0"/>
              </w:rPr>
              <w:t>GDP</w:t>
            </w:r>
            <w:r>
              <w:rPr>
                <w:rFonts w:asciiTheme="minorEastAsia" w:eastAsiaTheme="minorEastAsia" w:hAnsiTheme="minorEastAsia"/>
                <w:color w:val="000000" w:themeColor="text1"/>
                <w:kern w:val="0"/>
              </w:rPr>
              <w:t>增速、固定资产投资增速、净出口增速、通胀率、货</w:t>
            </w:r>
            <w:r>
              <w:rPr>
                <w:rFonts w:asciiTheme="minorEastAsia" w:eastAsiaTheme="minorEastAsia" w:hAnsiTheme="minorEastAsia"/>
                <w:color w:val="000000" w:themeColor="text1"/>
                <w:kern w:val="0"/>
              </w:rPr>
              <w:lastRenderedPageBreak/>
              <w:t>币供应、利率等宏观指标的变化趋势，结合股票、债券等各类资产风险收益特征，确定合适的资产配置比例。</w:t>
            </w:r>
          </w:p>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、股票投资策略</w:t>
            </w:r>
          </w:p>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本基金将主要通过运用主题轮动策略与行业轮动策略，结合</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精选</w:t>
            </w:r>
            <w:r>
              <w:rPr>
                <w:rFonts w:asciiTheme="minorEastAsia" w:eastAsiaTheme="minorEastAsia" w:hAnsiTheme="minorEastAsia"/>
                <w:color w:val="000000" w:themeColor="text1"/>
                <w:kern w:val="0"/>
              </w:rPr>
              <w:t>个股，充分挖掘并把握市场中潜在的投资机会，力争把握经济发展与转型中的投资机会。</w:t>
            </w:r>
          </w:p>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、固定收益类投资策略</w:t>
            </w:r>
          </w:p>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对于固定收益类资产的选择，本基金将以价值分析为主线，在综合研究的基础上实施积极主动的组合管理，自上而下进行组合构建，自下而上进行个券选择。</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*60%+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*40%</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本基金属于混合型基金产品，预期风险和收益水平高于债券型基金和货币市场基金，低于股票型基金，属于较高风险收益水平的基金产品。本基金风险收益特征会定期评估并在公司网站发布，请投资者关注。</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B84E97">
        <w:tc>
          <w:tcPr>
            <w:tcW w:w="2835"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C23B51" w:rsidTr="00C23B51">
        <w:tc>
          <w:tcPr>
            <w:tcW w:w="3402" w:type="dxa"/>
            <w:vAlign w:val="center"/>
          </w:tcPr>
          <w:p w:rsidR="00B84E97" w:rsidRDefault="00C23B51">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B84E97" w:rsidRDefault="00C23B51">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B84E97" w:rsidRDefault="00C23B51">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C23B51" w:rsidTr="00C23B51">
        <w:tc>
          <w:tcPr>
            <w:tcW w:w="3402"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B84E97" w:rsidRDefault="00C23B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4,877,380.88</w:t>
            </w:r>
          </w:p>
        </w:tc>
      </w:tr>
      <w:tr w:rsidR="00C23B51" w:rsidTr="00C23B51">
        <w:tc>
          <w:tcPr>
            <w:tcW w:w="3402"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B84E97" w:rsidRDefault="00C23B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1,272,447.92</w:t>
            </w:r>
          </w:p>
        </w:tc>
      </w:tr>
      <w:tr w:rsidR="00C23B51" w:rsidTr="00C23B51">
        <w:tc>
          <w:tcPr>
            <w:tcW w:w="3402"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B84E97" w:rsidRDefault="00C23B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0.0292</w:t>
            </w:r>
          </w:p>
        </w:tc>
      </w:tr>
      <w:tr w:rsidR="00C23B51" w:rsidTr="00C23B51">
        <w:tc>
          <w:tcPr>
            <w:tcW w:w="3402"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B84E97" w:rsidRDefault="00C23B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32,232,007.98</w:t>
            </w:r>
          </w:p>
        </w:tc>
      </w:tr>
      <w:tr w:rsidR="00C23B51" w:rsidTr="00C23B51">
        <w:trPr>
          <w:trHeight w:val="158"/>
        </w:trPr>
        <w:tc>
          <w:tcPr>
            <w:tcW w:w="3402" w:type="dxa"/>
            <w:vAlign w:val="center"/>
          </w:tcPr>
          <w:p w:rsidR="00B84E97" w:rsidRDefault="00C23B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B84E97" w:rsidRDefault="00C23B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0.949</w:t>
            </w:r>
          </w:p>
        </w:tc>
      </w:tr>
    </w:tbl>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B84E97" w:rsidRDefault="00C23B51">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B84E97">
        <w:tc>
          <w:tcPr>
            <w:tcW w:w="1395"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84E97">
        <w:tc>
          <w:tcPr>
            <w:tcW w:w="1395" w:type="dxa"/>
            <w:vAlign w:val="center"/>
          </w:tcPr>
          <w:p w:rsidR="00B84E97" w:rsidRDefault="00C23B51">
            <w:pPr>
              <w:jc w:val="left"/>
            </w:pPr>
            <w:r>
              <w:rPr>
                <w:rFonts w:asciiTheme="minorEastAsia" w:eastAsiaTheme="minorEastAsia" w:hAnsiTheme="minorEastAsia"/>
                <w:color w:val="000000" w:themeColor="text1"/>
                <w:kern w:val="0"/>
              </w:rPr>
              <w:t>过去三个月</w:t>
            </w:r>
          </w:p>
        </w:tc>
        <w:tc>
          <w:tcPr>
            <w:tcW w:w="1092" w:type="dxa"/>
            <w:vAlign w:val="center"/>
          </w:tcPr>
          <w:p w:rsidR="00B84E97" w:rsidRDefault="00C23B51">
            <w:pPr>
              <w:jc w:val="center"/>
            </w:pPr>
            <w:r>
              <w:rPr>
                <w:rFonts w:asciiTheme="minorEastAsia" w:eastAsiaTheme="minorEastAsia" w:hAnsiTheme="minorEastAsia"/>
                <w:color w:val="000000" w:themeColor="text1"/>
                <w:kern w:val="0"/>
              </w:rPr>
              <w:t>-0.94%</w:t>
            </w:r>
          </w:p>
        </w:tc>
        <w:tc>
          <w:tcPr>
            <w:tcW w:w="1161" w:type="dxa"/>
            <w:vAlign w:val="center"/>
          </w:tcPr>
          <w:p w:rsidR="00B84E97" w:rsidRDefault="00C23B51">
            <w:pPr>
              <w:jc w:val="center"/>
            </w:pPr>
            <w:r>
              <w:rPr>
                <w:rFonts w:asciiTheme="minorEastAsia" w:eastAsiaTheme="minorEastAsia" w:hAnsiTheme="minorEastAsia"/>
                <w:color w:val="000000" w:themeColor="text1"/>
                <w:kern w:val="0"/>
              </w:rPr>
              <w:t>2.20%</w:t>
            </w:r>
          </w:p>
        </w:tc>
        <w:tc>
          <w:tcPr>
            <w:tcW w:w="1181" w:type="dxa"/>
            <w:vAlign w:val="center"/>
          </w:tcPr>
          <w:p w:rsidR="00B84E97" w:rsidRDefault="00C23B51">
            <w:pPr>
              <w:jc w:val="center"/>
            </w:pPr>
            <w:r>
              <w:rPr>
                <w:rFonts w:asciiTheme="minorEastAsia" w:eastAsiaTheme="minorEastAsia" w:hAnsiTheme="minorEastAsia"/>
                <w:color w:val="000000" w:themeColor="text1"/>
                <w:kern w:val="0"/>
              </w:rPr>
              <w:t>-4.16%</w:t>
            </w:r>
          </w:p>
        </w:tc>
        <w:tc>
          <w:tcPr>
            <w:tcW w:w="1188" w:type="dxa"/>
            <w:vAlign w:val="center"/>
          </w:tcPr>
          <w:p w:rsidR="00B84E97" w:rsidRDefault="00C23B51">
            <w:pPr>
              <w:jc w:val="center"/>
            </w:pPr>
            <w:r>
              <w:rPr>
                <w:rFonts w:asciiTheme="minorEastAsia" w:eastAsiaTheme="minorEastAsia" w:hAnsiTheme="minorEastAsia"/>
                <w:color w:val="000000" w:themeColor="text1"/>
                <w:kern w:val="0"/>
              </w:rPr>
              <w:t>1.17%</w:t>
            </w:r>
          </w:p>
        </w:tc>
        <w:tc>
          <w:tcPr>
            <w:tcW w:w="1199" w:type="dxa"/>
            <w:vAlign w:val="center"/>
          </w:tcPr>
          <w:p w:rsidR="00B84E97" w:rsidRDefault="00C23B51">
            <w:pPr>
              <w:jc w:val="center"/>
            </w:pPr>
            <w:r>
              <w:rPr>
                <w:rFonts w:asciiTheme="minorEastAsia" w:eastAsiaTheme="minorEastAsia" w:hAnsiTheme="minorEastAsia"/>
                <w:color w:val="000000" w:themeColor="text1"/>
                <w:kern w:val="0"/>
              </w:rPr>
              <w:t>3.22%</w:t>
            </w:r>
          </w:p>
        </w:tc>
        <w:tc>
          <w:tcPr>
            <w:tcW w:w="1204" w:type="dxa"/>
            <w:vAlign w:val="center"/>
          </w:tcPr>
          <w:p w:rsidR="00B84E97" w:rsidRDefault="00C23B51">
            <w:pPr>
              <w:jc w:val="center"/>
            </w:pPr>
            <w:r>
              <w:rPr>
                <w:rFonts w:asciiTheme="minorEastAsia" w:eastAsiaTheme="minorEastAsia" w:hAnsiTheme="minorEastAsia"/>
                <w:color w:val="000000" w:themeColor="text1"/>
                <w:kern w:val="0"/>
              </w:rPr>
              <w:t>1.03%</w:t>
            </w:r>
          </w:p>
        </w:tc>
      </w:tr>
    </w:tbl>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B84E97" w:rsidRDefault="00C23B51">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上投摩根策略精选灵活配置混合型证券投资基金</w:t>
      </w:r>
    </w:p>
    <w:p w:rsidR="00B84E97" w:rsidRDefault="00C23B51">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B84E97" w:rsidRDefault="00C23B51">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2020</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B84E97" w:rsidRDefault="00C23B51">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本基金建仓期自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日。建仓期结束时资产配置比例符合本基金基金合同规定。</w:t>
      </w:r>
    </w:p>
    <w:p w:rsidR="00B84E97" w:rsidRDefault="00B84E97">
      <w:pPr>
        <w:tabs>
          <w:tab w:val="left" w:pos="1800"/>
        </w:tabs>
        <w:spacing w:line="360" w:lineRule="auto"/>
        <w:rPr>
          <w:rFonts w:asciiTheme="minorEastAsia" w:eastAsiaTheme="minorEastAsia" w:hAnsiTheme="minorEastAsia"/>
          <w:color w:val="000000" w:themeColor="text1"/>
          <w:sz w:val="24"/>
          <w:szCs w:val="24"/>
        </w:rPr>
      </w:pPr>
    </w:p>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B84E97">
        <w:trPr>
          <w:cantSplit/>
          <w:trHeight w:val="292"/>
        </w:trPr>
        <w:tc>
          <w:tcPr>
            <w:tcW w:w="851" w:type="dxa"/>
            <w:vMerge w:val="restart"/>
            <w:vAlign w:val="center"/>
          </w:tcPr>
          <w:p w:rsidR="00B84E97" w:rsidRDefault="00C23B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B84E97" w:rsidRDefault="00C23B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B84E97" w:rsidRDefault="00C23B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B84E97">
        <w:trPr>
          <w:cantSplit/>
        </w:trPr>
        <w:tc>
          <w:tcPr>
            <w:tcW w:w="851" w:type="dxa"/>
            <w:vMerge/>
            <w:vAlign w:val="center"/>
          </w:tcPr>
          <w:p w:rsidR="00B84E97" w:rsidRDefault="00B84E97">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B84E97" w:rsidRDefault="00B84E97">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B84E97" w:rsidRDefault="00B84E97">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B84E97" w:rsidRDefault="00B84E97">
            <w:pPr>
              <w:widowControl/>
              <w:spacing w:line="360" w:lineRule="auto"/>
              <w:jc w:val="left"/>
              <w:rPr>
                <w:rFonts w:asciiTheme="minorEastAsia" w:eastAsiaTheme="minorEastAsia" w:hAnsiTheme="minorEastAsia"/>
                <w:color w:val="000000" w:themeColor="text1"/>
                <w:kern w:val="0"/>
              </w:rPr>
            </w:pPr>
          </w:p>
        </w:tc>
      </w:tr>
      <w:tr w:rsidR="00B84E97">
        <w:tc>
          <w:tcPr>
            <w:tcW w:w="851" w:type="dxa"/>
            <w:vAlign w:val="center"/>
          </w:tcPr>
          <w:p w:rsidR="00B84E97" w:rsidRDefault="00C23B51">
            <w:pPr>
              <w:jc w:val="center"/>
            </w:pPr>
            <w:r>
              <w:rPr>
                <w:rFonts w:asciiTheme="minorEastAsia" w:eastAsiaTheme="minorEastAsia" w:hAnsiTheme="minorEastAsia"/>
                <w:color w:val="000000" w:themeColor="text1"/>
              </w:rPr>
              <w:t>朱晓龙</w:t>
            </w:r>
          </w:p>
        </w:tc>
        <w:tc>
          <w:tcPr>
            <w:tcW w:w="850" w:type="dxa"/>
            <w:vAlign w:val="center"/>
          </w:tcPr>
          <w:p w:rsidR="00B84E97" w:rsidRDefault="00C23B51">
            <w:pPr>
              <w:jc w:val="center"/>
            </w:pPr>
            <w:r>
              <w:rPr>
                <w:rFonts w:asciiTheme="minorEastAsia" w:eastAsiaTheme="minorEastAsia" w:hAnsiTheme="minorEastAsia"/>
                <w:color w:val="000000" w:themeColor="text1"/>
              </w:rPr>
              <w:t>本基金基金经理、研究部总监</w:t>
            </w:r>
          </w:p>
        </w:tc>
        <w:tc>
          <w:tcPr>
            <w:tcW w:w="1560" w:type="dxa"/>
            <w:vAlign w:val="center"/>
          </w:tcPr>
          <w:p w:rsidR="00B84E97" w:rsidRDefault="00C23B51">
            <w:pPr>
              <w:jc w:val="center"/>
            </w:pPr>
            <w:r>
              <w:rPr>
                <w:rFonts w:asciiTheme="minorEastAsia" w:eastAsiaTheme="minorEastAsia" w:hAnsiTheme="minorEastAsia"/>
                <w:color w:val="000000" w:themeColor="text1"/>
              </w:rPr>
              <w:t>2018-11-16</w:t>
            </w:r>
          </w:p>
        </w:tc>
        <w:tc>
          <w:tcPr>
            <w:tcW w:w="1559" w:type="dxa"/>
            <w:vAlign w:val="center"/>
          </w:tcPr>
          <w:p w:rsidR="00B84E97" w:rsidRDefault="00C23B51">
            <w:pPr>
              <w:jc w:val="center"/>
            </w:pPr>
            <w:r>
              <w:rPr>
                <w:rFonts w:asciiTheme="minorEastAsia" w:eastAsiaTheme="minorEastAsia" w:hAnsiTheme="minorEastAsia"/>
                <w:color w:val="000000" w:themeColor="text1"/>
              </w:rPr>
              <w:t>-</w:t>
            </w:r>
          </w:p>
        </w:tc>
        <w:tc>
          <w:tcPr>
            <w:tcW w:w="1417" w:type="dxa"/>
            <w:vAlign w:val="center"/>
          </w:tcPr>
          <w:p w:rsidR="00B84E97" w:rsidRDefault="00C23B51">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B84E97" w:rsidRDefault="00C23B51">
            <w:r>
              <w:rPr>
                <w:rFonts w:asciiTheme="minorEastAsia" w:eastAsiaTheme="minorEastAsia" w:hAnsiTheme="minorEastAsia"/>
                <w:color w:val="000000" w:themeColor="text1"/>
              </w:rPr>
              <w:t>朱晓龙先生，自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月在平安资产管理有限责任公司担任研究员；自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月起加入上投摩根基金管理有限公司，历任行业专家、研究部副总监兼基金经理助理，现任研究部总监兼基金经理。自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月起担任上投摩根策略精选灵活配置混合型证券投资基金基金经理，自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月起同时担任上投摩根大盘蓝筹股票型证券投资基金基金经理，自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月起同时担任上投摩根成长先锋混合型证券投资基金基金经理。</w:t>
            </w:r>
          </w:p>
        </w:tc>
      </w:tr>
    </w:tbl>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策略精选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w:t>
      </w:r>
      <w:r>
        <w:rPr>
          <w:rFonts w:asciiTheme="minorEastAsia" w:eastAsiaTheme="minorEastAsia" w:hAnsiTheme="minorEastAsia"/>
          <w:color w:val="000000" w:themeColor="text1"/>
        </w:rPr>
        <w:lastRenderedPageBreak/>
        <w:t>例要求的情形，但已在规定时间内调整完毕。</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w:t>
      </w:r>
      <w:r>
        <w:rPr>
          <w:rFonts w:asciiTheme="minorEastAsia" w:eastAsiaTheme="minorEastAsia" w:hAnsiTheme="minorEastAsia"/>
          <w:color w:val="000000" w:themeColor="text1"/>
        </w:rPr>
        <w:t>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w:t>
      </w:r>
      <w:r>
        <w:rPr>
          <w:rFonts w:asciiTheme="minorEastAsia" w:eastAsiaTheme="minorEastAsia" w:hAnsiTheme="minorEastAsia"/>
          <w:color w:val="000000" w:themeColor="text1"/>
        </w:rPr>
        <w:t>过对手库控制和交易室询价机制，严格防范对手风险并检查价格公允性；对于申购投资行为，本公司遵循价格优先、比例分配的原则，根据事前独立申报的价格和数量对交易结果进行公平分配。</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w:t>
      </w:r>
      <w:r>
        <w:rPr>
          <w:rFonts w:asciiTheme="minorEastAsia" w:eastAsiaTheme="minorEastAsia" w:hAnsiTheme="minorEastAsia" w:hint="eastAsia"/>
          <w:color w:val="000000" w:themeColor="text1"/>
        </w:rPr>
        <w:t>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B84E97" w:rsidRDefault="00B84E97">
      <w:pPr>
        <w:spacing w:line="360" w:lineRule="auto"/>
        <w:ind w:firstLineChars="200" w:firstLine="480"/>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年第一季度，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股整体负收益，以申万行业分类统计来看，农林牧渔、食品饮料、综合、商业贸易、交通运输、有色金属等行业表现相对不错，均获得正收益；纺织服装、电气设备、通信、银行、电子跌幅相对较大。</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第一季度，国内经济</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弱复苏</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趋势因突发新冠疫情冲击而中断，面对突如其来的疫情，严防严控战胜疫情构成了贯穿整个季度的关键词。随着目前国内疫情的整体可控，复产复工已经在陆续进行，但不容忽视，疫情整体对一季度的经济造成较大的负面冲击。</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月消费、工业生产、固定资产投资、进出口均出现一定程度的下滑。随着全国复工复产的逐步展开，国内经济未来有望逐步走出低谷，但</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月以来海外疫情的不断升级，给我们的外需造成较大的不确定性，预计未来经济将是一个缓慢逐步复苏的态势。</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面对疫情对经济的冲击，国内政策整体偏暖。货币政策方面，</w:t>
      </w:r>
      <w:r>
        <w:rPr>
          <w:rFonts w:asciiTheme="minorEastAsia" w:eastAsiaTheme="minorEastAsia" w:hAnsiTheme="minorEastAsia"/>
          <w:color w:val="000000" w:themeColor="text1"/>
        </w:rPr>
        <w:t>央行节后首日即下调政策利率</w:t>
      </w:r>
      <w:r>
        <w:rPr>
          <w:rFonts w:asciiTheme="minorEastAsia" w:eastAsiaTheme="minorEastAsia" w:hAnsiTheme="minorEastAsia"/>
          <w:color w:val="000000" w:themeColor="text1"/>
        </w:rPr>
        <w:t>10BP</w:t>
      </w:r>
      <w:r>
        <w:rPr>
          <w:rFonts w:asciiTheme="minorEastAsia" w:eastAsiaTheme="minorEastAsia" w:hAnsiTheme="minorEastAsia"/>
          <w:color w:val="000000" w:themeColor="text1"/>
        </w:rPr>
        <w:t>，推出再贷款、再贴现、政策性银行贷款，以及定向降准释放</w:t>
      </w:r>
      <w:r>
        <w:rPr>
          <w:rFonts w:asciiTheme="minorEastAsia" w:eastAsiaTheme="minorEastAsia" w:hAnsiTheme="minorEastAsia"/>
          <w:color w:val="000000" w:themeColor="text1"/>
        </w:rPr>
        <w:t>5500</w:t>
      </w:r>
      <w:r>
        <w:rPr>
          <w:rFonts w:asciiTheme="minorEastAsia" w:eastAsiaTheme="minorEastAsia" w:hAnsiTheme="minorEastAsia"/>
          <w:color w:val="000000" w:themeColor="text1"/>
        </w:rPr>
        <w:t>亿资金，年内降准、降政策利率仍有空间。财政政策积极，各地采取不同的减税降费措施，并且明确今年专项债发行规模将进一步增加。</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展望未来，我们认为国内经济逐步复苏的态势基本确定，但复苏的节奏受国际整体疫情的升级影响，接下来一段时间，我们会保持对市场影响较大的两个信号密切关注：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、全球疫情拐点的到来时点；</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、全球尤其国内稳经济政策推出节奏与力度。整体而言，我们认为</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股估值吸引力仍旧存在，国内优质公司成长的基本面仍在。</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关</w:t>
      </w:r>
      <w:r>
        <w:rPr>
          <w:rFonts w:asciiTheme="minorEastAsia" w:eastAsiaTheme="minorEastAsia" w:hAnsiTheme="minorEastAsia"/>
          <w:color w:val="000000" w:themeColor="text1"/>
        </w:rPr>
        <w:t>于基金运作，在个股配置方面，未来各个行业的优质公司仍将是本基金配置的重点，在行业配置上，我们坚持较为均衡的行业配置思路，虽然阶段性的会向部分高景气行业有所倾斜，但不会大幅倾斜，以期在较低的净值波动中获得超额收益。</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本报告期策略精选份额净值增长率为</w:t>
      </w:r>
      <w:r>
        <w:rPr>
          <w:rFonts w:asciiTheme="minorEastAsia" w:eastAsiaTheme="minorEastAsia" w:hAnsiTheme="minorEastAsia"/>
          <w:color w:val="000000" w:themeColor="text1"/>
        </w:rPr>
        <w:t>:-0.94%</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:-4.16%</w:t>
      </w:r>
      <w:r>
        <w:rPr>
          <w:rFonts w:asciiTheme="minorEastAsia" w:eastAsiaTheme="minorEastAsia" w:hAnsiTheme="minorEastAsia"/>
          <w:color w:val="000000" w:themeColor="text1"/>
        </w:rPr>
        <w:t>。</w:t>
      </w:r>
    </w:p>
    <w:p w:rsidR="00B84E97" w:rsidRDefault="00B84E97">
      <w:pPr>
        <w:spacing w:line="360" w:lineRule="auto"/>
        <w:ind w:firstLineChars="200" w:firstLine="480"/>
        <w:rPr>
          <w:rFonts w:asciiTheme="minorEastAsia" w:eastAsiaTheme="minorEastAsia" w:hAnsiTheme="minorEastAsia"/>
          <w:color w:val="000000" w:themeColor="text1"/>
          <w:sz w:val="24"/>
          <w:szCs w:val="24"/>
        </w:rPr>
      </w:pP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报告期内，本基金存在连续二十个工作日基金资产净值低于五千万元的情况，出现该情况的时间范围为</w:t>
      </w:r>
      <w:r>
        <w:rPr>
          <w:rFonts w:asciiTheme="minorEastAsia" w:eastAsiaTheme="minorEastAsia" w:hAnsiTheme="minorEastAsia"/>
          <w:color w:val="000000" w:themeColor="text1"/>
          <w:kern w:val="0"/>
        </w:rPr>
        <w:t>2020</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03</w:t>
      </w:r>
      <w:r>
        <w:rPr>
          <w:rFonts w:asciiTheme="minorEastAsia" w:eastAsiaTheme="minorEastAsia" w:hAnsiTheme="minorEastAsia"/>
          <w:color w:val="000000" w:themeColor="text1"/>
          <w:kern w:val="0"/>
        </w:rPr>
        <w:t>日至</w:t>
      </w:r>
      <w:r>
        <w:rPr>
          <w:rFonts w:asciiTheme="minorEastAsia" w:eastAsiaTheme="minorEastAsia" w:hAnsiTheme="minorEastAsia"/>
          <w:color w:val="000000" w:themeColor="text1"/>
          <w:kern w:val="0"/>
        </w:rPr>
        <w:t>2020</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03</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31</w:t>
      </w:r>
      <w:r>
        <w:rPr>
          <w:rFonts w:asciiTheme="minorEastAsia" w:eastAsiaTheme="minorEastAsia" w:hAnsiTheme="minorEastAsia"/>
          <w:color w:val="000000" w:themeColor="text1"/>
          <w:kern w:val="0"/>
        </w:rPr>
        <w:t>日。</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25,166,444.10</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76.81</w:t>
            </w:r>
          </w:p>
        </w:tc>
      </w:tr>
      <w:tr w:rsidR="00B84E97">
        <w:trPr>
          <w:jc w:val="center"/>
        </w:trPr>
        <w:tc>
          <w:tcPr>
            <w:tcW w:w="720" w:type="dxa"/>
            <w:vAlign w:val="center"/>
          </w:tcPr>
          <w:p w:rsidR="00B84E97" w:rsidRDefault="00B84E9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25,166,444.10</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76.81</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B84E9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B84E9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4E97" w:rsidRDefault="00C23B51">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B84E97" w:rsidRDefault="00C23B51">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B84E97" w:rsidRDefault="00C23B51">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B84E9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B84E97" w:rsidRDefault="00C23B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7,345,311.86</w:t>
            </w:r>
          </w:p>
        </w:tc>
        <w:tc>
          <w:tcPr>
            <w:tcW w:w="1843" w:type="dxa"/>
            <w:vAlign w:val="center"/>
          </w:tcPr>
          <w:p w:rsidR="00B84E97" w:rsidRDefault="00C23B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22.42</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B84E97" w:rsidRDefault="00C23B5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250,793.68</w:t>
            </w:r>
          </w:p>
        </w:tc>
        <w:tc>
          <w:tcPr>
            <w:tcW w:w="1843" w:type="dxa"/>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0.77</w:t>
            </w:r>
          </w:p>
        </w:tc>
      </w:tr>
      <w:tr w:rsidR="00B84E97">
        <w:trPr>
          <w:jc w:val="center"/>
        </w:trPr>
        <w:tc>
          <w:tcPr>
            <w:tcW w:w="720" w:type="dxa"/>
            <w:vAlign w:val="center"/>
          </w:tcPr>
          <w:p w:rsidR="00B84E97" w:rsidRDefault="00C23B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B84E97" w:rsidRDefault="00C23B5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32,762,549.64</w:t>
            </w:r>
          </w:p>
        </w:tc>
        <w:tc>
          <w:tcPr>
            <w:tcW w:w="1843" w:type="dxa"/>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B84E97" w:rsidRDefault="00B84E97">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B84E97" w:rsidRDefault="00C23B51">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B84E97">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679,560.28</w:t>
            </w:r>
          </w:p>
          <w:p w:rsidR="00B84E97" w:rsidRDefault="00B84E97">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2.11</w:t>
            </w:r>
          </w:p>
          <w:p w:rsidR="00B84E97" w:rsidRDefault="00B84E97">
            <w:pPr>
              <w:jc w:val="right"/>
              <w:rPr>
                <w:rFonts w:asciiTheme="minorEastAsia" w:eastAsiaTheme="minorEastAsia" w:hAnsiTheme="minorEastAsia" w:cs="宋体"/>
                <w:color w:val="000000" w:themeColor="text1"/>
                <w:kern w:val="0"/>
              </w:rPr>
            </w:pP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15,268,909.45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47.37</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1,041,864.80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3.23</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13,672.68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3,614,674.12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11.21</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1,540,611.43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4.78</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1,603,289.00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4.97</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781,969.34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2.43</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307,395.00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0.95</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314,498.00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0.98</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84E9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B84E97">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84E97" w:rsidRDefault="00C23B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25,166,444.10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4E97" w:rsidRDefault="00C23B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78.08</w:t>
            </w:r>
          </w:p>
        </w:tc>
      </w:tr>
    </w:tbl>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B84E97">
        <w:tc>
          <w:tcPr>
            <w:tcW w:w="817"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B84E97" w:rsidRDefault="00C23B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1</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000661</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长春高新</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1,277.00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699,796.00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2.17</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2</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002001</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新</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和</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成</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23,685.00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646,600.50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2.01</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3</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603444</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吉比特</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1,494.00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613,122.66</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1.90</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4</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002311</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海大集团</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14,903.00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599,100.60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1.86</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5</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600383</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金地集团</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42,200.00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594,598.00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1.84</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6</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002507</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涪陵榨菜</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18,500.00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583,490.00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1.81</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7</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600031</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三一重工</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33,340.00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576,782.00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1.79</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8</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300760</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迈瑞医疗</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2,200.00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575,740.00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1.79</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9</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603027</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千禾味业</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21,700.00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563,115.00</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1.75</w:t>
            </w:r>
          </w:p>
        </w:tc>
      </w:tr>
      <w:tr w:rsidR="00B84E97">
        <w:tc>
          <w:tcPr>
            <w:tcW w:w="817" w:type="dxa"/>
            <w:vAlign w:val="center"/>
          </w:tcPr>
          <w:p w:rsidR="00B84E97" w:rsidRDefault="00C23B51">
            <w:pPr>
              <w:jc w:val="center"/>
            </w:pPr>
            <w:r>
              <w:rPr>
                <w:rFonts w:asciiTheme="minorEastAsia" w:eastAsiaTheme="minorEastAsia" w:hAnsiTheme="minorEastAsia" w:cs="宋体"/>
                <w:color w:val="000000" w:themeColor="text1"/>
                <w:kern w:val="0"/>
              </w:rPr>
              <w:t>10</w:t>
            </w:r>
          </w:p>
        </w:tc>
        <w:tc>
          <w:tcPr>
            <w:tcW w:w="1276" w:type="dxa"/>
            <w:vAlign w:val="center"/>
          </w:tcPr>
          <w:p w:rsidR="00B84E97" w:rsidRDefault="00C23B51">
            <w:pPr>
              <w:jc w:val="center"/>
            </w:pPr>
            <w:r>
              <w:rPr>
                <w:rFonts w:asciiTheme="minorEastAsia" w:eastAsiaTheme="minorEastAsia" w:hAnsiTheme="minorEastAsia" w:cs="宋体"/>
                <w:color w:val="000000" w:themeColor="text1"/>
                <w:kern w:val="0"/>
              </w:rPr>
              <w:t>002475</w:t>
            </w:r>
          </w:p>
        </w:tc>
        <w:tc>
          <w:tcPr>
            <w:tcW w:w="1701" w:type="dxa"/>
            <w:vAlign w:val="center"/>
          </w:tcPr>
          <w:p w:rsidR="00B84E97" w:rsidRDefault="00C23B51">
            <w:pPr>
              <w:jc w:val="center"/>
            </w:pPr>
            <w:r>
              <w:rPr>
                <w:rFonts w:asciiTheme="minorEastAsia" w:eastAsiaTheme="minorEastAsia" w:hAnsiTheme="minorEastAsia" w:cs="宋体"/>
                <w:color w:val="000000" w:themeColor="text1"/>
                <w:kern w:val="0"/>
              </w:rPr>
              <w:t>立讯精密</w:t>
            </w:r>
          </w:p>
        </w:tc>
        <w:tc>
          <w:tcPr>
            <w:tcW w:w="1276" w:type="dxa"/>
            <w:vAlign w:val="center"/>
          </w:tcPr>
          <w:p w:rsidR="00B84E97" w:rsidRDefault="00C23B51">
            <w:pPr>
              <w:jc w:val="right"/>
            </w:pPr>
            <w:r>
              <w:rPr>
                <w:rFonts w:asciiTheme="minorEastAsia" w:eastAsiaTheme="minorEastAsia" w:hAnsiTheme="minorEastAsia" w:cs="宋体"/>
                <w:color w:val="000000" w:themeColor="text1"/>
                <w:kern w:val="0"/>
              </w:rPr>
              <w:t>14,739.00</w:t>
            </w:r>
          </w:p>
        </w:tc>
        <w:tc>
          <w:tcPr>
            <w:tcW w:w="1842" w:type="dxa"/>
            <w:vAlign w:val="center"/>
          </w:tcPr>
          <w:p w:rsidR="00B84E97" w:rsidRDefault="00C23B51">
            <w:pPr>
              <w:jc w:val="right"/>
            </w:pPr>
            <w:r>
              <w:rPr>
                <w:rFonts w:asciiTheme="minorEastAsia" w:eastAsiaTheme="minorEastAsia" w:hAnsiTheme="minorEastAsia" w:cs="宋体"/>
                <w:color w:val="000000" w:themeColor="text1"/>
                <w:kern w:val="0"/>
              </w:rPr>
              <w:t>562,440.24</w:t>
            </w:r>
          </w:p>
        </w:tc>
        <w:tc>
          <w:tcPr>
            <w:tcW w:w="1616" w:type="dxa"/>
            <w:vAlign w:val="center"/>
          </w:tcPr>
          <w:p w:rsidR="00B84E97" w:rsidRDefault="00C23B51">
            <w:pPr>
              <w:jc w:val="right"/>
            </w:pPr>
            <w:r>
              <w:rPr>
                <w:rFonts w:asciiTheme="minorEastAsia" w:eastAsiaTheme="minorEastAsia" w:hAnsiTheme="minorEastAsia" w:cs="宋体"/>
                <w:color w:val="000000" w:themeColor="text1"/>
                <w:kern w:val="0"/>
              </w:rPr>
              <w:t>1.74</w:t>
            </w:r>
          </w:p>
        </w:tc>
      </w:tr>
    </w:tbl>
    <w:p w:rsidR="00B84E97" w:rsidRDefault="00B84E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84E97" w:rsidRDefault="00B84E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B84E97" w:rsidRDefault="00C23B51">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B84E97" w:rsidRDefault="00B84E9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B84E97">
        <w:trPr>
          <w:trHeight w:val="105"/>
        </w:trPr>
        <w:tc>
          <w:tcPr>
            <w:tcW w:w="1422"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代码</w:t>
            </w:r>
          </w:p>
        </w:tc>
        <w:tc>
          <w:tcPr>
            <w:tcW w:w="1422"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名称</w:t>
            </w:r>
          </w:p>
        </w:tc>
        <w:tc>
          <w:tcPr>
            <w:tcW w:w="1422"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持仓量</w:t>
            </w:r>
          </w:p>
        </w:tc>
        <w:tc>
          <w:tcPr>
            <w:tcW w:w="1422"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合约市值</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23"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B84E97" w:rsidRDefault="00C23B51">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风险说明</w:t>
            </w:r>
          </w:p>
        </w:tc>
      </w:tr>
      <w:tr w:rsidR="00B84E97">
        <w:trPr>
          <w:trHeight w:val="105"/>
        </w:trPr>
        <w:tc>
          <w:tcPr>
            <w:tcW w:w="7111" w:type="dxa"/>
            <w:gridSpan w:val="5"/>
            <w:vAlign w:val="center"/>
          </w:tcPr>
          <w:p w:rsidR="00B84E97" w:rsidRDefault="00C23B51">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公允价值变动总额合计</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B84E97" w:rsidRDefault="00C23B51">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w:t>
            </w:r>
          </w:p>
        </w:tc>
      </w:tr>
      <w:tr w:rsidR="00B84E97">
        <w:trPr>
          <w:trHeight w:val="105"/>
        </w:trPr>
        <w:tc>
          <w:tcPr>
            <w:tcW w:w="7111" w:type="dxa"/>
            <w:gridSpan w:val="5"/>
            <w:vAlign w:val="center"/>
          </w:tcPr>
          <w:p w:rsidR="00B84E97" w:rsidRDefault="00C23B51">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本期收益</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B84E97" w:rsidRDefault="00C23B51">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33,080.00</w:t>
            </w:r>
          </w:p>
        </w:tc>
      </w:tr>
      <w:tr w:rsidR="00B84E97">
        <w:trPr>
          <w:trHeight w:val="105"/>
        </w:trPr>
        <w:tc>
          <w:tcPr>
            <w:tcW w:w="7111" w:type="dxa"/>
            <w:gridSpan w:val="5"/>
            <w:vAlign w:val="center"/>
          </w:tcPr>
          <w:p w:rsidR="00B84E97" w:rsidRDefault="00C23B51">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w:t>
            </w: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B84E97" w:rsidRDefault="00C23B51">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w:t>
            </w:r>
          </w:p>
        </w:tc>
      </w:tr>
    </w:tbl>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注：本基金本报告期末未持有股指期货。</w:t>
      </w:r>
    </w:p>
    <w:p w:rsidR="00B84E97" w:rsidRDefault="00B84E97">
      <w:pPr>
        <w:adjustRightInd w:val="0"/>
        <w:snapToGrid w:val="0"/>
        <w:spacing w:line="360" w:lineRule="exact"/>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B84E97" w:rsidRDefault="00C23B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B84E97">
        <w:tc>
          <w:tcPr>
            <w:tcW w:w="1235"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B84E97" w:rsidRDefault="00C23B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26,809.50</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200,424.05</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1,664.03</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21,896.10</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84E97">
        <w:tc>
          <w:tcPr>
            <w:tcW w:w="1235" w:type="dxa"/>
            <w:vAlign w:val="center"/>
          </w:tcPr>
          <w:p w:rsidR="00B84E97" w:rsidRDefault="00C23B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B84E97" w:rsidRDefault="00C23B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250,793.68</w:t>
            </w:r>
          </w:p>
        </w:tc>
      </w:tr>
    </w:tbl>
    <w:p w:rsidR="00B84E97" w:rsidRDefault="00B84E97">
      <w:pPr>
        <w:autoSpaceDE w:val="0"/>
        <w:autoSpaceDN w:val="0"/>
        <w:adjustRightInd w:val="0"/>
        <w:spacing w:line="360" w:lineRule="auto"/>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B84E97" w:rsidRDefault="00B84E97">
      <w:pPr>
        <w:autoSpaceDE w:val="0"/>
        <w:autoSpaceDN w:val="0"/>
        <w:adjustRightInd w:val="0"/>
        <w:spacing w:line="360" w:lineRule="auto"/>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B84E97" w:rsidRDefault="00B84E97">
      <w:pPr>
        <w:autoSpaceDE w:val="0"/>
        <w:autoSpaceDN w:val="0"/>
        <w:adjustRightInd w:val="0"/>
        <w:spacing w:line="360" w:lineRule="auto"/>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B84E97" w:rsidRDefault="00C23B5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B84E97">
        <w:tc>
          <w:tcPr>
            <w:tcW w:w="4609"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55,363,789.96</w:t>
            </w:r>
          </w:p>
        </w:tc>
      </w:tr>
      <w:tr w:rsidR="00B84E97">
        <w:tc>
          <w:tcPr>
            <w:tcW w:w="4609"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1,826,254.74</w:t>
            </w:r>
          </w:p>
        </w:tc>
      </w:tr>
      <w:tr w:rsidR="00B84E97">
        <w:tc>
          <w:tcPr>
            <w:tcW w:w="4609"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23,210,854.21</w:t>
            </w:r>
          </w:p>
        </w:tc>
      </w:tr>
      <w:tr w:rsidR="00B84E97">
        <w:tc>
          <w:tcPr>
            <w:tcW w:w="4609"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B84E97">
        <w:tc>
          <w:tcPr>
            <w:tcW w:w="4609"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84E97" w:rsidRDefault="00C23B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33,979,190.49</w:t>
            </w:r>
          </w:p>
        </w:tc>
      </w:tr>
    </w:tbl>
    <w:p w:rsidR="00B84E97" w:rsidRDefault="00C23B51">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B84E97" w:rsidRDefault="00C23B51">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B84E97" w:rsidRDefault="00C23B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B84E97" w:rsidRDefault="00B84E97">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B84E97" w:rsidRDefault="00C23B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、中国证监会批准上投摩根策略精选灵活配置混合型证券投资基金募集的文件</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、《上投摩根策略精选灵活配置混合型证券投资基金基金合同》</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、《上投摩根策略精选灵活配置混合型证券投资基金托管协议》</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、法律意见书</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、基金托管人业务资格批件、营业执照</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、《上投摩根基金管理有限公司开放式基金业务规则》</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、中国证监会要求的其他文件</w:t>
      </w:r>
    </w:p>
    <w:p w:rsidR="00B84E97" w:rsidRDefault="00B84E97">
      <w:pPr>
        <w:spacing w:line="360" w:lineRule="auto"/>
        <w:ind w:firstLineChars="200" w:firstLine="480"/>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B84E97" w:rsidRDefault="00B84E97">
      <w:pPr>
        <w:spacing w:line="360" w:lineRule="auto"/>
        <w:ind w:firstLineChars="200" w:firstLine="480"/>
        <w:rPr>
          <w:rFonts w:asciiTheme="minorEastAsia" w:eastAsiaTheme="minorEastAsia" w:hAnsiTheme="minorEastAsia"/>
          <w:color w:val="000000" w:themeColor="text1"/>
          <w:sz w:val="24"/>
          <w:szCs w:val="24"/>
        </w:rPr>
      </w:pPr>
    </w:p>
    <w:p w:rsidR="00B84E97" w:rsidRDefault="00C23B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B84E97" w:rsidRDefault="00C23B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B84E97">
      <w:pPr>
        <w:spacing w:line="360" w:lineRule="auto"/>
        <w:ind w:left="840"/>
        <w:jc w:val="right"/>
        <w:rPr>
          <w:rFonts w:asciiTheme="minorEastAsia" w:eastAsiaTheme="minorEastAsia" w:hAnsiTheme="minorEastAsia"/>
          <w:color w:val="000000" w:themeColor="text1"/>
          <w:sz w:val="24"/>
          <w:szCs w:val="24"/>
        </w:rPr>
      </w:pPr>
    </w:p>
    <w:p w:rsidR="00B84E97" w:rsidRDefault="00C23B5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B84E97" w:rsidRDefault="00C23B5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二〇二〇年四月二十二日</w:t>
      </w:r>
    </w:p>
    <w:p w:rsidR="00B84E97" w:rsidRDefault="00B84E97">
      <w:pPr>
        <w:spacing w:line="360" w:lineRule="auto"/>
        <w:ind w:left="840"/>
        <w:jc w:val="right"/>
        <w:rPr>
          <w:rFonts w:asciiTheme="minorEastAsia" w:eastAsiaTheme="minorEastAsia" w:hAnsiTheme="minorEastAsia"/>
          <w:b/>
          <w:bCs/>
          <w:color w:val="000000" w:themeColor="text1"/>
          <w:sz w:val="24"/>
          <w:szCs w:val="24"/>
        </w:rPr>
      </w:pPr>
    </w:p>
    <w:p w:rsidR="00B84E97" w:rsidRDefault="00B84E97">
      <w:pPr>
        <w:rPr>
          <w:rFonts w:asciiTheme="minorEastAsia" w:eastAsiaTheme="minorEastAsia" w:hAnsiTheme="minorEastAsia"/>
          <w:color w:val="000000" w:themeColor="text1"/>
          <w:sz w:val="24"/>
          <w:szCs w:val="24"/>
        </w:rPr>
      </w:pPr>
    </w:p>
    <w:sectPr w:rsidR="00B84E97">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3B51">
      <w:r>
        <w:separator/>
      </w:r>
    </w:p>
  </w:endnote>
  <w:endnote w:type="continuationSeparator" w:id="0">
    <w:p w:rsidR="00000000" w:rsidRDefault="00C2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97" w:rsidRDefault="00C23B51">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C23B5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97" w:rsidRDefault="00C23B51">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B84E97" w:rsidRDefault="00B84E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3B51">
      <w:r>
        <w:separator/>
      </w:r>
    </w:p>
  </w:footnote>
  <w:footnote w:type="continuationSeparator" w:id="0">
    <w:p w:rsidR="00000000" w:rsidRDefault="00C2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97" w:rsidRDefault="00C23B51">
    <w:pPr>
      <w:pStyle w:val="af6"/>
      <w:pBdr>
        <w:bottom w:val="single" w:sz="6" w:space="0" w:color="auto"/>
      </w:pBdr>
      <w:jc w:val="right"/>
    </w:pPr>
    <w:r>
      <w:rPr>
        <w:rFonts w:hint="eastAsia"/>
      </w:rPr>
      <w:t>上投摩根策略精选灵活配置混合型证券投资基金</w:t>
    </w:r>
    <w:r>
      <w:rPr>
        <w:rFonts w:hint="eastAsia"/>
      </w:rPr>
      <w:t>2020</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4E97"/>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23B51"/>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F263C-EB34-44E8-B829-E4E1C2F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F6B35-A939-44B6-91E8-1B8766EE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998</Words>
  <Characters>5689</Characters>
  <Application>Microsoft Office Word</Application>
  <DocSecurity>0</DocSecurity>
  <Lines>47</Lines>
  <Paragraphs>13</Paragraphs>
  <ScaleCrop>false</ScaleCrop>
  <Company>Cifm</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2020-04-21T06:25:00Z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