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摩根中国生物医药混合型证券投资基金</w:t>
      </w:r>
      <w:r w:rsidRPr="00A76A42">
        <w:rPr>
          <w:rFonts w:eastAsiaTheme="minorEastAsia"/>
          <w:b/>
          <w:color w:val="000000" w:themeColor="text1"/>
          <w:sz w:val="36"/>
          <w:szCs w:val="36"/>
        </w:rPr>
        <w:t>(QDII)</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年第</w:t>
      </w:r>
      <w:r w:rsidRPr="00A76A42">
        <w:rPr>
          <w:rFonts w:eastAsiaTheme="minorEastAsia"/>
          <w:b/>
          <w:color w:val="000000" w:themeColor="text1"/>
          <w:sz w:val="36"/>
          <w:szCs w:val="36"/>
        </w:rPr>
        <w:t>1</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w:t>
      </w:r>
      <w:r w:rsidRPr="00A76A42">
        <w:rPr>
          <w:rFonts w:eastAsiaTheme="minorEastAsia"/>
          <w:b/>
          <w:color w:val="000000" w:themeColor="text1"/>
          <w:sz w:val="36"/>
          <w:szCs w:val="36"/>
        </w:rPr>
        <w:t>3</w:t>
      </w:r>
      <w:r w:rsidRPr="00A76A42">
        <w:rPr>
          <w:rFonts w:eastAsiaTheme="minorEastAsia"/>
          <w:b/>
          <w:color w:val="000000" w:themeColor="text1"/>
          <w:sz w:val="36"/>
          <w:szCs w:val="36"/>
        </w:rPr>
        <w:t>月</w:t>
      </w:r>
      <w:r w:rsidRPr="00A76A42">
        <w:rPr>
          <w:rFonts w:eastAsiaTheme="minorEastAsia"/>
          <w:b/>
          <w:color w:val="000000" w:themeColor="text1"/>
          <w:sz w:val="36"/>
          <w:szCs w:val="36"/>
        </w:rPr>
        <w:t>31</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二〇二三年四月二十一日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摩根中国生物医药混合</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001984</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001984</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2019</w:t>
            </w:r>
            <w:r w:rsidRPr="00A76A42">
              <w:rPr>
                <w:rFonts w:eastAsiaTheme="minorEastAsia"/>
                <w:color w:val="000000" w:themeColor="text1"/>
                <w:kern w:val="0"/>
                <w:szCs w:val="21"/>
              </w:rPr>
              <w:t>年</w:t>
            </w:r>
            <w:r w:rsidRPr="00A76A42">
              <w:rPr>
                <w:rFonts w:eastAsiaTheme="minorEastAsia"/>
                <w:color w:val="000000" w:themeColor="text1"/>
                <w:kern w:val="0"/>
                <w:szCs w:val="21"/>
              </w:rPr>
              <w:t>2</w:t>
            </w:r>
            <w:r w:rsidRPr="00A76A42">
              <w:rPr>
                <w:rFonts w:eastAsiaTheme="minorEastAsia"/>
                <w:color w:val="000000" w:themeColor="text1"/>
                <w:kern w:val="0"/>
                <w:szCs w:val="21"/>
              </w:rPr>
              <w:t>月</w:t>
            </w:r>
            <w:r w:rsidRPr="00A76A42">
              <w:rPr>
                <w:rFonts w:eastAsiaTheme="minorEastAsia"/>
                <w:color w:val="000000" w:themeColor="text1"/>
                <w:kern w:val="0"/>
                <w:szCs w:val="21"/>
              </w:rPr>
              <w:t>22</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550,887,777.25</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本基金采用定量及定性研究方法，自下而上优选在中国境内、香港及美国等全球市场上市的中国生物医药类公司，通过严格的风险控制，力争实现基金资产的长期增值。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311A76" w:rsidRDefault="001500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311A76" w:rsidRDefault="001500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本基金综合考虑不同市场的宏观经济环境、增长和通胀背景、不同市场的估值水平和流动性因素、相关公司所处的发展阶段、盈利前景和竞争环境以及其他影响投资组合回</w:t>
            </w:r>
            <w:r>
              <w:rPr>
                <w:rFonts w:eastAsiaTheme="minorEastAsia"/>
                <w:color w:val="000000" w:themeColor="text1"/>
                <w:kern w:val="0"/>
                <w:szCs w:val="21"/>
              </w:rPr>
              <w:lastRenderedPageBreak/>
              <w:t>报及风险的重要要素将基金资产在中国境内及香港、美国等海外市场之间进行配置。另外，本基金将根据各类证券的风险收益特征的相对变化，适度的调整确定基金资产在股票、债券及现金等类别资产间的分配比例，动态优化投资组合。</w:t>
            </w:r>
          </w:p>
          <w:p w:rsidR="00311A76" w:rsidRDefault="001500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311A76" w:rsidRDefault="001500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rsidR="00311A76" w:rsidRDefault="001500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311A76" w:rsidRDefault="001500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等多种投资策略，实施积极主动的组合管理，并根据对债券收益率曲线形态、息差变化的预测，对债券组合进行动态调整。</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、其他投资策略：包括中小企业私募债投资策略、证券公司短期公司债投资策略、资产支持证券投资策略、权证投资策略、股指期货投资策略、股票期权投资策略、金融衍生品投资策略、存托凭证投资策略。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申银万国医药生物行业指数收益率</w:t>
            </w:r>
            <w:r w:rsidRPr="00A76A42">
              <w:rPr>
                <w:rFonts w:eastAsiaTheme="minorEastAsia"/>
                <w:color w:val="000000" w:themeColor="text1"/>
                <w:kern w:val="0"/>
                <w:szCs w:val="21"/>
              </w:rPr>
              <w:t>×45%+</w:t>
            </w:r>
            <w:r w:rsidRPr="00A76A42">
              <w:rPr>
                <w:rFonts w:eastAsiaTheme="minorEastAsia"/>
                <w:color w:val="000000" w:themeColor="text1"/>
                <w:kern w:val="0"/>
                <w:szCs w:val="21"/>
              </w:rPr>
              <w:t>恒生医疗保健行业指数收益率</w:t>
            </w:r>
            <w:r w:rsidRPr="00A76A42">
              <w:rPr>
                <w:rFonts w:eastAsiaTheme="minorEastAsia"/>
                <w:color w:val="000000" w:themeColor="text1"/>
                <w:kern w:val="0"/>
                <w:szCs w:val="21"/>
              </w:rPr>
              <w:t>×35%+</w:t>
            </w:r>
            <w:r w:rsidRPr="00A76A42">
              <w:rPr>
                <w:rFonts w:eastAsiaTheme="minorEastAsia"/>
                <w:color w:val="000000" w:themeColor="text1"/>
                <w:kern w:val="0"/>
                <w:szCs w:val="21"/>
              </w:rPr>
              <w:t>中债总指数收益率</w:t>
            </w:r>
            <w:r w:rsidRPr="00A76A42">
              <w:rPr>
                <w:rFonts w:eastAsiaTheme="minorEastAsia"/>
                <w:color w:val="000000" w:themeColor="text1"/>
                <w:kern w:val="0"/>
                <w:szCs w:val="21"/>
              </w:rPr>
              <w:t>×20%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本基金属于混合型基金产品，预期风险和收益水平高于债券型基金和货币市场基金。</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lastRenderedPageBreak/>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Bank of China (Hong Kong)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中国银行</w:t>
            </w:r>
            <w:r w:rsidRPr="00A76A42">
              <w:rPr>
                <w:rFonts w:eastAsiaTheme="minorEastAsia"/>
                <w:color w:val="000000" w:themeColor="text1"/>
                <w:kern w:val="0"/>
                <w:szCs w:val="21"/>
              </w:rPr>
              <w:t>(</w:t>
            </w:r>
            <w:r w:rsidRPr="00A76A42">
              <w:rPr>
                <w:rFonts w:eastAsiaTheme="minorEastAsia"/>
                <w:color w:val="000000" w:themeColor="text1"/>
                <w:kern w:val="0"/>
                <w:szCs w:val="21"/>
              </w:rPr>
              <w:t>香港</w:t>
            </w:r>
            <w:r w:rsidRPr="00A76A42">
              <w:rPr>
                <w:rFonts w:eastAsiaTheme="minorEastAsia"/>
                <w:color w:val="000000" w:themeColor="text1"/>
                <w:kern w:val="0"/>
                <w:szCs w:val="21"/>
              </w:rPr>
              <w:t>)</w:t>
            </w:r>
            <w:r w:rsidRPr="00A76A42">
              <w:rPr>
                <w:rFonts w:eastAsiaTheme="minorEastAsia"/>
                <w:color w:val="000000" w:themeColor="text1"/>
                <w:kern w:val="0"/>
                <w:szCs w:val="21"/>
              </w:rPr>
              <w:t>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bookmarkStart w:id="0" w:name="_GoBack"/>
      <w:bookmarkEnd w:id="0"/>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1500C8" w:rsidRPr="00A76A42" w:rsidTr="001500C8">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w:t>
            </w:r>
            <w:r w:rsidRPr="00A76A42">
              <w:rPr>
                <w:rFonts w:eastAsiaTheme="minorEastAsia"/>
                <w:color w:val="000000" w:themeColor="text1"/>
                <w:szCs w:val="21"/>
              </w:rPr>
              <w:t>)</w:t>
            </w:r>
          </w:p>
        </w:tc>
      </w:tr>
      <w:tr w:rsidR="001500C8" w:rsidRPr="00A76A42" w:rsidTr="001500C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1C2DCC" w:rsidP="001D369F">
            <w:pPr>
              <w:adjustRightInd w:val="0"/>
              <w:spacing w:before="29" w:line="360" w:lineRule="auto"/>
              <w:ind w:left="17"/>
              <w:jc w:val="right"/>
              <w:rPr>
                <w:rFonts w:eastAsiaTheme="minorEastAsia"/>
                <w:color w:val="000000" w:themeColor="text1"/>
                <w:szCs w:val="21"/>
              </w:rPr>
            </w:pPr>
            <w:r w:rsidRPr="001C2DCC">
              <w:rPr>
                <w:rFonts w:eastAsiaTheme="minorEastAsia"/>
                <w:color w:val="000000" w:themeColor="text1"/>
                <w:szCs w:val="21"/>
              </w:rPr>
              <w:t>-17</w:t>
            </w:r>
            <w:r>
              <w:rPr>
                <w:rFonts w:eastAsiaTheme="minorEastAsia"/>
                <w:color w:val="000000" w:themeColor="text1"/>
                <w:szCs w:val="21"/>
              </w:rPr>
              <w:t>,</w:t>
            </w:r>
            <w:r w:rsidRPr="001C2DCC">
              <w:rPr>
                <w:rFonts w:eastAsiaTheme="minorEastAsia"/>
                <w:color w:val="000000" w:themeColor="text1"/>
                <w:szCs w:val="21"/>
              </w:rPr>
              <w:t>083</w:t>
            </w:r>
            <w:r>
              <w:rPr>
                <w:rFonts w:eastAsiaTheme="minorEastAsia"/>
                <w:color w:val="000000" w:themeColor="text1"/>
                <w:szCs w:val="21"/>
              </w:rPr>
              <w:t>,</w:t>
            </w:r>
            <w:r w:rsidRPr="001C2DCC">
              <w:rPr>
                <w:rFonts w:eastAsiaTheme="minorEastAsia"/>
                <w:color w:val="000000" w:themeColor="text1"/>
                <w:szCs w:val="21"/>
              </w:rPr>
              <w:t>747.19</w:t>
            </w:r>
          </w:p>
        </w:tc>
      </w:tr>
      <w:tr w:rsidR="001500C8" w:rsidRPr="00A76A42" w:rsidTr="001500C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6B7283" w:rsidP="001D369F">
            <w:pPr>
              <w:adjustRightInd w:val="0"/>
              <w:spacing w:before="29" w:line="360" w:lineRule="auto"/>
              <w:ind w:left="17"/>
              <w:jc w:val="right"/>
              <w:rPr>
                <w:rFonts w:eastAsiaTheme="minorEastAsia"/>
                <w:color w:val="000000" w:themeColor="text1"/>
                <w:szCs w:val="21"/>
              </w:rPr>
            </w:pPr>
            <w:r w:rsidRPr="006B7283">
              <w:rPr>
                <w:rFonts w:eastAsiaTheme="minorEastAsia"/>
                <w:color w:val="000000" w:themeColor="text1"/>
                <w:szCs w:val="21"/>
              </w:rPr>
              <w:t>-47</w:t>
            </w:r>
            <w:r>
              <w:rPr>
                <w:rFonts w:eastAsiaTheme="minorEastAsia"/>
                <w:color w:val="000000" w:themeColor="text1"/>
                <w:szCs w:val="21"/>
              </w:rPr>
              <w:t>,</w:t>
            </w:r>
            <w:r w:rsidRPr="006B7283">
              <w:rPr>
                <w:rFonts w:eastAsiaTheme="minorEastAsia"/>
                <w:color w:val="000000" w:themeColor="text1"/>
                <w:szCs w:val="21"/>
              </w:rPr>
              <w:t>141</w:t>
            </w:r>
            <w:r>
              <w:rPr>
                <w:rFonts w:eastAsiaTheme="minorEastAsia"/>
                <w:color w:val="000000" w:themeColor="text1"/>
                <w:szCs w:val="21"/>
              </w:rPr>
              <w:t>,</w:t>
            </w:r>
            <w:r w:rsidRPr="006B7283">
              <w:rPr>
                <w:rFonts w:eastAsiaTheme="minorEastAsia"/>
                <w:color w:val="000000" w:themeColor="text1"/>
                <w:szCs w:val="21"/>
              </w:rPr>
              <w:t>254.69</w:t>
            </w:r>
          </w:p>
        </w:tc>
      </w:tr>
      <w:tr w:rsidR="001500C8" w:rsidRPr="00A76A42" w:rsidTr="001500C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-0.0846</w:t>
            </w:r>
          </w:p>
        </w:tc>
      </w:tr>
      <w:tr w:rsidR="001500C8" w:rsidRPr="00A76A42" w:rsidTr="001500C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780,248,195.38</w:t>
            </w:r>
          </w:p>
        </w:tc>
      </w:tr>
      <w:tr w:rsidR="001500C8" w:rsidRPr="00A76A42" w:rsidTr="001500C8">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1.4163</w:t>
            </w:r>
          </w:p>
        </w:tc>
      </w:tr>
    </w:tbl>
    <w:p w:rsidR="00311A76" w:rsidRDefault="001500C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311A76">
        <w:tc>
          <w:tcPr>
            <w:tcW w:w="1395" w:type="dxa"/>
            <w:vAlign w:val="center"/>
          </w:tcPr>
          <w:p w:rsidR="00311A76" w:rsidRDefault="001500C8">
            <w:pPr>
              <w:jc w:val="left"/>
            </w:pPr>
            <w:r>
              <w:rPr>
                <w:rFonts w:eastAsiaTheme="minorEastAsia"/>
                <w:color w:val="000000" w:themeColor="text1"/>
                <w:szCs w:val="21"/>
              </w:rPr>
              <w:t>过去三个月</w:t>
            </w:r>
          </w:p>
        </w:tc>
        <w:tc>
          <w:tcPr>
            <w:tcW w:w="1092" w:type="dxa"/>
            <w:vAlign w:val="center"/>
          </w:tcPr>
          <w:p w:rsidR="00311A76" w:rsidRDefault="001500C8">
            <w:pPr>
              <w:jc w:val="right"/>
            </w:pPr>
            <w:r>
              <w:rPr>
                <w:rFonts w:eastAsiaTheme="minorEastAsia"/>
                <w:color w:val="000000" w:themeColor="text1"/>
                <w:szCs w:val="21"/>
              </w:rPr>
              <w:t>-5.85%</w:t>
            </w:r>
          </w:p>
        </w:tc>
        <w:tc>
          <w:tcPr>
            <w:tcW w:w="1161" w:type="dxa"/>
            <w:vAlign w:val="center"/>
          </w:tcPr>
          <w:p w:rsidR="00311A76" w:rsidRDefault="001500C8">
            <w:pPr>
              <w:jc w:val="right"/>
            </w:pPr>
            <w:r>
              <w:rPr>
                <w:rFonts w:eastAsiaTheme="minorEastAsia"/>
                <w:color w:val="000000" w:themeColor="text1"/>
                <w:szCs w:val="21"/>
              </w:rPr>
              <w:t>1.30%</w:t>
            </w:r>
          </w:p>
        </w:tc>
        <w:tc>
          <w:tcPr>
            <w:tcW w:w="1181" w:type="dxa"/>
            <w:vAlign w:val="center"/>
          </w:tcPr>
          <w:p w:rsidR="00311A76" w:rsidRDefault="001500C8">
            <w:pPr>
              <w:jc w:val="right"/>
            </w:pPr>
            <w:r>
              <w:rPr>
                <w:rFonts w:eastAsiaTheme="minorEastAsia"/>
                <w:color w:val="000000" w:themeColor="text1"/>
                <w:szCs w:val="21"/>
              </w:rPr>
              <w:t>-2.78%</w:t>
            </w:r>
          </w:p>
        </w:tc>
        <w:tc>
          <w:tcPr>
            <w:tcW w:w="1188" w:type="dxa"/>
            <w:vAlign w:val="center"/>
          </w:tcPr>
          <w:p w:rsidR="00311A76" w:rsidRDefault="001500C8">
            <w:pPr>
              <w:jc w:val="right"/>
            </w:pPr>
            <w:r>
              <w:rPr>
                <w:rFonts w:eastAsiaTheme="minorEastAsia"/>
                <w:color w:val="000000" w:themeColor="text1"/>
                <w:szCs w:val="21"/>
              </w:rPr>
              <w:t>1.02%</w:t>
            </w:r>
          </w:p>
        </w:tc>
        <w:tc>
          <w:tcPr>
            <w:tcW w:w="1199" w:type="dxa"/>
            <w:vAlign w:val="center"/>
          </w:tcPr>
          <w:p w:rsidR="00311A76" w:rsidRDefault="001500C8">
            <w:pPr>
              <w:jc w:val="right"/>
            </w:pPr>
            <w:r>
              <w:rPr>
                <w:rFonts w:eastAsiaTheme="minorEastAsia"/>
                <w:color w:val="000000" w:themeColor="text1"/>
                <w:szCs w:val="21"/>
              </w:rPr>
              <w:t>-3.07%</w:t>
            </w:r>
          </w:p>
        </w:tc>
        <w:tc>
          <w:tcPr>
            <w:tcW w:w="1204" w:type="dxa"/>
            <w:vAlign w:val="center"/>
          </w:tcPr>
          <w:p w:rsidR="00311A76" w:rsidRDefault="001500C8">
            <w:pPr>
              <w:jc w:val="right"/>
            </w:pPr>
            <w:r>
              <w:rPr>
                <w:rFonts w:eastAsiaTheme="minorEastAsia"/>
                <w:color w:val="000000" w:themeColor="text1"/>
                <w:szCs w:val="21"/>
              </w:rPr>
              <w:t>0.28%</w:t>
            </w:r>
          </w:p>
        </w:tc>
      </w:tr>
      <w:tr w:rsidR="00311A76">
        <w:tc>
          <w:tcPr>
            <w:tcW w:w="1395" w:type="dxa"/>
            <w:vAlign w:val="center"/>
          </w:tcPr>
          <w:p w:rsidR="00311A76" w:rsidRDefault="001500C8">
            <w:pPr>
              <w:jc w:val="left"/>
            </w:pPr>
            <w:r>
              <w:rPr>
                <w:rFonts w:eastAsiaTheme="minorEastAsia"/>
                <w:color w:val="000000" w:themeColor="text1"/>
                <w:szCs w:val="21"/>
              </w:rPr>
              <w:t>过去六个月</w:t>
            </w:r>
          </w:p>
        </w:tc>
        <w:tc>
          <w:tcPr>
            <w:tcW w:w="1092" w:type="dxa"/>
            <w:vAlign w:val="center"/>
          </w:tcPr>
          <w:p w:rsidR="00311A76" w:rsidRDefault="001500C8">
            <w:pPr>
              <w:jc w:val="right"/>
            </w:pPr>
            <w:r>
              <w:rPr>
                <w:rFonts w:eastAsiaTheme="minorEastAsia"/>
                <w:color w:val="000000" w:themeColor="text1"/>
                <w:szCs w:val="21"/>
              </w:rPr>
              <w:t>-6.04%</w:t>
            </w:r>
          </w:p>
        </w:tc>
        <w:tc>
          <w:tcPr>
            <w:tcW w:w="1161" w:type="dxa"/>
            <w:vAlign w:val="center"/>
          </w:tcPr>
          <w:p w:rsidR="00311A76" w:rsidRDefault="001500C8">
            <w:pPr>
              <w:jc w:val="right"/>
            </w:pPr>
            <w:r>
              <w:rPr>
                <w:rFonts w:eastAsiaTheme="minorEastAsia"/>
                <w:color w:val="000000" w:themeColor="text1"/>
                <w:szCs w:val="21"/>
              </w:rPr>
              <w:t>1.34%</w:t>
            </w:r>
          </w:p>
        </w:tc>
        <w:tc>
          <w:tcPr>
            <w:tcW w:w="1181" w:type="dxa"/>
            <w:vAlign w:val="center"/>
          </w:tcPr>
          <w:p w:rsidR="00311A76" w:rsidRDefault="001500C8">
            <w:pPr>
              <w:jc w:val="right"/>
            </w:pPr>
            <w:r>
              <w:rPr>
                <w:rFonts w:eastAsiaTheme="minorEastAsia"/>
                <w:color w:val="000000" w:themeColor="text1"/>
                <w:szCs w:val="21"/>
              </w:rPr>
              <w:t>12.57%</w:t>
            </w:r>
          </w:p>
        </w:tc>
        <w:tc>
          <w:tcPr>
            <w:tcW w:w="1188" w:type="dxa"/>
            <w:vAlign w:val="center"/>
          </w:tcPr>
          <w:p w:rsidR="00311A76" w:rsidRDefault="001500C8">
            <w:pPr>
              <w:jc w:val="right"/>
            </w:pPr>
            <w:r>
              <w:rPr>
                <w:rFonts w:eastAsiaTheme="minorEastAsia"/>
                <w:color w:val="000000" w:themeColor="text1"/>
                <w:szCs w:val="21"/>
              </w:rPr>
              <w:t>1.43%</w:t>
            </w:r>
          </w:p>
        </w:tc>
        <w:tc>
          <w:tcPr>
            <w:tcW w:w="1199" w:type="dxa"/>
            <w:vAlign w:val="center"/>
          </w:tcPr>
          <w:p w:rsidR="00311A76" w:rsidRDefault="001500C8">
            <w:pPr>
              <w:jc w:val="right"/>
            </w:pPr>
            <w:r>
              <w:rPr>
                <w:rFonts w:eastAsiaTheme="minorEastAsia"/>
                <w:color w:val="000000" w:themeColor="text1"/>
                <w:szCs w:val="21"/>
              </w:rPr>
              <w:t>-18.61%</w:t>
            </w:r>
          </w:p>
        </w:tc>
        <w:tc>
          <w:tcPr>
            <w:tcW w:w="1204" w:type="dxa"/>
            <w:vAlign w:val="center"/>
          </w:tcPr>
          <w:p w:rsidR="00311A76" w:rsidRDefault="001500C8">
            <w:pPr>
              <w:jc w:val="right"/>
            </w:pPr>
            <w:r>
              <w:rPr>
                <w:rFonts w:eastAsiaTheme="minorEastAsia"/>
                <w:color w:val="000000" w:themeColor="text1"/>
                <w:szCs w:val="21"/>
              </w:rPr>
              <w:t>-0.09%</w:t>
            </w:r>
          </w:p>
        </w:tc>
      </w:tr>
      <w:tr w:rsidR="00311A76">
        <w:tc>
          <w:tcPr>
            <w:tcW w:w="1395" w:type="dxa"/>
            <w:vAlign w:val="center"/>
          </w:tcPr>
          <w:p w:rsidR="00311A76" w:rsidRDefault="001500C8">
            <w:pPr>
              <w:jc w:val="left"/>
            </w:pPr>
            <w:r>
              <w:rPr>
                <w:rFonts w:eastAsiaTheme="minorEastAsia"/>
                <w:color w:val="000000" w:themeColor="text1"/>
                <w:szCs w:val="21"/>
              </w:rPr>
              <w:t>过去一年</w:t>
            </w:r>
          </w:p>
        </w:tc>
        <w:tc>
          <w:tcPr>
            <w:tcW w:w="1092" w:type="dxa"/>
            <w:vAlign w:val="center"/>
          </w:tcPr>
          <w:p w:rsidR="00311A76" w:rsidRDefault="001500C8">
            <w:pPr>
              <w:jc w:val="right"/>
            </w:pPr>
            <w:r>
              <w:rPr>
                <w:rFonts w:eastAsiaTheme="minorEastAsia"/>
                <w:color w:val="000000" w:themeColor="text1"/>
                <w:szCs w:val="21"/>
              </w:rPr>
              <w:t>-17.28%</w:t>
            </w:r>
          </w:p>
        </w:tc>
        <w:tc>
          <w:tcPr>
            <w:tcW w:w="1161" w:type="dxa"/>
            <w:vAlign w:val="center"/>
          </w:tcPr>
          <w:p w:rsidR="00311A76" w:rsidRDefault="001500C8">
            <w:pPr>
              <w:jc w:val="right"/>
            </w:pPr>
            <w:r>
              <w:rPr>
                <w:rFonts w:eastAsiaTheme="minorEastAsia"/>
                <w:color w:val="000000" w:themeColor="text1"/>
                <w:szCs w:val="21"/>
              </w:rPr>
              <w:t>1.29%</w:t>
            </w:r>
          </w:p>
        </w:tc>
        <w:tc>
          <w:tcPr>
            <w:tcW w:w="1181" w:type="dxa"/>
            <w:vAlign w:val="center"/>
          </w:tcPr>
          <w:p w:rsidR="00311A76" w:rsidRDefault="001500C8">
            <w:pPr>
              <w:jc w:val="right"/>
            </w:pPr>
            <w:r>
              <w:rPr>
                <w:rFonts w:eastAsiaTheme="minorEastAsia"/>
                <w:color w:val="000000" w:themeColor="text1"/>
                <w:szCs w:val="21"/>
              </w:rPr>
              <w:t>-3.12%</w:t>
            </w:r>
          </w:p>
        </w:tc>
        <w:tc>
          <w:tcPr>
            <w:tcW w:w="1188" w:type="dxa"/>
            <w:vAlign w:val="center"/>
          </w:tcPr>
          <w:p w:rsidR="00311A76" w:rsidRDefault="001500C8">
            <w:pPr>
              <w:jc w:val="right"/>
            </w:pPr>
            <w:r>
              <w:rPr>
                <w:rFonts w:eastAsiaTheme="minorEastAsia"/>
                <w:color w:val="000000" w:themeColor="text1"/>
                <w:szCs w:val="21"/>
              </w:rPr>
              <w:t>1.42%</w:t>
            </w:r>
          </w:p>
        </w:tc>
        <w:tc>
          <w:tcPr>
            <w:tcW w:w="1199" w:type="dxa"/>
            <w:vAlign w:val="center"/>
          </w:tcPr>
          <w:p w:rsidR="00311A76" w:rsidRDefault="001500C8">
            <w:pPr>
              <w:jc w:val="right"/>
            </w:pPr>
            <w:r>
              <w:rPr>
                <w:rFonts w:eastAsiaTheme="minorEastAsia"/>
                <w:color w:val="000000" w:themeColor="text1"/>
                <w:szCs w:val="21"/>
              </w:rPr>
              <w:t>-14.16%</w:t>
            </w:r>
          </w:p>
        </w:tc>
        <w:tc>
          <w:tcPr>
            <w:tcW w:w="1204" w:type="dxa"/>
            <w:vAlign w:val="center"/>
          </w:tcPr>
          <w:p w:rsidR="00311A76" w:rsidRDefault="001500C8">
            <w:pPr>
              <w:jc w:val="right"/>
            </w:pPr>
            <w:r>
              <w:rPr>
                <w:rFonts w:eastAsiaTheme="minorEastAsia"/>
                <w:color w:val="000000" w:themeColor="text1"/>
                <w:szCs w:val="21"/>
              </w:rPr>
              <w:t>-0.13%</w:t>
            </w:r>
          </w:p>
        </w:tc>
      </w:tr>
      <w:tr w:rsidR="00311A76">
        <w:tc>
          <w:tcPr>
            <w:tcW w:w="1395" w:type="dxa"/>
            <w:vAlign w:val="center"/>
          </w:tcPr>
          <w:p w:rsidR="00311A76" w:rsidRDefault="001500C8">
            <w:pPr>
              <w:jc w:val="left"/>
            </w:pPr>
            <w:r>
              <w:rPr>
                <w:rFonts w:eastAsiaTheme="minorEastAsia"/>
                <w:color w:val="000000" w:themeColor="text1"/>
                <w:szCs w:val="21"/>
              </w:rPr>
              <w:t>过去三年</w:t>
            </w:r>
          </w:p>
        </w:tc>
        <w:tc>
          <w:tcPr>
            <w:tcW w:w="1092" w:type="dxa"/>
            <w:vAlign w:val="center"/>
          </w:tcPr>
          <w:p w:rsidR="00311A76" w:rsidRDefault="001500C8">
            <w:pPr>
              <w:jc w:val="right"/>
            </w:pPr>
            <w:r>
              <w:rPr>
                <w:rFonts w:eastAsiaTheme="minorEastAsia"/>
                <w:color w:val="000000" w:themeColor="text1"/>
                <w:szCs w:val="21"/>
              </w:rPr>
              <w:t>-17.29%</w:t>
            </w:r>
          </w:p>
        </w:tc>
        <w:tc>
          <w:tcPr>
            <w:tcW w:w="1161" w:type="dxa"/>
            <w:vAlign w:val="center"/>
          </w:tcPr>
          <w:p w:rsidR="00311A76" w:rsidRDefault="001500C8">
            <w:pPr>
              <w:jc w:val="right"/>
            </w:pPr>
            <w:r>
              <w:rPr>
                <w:rFonts w:eastAsiaTheme="minorEastAsia"/>
                <w:color w:val="000000" w:themeColor="text1"/>
                <w:szCs w:val="21"/>
              </w:rPr>
              <w:t>1.65%</w:t>
            </w:r>
          </w:p>
        </w:tc>
        <w:tc>
          <w:tcPr>
            <w:tcW w:w="1181" w:type="dxa"/>
            <w:vAlign w:val="center"/>
          </w:tcPr>
          <w:p w:rsidR="00311A76" w:rsidRDefault="001500C8">
            <w:pPr>
              <w:jc w:val="right"/>
            </w:pPr>
            <w:r>
              <w:rPr>
                <w:rFonts w:eastAsiaTheme="minorEastAsia"/>
                <w:color w:val="000000" w:themeColor="text1"/>
                <w:szCs w:val="21"/>
              </w:rPr>
              <w:t>-6.06%</w:t>
            </w:r>
          </w:p>
        </w:tc>
        <w:tc>
          <w:tcPr>
            <w:tcW w:w="1188" w:type="dxa"/>
            <w:vAlign w:val="center"/>
          </w:tcPr>
          <w:p w:rsidR="00311A76" w:rsidRDefault="001500C8">
            <w:pPr>
              <w:jc w:val="right"/>
            </w:pPr>
            <w:r>
              <w:rPr>
                <w:rFonts w:eastAsiaTheme="minorEastAsia"/>
                <w:color w:val="000000" w:themeColor="text1"/>
                <w:szCs w:val="21"/>
              </w:rPr>
              <w:t>1.46%</w:t>
            </w:r>
          </w:p>
        </w:tc>
        <w:tc>
          <w:tcPr>
            <w:tcW w:w="1199" w:type="dxa"/>
            <w:vAlign w:val="center"/>
          </w:tcPr>
          <w:p w:rsidR="00311A76" w:rsidRDefault="001500C8">
            <w:pPr>
              <w:jc w:val="right"/>
            </w:pPr>
            <w:r>
              <w:rPr>
                <w:rFonts w:eastAsiaTheme="minorEastAsia"/>
                <w:color w:val="000000" w:themeColor="text1"/>
                <w:szCs w:val="21"/>
              </w:rPr>
              <w:t>-11.23%</w:t>
            </w:r>
          </w:p>
        </w:tc>
        <w:tc>
          <w:tcPr>
            <w:tcW w:w="1204" w:type="dxa"/>
            <w:vAlign w:val="center"/>
          </w:tcPr>
          <w:p w:rsidR="00311A76" w:rsidRDefault="001500C8">
            <w:pPr>
              <w:jc w:val="right"/>
            </w:pPr>
            <w:r>
              <w:rPr>
                <w:rFonts w:eastAsiaTheme="minorEastAsia"/>
                <w:color w:val="000000" w:themeColor="text1"/>
                <w:szCs w:val="21"/>
              </w:rPr>
              <w:t>0.19%</w:t>
            </w:r>
          </w:p>
        </w:tc>
      </w:tr>
      <w:tr w:rsidR="00311A76">
        <w:tc>
          <w:tcPr>
            <w:tcW w:w="1395" w:type="dxa"/>
            <w:vAlign w:val="center"/>
          </w:tcPr>
          <w:p w:rsidR="00311A76" w:rsidRDefault="001500C8">
            <w:pPr>
              <w:jc w:val="left"/>
            </w:pPr>
            <w:r>
              <w:rPr>
                <w:rFonts w:eastAsiaTheme="minorEastAsia"/>
                <w:color w:val="000000" w:themeColor="text1"/>
                <w:szCs w:val="21"/>
              </w:rPr>
              <w:t>过去五年</w:t>
            </w:r>
          </w:p>
        </w:tc>
        <w:tc>
          <w:tcPr>
            <w:tcW w:w="1092" w:type="dxa"/>
            <w:vAlign w:val="center"/>
          </w:tcPr>
          <w:p w:rsidR="00311A76" w:rsidRDefault="001500C8">
            <w:pPr>
              <w:jc w:val="right"/>
            </w:pPr>
            <w:r>
              <w:rPr>
                <w:rFonts w:eastAsiaTheme="minorEastAsia"/>
                <w:color w:val="000000" w:themeColor="text1"/>
                <w:szCs w:val="21"/>
              </w:rPr>
              <w:t>-</w:t>
            </w:r>
          </w:p>
        </w:tc>
        <w:tc>
          <w:tcPr>
            <w:tcW w:w="1161" w:type="dxa"/>
            <w:vAlign w:val="center"/>
          </w:tcPr>
          <w:p w:rsidR="00311A76" w:rsidRDefault="001500C8">
            <w:pPr>
              <w:jc w:val="right"/>
            </w:pPr>
            <w:r>
              <w:rPr>
                <w:rFonts w:eastAsiaTheme="minorEastAsia"/>
                <w:color w:val="000000" w:themeColor="text1"/>
                <w:szCs w:val="21"/>
              </w:rPr>
              <w:t>-</w:t>
            </w:r>
          </w:p>
        </w:tc>
        <w:tc>
          <w:tcPr>
            <w:tcW w:w="1181" w:type="dxa"/>
            <w:vAlign w:val="center"/>
          </w:tcPr>
          <w:p w:rsidR="00311A76" w:rsidRDefault="001500C8">
            <w:pPr>
              <w:jc w:val="right"/>
            </w:pPr>
            <w:r>
              <w:rPr>
                <w:rFonts w:eastAsiaTheme="minorEastAsia"/>
                <w:color w:val="000000" w:themeColor="text1"/>
                <w:szCs w:val="21"/>
              </w:rPr>
              <w:t>-</w:t>
            </w:r>
          </w:p>
        </w:tc>
        <w:tc>
          <w:tcPr>
            <w:tcW w:w="1188" w:type="dxa"/>
            <w:vAlign w:val="center"/>
          </w:tcPr>
          <w:p w:rsidR="00311A76" w:rsidRDefault="001500C8">
            <w:pPr>
              <w:jc w:val="right"/>
            </w:pPr>
            <w:r>
              <w:rPr>
                <w:rFonts w:eastAsiaTheme="minorEastAsia"/>
                <w:color w:val="000000" w:themeColor="text1"/>
                <w:szCs w:val="21"/>
              </w:rPr>
              <w:t>-</w:t>
            </w:r>
          </w:p>
        </w:tc>
        <w:tc>
          <w:tcPr>
            <w:tcW w:w="1199" w:type="dxa"/>
            <w:vAlign w:val="center"/>
          </w:tcPr>
          <w:p w:rsidR="00311A76" w:rsidRDefault="001500C8">
            <w:pPr>
              <w:jc w:val="right"/>
            </w:pPr>
            <w:r>
              <w:rPr>
                <w:rFonts w:eastAsiaTheme="minorEastAsia"/>
                <w:color w:val="000000" w:themeColor="text1"/>
                <w:szCs w:val="21"/>
              </w:rPr>
              <w:t>-</w:t>
            </w:r>
          </w:p>
        </w:tc>
        <w:tc>
          <w:tcPr>
            <w:tcW w:w="1204" w:type="dxa"/>
            <w:vAlign w:val="center"/>
          </w:tcPr>
          <w:p w:rsidR="00311A76" w:rsidRDefault="001500C8">
            <w:pPr>
              <w:jc w:val="right"/>
            </w:pPr>
            <w:r>
              <w:rPr>
                <w:rFonts w:eastAsiaTheme="minorEastAsia"/>
                <w:color w:val="000000" w:themeColor="text1"/>
                <w:szCs w:val="21"/>
              </w:rPr>
              <w:t>-</w:t>
            </w:r>
          </w:p>
        </w:tc>
      </w:tr>
      <w:tr w:rsidR="00311A76">
        <w:tc>
          <w:tcPr>
            <w:tcW w:w="1395" w:type="dxa"/>
            <w:vAlign w:val="center"/>
          </w:tcPr>
          <w:p w:rsidR="00311A76" w:rsidRDefault="001500C8">
            <w:pPr>
              <w:jc w:val="left"/>
            </w:pPr>
            <w:r>
              <w:rPr>
                <w:rFonts w:eastAsiaTheme="minorEastAsia"/>
                <w:color w:val="000000" w:themeColor="text1"/>
                <w:szCs w:val="21"/>
              </w:rPr>
              <w:t>自基金合同</w:t>
            </w:r>
            <w:r>
              <w:rPr>
                <w:rFonts w:eastAsiaTheme="minorEastAsia"/>
                <w:color w:val="000000" w:themeColor="text1"/>
                <w:szCs w:val="21"/>
              </w:rPr>
              <w:lastRenderedPageBreak/>
              <w:t>生效起至今</w:t>
            </w:r>
          </w:p>
        </w:tc>
        <w:tc>
          <w:tcPr>
            <w:tcW w:w="1092" w:type="dxa"/>
            <w:vAlign w:val="center"/>
          </w:tcPr>
          <w:p w:rsidR="00311A76" w:rsidRDefault="001500C8">
            <w:pPr>
              <w:jc w:val="right"/>
            </w:pPr>
            <w:r>
              <w:rPr>
                <w:rFonts w:eastAsiaTheme="minorEastAsia"/>
                <w:color w:val="000000" w:themeColor="text1"/>
                <w:szCs w:val="21"/>
              </w:rPr>
              <w:lastRenderedPageBreak/>
              <w:t>41.63%</w:t>
            </w:r>
          </w:p>
        </w:tc>
        <w:tc>
          <w:tcPr>
            <w:tcW w:w="1161" w:type="dxa"/>
            <w:vAlign w:val="center"/>
          </w:tcPr>
          <w:p w:rsidR="00311A76" w:rsidRDefault="001500C8">
            <w:pPr>
              <w:jc w:val="right"/>
            </w:pPr>
            <w:r>
              <w:rPr>
                <w:rFonts w:eastAsiaTheme="minorEastAsia"/>
                <w:color w:val="000000" w:themeColor="text1"/>
                <w:szCs w:val="21"/>
              </w:rPr>
              <w:t>1.52%</w:t>
            </w:r>
          </w:p>
        </w:tc>
        <w:tc>
          <w:tcPr>
            <w:tcW w:w="1181" w:type="dxa"/>
            <w:vAlign w:val="center"/>
          </w:tcPr>
          <w:p w:rsidR="00311A76" w:rsidRDefault="001500C8">
            <w:pPr>
              <w:jc w:val="right"/>
            </w:pPr>
            <w:r>
              <w:rPr>
                <w:rFonts w:eastAsiaTheme="minorEastAsia"/>
                <w:color w:val="000000" w:themeColor="text1"/>
                <w:szCs w:val="21"/>
              </w:rPr>
              <w:t>16.01%</w:t>
            </w:r>
          </w:p>
        </w:tc>
        <w:tc>
          <w:tcPr>
            <w:tcW w:w="1188" w:type="dxa"/>
            <w:vAlign w:val="center"/>
          </w:tcPr>
          <w:p w:rsidR="00311A76" w:rsidRDefault="001500C8">
            <w:pPr>
              <w:jc w:val="right"/>
            </w:pPr>
            <w:r>
              <w:rPr>
                <w:rFonts w:eastAsiaTheme="minorEastAsia"/>
                <w:color w:val="000000" w:themeColor="text1"/>
                <w:szCs w:val="21"/>
              </w:rPr>
              <w:t>1.39%</w:t>
            </w:r>
          </w:p>
        </w:tc>
        <w:tc>
          <w:tcPr>
            <w:tcW w:w="1199" w:type="dxa"/>
            <w:vAlign w:val="center"/>
          </w:tcPr>
          <w:p w:rsidR="00311A76" w:rsidRDefault="001500C8">
            <w:pPr>
              <w:jc w:val="right"/>
            </w:pPr>
            <w:r>
              <w:rPr>
                <w:rFonts w:eastAsiaTheme="minorEastAsia"/>
                <w:color w:val="000000" w:themeColor="text1"/>
                <w:szCs w:val="21"/>
              </w:rPr>
              <w:t>25.62%</w:t>
            </w:r>
          </w:p>
        </w:tc>
        <w:tc>
          <w:tcPr>
            <w:tcW w:w="1204" w:type="dxa"/>
            <w:vAlign w:val="center"/>
          </w:tcPr>
          <w:p w:rsidR="00311A76" w:rsidRDefault="001500C8">
            <w:pPr>
              <w:jc w:val="right"/>
            </w:pPr>
            <w:r>
              <w:rPr>
                <w:rFonts w:eastAsiaTheme="minorEastAsia"/>
                <w:color w:val="000000" w:themeColor="text1"/>
                <w:szCs w:val="21"/>
              </w:rPr>
              <w:t>0.13%</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自基金转型以来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摩根中国生物医药混合型证券投资基金</w:t>
      </w:r>
      <w:r w:rsidRPr="00A76A42">
        <w:rPr>
          <w:rFonts w:eastAsiaTheme="minorEastAsia"/>
          <w:color w:val="000000" w:themeColor="text1"/>
          <w:szCs w:val="21"/>
        </w:rPr>
        <w:t>(QDII)</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2019</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2</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22</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2023</w:t>
      </w:r>
      <w:r w:rsidRPr="00A76A42">
        <w:rPr>
          <w:rFonts w:eastAsiaTheme="minorEastAsia"/>
          <w:color w:val="000000" w:themeColor="text1"/>
          <w:kern w:val="0"/>
          <w:szCs w:val="21"/>
        </w:rPr>
        <w:t>年</w:t>
      </w:r>
      <w:r w:rsidRPr="00A76A42">
        <w:rPr>
          <w:rFonts w:eastAsiaTheme="minorEastAsia"/>
          <w:color w:val="000000" w:themeColor="text1"/>
          <w:kern w:val="0"/>
          <w:szCs w:val="21"/>
        </w:rPr>
        <w:t>3</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311A76" w:rsidRDefault="001500C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注：本基金合同生效日（转型日）为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311A76">
        <w:tc>
          <w:tcPr>
            <w:tcW w:w="851" w:type="dxa"/>
            <w:vAlign w:val="center"/>
          </w:tcPr>
          <w:p w:rsidR="00311A76" w:rsidRDefault="001500C8">
            <w:pPr>
              <w:jc w:val="center"/>
            </w:pPr>
            <w:r>
              <w:rPr>
                <w:rFonts w:eastAsiaTheme="minorEastAsia"/>
                <w:color w:val="000000" w:themeColor="text1"/>
                <w:szCs w:val="21"/>
              </w:rPr>
              <w:t>方钰涵</w:t>
            </w:r>
          </w:p>
        </w:tc>
        <w:tc>
          <w:tcPr>
            <w:tcW w:w="850" w:type="dxa"/>
            <w:vAlign w:val="center"/>
          </w:tcPr>
          <w:p w:rsidR="00311A76" w:rsidRDefault="001500C8">
            <w:pPr>
              <w:jc w:val="center"/>
            </w:pPr>
            <w:r>
              <w:rPr>
                <w:rFonts w:eastAsiaTheme="minorEastAsia"/>
                <w:color w:val="000000" w:themeColor="text1"/>
                <w:szCs w:val="21"/>
              </w:rPr>
              <w:t>本基金基金经理</w:t>
            </w:r>
          </w:p>
        </w:tc>
        <w:tc>
          <w:tcPr>
            <w:tcW w:w="1560" w:type="dxa"/>
            <w:vAlign w:val="center"/>
          </w:tcPr>
          <w:p w:rsidR="00311A76" w:rsidRDefault="001500C8">
            <w:pPr>
              <w:jc w:val="center"/>
            </w:pPr>
            <w:r>
              <w:rPr>
                <w:rFonts w:eastAsiaTheme="minorEastAsia"/>
                <w:color w:val="000000" w:themeColor="text1"/>
                <w:szCs w:val="21"/>
              </w:rPr>
              <w:t>2019-02-22</w:t>
            </w:r>
          </w:p>
        </w:tc>
        <w:tc>
          <w:tcPr>
            <w:tcW w:w="1559" w:type="dxa"/>
            <w:vAlign w:val="center"/>
          </w:tcPr>
          <w:p w:rsidR="00311A76" w:rsidRDefault="001500C8">
            <w:pPr>
              <w:jc w:val="center"/>
            </w:pPr>
            <w:r>
              <w:rPr>
                <w:rFonts w:eastAsiaTheme="minorEastAsia"/>
                <w:color w:val="000000" w:themeColor="text1"/>
                <w:szCs w:val="21"/>
              </w:rPr>
              <w:t>-</w:t>
            </w:r>
          </w:p>
        </w:tc>
        <w:tc>
          <w:tcPr>
            <w:tcW w:w="1417" w:type="dxa"/>
            <w:vAlign w:val="center"/>
          </w:tcPr>
          <w:p w:rsidR="00311A76" w:rsidRDefault="001500C8">
            <w:pPr>
              <w:jc w:val="center"/>
            </w:pPr>
            <w:r>
              <w:rPr>
                <w:rFonts w:eastAsiaTheme="minorEastAsia"/>
                <w:color w:val="000000" w:themeColor="text1"/>
                <w:szCs w:val="21"/>
              </w:rPr>
              <w:t>10</w:t>
            </w:r>
            <w:r>
              <w:rPr>
                <w:rFonts w:eastAsiaTheme="minorEastAsia"/>
                <w:color w:val="000000" w:themeColor="text1"/>
                <w:szCs w:val="21"/>
              </w:rPr>
              <w:t>年</w:t>
            </w:r>
          </w:p>
        </w:tc>
        <w:tc>
          <w:tcPr>
            <w:tcW w:w="2694" w:type="dxa"/>
            <w:vAlign w:val="center"/>
          </w:tcPr>
          <w:p w:rsidR="00311A76" w:rsidRDefault="001500C8">
            <w:pPr>
              <w:jc w:val="left"/>
            </w:pPr>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w:t>
            </w:r>
            <w:r>
              <w:rPr>
                <w:rFonts w:eastAsiaTheme="minorEastAsia"/>
                <w:color w:val="000000" w:themeColor="text1"/>
                <w:szCs w:val="21"/>
              </w:rPr>
              <w:lastRenderedPageBreak/>
              <w:t>根基金管理（中国）有限公司（原上投摩根基金管理有限公司），历任行业专家、基金经理，现任高级基金经理。</w:t>
            </w:r>
          </w:p>
        </w:tc>
      </w:tr>
    </w:tbl>
    <w:p w:rsidR="00311A76" w:rsidRDefault="001500C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2.</w:t>
      </w:r>
      <w:r w:rsidRPr="00A76A42">
        <w:rPr>
          <w:rFonts w:eastAsiaTheme="minorEastAsia"/>
          <w:color w:val="000000" w:themeColor="text1"/>
          <w:szCs w:val="21"/>
        </w:rPr>
        <w:t>证券从业的含义遵从行业协会《证券业从业人员资格管理办法》的相关规定。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2</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3.1</w:t>
      </w:r>
      <w:r w:rsidRPr="00A76A42">
        <w:rPr>
          <w:rFonts w:eastAsiaTheme="minorEastAsia"/>
          <w:color w:val="000000" w:themeColor="text1"/>
          <w:sz w:val="24"/>
        </w:rPr>
        <w:t>公平交易制度的执行情况</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一季度医药行业的整体表现平淡，申万医药生物指数涨幅为</w:t>
      </w:r>
      <w:r>
        <w:rPr>
          <w:rFonts w:eastAsiaTheme="minorEastAsia"/>
          <w:color w:val="000000" w:themeColor="text1"/>
          <w:szCs w:val="21"/>
        </w:rPr>
        <w:t>1.86%</w:t>
      </w:r>
      <w:r>
        <w:rPr>
          <w:rFonts w:eastAsiaTheme="minorEastAsia"/>
          <w:color w:val="000000" w:themeColor="text1"/>
          <w:szCs w:val="21"/>
        </w:rPr>
        <w:t>，恒生医疗保健指数跌幅为</w:t>
      </w:r>
      <w:r>
        <w:rPr>
          <w:rFonts w:eastAsiaTheme="minorEastAsia"/>
          <w:color w:val="000000" w:themeColor="text1"/>
          <w:szCs w:val="21"/>
        </w:rPr>
        <w:t>8.42%</w:t>
      </w:r>
      <w:r>
        <w:rPr>
          <w:rFonts w:eastAsiaTheme="minorEastAsia"/>
          <w:color w:val="000000" w:themeColor="text1"/>
          <w:szCs w:val="21"/>
        </w:rPr>
        <w:t>。基金在多个有长期增长前景的子行业中进行较为分散的配置，个股优选行业内有竞争地位的龙头公司。</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2023</w:t>
      </w:r>
      <w:r>
        <w:rPr>
          <w:rFonts w:eastAsiaTheme="minorEastAsia"/>
          <w:color w:val="000000" w:themeColor="text1"/>
          <w:szCs w:val="21"/>
        </w:rPr>
        <w:t>年，我们认为，随着医药行业政策对于医药行业的政策压力接近尾声，叠加疫后医疗消费和服务的需求得到恢复，医药行业的长期估值正在逐渐变得有吸引力。过去几年国家对药品，高值耗材的水分的挤出，大部分的产品价格已经到了均衡的位置，参与者会致力于提供高性价比以及创新力更强的产品，广阔的国内市场也可以孕育相当规模的公司。创新药方面，临床研究和国际合作一直在稳步推进，一季度我们又看到若干起与全球大药企达成的长期合作，我们认为创新药公司正开启一轮新的投资周期。医疗服务的龙头公司在疫情期间快速响应，在老百姓心目中积累了口碑，同时正在趁着行业逆风的机会，积极进行兼并收购和产业整合，形成强者恒强的格局。医疗消费类以及一些高值耗材类公司的需求在疫后迅速复苏，且耗材价格的下降有利于量的渗透。因此，我们预期未来的投资机会是多点开花的，我们致力于分散布局，为投资者创造更好的收益。</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:-5.85%</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:-2.78%</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4.5</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611,775,485.10</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76.53</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608,636,608.81</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76.14</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3,138,876.29</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0.39</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186,513,602.08</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23.33</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1,075,906.04</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0.13</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799,364,993.22</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1500C8" w:rsidP="00363E15">
      <w:pPr>
        <w:autoSpaceDE w:val="0"/>
        <w:autoSpaceDN w:val="0"/>
        <w:adjustRightInd w:val="0"/>
        <w:spacing w:line="360" w:lineRule="auto"/>
        <w:jc w:val="left"/>
        <w:rPr>
          <w:rFonts w:eastAsiaTheme="minorEastAsia"/>
          <w:color w:val="000000" w:themeColor="text1"/>
          <w:szCs w:val="21"/>
        </w:rPr>
      </w:pPr>
      <w:r>
        <w:rPr>
          <w:rFonts w:eastAsiaTheme="minorEastAsia" w:hint="eastAsia"/>
          <w:color w:val="000000" w:themeColor="text1"/>
          <w:szCs w:val="21"/>
        </w:rPr>
        <w:t>注：</w:t>
      </w:r>
      <w:r w:rsidRPr="001500C8">
        <w:rPr>
          <w:rFonts w:eastAsiaTheme="minorEastAsia" w:hint="eastAsia"/>
          <w:color w:val="000000" w:themeColor="text1"/>
          <w:szCs w:val="21"/>
        </w:rPr>
        <w:t>本基金本报告期末通过港股通交易机制投资的港股公允价值为</w:t>
      </w:r>
      <w:r w:rsidRPr="001500C8">
        <w:rPr>
          <w:rFonts w:eastAsiaTheme="minorEastAsia" w:hint="eastAsia"/>
          <w:color w:val="000000" w:themeColor="text1"/>
          <w:szCs w:val="21"/>
        </w:rPr>
        <w:t>170,906,872.08</w:t>
      </w:r>
      <w:r w:rsidRPr="001500C8">
        <w:rPr>
          <w:rFonts w:eastAsiaTheme="minorEastAsia" w:hint="eastAsia"/>
          <w:color w:val="000000" w:themeColor="text1"/>
          <w:szCs w:val="21"/>
        </w:rPr>
        <w:t>元</w:t>
      </w:r>
      <w:r w:rsidRPr="001500C8">
        <w:rPr>
          <w:rFonts w:eastAsiaTheme="minorEastAsia" w:hint="eastAsia"/>
          <w:color w:val="000000" w:themeColor="text1"/>
          <w:szCs w:val="21"/>
        </w:rPr>
        <w:t>,</w:t>
      </w:r>
      <w:r w:rsidRPr="001500C8">
        <w:rPr>
          <w:rFonts w:eastAsiaTheme="minorEastAsia" w:hint="eastAsia"/>
          <w:color w:val="000000" w:themeColor="text1"/>
          <w:szCs w:val="21"/>
        </w:rPr>
        <w:t>占净值比例</w:t>
      </w:r>
      <w:r w:rsidRPr="001500C8">
        <w:rPr>
          <w:rFonts w:eastAsiaTheme="minorEastAsia" w:hint="eastAsia"/>
          <w:color w:val="000000" w:themeColor="text1"/>
          <w:szCs w:val="21"/>
        </w:rPr>
        <w:t>21.90%</w:t>
      </w:r>
      <w:r w:rsidRPr="001500C8">
        <w:rPr>
          <w:rFonts w:eastAsiaTheme="minorEastAsia" w:hint="eastAsia"/>
          <w:color w:val="000000" w:themeColor="text1"/>
          <w:szCs w:val="21"/>
        </w:rPr>
        <w:t>。</w:t>
      </w: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311A76">
        <w:trPr>
          <w:jc w:val="center"/>
        </w:trPr>
        <w:tc>
          <w:tcPr>
            <w:tcW w:w="2410" w:type="dxa"/>
            <w:vAlign w:val="center"/>
          </w:tcPr>
          <w:p w:rsidR="00311A76" w:rsidRDefault="001500C8">
            <w:pPr>
              <w:jc w:val="left"/>
            </w:pPr>
            <w:r>
              <w:rPr>
                <w:rFonts w:eastAsiaTheme="minorEastAsia"/>
                <w:color w:val="000000" w:themeColor="text1"/>
                <w:szCs w:val="21"/>
              </w:rPr>
              <w:t>中国</w:t>
            </w:r>
          </w:p>
        </w:tc>
        <w:tc>
          <w:tcPr>
            <w:tcW w:w="3118" w:type="dxa"/>
            <w:vAlign w:val="center"/>
          </w:tcPr>
          <w:p w:rsidR="00311A76" w:rsidRDefault="001500C8">
            <w:pPr>
              <w:jc w:val="right"/>
            </w:pPr>
            <w:r>
              <w:rPr>
                <w:rFonts w:eastAsiaTheme="minorEastAsia"/>
                <w:color w:val="000000" w:themeColor="text1"/>
                <w:szCs w:val="21"/>
              </w:rPr>
              <w:t>379,409,292.91</w:t>
            </w:r>
          </w:p>
        </w:tc>
        <w:tc>
          <w:tcPr>
            <w:tcW w:w="3076" w:type="dxa"/>
            <w:vAlign w:val="center"/>
          </w:tcPr>
          <w:p w:rsidR="00311A76" w:rsidRDefault="001500C8">
            <w:pPr>
              <w:jc w:val="right"/>
            </w:pPr>
            <w:r>
              <w:rPr>
                <w:rFonts w:eastAsiaTheme="minorEastAsia"/>
                <w:color w:val="000000" w:themeColor="text1"/>
                <w:szCs w:val="21"/>
              </w:rPr>
              <w:t>48.63</w:t>
            </w:r>
          </w:p>
        </w:tc>
      </w:tr>
      <w:tr w:rsidR="00311A76">
        <w:trPr>
          <w:jc w:val="center"/>
        </w:trPr>
        <w:tc>
          <w:tcPr>
            <w:tcW w:w="2410" w:type="dxa"/>
            <w:vAlign w:val="center"/>
          </w:tcPr>
          <w:p w:rsidR="00311A76" w:rsidRDefault="001500C8">
            <w:pPr>
              <w:jc w:val="left"/>
            </w:pPr>
            <w:r>
              <w:rPr>
                <w:rFonts w:eastAsiaTheme="minorEastAsia"/>
                <w:color w:val="000000" w:themeColor="text1"/>
                <w:szCs w:val="21"/>
              </w:rPr>
              <w:t>中国香港</w:t>
            </w:r>
          </w:p>
        </w:tc>
        <w:tc>
          <w:tcPr>
            <w:tcW w:w="3118" w:type="dxa"/>
            <w:vAlign w:val="center"/>
          </w:tcPr>
          <w:p w:rsidR="00311A76" w:rsidRDefault="001500C8">
            <w:pPr>
              <w:jc w:val="right"/>
            </w:pPr>
            <w:r>
              <w:rPr>
                <w:rFonts w:eastAsiaTheme="minorEastAsia"/>
                <w:color w:val="000000" w:themeColor="text1"/>
                <w:szCs w:val="21"/>
              </w:rPr>
              <w:t>225,195,147.47</w:t>
            </w:r>
          </w:p>
        </w:tc>
        <w:tc>
          <w:tcPr>
            <w:tcW w:w="3076" w:type="dxa"/>
            <w:vAlign w:val="center"/>
          </w:tcPr>
          <w:p w:rsidR="00311A76" w:rsidRDefault="001500C8">
            <w:pPr>
              <w:jc w:val="right"/>
            </w:pPr>
            <w:r>
              <w:rPr>
                <w:rFonts w:eastAsiaTheme="minorEastAsia"/>
                <w:color w:val="000000" w:themeColor="text1"/>
                <w:szCs w:val="21"/>
              </w:rPr>
              <w:t>28.86</w:t>
            </w:r>
          </w:p>
        </w:tc>
      </w:tr>
      <w:tr w:rsidR="00311A76">
        <w:trPr>
          <w:jc w:val="center"/>
        </w:trPr>
        <w:tc>
          <w:tcPr>
            <w:tcW w:w="2410" w:type="dxa"/>
            <w:vAlign w:val="center"/>
          </w:tcPr>
          <w:p w:rsidR="00311A76" w:rsidRDefault="001500C8">
            <w:pPr>
              <w:jc w:val="left"/>
            </w:pPr>
            <w:r>
              <w:rPr>
                <w:rFonts w:eastAsiaTheme="minorEastAsia"/>
                <w:color w:val="000000" w:themeColor="text1"/>
                <w:szCs w:val="21"/>
              </w:rPr>
              <w:t>美国</w:t>
            </w:r>
          </w:p>
        </w:tc>
        <w:tc>
          <w:tcPr>
            <w:tcW w:w="3118" w:type="dxa"/>
            <w:vAlign w:val="center"/>
          </w:tcPr>
          <w:p w:rsidR="00311A76" w:rsidRDefault="001500C8">
            <w:pPr>
              <w:jc w:val="right"/>
            </w:pPr>
            <w:r>
              <w:rPr>
                <w:rFonts w:eastAsiaTheme="minorEastAsia"/>
                <w:color w:val="000000" w:themeColor="text1"/>
                <w:szCs w:val="21"/>
              </w:rPr>
              <w:t>7,171,044.72</w:t>
            </w:r>
          </w:p>
        </w:tc>
        <w:tc>
          <w:tcPr>
            <w:tcW w:w="3076" w:type="dxa"/>
            <w:vAlign w:val="center"/>
          </w:tcPr>
          <w:p w:rsidR="00311A76" w:rsidRDefault="001500C8">
            <w:pPr>
              <w:jc w:val="right"/>
            </w:pPr>
            <w:r>
              <w:rPr>
                <w:rFonts w:eastAsiaTheme="minorEastAsia"/>
                <w:color w:val="000000" w:themeColor="text1"/>
                <w:szCs w:val="21"/>
              </w:rPr>
              <w:t>0.92</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611,775,485.10</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78.41</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lastRenderedPageBreak/>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311A76">
        <w:tc>
          <w:tcPr>
            <w:tcW w:w="2787" w:type="dxa"/>
            <w:vAlign w:val="center"/>
          </w:tcPr>
          <w:p w:rsidR="00311A76" w:rsidRDefault="001500C8">
            <w:pPr>
              <w:jc w:val="left"/>
            </w:pPr>
            <w:r>
              <w:rPr>
                <w:rFonts w:eastAsiaTheme="minorEastAsia"/>
                <w:color w:val="000000" w:themeColor="text1"/>
                <w:szCs w:val="21"/>
              </w:rPr>
              <w:t>医疗保健</w:t>
            </w:r>
          </w:p>
        </w:tc>
        <w:tc>
          <w:tcPr>
            <w:tcW w:w="2551" w:type="dxa"/>
            <w:vAlign w:val="center"/>
          </w:tcPr>
          <w:p w:rsidR="00311A76" w:rsidRDefault="001500C8">
            <w:pPr>
              <w:jc w:val="right"/>
            </w:pPr>
            <w:r>
              <w:rPr>
                <w:rFonts w:eastAsiaTheme="minorEastAsia"/>
                <w:color w:val="000000" w:themeColor="text1"/>
                <w:szCs w:val="21"/>
              </w:rPr>
              <w:t>524,079,335.42</w:t>
            </w:r>
          </w:p>
        </w:tc>
        <w:tc>
          <w:tcPr>
            <w:tcW w:w="3175" w:type="dxa"/>
            <w:vAlign w:val="center"/>
          </w:tcPr>
          <w:p w:rsidR="00311A76" w:rsidRDefault="001500C8">
            <w:pPr>
              <w:jc w:val="right"/>
            </w:pPr>
            <w:r>
              <w:rPr>
                <w:rFonts w:eastAsiaTheme="minorEastAsia"/>
                <w:color w:val="000000" w:themeColor="text1"/>
                <w:szCs w:val="21"/>
              </w:rPr>
              <w:t>67.17</w:t>
            </w:r>
          </w:p>
        </w:tc>
      </w:tr>
      <w:tr w:rsidR="00311A76">
        <w:tc>
          <w:tcPr>
            <w:tcW w:w="2787" w:type="dxa"/>
            <w:vAlign w:val="center"/>
          </w:tcPr>
          <w:p w:rsidR="00311A76" w:rsidRDefault="001500C8">
            <w:pPr>
              <w:jc w:val="left"/>
            </w:pPr>
            <w:r>
              <w:rPr>
                <w:rFonts w:eastAsiaTheme="minorEastAsia"/>
                <w:color w:val="000000" w:themeColor="text1"/>
                <w:szCs w:val="21"/>
              </w:rPr>
              <w:t>工业</w:t>
            </w:r>
          </w:p>
        </w:tc>
        <w:tc>
          <w:tcPr>
            <w:tcW w:w="2551" w:type="dxa"/>
            <w:vAlign w:val="center"/>
          </w:tcPr>
          <w:p w:rsidR="00311A76" w:rsidRDefault="001500C8">
            <w:pPr>
              <w:jc w:val="right"/>
            </w:pPr>
            <w:r>
              <w:rPr>
                <w:rFonts w:eastAsiaTheme="minorEastAsia"/>
                <w:color w:val="000000" w:themeColor="text1"/>
                <w:szCs w:val="21"/>
              </w:rPr>
              <w:t>41,700,689.85</w:t>
            </w:r>
          </w:p>
        </w:tc>
        <w:tc>
          <w:tcPr>
            <w:tcW w:w="3175" w:type="dxa"/>
            <w:vAlign w:val="center"/>
          </w:tcPr>
          <w:p w:rsidR="00311A76" w:rsidRDefault="001500C8">
            <w:pPr>
              <w:jc w:val="right"/>
            </w:pPr>
            <w:r>
              <w:rPr>
                <w:rFonts w:eastAsiaTheme="minorEastAsia"/>
                <w:color w:val="000000" w:themeColor="text1"/>
                <w:szCs w:val="21"/>
              </w:rPr>
              <w:t>5.34</w:t>
            </w:r>
          </w:p>
        </w:tc>
      </w:tr>
      <w:tr w:rsidR="00311A76">
        <w:tc>
          <w:tcPr>
            <w:tcW w:w="2787" w:type="dxa"/>
            <w:vAlign w:val="center"/>
          </w:tcPr>
          <w:p w:rsidR="00311A76" w:rsidRDefault="001500C8">
            <w:pPr>
              <w:jc w:val="left"/>
            </w:pPr>
            <w:r>
              <w:rPr>
                <w:rFonts w:eastAsiaTheme="minorEastAsia"/>
                <w:color w:val="000000" w:themeColor="text1"/>
                <w:szCs w:val="21"/>
              </w:rPr>
              <w:t>信息技术</w:t>
            </w:r>
          </w:p>
        </w:tc>
        <w:tc>
          <w:tcPr>
            <w:tcW w:w="2551" w:type="dxa"/>
            <w:vAlign w:val="center"/>
          </w:tcPr>
          <w:p w:rsidR="00311A76" w:rsidRDefault="001500C8">
            <w:pPr>
              <w:jc w:val="right"/>
            </w:pPr>
            <w:r>
              <w:rPr>
                <w:rFonts w:eastAsiaTheme="minorEastAsia"/>
                <w:color w:val="000000" w:themeColor="text1"/>
                <w:szCs w:val="21"/>
              </w:rPr>
              <w:t>20,348,344.30</w:t>
            </w:r>
          </w:p>
        </w:tc>
        <w:tc>
          <w:tcPr>
            <w:tcW w:w="3175" w:type="dxa"/>
            <w:vAlign w:val="center"/>
          </w:tcPr>
          <w:p w:rsidR="00311A76" w:rsidRDefault="001500C8">
            <w:pPr>
              <w:jc w:val="right"/>
            </w:pPr>
            <w:r>
              <w:rPr>
                <w:rFonts w:eastAsiaTheme="minorEastAsia"/>
                <w:color w:val="000000" w:themeColor="text1"/>
                <w:szCs w:val="21"/>
              </w:rPr>
              <w:t>2.61</w:t>
            </w:r>
          </w:p>
        </w:tc>
      </w:tr>
      <w:tr w:rsidR="00311A76">
        <w:tc>
          <w:tcPr>
            <w:tcW w:w="2787" w:type="dxa"/>
            <w:vAlign w:val="center"/>
          </w:tcPr>
          <w:p w:rsidR="00311A76" w:rsidRDefault="001500C8">
            <w:pPr>
              <w:jc w:val="left"/>
            </w:pPr>
            <w:r>
              <w:rPr>
                <w:rFonts w:eastAsiaTheme="minorEastAsia"/>
                <w:color w:val="000000" w:themeColor="text1"/>
                <w:szCs w:val="21"/>
              </w:rPr>
              <w:t>基础材料</w:t>
            </w:r>
          </w:p>
        </w:tc>
        <w:tc>
          <w:tcPr>
            <w:tcW w:w="2551" w:type="dxa"/>
            <w:vAlign w:val="center"/>
          </w:tcPr>
          <w:p w:rsidR="00311A76" w:rsidRDefault="001500C8">
            <w:pPr>
              <w:jc w:val="right"/>
            </w:pPr>
            <w:r>
              <w:rPr>
                <w:rFonts w:eastAsiaTheme="minorEastAsia"/>
                <w:color w:val="000000" w:themeColor="text1"/>
                <w:szCs w:val="21"/>
              </w:rPr>
              <w:t>16,321,863.03</w:t>
            </w:r>
          </w:p>
        </w:tc>
        <w:tc>
          <w:tcPr>
            <w:tcW w:w="3175" w:type="dxa"/>
            <w:vAlign w:val="center"/>
          </w:tcPr>
          <w:p w:rsidR="00311A76" w:rsidRDefault="001500C8">
            <w:pPr>
              <w:jc w:val="right"/>
            </w:pPr>
            <w:r>
              <w:rPr>
                <w:rFonts w:eastAsiaTheme="minorEastAsia"/>
                <w:color w:val="000000" w:themeColor="text1"/>
                <w:szCs w:val="21"/>
              </w:rPr>
              <w:t>2.09</w:t>
            </w:r>
          </w:p>
        </w:tc>
      </w:tr>
      <w:tr w:rsidR="00311A76">
        <w:tc>
          <w:tcPr>
            <w:tcW w:w="2787" w:type="dxa"/>
            <w:vAlign w:val="center"/>
          </w:tcPr>
          <w:p w:rsidR="00311A76" w:rsidRDefault="001500C8">
            <w:pPr>
              <w:jc w:val="left"/>
            </w:pPr>
            <w:r>
              <w:rPr>
                <w:rFonts w:eastAsiaTheme="minorEastAsia"/>
                <w:color w:val="000000" w:themeColor="text1"/>
                <w:szCs w:val="21"/>
              </w:rPr>
              <w:t>消费者非必需品</w:t>
            </w:r>
          </w:p>
        </w:tc>
        <w:tc>
          <w:tcPr>
            <w:tcW w:w="2551" w:type="dxa"/>
            <w:vAlign w:val="center"/>
          </w:tcPr>
          <w:p w:rsidR="00311A76" w:rsidRDefault="001500C8">
            <w:pPr>
              <w:jc w:val="right"/>
            </w:pPr>
            <w:r>
              <w:rPr>
                <w:rFonts w:eastAsiaTheme="minorEastAsia"/>
                <w:color w:val="000000" w:themeColor="text1"/>
                <w:szCs w:val="21"/>
              </w:rPr>
              <w:t>9,325,252.50</w:t>
            </w:r>
          </w:p>
        </w:tc>
        <w:tc>
          <w:tcPr>
            <w:tcW w:w="3175" w:type="dxa"/>
            <w:vAlign w:val="center"/>
          </w:tcPr>
          <w:p w:rsidR="00311A76" w:rsidRDefault="001500C8">
            <w:pPr>
              <w:jc w:val="right"/>
            </w:pPr>
            <w:r>
              <w:rPr>
                <w:rFonts w:eastAsiaTheme="minorEastAsia"/>
                <w:color w:val="000000" w:themeColor="text1"/>
                <w:szCs w:val="21"/>
              </w:rPr>
              <w:t>1.20</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611,775,485.10</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78.41</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注：以上分类采用全球行业分类标准</w:t>
      </w:r>
      <w:r w:rsidRPr="00A76A42">
        <w:rPr>
          <w:rFonts w:eastAsiaTheme="minorEastAsia"/>
          <w:color w:val="000000" w:themeColor="text1"/>
          <w:szCs w:val="21"/>
        </w:rPr>
        <w:t>(GICS)</w:t>
      </w:r>
      <w:r w:rsidRPr="00A76A42">
        <w:rPr>
          <w:rFonts w:eastAsiaTheme="minorEastAsia"/>
          <w:color w:val="000000" w:themeColor="text1"/>
          <w:szCs w:val="21"/>
        </w:rPr>
        <w:t>。</w:t>
      </w:r>
      <w:r w:rsidRPr="00A76A42">
        <w:rPr>
          <w:rFonts w:eastAsiaTheme="minorEastAsia"/>
          <w:color w:val="000000" w:themeColor="text1"/>
          <w:szCs w:val="21"/>
        </w:rPr>
        <w:t xml:space="preserve"> </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hAnsi="Times New Roman" w:cs="Times New Roman"/>
          <w:color w:val="000000" w:themeColor="text1"/>
        </w:rPr>
        <w:t>5.</w:t>
      </w:r>
      <w:r>
        <w:rPr>
          <w:rFonts w:ascii="Times New Roman" w:hAnsi="Times New Roman" w:cs="Times New Roman"/>
          <w:color w:val="000000" w:themeColor="text1"/>
        </w:rPr>
        <w:t>4.1</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42"/>
        <w:gridCol w:w="1891"/>
        <w:gridCol w:w="637"/>
        <w:gridCol w:w="846"/>
        <w:gridCol w:w="442"/>
        <w:gridCol w:w="651"/>
        <w:gridCol w:w="1319"/>
        <w:gridCol w:w="1424"/>
        <w:gridCol w:w="861"/>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311A76">
        <w:tc>
          <w:tcPr>
            <w:tcW w:w="0" w:type="auto"/>
            <w:vAlign w:val="center"/>
          </w:tcPr>
          <w:p w:rsidR="00311A76" w:rsidRDefault="001500C8">
            <w:pPr>
              <w:jc w:val="center"/>
            </w:pPr>
            <w:r>
              <w:rPr>
                <w:rFonts w:eastAsiaTheme="minorEastAsia"/>
                <w:color w:val="000000" w:themeColor="text1"/>
                <w:szCs w:val="21"/>
              </w:rPr>
              <w:t>1</w:t>
            </w:r>
          </w:p>
        </w:tc>
        <w:tc>
          <w:tcPr>
            <w:tcW w:w="0" w:type="auto"/>
            <w:vAlign w:val="center"/>
          </w:tcPr>
          <w:p w:rsidR="00311A76" w:rsidRDefault="001500C8">
            <w:pPr>
              <w:jc w:val="center"/>
            </w:pPr>
            <w:r>
              <w:rPr>
                <w:rFonts w:eastAsiaTheme="minorEastAsia"/>
                <w:color w:val="000000" w:themeColor="text1"/>
                <w:szCs w:val="21"/>
              </w:rPr>
              <w:t>Wuxi Apptec Co.,Ltd.</w:t>
            </w:r>
          </w:p>
        </w:tc>
        <w:tc>
          <w:tcPr>
            <w:tcW w:w="0" w:type="auto"/>
            <w:vAlign w:val="center"/>
          </w:tcPr>
          <w:p w:rsidR="00311A76" w:rsidRDefault="001500C8">
            <w:pPr>
              <w:jc w:val="center"/>
            </w:pPr>
            <w:r>
              <w:rPr>
                <w:rFonts w:eastAsiaTheme="minorEastAsia"/>
                <w:color w:val="000000" w:themeColor="text1"/>
                <w:szCs w:val="21"/>
              </w:rPr>
              <w:t>药明康德</w:t>
            </w:r>
          </w:p>
        </w:tc>
        <w:tc>
          <w:tcPr>
            <w:tcW w:w="0" w:type="auto"/>
            <w:vAlign w:val="center"/>
          </w:tcPr>
          <w:p w:rsidR="00311A76" w:rsidRDefault="001500C8">
            <w:pPr>
              <w:jc w:val="center"/>
            </w:pPr>
            <w:r>
              <w:rPr>
                <w:rFonts w:eastAsiaTheme="minorEastAsia"/>
                <w:color w:val="000000" w:themeColor="text1"/>
                <w:szCs w:val="21"/>
              </w:rPr>
              <w:t>603259</w:t>
            </w:r>
          </w:p>
        </w:tc>
        <w:tc>
          <w:tcPr>
            <w:tcW w:w="0" w:type="auto"/>
            <w:vAlign w:val="center"/>
          </w:tcPr>
          <w:p w:rsidR="00311A76" w:rsidRDefault="001500C8">
            <w:pPr>
              <w:jc w:val="center"/>
            </w:pPr>
            <w:r>
              <w:rPr>
                <w:rFonts w:eastAsiaTheme="minorEastAsia"/>
                <w:color w:val="000000" w:themeColor="text1"/>
                <w:szCs w:val="21"/>
              </w:rPr>
              <w:t>上海证券交易所</w:t>
            </w:r>
          </w:p>
        </w:tc>
        <w:tc>
          <w:tcPr>
            <w:tcW w:w="0" w:type="auto"/>
            <w:vAlign w:val="center"/>
          </w:tcPr>
          <w:p w:rsidR="00311A76" w:rsidRDefault="001500C8">
            <w:pPr>
              <w:jc w:val="center"/>
            </w:pPr>
            <w:r>
              <w:rPr>
                <w:rFonts w:eastAsiaTheme="minorEastAsia"/>
                <w:color w:val="000000" w:themeColor="text1"/>
                <w:szCs w:val="21"/>
              </w:rPr>
              <w:t>中国</w:t>
            </w:r>
          </w:p>
        </w:tc>
        <w:tc>
          <w:tcPr>
            <w:tcW w:w="0" w:type="auto"/>
            <w:vAlign w:val="center"/>
          </w:tcPr>
          <w:p w:rsidR="00311A76" w:rsidRDefault="001500C8">
            <w:pPr>
              <w:jc w:val="right"/>
            </w:pPr>
            <w:r>
              <w:rPr>
                <w:rFonts w:eastAsiaTheme="minorEastAsia"/>
                <w:color w:val="000000" w:themeColor="text1"/>
                <w:szCs w:val="21"/>
              </w:rPr>
              <w:t>633,544.00</w:t>
            </w:r>
          </w:p>
        </w:tc>
        <w:tc>
          <w:tcPr>
            <w:tcW w:w="0" w:type="auto"/>
            <w:vAlign w:val="center"/>
          </w:tcPr>
          <w:p w:rsidR="00311A76" w:rsidRDefault="001500C8">
            <w:pPr>
              <w:jc w:val="right"/>
            </w:pPr>
            <w:r>
              <w:rPr>
                <w:rFonts w:eastAsiaTheme="minorEastAsia"/>
                <w:color w:val="000000" w:themeColor="text1"/>
                <w:szCs w:val="21"/>
              </w:rPr>
              <w:t>50,366,748.00</w:t>
            </w:r>
          </w:p>
        </w:tc>
        <w:tc>
          <w:tcPr>
            <w:tcW w:w="0" w:type="auto"/>
            <w:vAlign w:val="center"/>
          </w:tcPr>
          <w:p w:rsidR="00311A76" w:rsidRDefault="001500C8">
            <w:pPr>
              <w:jc w:val="right"/>
            </w:pPr>
            <w:r>
              <w:rPr>
                <w:rFonts w:eastAsiaTheme="minorEastAsia"/>
                <w:color w:val="000000" w:themeColor="text1"/>
                <w:szCs w:val="21"/>
              </w:rPr>
              <w:t>6.46</w:t>
            </w:r>
          </w:p>
        </w:tc>
      </w:tr>
      <w:tr w:rsidR="00311A76">
        <w:tc>
          <w:tcPr>
            <w:tcW w:w="0" w:type="auto"/>
            <w:vAlign w:val="center"/>
          </w:tcPr>
          <w:p w:rsidR="00311A76" w:rsidRDefault="001500C8">
            <w:pPr>
              <w:jc w:val="center"/>
            </w:pPr>
            <w:r>
              <w:rPr>
                <w:rFonts w:eastAsiaTheme="minorEastAsia"/>
                <w:color w:val="000000" w:themeColor="text1"/>
                <w:szCs w:val="21"/>
              </w:rPr>
              <w:t>2</w:t>
            </w:r>
          </w:p>
        </w:tc>
        <w:tc>
          <w:tcPr>
            <w:tcW w:w="0" w:type="auto"/>
            <w:vAlign w:val="center"/>
          </w:tcPr>
          <w:p w:rsidR="00311A76" w:rsidRDefault="001500C8">
            <w:pPr>
              <w:jc w:val="center"/>
            </w:pPr>
            <w:r>
              <w:rPr>
                <w:rFonts w:eastAsiaTheme="minorEastAsia"/>
                <w:color w:val="000000" w:themeColor="text1"/>
                <w:szCs w:val="21"/>
              </w:rPr>
              <w:t>WuXi Biologics (Cayman) Inc.</w:t>
            </w:r>
          </w:p>
        </w:tc>
        <w:tc>
          <w:tcPr>
            <w:tcW w:w="0" w:type="auto"/>
            <w:vAlign w:val="center"/>
          </w:tcPr>
          <w:p w:rsidR="00311A76" w:rsidRDefault="001500C8">
            <w:pPr>
              <w:jc w:val="center"/>
            </w:pPr>
            <w:r>
              <w:rPr>
                <w:rFonts w:eastAsiaTheme="minorEastAsia"/>
                <w:color w:val="000000" w:themeColor="text1"/>
                <w:szCs w:val="21"/>
              </w:rPr>
              <w:t>药明生物</w:t>
            </w:r>
          </w:p>
        </w:tc>
        <w:tc>
          <w:tcPr>
            <w:tcW w:w="0" w:type="auto"/>
            <w:vAlign w:val="center"/>
          </w:tcPr>
          <w:p w:rsidR="00311A76" w:rsidRDefault="001500C8">
            <w:pPr>
              <w:jc w:val="center"/>
            </w:pPr>
            <w:r>
              <w:rPr>
                <w:rFonts w:eastAsiaTheme="minorEastAsia"/>
                <w:color w:val="000000" w:themeColor="text1"/>
                <w:szCs w:val="21"/>
              </w:rPr>
              <w:t>02269</w:t>
            </w:r>
          </w:p>
        </w:tc>
        <w:tc>
          <w:tcPr>
            <w:tcW w:w="0" w:type="auto"/>
            <w:vAlign w:val="center"/>
          </w:tcPr>
          <w:p w:rsidR="00311A76" w:rsidRDefault="001500C8">
            <w:pPr>
              <w:jc w:val="center"/>
            </w:pPr>
            <w:r>
              <w:rPr>
                <w:rFonts w:eastAsiaTheme="minorEastAsia"/>
                <w:color w:val="000000" w:themeColor="text1"/>
                <w:szCs w:val="21"/>
              </w:rPr>
              <w:t>香港证券交易所</w:t>
            </w:r>
          </w:p>
        </w:tc>
        <w:tc>
          <w:tcPr>
            <w:tcW w:w="0" w:type="auto"/>
            <w:vAlign w:val="center"/>
          </w:tcPr>
          <w:p w:rsidR="00311A76" w:rsidRDefault="001500C8">
            <w:pPr>
              <w:jc w:val="center"/>
            </w:pPr>
            <w:r>
              <w:rPr>
                <w:rFonts w:eastAsiaTheme="minorEastAsia"/>
                <w:color w:val="000000" w:themeColor="text1"/>
                <w:szCs w:val="21"/>
              </w:rPr>
              <w:t>中国香港</w:t>
            </w:r>
          </w:p>
        </w:tc>
        <w:tc>
          <w:tcPr>
            <w:tcW w:w="0" w:type="auto"/>
            <w:vAlign w:val="center"/>
          </w:tcPr>
          <w:p w:rsidR="00311A76" w:rsidRDefault="001500C8">
            <w:pPr>
              <w:jc w:val="right"/>
            </w:pPr>
            <w:r>
              <w:rPr>
                <w:rFonts w:eastAsiaTheme="minorEastAsia"/>
                <w:color w:val="000000" w:themeColor="text1"/>
                <w:szCs w:val="21"/>
              </w:rPr>
              <w:t>1,045,500.00</w:t>
            </w:r>
          </w:p>
        </w:tc>
        <w:tc>
          <w:tcPr>
            <w:tcW w:w="0" w:type="auto"/>
            <w:vAlign w:val="center"/>
          </w:tcPr>
          <w:p w:rsidR="00311A76" w:rsidRDefault="001500C8">
            <w:pPr>
              <w:jc w:val="right"/>
            </w:pPr>
            <w:r>
              <w:rPr>
                <w:rFonts w:eastAsiaTheme="minorEastAsia"/>
                <w:color w:val="000000" w:themeColor="text1"/>
                <w:szCs w:val="21"/>
              </w:rPr>
              <w:t>44,480,720.13</w:t>
            </w:r>
          </w:p>
        </w:tc>
        <w:tc>
          <w:tcPr>
            <w:tcW w:w="0" w:type="auto"/>
            <w:vAlign w:val="center"/>
          </w:tcPr>
          <w:p w:rsidR="00311A76" w:rsidRDefault="001500C8">
            <w:pPr>
              <w:jc w:val="right"/>
            </w:pPr>
            <w:r>
              <w:rPr>
                <w:rFonts w:eastAsiaTheme="minorEastAsia"/>
                <w:color w:val="000000" w:themeColor="text1"/>
                <w:szCs w:val="21"/>
              </w:rPr>
              <w:t>5.70</w:t>
            </w:r>
          </w:p>
        </w:tc>
      </w:tr>
      <w:tr w:rsidR="00311A76">
        <w:tc>
          <w:tcPr>
            <w:tcW w:w="0" w:type="auto"/>
            <w:vAlign w:val="center"/>
          </w:tcPr>
          <w:p w:rsidR="00311A76" w:rsidRDefault="001500C8">
            <w:pPr>
              <w:jc w:val="center"/>
            </w:pPr>
            <w:r>
              <w:rPr>
                <w:rFonts w:eastAsiaTheme="minorEastAsia"/>
                <w:color w:val="000000" w:themeColor="text1"/>
                <w:szCs w:val="21"/>
              </w:rPr>
              <w:t>3</w:t>
            </w:r>
          </w:p>
        </w:tc>
        <w:tc>
          <w:tcPr>
            <w:tcW w:w="0" w:type="auto"/>
            <w:vAlign w:val="center"/>
          </w:tcPr>
          <w:p w:rsidR="00311A76" w:rsidRDefault="001500C8">
            <w:pPr>
              <w:jc w:val="center"/>
            </w:pPr>
            <w:r>
              <w:rPr>
                <w:rFonts w:eastAsiaTheme="minorEastAsia"/>
                <w:color w:val="000000" w:themeColor="text1"/>
                <w:szCs w:val="21"/>
              </w:rPr>
              <w:t xml:space="preserve">Sichuan Kelun Pharmaceutical </w:t>
            </w:r>
            <w:r>
              <w:rPr>
                <w:rFonts w:eastAsiaTheme="minorEastAsia"/>
                <w:color w:val="000000" w:themeColor="text1"/>
                <w:szCs w:val="21"/>
              </w:rPr>
              <w:lastRenderedPageBreak/>
              <w:t>Co.,Ltd.</w:t>
            </w:r>
          </w:p>
        </w:tc>
        <w:tc>
          <w:tcPr>
            <w:tcW w:w="0" w:type="auto"/>
            <w:vAlign w:val="center"/>
          </w:tcPr>
          <w:p w:rsidR="00311A76" w:rsidRDefault="001500C8">
            <w:pPr>
              <w:jc w:val="center"/>
            </w:pPr>
            <w:r>
              <w:rPr>
                <w:rFonts w:eastAsiaTheme="minorEastAsia"/>
                <w:color w:val="000000" w:themeColor="text1"/>
                <w:szCs w:val="21"/>
              </w:rPr>
              <w:lastRenderedPageBreak/>
              <w:t>科伦药业</w:t>
            </w:r>
          </w:p>
        </w:tc>
        <w:tc>
          <w:tcPr>
            <w:tcW w:w="0" w:type="auto"/>
            <w:vAlign w:val="center"/>
          </w:tcPr>
          <w:p w:rsidR="00311A76" w:rsidRDefault="001500C8">
            <w:pPr>
              <w:jc w:val="center"/>
            </w:pPr>
            <w:r>
              <w:rPr>
                <w:rFonts w:eastAsiaTheme="minorEastAsia"/>
                <w:color w:val="000000" w:themeColor="text1"/>
                <w:szCs w:val="21"/>
              </w:rPr>
              <w:t>002422</w:t>
            </w:r>
          </w:p>
        </w:tc>
        <w:tc>
          <w:tcPr>
            <w:tcW w:w="0" w:type="auto"/>
            <w:vAlign w:val="center"/>
          </w:tcPr>
          <w:p w:rsidR="00311A76" w:rsidRDefault="001500C8">
            <w:pPr>
              <w:jc w:val="center"/>
            </w:pPr>
            <w:r>
              <w:rPr>
                <w:rFonts w:eastAsiaTheme="minorEastAsia"/>
                <w:color w:val="000000" w:themeColor="text1"/>
                <w:szCs w:val="21"/>
              </w:rPr>
              <w:t>深圳</w:t>
            </w:r>
            <w:r>
              <w:rPr>
                <w:rFonts w:eastAsiaTheme="minorEastAsia"/>
                <w:color w:val="000000" w:themeColor="text1"/>
                <w:szCs w:val="21"/>
              </w:rPr>
              <w:lastRenderedPageBreak/>
              <w:t>证券交易所</w:t>
            </w:r>
          </w:p>
        </w:tc>
        <w:tc>
          <w:tcPr>
            <w:tcW w:w="0" w:type="auto"/>
            <w:vAlign w:val="center"/>
          </w:tcPr>
          <w:p w:rsidR="00311A76" w:rsidRDefault="001500C8">
            <w:pPr>
              <w:jc w:val="center"/>
            </w:pPr>
            <w:r>
              <w:rPr>
                <w:rFonts w:eastAsiaTheme="minorEastAsia"/>
                <w:color w:val="000000" w:themeColor="text1"/>
                <w:szCs w:val="21"/>
              </w:rPr>
              <w:lastRenderedPageBreak/>
              <w:t>中国</w:t>
            </w:r>
          </w:p>
        </w:tc>
        <w:tc>
          <w:tcPr>
            <w:tcW w:w="0" w:type="auto"/>
            <w:vAlign w:val="center"/>
          </w:tcPr>
          <w:p w:rsidR="00311A76" w:rsidRDefault="001500C8">
            <w:pPr>
              <w:jc w:val="right"/>
            </w:pPr>
            <w:r>
              <w:rPr>
                <w:rFonts w:eastAsiaTheme="minorEastAsia"/>
                <w:color w:val="000000" w:themeColor="text1"/>
                <w:szCs w:val="21"/>
              </w:rPr>
              <w:t>1,500,078.00</w:t>
            </w:r>
          </w:p>
        </w:tc>
        <w:tc>
          <w:tcPr>
            <w:tcW w:w="0" w:type="auto"/>
            <w:vAlign w:val="center"/>
          </w:tcPr>
          <w:p w:rsidR="00311A76" w:rsidRDefault="001500C8">
            <w:pPr>
              <w:jc w:val="right"/>
            </w:pPr>
            <w:r>
              <w:rPr>
                <w:rFonts w:eastAsiaTheme="minorEastAsia"/>
                <w:color w:val="000000" w:themeColor="text1"/>
                <w:szCs w:val="21"/>
              </w:rPr>
              <w:t>42,632,216.76</w:t>
            </w:r>
          </w:p>
        </w:tc>
        <w:tc>
          <w:tcPr>
            <w:tcW w:w="0" w:type="auto"/>
            <w:vAlign w:val="center"/>
          </w:tcPr>
          <w:p w:rsidR="00311A76" w:rsidRDefault="001500C8">
            <w:pPr>
              <w:jc w:val="right"/>
            </w:pPr>
            <w:r>
              <w:rPr>
                <w:rFonts w:eastAsiaTheme="minorEastAsia"/>
                <w:color w:val="000000" w:themeColor="text1"/>
                <w:szCs w:val="21"/>
              </w:rPr>
              <w:t>5.46</w:t>
            </w:r>
          </w:p>
        </w:tc>
      </w:tr>
      <w:tr w:rsidR="00311A76">
        <w:tc>
          <w:tcPr>
            <w:tcW w:w="0" w:type="auto"/>
            <w:vAlign w:val="center"/>
          </w:tcPr>
          <w:p w:rsidR="00311A76" w:rsidRDefault="001500C8">
            <w:pPr>
              <w:jc w:val="center"/>
            </w:pPr>
            <w:r>
              <w:rPr>
                <w:rFonts w:eastAsiaTheme="minorEastAsia"/>
                <w:color w:val="000000" w:themeColor="text1"/>
                <w:szCs w:val="21"/>
              </w:rPr>
              <w:t>4</w:t>
            </w:r>
          </w:p>
        </w:tc>
        <w:tc>
          <w:tcPr>
            <w:tcW w:w="0" w:type="auto"/>
            <w:vAlign w:val="center"/>
          </w:tcPr>
          <w:p w:rsidR="00311A76" w:rsidRDefault="001500C8">
            <w:pPr>
              <w:jc w:val="center"/>
            </w:pPr>
            <w:r>
              <w:rPr>
                <w:rFonts w:eastAsiaTheme="minorEastAsia"/>
                <w:color w:val="000000" w:themeColor="text1"/>
                <w:szCs w:val="21"/>
              </w:rPr>
              <w:t>Shanghai Haoyuan Chemexpress Co.,ltd.</w:t>
            </w:r>
          </w:p>
        </w:tc>
        <w:tc>
          <w:tcPr>
            <w:tcW w:w="0" w:type="auto"/>
            <w:vAlign w:val="center"/>
          </w:tcPr>
          <w:p w:rsidR="00311A76" w:rsidRDefault="001500C8">
            <w:pPr>
              <w:jc w:val="center"/>
            </w:pPr>
            <w:r>
              <w:rPr>
                <w:rFonts w:eastAsiaTheme="minorEastAsia"/>
                <w:color w:val="000000" w:themeColor="text1"/>
                <w:szCs w:val="21"/>
              </w:rPr>
              <w:t>皓元医药</w:t>
            </w:r>
          </w:p>
        </w:tc>
        <w:tc>
          <w:tcPr>
            <w:tcW w:w="0" w:type="auto"/>
            <w:vAlign w:val="center"/>
          </w:tcPr>
          <w:p w:rsidR="00311A76" w:rsidRDefault="001500C8">
            <w:pPr>
              <w:jc w:val="center"/>
            </w:pPr>
            <w:r>
              <w:rPr>
                <w:rFonts w:eastAsiaTheme="minorEastAsia"/>
                <w:color w:val="000000" w:themeColor="text1"/>
                <w:szCs w:val="21"/>
              </w:rPr>
              <w:t>688131</w:t>
            </w:r>
          </w:p>
        </w:tc>
        <w:tc>
          <w:tcPr>
            <w:tcW w:w="0" w:type="auto"/>
            <w:vAlign w:val="center"/>
          </w:tcPr>
          <w:p w:rsidR="00311A76" w:rsidRDefault="001500C8">
            <w:pPr>
              <w:jc w:val="center"/>
            </w:pPr>
            <w:r>
              <w:rPr>
                <w:rFonts w:eastAsiaTheme="minorEastAsia"/>
                <w:color w:val="000000" w:themeColor="text1"/>
                <w:szCs w:val="21"/>
              </w:rPr>
              <w:t>上海证券交易所</w:t>
            </w:r>
          </w:p>
        </w:tc>
        <w:tc>
          <w:tcPr>
            <w:tcW w:w="0" w:type="auto"/>
            <w:vAlign w:val="center"/>
          </w:tcPr>
          <w:p w:rsidR="00311A76" w:rsidRDefault="001500C8">
            <w:pPr>
              <w:jc w:val="center"/>
            </w:pPr>
            <w:r>
              <w:rPr>
                <w:rFonts w:eastAsiaTheme="minorEastAsia"/>
                <w:color w:val="000000" w:themeColor="text1"/>
                <w:szCs w:val="21"/>
              </w:rPr>
              <w:t>中国</w:t>
            </w:r>
          </w:p>
        </w:tc>
        <w:tc>
          <w:tcPr>
            <w:tcW w:w="0" w:type="auto"/>
            <w:vAlign w:val="center"/>
          </w:tcPr>
          <w:p w:rsidR="00311A76" w:rsidRDefault="001500C8">
            <w:pPr>
              <w:jc w:val="right"/>
            </w:pPr>
            <w:r>
              <w:rPr>
                <w:rFonts w:eastAsiaTheme="minorEastAsia"/>
                <w:color w:val="000000" w:themeColor="text1"/>
                <w:szCs w:val="21"/>
              </w:rPr>
              <w:t>345,654.00</w:t>
            </w:r>
          </w:p>
        </w:tc>
        <w:tc>
          <w:tcPr>
            <w:tcW w:w="0" w:type="auto"/>
            <w:vAlign w:val="center"/>
          </w:tcPr>
          <w:p w:rsidR="00311A76" w:rsidRDefault="001500C8">
            <w:pPr>
              <w:jc w:val="right"/>
            </w:pPr>
            <w:r>
              <w:rPr>
                <w:rFonts w:eastAsiaTheme="minorEastAsia"/>
                <w:color w:val="000000" w:themeColor="text1"/>
                <w:szCs w:val="21"/>
              </w:rPr>
              <w:t>39,546,274.14</w:t>
            </w:r>
          </w:p>
        </w:tc>
        <w:tc>
          <w:tcPr>
            <w:tcW w:w="0" w:type="auto"/>
            <w:vAlign w:val="center"/>
          </w:tcPr>
          <w:p w:rsidR="00311A76" w:rsidRDefault="001500C8">
            <w:pPr>
              <w:jc w:val="right"/>
            </w:pPr>
            <w:r>
              <w:rPr>
                <w:rFonts w:eastAsiaTheme="minorEastAsia"/>
                <w:color w:val="000000" w:themeColor="text1"/>
                <w:szCs w:val="21"/>
              </w:rPr>
              <w:t>5.07</w:t>
            </w:r>
          </w:p>
        </w:tc>
      </w:tr>
      <w:tr w:rsidR="00311A76">
        <w:tc>
          <w:tcPr>
            <w:tcW w:w="0" w:type="auto"/>
            <w:vAlign w:val="center"/>
          </w:tcPr>
          <w:p w:rsidR="00311A76" w:rsidRDefault="001500C8">
            <w:pPr>
              <w:jc w:val="center"/>
            </w:pPr>
            <w:r>
              <w:rPr>
                <w:rFonts w:eastAsiaTheme="minorEastAsia"/>
                <w:color w:val="000000" w:themeColor="text1"/>
                <w:szCs w:val="21"/>
              </w:rPr>
              <w:t>5</w:t>
            </w:r>
          </w:p>
        </w:tc>
        <w:tc>
          <w:tcPr>
            <w:tcW w:w="0" w:type="auto"/>
            <w:vAlign w:val="center"/>
          </w:tcPr>
          <w:p w:rsidR="00311A76" w:rsidRDefault="001500C8">
            <w:pPr>
              <w:jc w:val="center"/>
            </w:pPr>
            <w:r>
              <w:rPr>
                <w:rFonts w:eastAsiaTheme="minorEastAsia"/>
                <w:color w:val="000000" w:themeColor="text1"/>
                <w:szCs w:val="21"/>
              </w:rPr>
              <w:t>KEYMED BIOSCIENCES INC.</w:t>
            </w:r>
          </w:p>
        </w:tc>
        <w:tc>
          <w:tcPr>
            <w:tcW w:w="0" w:type="auto"/>
            <w:vAlign w:val="center"/>
          </w:tcPr>
          <w:p w:rsidR="00311A76" w:rsidRDefault="001500C8">
            <w:pPr>
              <w:jc w:val="center"/>
            </w:pPr>
            <w:r>
              <w:rPr>
                <w:rFonts w:eastAsiaTheme="minorEastAsia"/>
                <w:color w:val="000000" w:themeColor="text1"/>
                <w:szCs w:val="21"/>
              </w:rPr>
              <w:t>康诺亚－Ｂ</w:t>
            </w:r>
          </w:p>
        </w:tc>
        <w:tc>
          <w:tcPr>
            <w:tcW w:w="0" w:type="auto"/>
            <w:vAlign w:val="center"/>
          </w:tcPr>
          <w:p w:rsidR="00311A76" w:rsidRDefault="001500C8">
            <w:pPr>
              <w:jc w:val="center"/>
            </w:pPr>
            <w:r>
              <w:rPr>
                <w:rFonts w:eastAsiaTheme="minorEastAsia"/>
                <w:color w:val="000000" w:themeColor="text1"/>
                <w:szCs w:val="21"/>
              </w:rPr>
              <w:t>02162</w:t>
            </w:r>
          </w:p>
        </w:tc>
        <w:tc>
          <w:tcPr>
            <w:tcW w:w="0" w:type="auto"/>
            <w:vAlign w:val="center"/>
          </w:tcPr>
          <w:p w:rsidR="00311A76" w:rsidRDefault="001500C8">
            <w:pPr>
              <w:jc w:val="center"/>
            </w:pPr>
            <w:r>
              <w:rPr>
                <w:rFonts w:eastAsiaTheme="minorEastAsia"/>
                <w:color w:val="000000" w:themeColor="text1"/>
                <w:szCs w:val="21"/>
              </w:rPr>
              <w:t>香港证券交易所</w:t>
            </w:r>
          </w:p>
        </w:tc>
        <w:tc>
          <w:tcPr>
            <w:tcW w:w="0" w:type="auto"/>
            <w:vAlign w:val="center"/>
          </w:tcPr>
          <w:p w:rsidR="00311A76" w:rsidRDefault="001500C8">
            <w:pPr>
              <w:jc w:val="center"/>
            </w:pPr>
            <w:r>
              <w:rPr>
                <w:rFonts w:eastAsiaTheme="minorEastAsia"/>
                <w:color w:val="000000" w:themeColor="text1"/>
                <w:szCs w:val="21"/>
              </w:rPr>
              <w:t>中国香港</w:t>
            </w:r>
          </w:p>
        </w:tc>
        <w:tc>
          <w:tcPr>
            <w:tcW w:w="0" w:type="auto"/>
            <w:vAlign w:val="center"/>
          </w:tcPr>
          <w:p w:rsidR="00311A76" w:rsidRDefault="001500C8">
            <w:pPr>
              <w:jc w:val="right"/>
            </w:pPr>
            <w:r>
              <w:rPr>
                <w:rFonts w:eastAsiaTheme="minorEastAsia"/>
                <w:color w:val="000000" w:themeColor="text1"/>
                <w:szCs w:val="21"/>
              </w:rPr>
              <w:t>697,000.00</w:t>
            </w:r>
          </w:p>
        </w:tc>
        <w:tc>
          <w:tcPr>
            <w:tcW w:w="0" w:type="auto"/>
            <w:vAlign w:val="center"/>
          </w:tcPr>
          <w:p w:rsidR="00311A76" w:rsidRDefault="001500C8">
            <w:pPr>
              <w:jc w:val="right"/>
            </w:pPr>
            <w:r>
              <w:rPr>
                <w:rFonts w:eastAsiaTheme="minorEastAsia"/>
                <w:color w:val="000000" w:themeColor="text1"/>
                <w:szCs w:val="21"/>
              </w:rPr>
              <w:t>35,389,324.66</w:t>
            </w:r>
          </w:p>
        </w:tc>
        <w:tc>
          <w:tcPr>
            <w:tcW w:w="0" w:type="auto"/>
            <w:vAlign w:val="center"/>
          </w:tcPr>
          <w:p w:rsidR="00311A76" w:rsidRDefault="001500C8">
            <w:pPr>
              <w:jc w:val="right"/>
            </w:pPr>
            <w:r>
              <w:rPr>
                <w:rFonts w:eastAsiaTheme="minorEastAsia"/>
                <w:color w:val="000000" w:themeColor="text1"/>
                <w:szCs w:val="21"/>
              </w:rPr>
              <w:t>4.54</w:t>
            </w:r>
          </w:p>
        </w:tc>
      </w:tr>
      <w:tr w:rsidR="00311A76">
        <w:tc>
          <w:tcPr>
            <w:tcW w:w="0" w:type="auto"/>
            <w:vAlign w:val="center"/>
          </w:tcPr>
          <w:p w:rsidR="00311A76" w:rsidRDefault="001500C8">
            <w:pPr>
              <w:jc w:val="center"/>
            </w:pPr>
            <w:r>
              <w:rPr>
                <w:rFonts w:eastAsiaTheme="minorEastAsia"/>
                <w:color w:val="000000" w:themeColor="text1"/>
                <w:szCs w:val="21"/>
              </w:rPr>
              <w:t>6</w:t>
            </w:r>
          </w:p>
        </w:tc>
        <w:tc>
          <w:tcPr>
            <w:tcW w:w="0" w:type="auto"/>
            <w:vAlign w:val="center"/>
          </w:tcPr>
          <w:p w:rsidR="00311A76" w:rsidRDefault="001500C8">
            <w:pPr>
              <w:jc w:val="center"/>
            </w:pPr>
            <w:r>
              <w:rPr>
                <w:rFonts w:eastAsiaTheme="minorEastAsia"/>
                <w:color w:val="000000" w:themeColor="text1"/>
                <w:szCs w:val="21"/>
              </w:rPr>
              <w:t>HYGEIA HEALTHCARE HOLDINGS CO., LTD</w:t>
            </w:r>
          </w:p>
        </w:tc>
        <w:tc>
          <w:tcPr>
            <w:tcW w:w="0" w:type="auto"/>
            <w:vAlign w:val="center"/>
          </w:tcPr>
          <w:p w:rsidR="00311A76" w:rsidRDefault="001500C8">
            <w:pPr>
              <w:jc w:val="center"/>
            </w:pPr>
            <w:r>
              <w:rPr>
                <w:rFonts w:eastAsiaTheme="minorEastAsia"/>
                <w:color w:val="000000" w:themeColor="text1"/>
                <w:szCs w:val="21"/>
              </w:rPr>
              <w:t>海吉亚医疗</w:t>
            </w:r>
          </w:p>
        </w:tc>
        <w:tc>
          <w:tcPr>
            <w:tcW w:w="0" w:type="auto"/>
            <w:vAlign w:val="center"/>
          </w:tcPr>
          <w:p w:rsidR="00311A76" w:rsidRDefault="001500C8">
            <w:pPr>
              <w:jc w:val="center"/>
            </w:pPr>
            <w:r>
              <w:rPr>
                <w:rFonts w:eastAsiaTheme="minorEastAsia"/>
                <w:color w:val="000000" w:themeColor="text1"/>
                <w:szCs w:val="21"/>
              </w:rPr>
              <w:t>06078</w:t>
            </w:r>
          </w:p>
        </w:tc>
        <w:tc>
          <w:tcPr>
            <w:tcW w:w="0" w:type="auto"/>
            <w:vAlign w:val="center"/>
          </w:tcPr>
          <w:p w:rsidR="00311A76" w:rsidRDefault="001500C8">
            <w:pPr>
              <w:jc w:val="center"/>
            </w:pPr>
            <w:r>
              <w:rPr>
                <w:rFonts w:eastAsiaTheme="minorEastAsia"/>
                <w:color w:val="000000" w:themeColor="text1"/>
                <w:szCs w:val="21"/>
              </w:rPr>
              <w:t>香港证券交易所</w:t>
            </w:r>
          </w:p>
        </w:tc>
        <w:tc>
          <w:tcPr>
            <w:tcW w:w="0" w:type="auto"/>
            <w:vAlign w:val="center"/>
          </w:tcPr>
          <w:p w:rsidR="00311A76" w:rsidRDefault="001500C8">
            <w:pPr>
              <w:jc w:val="center"/>
            </w:pPr>
            <w:r>
              <w:rPr>
                <w:rFonts w:eastAsiaTheme="minorEastAsia"/>
                <w:color w:val="000000" w:themeColor="text1"/>
                <w:szCs w:val="21"/>
              </w:rPr>
              <w:t>中国香港</w:t>
            </w:r>
          </w:p>
        </w:tc>
        <w:tc>
          <w:tcPr>
            <w:tcW w:w="0" w:type="auto"/>
            <w:vAlign w:val="center"/>
          </w:tcPr>
          <w:p w:rsidR="00311A76" w:rsidRDefault="001500C8">
            <w:pPr>
              <w:jc w:val="right"/>
            </w:pPr>
            <w:r>
              <w:rPr>
                <w:rFonts w:eastAsiaTheme="minorEastAsia"/>
                <w:color w:val="000000" w:themeColor="text1"/>
                <w:szCs w:val="21"/>
              </w:rPr>
              <w:t>639,800.00</w:t>
            </w:r>
          </w:p>
        </w:tc>
        <w:tc>
          <w:tcPr>
            <w:tcW w:w="0" w:type="auto"/>
            <w:vAlign w:val="center"/>
          </w:tcPr>
          <w:p w:rsidR="00311A76" w:rsidRDefault="001500C8">
            <w:pPr>
              <w:jc w:val="right"/>
            </w:pPr>
            <w:r>
              <w:rPr>
                <w:rFonts w:eastAsiaTheme="minorEastAsia"/>
                <w:color w:val="000000" w:themeColor="text1"/>
                <w:szCs w:val="21"/>
              </w:rPr>
              <w:t>31,252,872.34</w:t>
            </w:r>
          </w:p>
        </w:tc>
        <w:tc>
          <w:tcPr>
            <w:tcW w:w="0" w:type="auto"/>
            <w:vAlign w:val="center"/>
          </w:tcPr>
          <w:p w:rsidR="00311A76" w:rsidRDefault="001500C8">
            <w:pPr>
              <w:jc w:val="right"/>
            </w:pPr>
            <w:r>
              <w:rPr>
                <w:rFonts w:eastAsiaTheme="minorEastAsia"/>
                <w:color w:val="000000" w:themeColor="text1"/>
                <w:szCs w:val="21"/>
              </w:rPr>
              <w:t>4.01</w:t>
            </w:r>
          </w:p>
        </w:tc>
      </w:tr>
      <w:tr w:rsidR="00311A76">
        <w:tc>
          <w:tcPr>
            <w:tcW w:w="0" w:type="auto"/>
            <w:vAlign w:val="center"/>
          </w:tcPr>
          <w:p w:rsidR="00311A76" w:rsidRDefault="001500C8">
            <w:pPr>
              <w:jc w:val="center"/>
            </w:pPr>
            <w:r>
              <w:rPr>
                <w:rFonts w:eastAsiaTheme="minorEastAsia"/>
                <w:color w:val="000000" w:themeColor="text1"/>
                <w:szCs w:val="21"/>
              </w:rPr>
              <w:t>7</w:t>
            </w:r>
          </w:p>
        </w:tc>
        <w:tc>
          <w:tcPr>
            <w:tcW w:w="0" w:type="auto"/>
            <w:vAlign w:val="center"/>
          </w:tcPr>
          <w:p w:rsidR="00311A76" w:rsidRDefault="001500C8">
            <w:pPr>
              <w:jc w:val="center"/>
            </w:pPr>
            <w:r>
              <w:rPr>
                <w:rFonts w:eastAsiaTheme="minorEastAsia"/>
                <w:color w:val="000000" w:themeColor="text1"/>
                <w:szCs w:val="21"/>
              </w:rPr>
              <w:t>Shanghai United Imaging Healthcare Co.,ltd.</w:t>
            </w:r>
          </w:p>
        </w:tc>
        <w:tc>
          <w:tcPr>
            <w:tcW w:w="0" w:type="auto"/>
            <w:vAlign w:val="center"/>
          </w:tcPr>
          <w:p w:rsidR="00311A76" w:rsidRDefault="001500C8">
            <w:pPr>
              <w:jc w:val="center"/>
            </w:pPr>
            <w:r>
              <w:rPr>
                <w:rFonts w:eastAsiaTheme="minorEastAsia"/>
                <w:color w:val="000000" w:themeColor="text1"/>
                <w:szCs w:val="21"/>
              </w:rPr>
              <w:t>联影医疗</w:t>
            </w:r>
          </w:p>
        </w:tc>
        <w:tc>
          <w:tcPr>
            <w:tcW w:w="0" w:type="auto"/>
            <w:vAlign w:val="center"/>
          </w:tcPr>
          <w:p w:rsidR="00311A76" w:rsidRDefault="001500C8">
            <w:pPr>
              <w:jc w:val="center"/>
            </w:pPr>
            <w:r>
              <w:rPr>
                <w:rFonts w:eastAsiaTheme="minorEastAsia"/>
                <w:color w:val="000000" w:themeColor="text1"/>
                <w:szCs w:val="21"/>
              </w:rPr>
              <w:t>688271</w:t>
            </w:r>
          </w:p>
        </w:tc>
        <w:tc>
          <w:tcPr>
            <w:tcW w:w="0" w:type="auto"/>
            <w:vAlign w:val="center"/>
          </w:tcPr>
          <w:p w:rsidR="00311A76" w:rsidRDefault="001500C8">
            <w:pPr>
              <w:jc w:val="center"/>
            </w:pPr>
            <w:r>
              <w:rPr>
                <w:rFonts w:eastAsiaTheme="minorEastAsia"/>
                <w:color w:val="000000" w:themeColor="text1"/>
                <w:szCs w:val="21"/>
              </w:rPr>
              <w:t>上海证券交易所</w:t>
            </w:r>
          </w:p>
        </w:tc>
        <w:tc>
          <w:tcPr>
            <w:tcW w:w="0" w:type="auto"/>
            <w:vAlign w:val="center"/>
          </w:tcPr>
          <w:p w:rsidR="00311A76" w:rsidRDefault="001500C8">
            <w:pPr>
              <w:jc w:val="center"/>
            </w:pPr>
            <w:r>
              <w:rPr>
                <w:rFonts w:eastAsiaTheme="minorEastAsia"/>
                <w:color w:val="000000" w:themeColor="text1"/>
                <w:szCs w:val="21"/>
              </w:rPr>
              <w:t>中国</w:t>
            </w:r>
          </w:p>
        </w:tc>
        <w:tc>
          <w:tcPr>
            <w:tcW w:w="0" w:type="auto"/>
            <w:vAlign w:val="center"/>
          </w:tcPr>
          <w:p w:rsidR="00311A76" w:rsidRDefault="001500C8">
            <w:pPr>
              <w:jc w:val="right"/>
            </w:pPr>
            <w:r>
              <w:rPr>
                <w:rFonts w:eastAsiaTheme="minorEastAsia"/>
                <w:color w:val="000000" w:themeColor="text1"/>
                <w:szCs w:val="21"/>
              </w:rPr>
              <w:t>194,031.00</w:t>
            </w:r>
          </w:p>
        </w:tc>
        <w:tc>
          <w:tcPr>
            <w:tcW w:w="0" w:type="auto"/>
            <w:vAlign w:val="center"/>
          </w:tcPr>
          <w:p w:rsidR="00311A76" w:rsidRDefault="001500C8">
            <w:pPr>
              <w:jc w:val="right"/>
            </w:pPr>
            <w:r>
              <w:rPr>
                <w:rFonts w:eastAsiaTheme="minorEastAsia"/>
                <w:color w:val="000000" w:themeColor="text1"/>
                <w:szCs w:val="21"/>
              </w:rPr>
              <w:t>29,927,341.44</w:t>
            </w:r>
          </w:p>
        </w:tc>
        <w:tc>
          <w:tcPr>
            <w:tcW w:w="0" w:type="auto"/>
            <w:vAlign w:val="center"/>
          </w:tcPr>
          <w:p w:rsidR="00311A76" w:rsidRDefault="001500C8">
            <w:pPr>
              <w:jc w:val="right"/>
            </w:pPr>
            <w:r>
              <w:rPr>
                <w:rFonts w:eastAsiaTheme="minorEastAsia"/>
                <w:color w:val="000000" w:themeColor="text1"/>
                <w:szCs w:val="21"/>
              </w:rPr>
              <w:t>3.84</w:t>
            </w:r>
          </w:p>
        </w:tc>
      </w:tr>
      <w:tr w:rsidR="00311A76">
        <w:tc>
          <w:tcPr>
            <w:tcW w:w="0" w:type="auto"/>
            <w:vAlign w:val="center"/>
          </w:tcPr>
          <w:p w:rsidR="00311A76" w:rsidRDefault="001500C8">
            <w:pPr>
              <w:jc w:val="center"/>
            </w:pPr>
            <w:r>
              <w:rPr>
                <w:rFonts w:eastAsiaTheme="minorEastAsia"/>
                <w:color w:val="000000" w:themeColor="text1"/>
                <w:szCs w:val="21"/>
              </w:rPr>
              <w:t>8</w:t>
            </w:r>
          </w:p>
        </w:tc>
        <w:tc>
          <w:tcPr>
            <w:tcW w:w="0" w:type="auto"/>
            <w:vAlign w:val="center"/>
          </w:tcPr>
          <w:p w:rsidR="00311A76" w:rsidRDefault="001500C8">
            <w:pPr>
              <w:jc w:val="center"/>
            </w:pPr>
            <w:r>
              <w:rPr>
                <w:rFonts w:eastAsiaTheme="minorEastAsia"/>
                <w:color w:val="000000" w:themeColor="text1"/>
                <w:szCs w:val="21"/>
              </w:rPr>
              <w:t>Huadong Medicine Co.,Ltd.</w:t>
            </w:r>
          </w:p>
        </w:tc>
        <w:tc>
          <w:tcPr>
            <w:tcW w:w="0" w:type="auto"/>
            <w:vAlign w:val="center"/>
          </w:tcPr>
          <w:p w:rsidR="00311A76" w:rsidRDefault="001500C8">
            <w:pPr>
              <w:jc w:val="center"/>
            </w:pPr>
            <w:r>
              <w:rPr>
                <w:rFonts w:eastAsiaTheme="minorEastAsia"/>
                <w:color w:val="000000" w:themeColor="text1"/>
                <w:szCs w:val="21"/>
              </w:rPr>
              <w:t>华东医药</w:t>
            </w:r>
          </w:p>
        </w:tc>
        <w:tc>
          <w:tcPr>
            <w:tcW w:w="0" w:type="auto"/>
            <w:vAlign w:val="center"/>
          </w:tcPr>
          <w:p w:rsidR="00311A76" w:rsidRDefault="001500C8">
            <w:pPr>
              <w:jc w:val="center"/>
            </w:pPr>
            <w:r>
              <w:rPr>
                <w:rFonts w:eastAsiaTheme="minorEastAsia"/>
                <w:color w:val="000000" w:themeColor="text1"/>
                <w:szCs w:val="21"/>
              </w:rPr>
              <w:t>000963</w:t>
            </w:r>
          </w:p>
        </w:tc>
        <w:tc>
          <w:tcPr>
            <w:tcW w:w="0" w:type="auto"/>
            <w:vAlign w:val="center"/>
          </w:tcPr>
          <w:p w:rsidR="00311A76" w:rsidRDefault="001500C8">
            <w:pPr>
              <w:jc w:val="center"/>
            </w:pPr>
            <w:r>
              <w:rPr>
                <w:rFonts w:eastAsiaTheme="minorEastAsia"/>
                <w:color w:val="000000" w:themeColor="text1"/>
                <w:szCs w:val="21"/>
              </w:rPr>
              <w:t>深圳证券交易所</w:t>
            </w:r>
          </w:p>
        </w:tc>
        <w:tc>
          <w:tcPr>
            <w:tcW w:w="0" w:type="auto"/>
            <w:vAlign w:val="center"/>
          </w:tcPr>
          <w:p w:rsidR="00311A76" w:rsidRDefault="001500C8">
            <w:pPr>
              <w:jc w:val="center"/>
            </w:pPr>
            <w:r>
              <w:rPr>
                <w:rFonts w:eastAsiaTheme="minorEastAsia"/>
                <w:color w:val="000000" w:themeColor="text1"/>
                <w:szCs w:val="21"/>
              </w:rPr>
              <w:t>中国</w:t>
            </w:r>
          </w:p>
        </w:tc>
        <w:tc>
          <w:tcPr>
            <w:tcW w:w="0" w:type="auto"/>
            <w:vAlign w:val="center"/>
          </w:tcPr>
          <w:p w:rsidR="00311A76" w:rsidRDefault="001500C8">
            <w:pPr>
              <w:jc w:val="right"/>
            </w:pPr>
            <w:r>
              <w:rPr>
                <w:rFonts w:eastAsiaTheme="minorEastAsia"/>
                <w:color w:val="000000" w:themeColor="text1"/>
                <w:szCs w:val="21"/>
              </w:rPr>
              <w:t>524,765.00</w:t>
            </w:r>
          </w:p>
        </w:tc>
        <w:tc>
          <w:tcPr>
            <w:tcW w:w="0" w:type="auto"/>
            <w:vAlign w:val="center"/>
          </w:tcPr>
          <w:p w:rsidR="00311A76" w:rsidRDefault="001500C8">
            <w:pPr>
              <w:jc w:val="right"/>
            </w:pPr>
            <w:r>
              <w:rPr>
                <w:rFonts w:eastAsiaTheme="minorEastAsia"/>
                <w:color w:val="000000" w:themeColor="text1"/>
                <w:szCs w:val="21"/>
              </w:rPr>
              <w:t>24,317,610.10</w:t>
            </w:r>
          </w:p>
        </w:tc>
        <w:tc>
          <w:tcPr>
            <w:tcW w:w="0" w:type="auto"/>
            <w:vAlign w:val="center"/>
          </w:tcPr>
          <w:p w:rsidR="00311A76" w:rsidRDefault="001500C8">
            <w:pPr>
              <w:jc w:val="right"/>
            </w:pPr>
            <w:r>
              <w:rPr>
                <w:rFonts w:eastAsiaTheme="minorEastAsia"/>
                <w:color w:val="000000" w:themeColor="text1"/>
                <w:szCs w:val="21"/>
              </w:rPr>
              <w:t>3.12</w:t>
            </w:r>
          </w:p>
        </w:tc>
      </w:tr>
      <w:tr w:rsidR="00311A76">
        <w:tc>
          <w:tcPr>
            <w:tcW w:w="0" w:type="auto"/>
            <w:vAlign w:val="center"/>
          </w:tcPr>
          <w:p w:rsidR="00311A76" w:rsidRDefault="001500C8">
            <w:pPr>
              <w:jc w:val="center"/>
            </w:pPr>
            <w:r>
              <w:rPr>
                <w:rFonts w:eastAsiaTheme="minorEastAsia"/>
                <w:color w:val="000000" w:themeColor="text1"/>
                <w:szCs w:val="21"/>
              </w:rPr>
              <w:t>9</w:t>
            </w:r>
          </w:p>
        </w:tc>
        <w:tc>
          <w:tcPr>
            <w:tcW w:w="0" w:type="auto"/>
            <w:vAlign w:val="center"/>
          </w:tcPr>
          <w:p w:rsidR="00311A76" w:rsidRDefault="001500C8">
            <w:pPr>
              <w:jc w:val="center"/>
            </w:pPr>
            <w:r>
              <w:rPr>
                <w:rFonts w:eastAsiaTheme="minorEastAsia"/>
                <w:color w:val="000000" w:themeColor="text1"/>
                <w:szCs w:val="21"/>
              </w:rPr>
              <w:t>MORIMATSU INTERNATIONAL HOLD</w:t>
            </w:r>
          </w:p>
        </w:tc>
        <w:tc>
          <w:tcPr>
            <w:tcW w:w="0" w:type="auto"/>
            <w:vAlign w:val="center"/>
          </w:tcPr>
          <w:p w:rsidR="00311A76" w:rsidRDefault="001500C8">
            <w:pPr>
              <w:jc w:val="center"/>
            </w:pPr>
            <w:r>
              <w:rPr>
                <w:rFonts w:eastAsiaTheme="minorEastAsia"/>
                <w:color w:val="000000" w:themeColor="text1"/>
                <w:szCs w:val="21"/>
              </w:rPr>
              <w:t>森松国际</w:t>
            </w:r>
          </w:p>
        </w:tc>
        <w:tc>
          <w:tcPr>
            <w:tcW w:w="0" w:type="auto"/>
            <w:vAlign w:val="center"/>
          </w:tcPr>
          <w:p w:rsidR="00311A76" w:rsidRDefault="001500C8">
            <w:pPr>
              <w:jc w:val="center"/>
            </w:pPr>
            <w:r>
              <w:rPr>
                <w:rFonts w:eastAsiaTheme="minorEastAsia"/>
                <w:color w:val="000000" w:themeColor="text1"/>
                <w:szCs w:val="21"/>
              </w:rPr>
              <w:t>02155</w:t>
            </w:r>
          </w:p>
        </w:tc>
        <w:tc>
          <w:tcPr>
            <w:tcW w:w="0" w:type="auto"/>
            <w:vAlign w:val="center"/>
          </w:tcPr>
          <w:p w:rsidR="00311A76" w:rsidRDefault="001500C8">
            <w:pPr>
              <w:jc w:val="center"/>
            </w:pPr>
            <w:r>
              <w:rPr>
                <w:rFonts w:eastAsiaTheme="minorEastAsia"/>
                <w:color w:val="000000" w:themeColor="text1"/>
                <w:szCs w:val="21"/>
              </w:rPr>
              <w:t>香港证券</w:t>
            </w:r>
            <w:r>
              <w:rPr>
                <w:rFonts w:eastAsiaTheme="minorEastAsia"/>
                <w:color w:val="000000" w:themeColor="text1"/>
                <w:szCs w:val="21"/>
              </w:rPr>
              <w:lastRenderedPageBreak/>
              <w:t>交易所</w:t>
            </w:r>
          </w:p>
        </w:tc>
        <w:tc>
          <w:tcPr>
            <w:tcW w:w="0" w:type="auto"/>
            <w:vAlign w:val="center"/>
          </w:tcPr>
          <w:p w:rsidR="00311A76" w:rsidRDefault="001500C8">
            <w:pPr>
              <w:jc w:val="center"/>
            </w:pPr>
            <w:r>
              <w:rPr>
                <w:rFonts w:eastAsiaTheme="minorEastAsia"/>
                <w:color w:val="000000" w:themeColor="text1"/>
                <w:szCs w:val="21"/>
              </w:rPr>
              <w:lastRenderedPageBreak/>
              <w:t>中国香港</w:t>
            </w:r>
          </w:p>
        </w:tc>
        <w:tc>
          <w:tcPr>
            <w:tcW w:w="0" w:type="auto"/>
            <w:vAlign w:val="center"/>
          </w:tcPr>
          <w:p w:rsidR="00311A76" w:rsidRDefault="001500C8">
            <w:pPr>
              <w:jc w:val="right"/>
            </w:pPr>
            <w:r>
              <w:rPr>
                <w:rFonts w:eastAsiaTheme="minorEastAsia"/>
                <w:color w:val="000000" w:themeColor="text1"/>
                <w:szCs w:val="21"/>
              </w:rPr>
              <w:t>2,809,000.00</w:t>
            </w:r>
          </w:p>
        </w:tc>
        <w:tc>
          <w:tcPr>
            <w:tcW w:w="0" w:type="auto"/>
            <w:vAlign w:val="center"/>
          </w:tcPr>
          <w:p w:rsidR="00311A76" w:rsidRDefault="001500C8">
            <w:pPr>
              <w:jc w:val="right"/>
            </w:pPr>
            <w:r>
              <w:rPr>
                <w:rFonts w:eastAsiaTheme="minorEastAsia"/>
                <w:color w:val="000000" w:themeColor="text1"/>
                <w:szCs w:val="21"/>
              </w:rPr>
              <w:t>22,967,309.28</w:t>
            </w:r>
          </w:p>
        </w:tc>
        <w:tc>
          <w:tcPr>
            <w:tcW w:w="0" w:type="auto"/>
            <w:vAlign w:val="center"/>
          </w:tcPr>
          <w:p w:rsidR="00311A76" w:rsidRDefault="001500C8">
            <w:pPr>
              <w:jc w:val="right"/>
            </w:pPr>
            <w:r>
              <w:rPr>
                <w:rFonts w:eastAsiaTheme="minorEastAsia"/>
                <w:color w:val="000000" w:themeColor="text1"/>
                <w:szCs w:val="21"/>
              </w:rPr>
              <w:t>2.94</w:t>
            </w:r>
          </w:p>
        </w:tc>
      </w:tr>
      <w:tr w:rsidR="00311A76">
        <w:tc>
          <w:tcPr>
            <w:tcW w:w="0" w:type="auto"/>
            <w:vAlign w:val="center"/>
          </w:tcPr>
          <w:p w:rsidR="00311A76" w:rsidRDefault="001500C8">
            <w:pPr>
              <w:jc w:val="center"/>
            </w:pPr>
            <w:r>
              <w:rPr>
                <w:rFonts w:eastAsiaTheme="minorEastAsia"/>
                <w:color w:val="000000" w:themeColor="text1"/>
                <w:szCs w:val="21"/>
              </w:rPr>
              <w:t>10</w:t>
            </w:r>
          </w:p>
        </w:tc>
        <w:tc>
          <w:tcPr>
            <w:tcW w:w="0" w:type="auto"/>
            <w:vAlign w:val="center"/>
          </w:tcPr>
          <w:p w:rsidR="00311A76" w:rsidRDefault="001500C8">
            <w:pPr>
              <w:jc w:val="center"/>
            </w:pPr>
            <w:r>
              <w:rPr>
                <w:rFonts w:eastAsiaTheme="minorEastAsia"/>
                <w:color w:val="000000" w:themeColor="text1"/>
                <w:szCs w:val="21"/>
              </w:rPr>
              <w:t>Shenzhen Mindray Bio-Medical Electronics Co.,Ltd.</w:t>
            </w:r>
          </w:p>
        </w:tc>
        <w:tc>
          <w:tcPr>
            <w:tcW w:w="0" w:type="auto"/>
            <w:vAlign w:val="center"/>
          </w:tcPr>
          <w:p w:rsidR="00311A76" w:rsidRDefault="001500C8">
            <w:pPr>
              <w:jc w:val="center"/>
            </w:pPr>
            <w:r>
              <w:rPr>
                <w:rFonts w:eastAsiaTheme="minorEastAsia"/>
                <w:color w:val="000000" w:themeColor="text1"/>
                <w:szCs w:val="21"/>
              </w:rPr>
              <w:t>迈瑞医疗</w:t>
            </w:r>
          </w:p>
        </w:tc>
        <w:tc>
          <w:tcPr>
            <w:tcW w:w="0" w:type="auto"/>
            <w:vAlign w:val="center"/>
          </w:tcPr>
          <w:p w:rsidR="00311A76" w:rsidRDefault="001500C8">
            <w:pPr>
              <w:jc w:val="center"/>
            </w:pPr>
            <w:r>
              <w:rPr>
                <w:rFonts w:eastAsiaTheme="minorEastAsia"/>
                <w:color w:val="000000" w:themeColor="text1"/>
                <w:szCs w:val="21"/>
              </w:rPr>
              <w:t>300760</w:t>
            </w:r>
          </w:p>
        </w:tc>
        <w:tc>
          <w:tcPr>
            <w:tcW w:w="0" w:type="auto"/>
            <w:vAlign w:val="center"/>
          </w:tcPr>
          <w:p w:rsidR="00311A76" w:rsidRDefault="001500C8">
            <w:pPr>
              <w:jc w:val="center"/>
            </w:pPr>
            <w:r>
              <w:rPr>
                <w:rFonts w:eastAsiaTheme="minorEastAsia"/>
                <w:color w:val="000000" w:themeColor="text1"/>
                <w:szCs w:val="21"/>
              </w:rPr>
              <w:t>深圳证券交易所</w:t>
            </w:r>
          </w:p>
        </w:tc>
        <w:tc>
          <w:tcPr>
            <w:tcW w:w="0" w:type="auto"/>
            <w:vAlign w:val="center"/>
          </w:tcPr>
          <w:p w:rsidR="00311A76" w:rsidRDefault="001500C8">
            <w:pPr>
              <w:jc w:val="center"/>
            </w:pPr>
            <w:r>
              <w:rPr>
                <w:rFonts w:eastAsiaTheme="minorEastAsia"/>
                <w:color w:val="000000" w:themeColor="text1"/>
                <w:szCs w:val="21"/>
              </w:rPr>
              <w:t>中国</w:t>
            </w:r>
          </w:p>
        </w:tc>
        <w:tc>
          <w:tcPr>
            <w:tcW w:w="0" w:type="auto"/>
            <w:vAlign w:val="center"/>
          </w:tcPr>
          <w:p w:rsidR="00311A76" w:rsidRDefault="001500C8">
            <w:pPr>
              <w:jc w:val="right"/>
            </w:pPr>
            <w:r>
              <w:rPr>
                <w:rFonts w:eastAsiaTheme="minorEastAsia"/>
                <w:color w:val="000000" w:themeColor="text1"/>
                <w:szCs w:val="21"/>
              </w:rPr>
              <w:t>73,150.00</w:t>
            </w:r>
          </w:p>
        </w:tc>
        <w:tc>
          <w:tcPr>
            <w:tcW w:w="0" w:type="auto"/>
            <w:vAlign w:val="center"/>
          </w:tcPr>
          <w:p w:rsidR="00311A76" w:rsidRDefault="001500C8">
            <w:pPr>
              <w:jc w:val="right"/>
            </w:pPr>
            <w:r>
              <w:rPr>
                <w:rFonts w:eastAsiaTheme="minorEastAsia"/>
                <w:color w:val="000000" w:themeColor="text1"/>
                <w:szCs w:val="21"/>
              </w:rPr>
              <w:t>22,801,586.50</w:t>
            </w:r>
          </w:p>
        </w:tc>
        <w:tc>
          <w:tcPr>
            <w:tcW w:w="0" w:type="auto"/>
            <w:vAlign w:val="center"/>
          </w:tcPr>
          <w:p w:rsidR="00311A76" w:rsidRDefault="001500C8">
            <w:pPr>
              <w:jc w:val="right"/>
            </w:pPr>
            <w:r>
              <w:rPr>
                <w:rFonts w:eastAsiaTheme="minorEastAsia"/>
                <w:color w:val="000000" w:themeColor="text1"/>
                <w:szCs w:val="21"/>
              </w:rPr>
              <w:t>2.92</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本基金投资的前十名证券的发行主体本期未出现被监管部门立案调查，或在报告编制日前一年内受到公开谴责、处罚的情形。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lastRenderedPageBreak/>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2,858.91</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1,073,047.13</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1,075,906.04</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575,487,255.32</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31,193,415.47</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55,792,893.54</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lastRenderedPageBreak/>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550,887,777.25</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color w:val="000000" w:themeColor="text1"/>
          <w:sz w:val="24"/>
        </w:rPr>
      </w:pPr>
      <w:r w:rsidRPr="00A76A42">
        <w:rPr>
          <w:b/>
          <w:color w:val="000000" w:themeColor="text1"/>
          <w:sz w:val="24"/>
        </w:rPr>
        <w:t xml:space="preserve">7.1 </w:t>
      </w:r>
      <w:r w:rsidRPr="00A76A42">
        <w:rPr>
          <w:b/>
          <w:color w:val="000000" w:themeColor="text1"/>
          <w:sz w:val="24"/>
        </w:rPr>
        <w:t>基金管理人持有本基金份额变动情况</w:t>
      </w:r>
    </w:p>
    <w:p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7.2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中国证监会批准原上投摩根智慧生活灵活配置混合型证券投资基金变更注册为本基金的文件；</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）的基金合同；</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）的托管协议；</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311A76" w:rsidRDefault="001500C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6.</w:t>
      </w:r>
      <w:r w:rsidRPr="00A76A42">
        <w:rPr>
          <w:rFonts w:eastAsiaTheme="minorEastAsia"/>
          <w:color w:val="000000" w:themeColor="text1"/>
          <w:szCs w:val="21"/>
        </w:rPr>
        <w:t>基金托管人业务资格批件和营业执照。</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摩根基金管理（中国）有限公司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二〇二三年四月二十一日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AC7" w:rsidRDefault="00506AC7">
      <w:r>
        <w:separator/>
      </w:r>
    </w:p>
  </w:endnote>
  <w:endnote w:type="continuationSeparator" w:id="0">
    <w:p w:rsidR="00506AC7" w:rsidRDefault="0050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CD2CB1">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CD2CB1">
      <w:rPr>
        <w:noProof/>
        <w:kern w:val="0"/>
        <w:szCs w:val="21"/>
      </w:rPr>
      <w:t>14</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CD2CB1">
      <w:rPr>
        <w:rStyle w:val="a8"/>
        <w:noProof/>
      </w:rPr>
      <w:t>4</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AC7" w:rsidRDefault="00506AC7">
      <w:r>
        <w:separator/>
      </w:r>
    </w:p>
  </w:footnote>
  <w:footnote w:type="continuationSeparator" w:id="0">
    <w:p w:rsidR="00506AC7" w:rsidRDefault="0050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摩根中国生物医药混合型证券投资基金</w:t>
    </w:r>
    <w:r w:rsidRPr="006669C9">
      <w:t>(QDII)2023</w:t>
    </w:r>
    <w:r w:rsidRPr="006669C9">
      <w:t>年第</w:t>
    </w:r>
    <w:r w:rsidRPr="006669C9">
      <w:t>1</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0C8"/>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2DC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1A76"/>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B7283"/>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CB1"/>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41</TotalTime>
  <Pages>14</Pages>
  <Words>1068</Words>
  <Characters>6093</Characters>
  <Application>Microsoft Office Word</Application>
  <DocSecurity>0</DocSecurity>
  <Lines>50</Lines>
  <Paragraphs>14</Paragraphs>
  <ScaleCrop>false</ScaleCrop>
  <Company>TRT. Ltd. Co.</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Melody.Ling@FA</cp:lastModifiedBy>
  <cp:revision>23</cp:revision>
  <cp:lastPrinted>2007-07-19T00:46:00Z</cp:lastPrinted>
  <dcterms:created xsi:type="dcterms:W3CDTF">2014-12-16T02:40:00Z</dcterms:created>
  <dcterms:modified xsi:type="dcterms:W3CDTF">2023-04-20T05:35:00Z</dcterms:modified>
</cp:coreProperties>
</file>