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F22F00">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上投摩根中国生物医药混合型证券投资基金（QDII）</w:t>
      </w: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2021年第1季度报告</w:t>
      </w:r>
    </w:p>
    <w:p w:rsidR="00397616" w:rsidRPr="008277FF" w:rsidRDefault="00623556" w:rsidP="00506D57">
      <w:pPr>
        <w:spacing w:line="360" w:lineRule="auto"/>
        <w:jc w:val="center"/>
        <w:rPr>
          <w:rFonts w:asciiTheme="minorEastAsia" w:eastAsiaTheme="minorEastAsia" w:hAnsiTheme="minorEastAsia"/>
          <w:b/>
          <w:color w:val="000000" w:themeColor="text1"/>
          <w:sz w:val="24"/>
        </w:rPr>
      </w:pPr>
      <w:r w:rsidRPr="008277FF">
        <w:rPr>
          <w:rFonts w:asciiTheme="minorEastAsia" w:eastAsiaTheme="minorEastAsia" w:hAnsiTheme="minorEastAsia"/>
          <w:b/>
          <w:color w:val="000000" w:themeColor="text1"/>
          <w:sz w:val="24"/>
        </w:rPr>
        <w:t>2021年3月31日</w:t>
      </w: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826B12">
      <w:pPr>
        <w:spacing w:line="288" w:lineRule="auto"/>
        <w:ind w:firstLineChars="900" w:firstLine="2168"/>
        <w:rPr>
          <w:rFonts w:asciiTheme="minorEastAsia" w:eastAsiaTheme="minorEastAsia" w:hAnsiTheme="minorEastAsia"/>
          <w:b/>
          <w:color w:val="000000" w:themeColor="text1"/>
          <w:sz w:val="24"/>
        </w:rPr>
      </w:pP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基金管理人：</w:t>
      </w:r>
      <w:r w:rsidRPr="008277FF">
        <w:rPr>
          <w:rFonts w:asciiTheme="minorEastAsia" w:eastAsiaTheme="minorEastAsia" w:hAnsiTheme="minorEastAsia"/>
          <w:b/>
          <w:color w:val="000000" w:themeColor="text1"/>
          <w:sz w:val="24"/>
        </w:rPr>
        <w:t>上投摩根基金管理有限公司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基金托管人：</w:t>
      </w:r>
      <w:r w:rsidRPr="008277FF">
        <w:rPr>
          <w:rFonts w:asciiTheme="minorEastAsia" w:eastAsiaTheme="minorEastAsia" w:hAnsiTheme="minorEastAsia"/>
          <w:b/>
          <w:color w:val="000000" w:themeColor="text1"/>
          <w:sz w:val="24"/>
        </w:rPr>
        <w:t>中国银行股份有限公司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sectPr w:rsidR="007D1292" w:rsidRPr="008277FF" w:rsidSect="00B918B8">
          <w:headerReference w:type="default" r:id="rId7"/>
          <w:footerReference w:type="default" r:id="rId8"/>
          <w:pgSz w:w="11926" w:h="15840"/>
          <w:pgMar w:top="1418" w:right="1418" w:bottom="851" w:left="1418" w:header="851" w:footer="992" w:gutter="0"/>
          <w:cols w:space="720"/>
          <w:noEndnote/>
        </w:sectPr>
      </w:pPr>
      <w:r w:rsidRPr="008277FF">
        <w:rPr>
          <w:rFonts w:asciiTheme="minorEastAsia" w:eastAsiaTheme="minorEastAsia" w:hAnsiTheme="minorEastAsia" w:hint="eastAsia"/>
          <w:b/>
          <w:color w:val="000000" w:themeColor="text1"/>
          <w:sz w:val="24"/>
        </w:rPr>
        <w:t>报告送出日期：</w:t>
      </w:r>
      <w:r w:rsidR="00CB44DE" w:rsidRPr="008277FF">
        <w:rPr>
          <w:rFonts w:asciiTheme="minorEastAsia" w:eastAsiaTheme="minorEastAsia" w:hAnsiTheme="minorEastAsia"/>
          <w:b/>
          <w:color w:val="000000" w:themeColor="text1"/>
          <w:sz w:val="24"/>
        </w:rPr>
        <w:t>二〇二一年四月二十二日</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b w:val="0"/>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lastRenderedPageBreak/>
        <w:t>§</w:t>
      </w:r>
      <w:r w:rsidRPr="008277FF">
        <w:rPr>
          <w:rFonts w:asciiTheme="minorEastAsia" w:eastAsiaTheme="minorEastAsia" w:hAnsiTheme="minorEastAsia" w:cs="Arial"/>
          <w:color w:val="000000" w:themeColor="text1"/>
          <w:kern w:val="0"/>
          <w:sz w:val="24"/>
          <w:szCs w:val="24"/>
        </w:rPr>
        <w:t xml:space="preserve">1  </w:t>
      </w:r>
      <w:r w:rsidRPr="008277FF">
        <w:rPr>
          <w:rFonts w:asciiTheme="minorEastAsia" w:eastAsiaTheme="minorEastAsia" w:hAnsiTheme="minorEastAsia" w:cs="Arial" w:hint="eastAsia"/>
          <w:color w:val="000000" w:themeColor="text1"/>
          <w:kern w:val="0"/>
          <w:sz w:val="24"/>
          <w:szCs w:val="24"/>
        </w:rPr>
        <w:t>重要提示</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基金管理人的董事会及董事保证本报告所载资料不存在虚假记载、误导性陈述或重大遗漏，并对其内容的真实性、准确性和完整性承担个别及连带责任。 </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基金托管人中国银行股份有限公司根据本基金合同规定，于2021年4月21日复核了本报告中的财务指标、净值表现和投资组合报告等内容，保证复核内容不存在虚假记载、误导性陈述或者重大遗漏。 </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基金管理人承诺以诚实信用、勤勉尽责的原则管理和运用基金资产，但不保证基金一定盈利。 </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基金的过往业绩并不代表其未来表现。投资有风险，投资者在作出投资决策前应仔细阅读本基金的招募说明书。 </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7D1292" w:rsidRPr="008277FF" w:rsidRDefault="007D1292" w:rsidP="006669C9">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本报告期自2021年1月1日起至3月31日止。</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2  </w:t>
      </w:r>
      <w:r w:rsidRPr="008277FF">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8277FF" w:rsidTr="006669C9">
        <w:tc>
          <w:tcPr>
            <w:tcW w:w="2977"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基金简称</w:t>
            </w:r>
          </w:p>
        </w:tc>
        <w:tc>
          <w:tcPr>
            <w:tcW w:w="5443"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上投摩根中国生物医药混合（QDII）</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基金主代码</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001984</w:t>
            </w:r>
          </w:p>
        </w:tc>
      </w:tr>
      <w:tr w:rsidR="008277FF" w:rsidRPr="008277FF" w:rsidTr="006669C9">
        <w:tc>
          <w:tcPr>
            <w:tcW w:w="2977"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交易代码</w:t>
            </w:r>
          </w:p>
        </w:tc>
        <w:tc>
          <w:tcPr>
            <w:tcW w:w="5443"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001984</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基金运作方式</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契约型开放式</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基金合同生效日</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2019年2月22日</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报告期末基金份额总额</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711,573,873.84</w:t>
            </w:r>
            <w:r w:rsidRPr="008277FF">
              <w:rPr>
                <w:rFonts w:asciiTheme="minorEastAsia" w:eastAsiaTheme="minorEastAsia" w:hAnsiTheme="minorEastAsia" w:hint="eastAsia"/>
                <w:color w:val="000000" w:themeColor="text1"/>
                <w:kern w:val="0"/>
                <w:szCs w:val="21"/>
              </w:rPr>
              <w:t>份</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投资目标</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本基金采用定量及定性研究方法，自下而上优选在中国境内、香港及美国等全球市场上市的中国生物医药类公司，通过严格的风险控制，力争实现基金资产的长期增值。</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投资策略</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采用“自下而上”的策略，通过系统和深入的基本面研究和跨市场估值优势的挖掘，优选在中国境内、香港及美国等市场上市的中国生物医药类公司构建股票投资组合，并辅以严格的投资组合风险控制，以获得中长期的</w:t>
            </w:r>
            <w:r w:rsidRPr="008277FF">
              <w:rPr>
                <w:rFonts w:asciiTheme="minorEastAsia" w:eastAsiaTheme="minorEastAsia" w:hAnsiTheme="minorEastAsia"/>
                <w:color w:val="000000" w:themeColor="text1"/>
                <w:kern w:val="0"/>
                <w:szCs w:val="21"/>
              </w:rPr>
              <w:lastRenderedPageBreak/>
              <w:t>较高投资收益。本基金主要投资于生物医药行业相关的中国公司股票。其中“中国公司”是指满足以下三个条件之一的上市公司：1）上市公司注册地在中国（包含中国内地及香港）；2）上市公司至少50%的主营业务收入或利润来自于中国；3）上市公司的主要经营活动在中国。本基金所定义的生物医药行业由研究开发、生产和销售用于预防、诊断和治疗疾病的生物医药相关产品或服务的上市公司组成，将主要包含主营业务为生物医药行业相关的上市公司，前述生物医药行业包括化学制药、中药、生物制药、医药商业、医疗服务、医疗器械等。</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lastRenderedPageBreak/>
              <w:t>业绩比较基准</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申银万国医药生物行业指数收益率×45%+恒生医疗保健行业指数收益率×35%+中债总指数收益率×20%</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风险收益特征</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本基金属于混合型基金产品，预期风险和收益水平高于债券型基金和货币市场基金。</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基金管理人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上投摩根基金管理有限公司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基金托管人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中国银行股份有限公司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境外资产托管人英文名称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Bank of China (Hong Kong) Limited</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境外资产托管人中文名称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中国银行(香港)有限公司</w:t>
            </w:r>
          </w:p>
        </w:tc>
      </w:tr>
    </w:tbl>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3  </w:t>
      </w:r>
      <w:r w:rsidRPr="008277FF">
        <w:rPr>
          <w:rFonts w:asciiTheme="minorEastAsia" w:eastAsiaTheme="minorEastAsia" w:hAnsiTheme="minorEastAsia" w:cs="Arial" w:hint="eastAsia"/>
          <w:color w:val="000000" w:themeColor="text1"/>
          <w:kern w:val="0"/>
          <w:sz w:val="24"/>
          <w:szCs w:val="24"/>
        </w:rPr>
        <w:t>主要财务指标和基金净值表现</w:t>
      </w:r>
    </w:p>
    <w:p w:rsidR="0076518F" w:rsidRPr="008277FF" w:rsidRDefault="0076518F" w:rsidP="00506D57">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3.1 </w:t>
      </w:r>
      <w:r w:rsidRPr="008277FF">
        <w:rPr>
          <w:rFonts w:asciiTheme="minorEastAsia" w:eastAsiaTheme="minorEastAsia" w:hAnsiTheme="minorEastAsia" w:cs="Arial" w:hint="eastAsia"/>
          <w:b/>
          <w:color w:val="000000" w:themeColor="text1"/>
          <w:kern w:val="0"/>
          <w:sz w:val="24"/>
        </w:rPr>
        <w:t>主要财务指标</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CD2C02" w:rsidRPr="008277FF" w:rsidTr="00CD2C02">
        <w:tc>
          <w:tcPr>
            <w:tcW w:w="3402" w:type="dxa"/>
            <w:vAlign w:val="center"/>
          </w:tcPr>
          <w:p w:rsidR="007D1292" w:rsidRPr="008277FF" w:rsidRDefault="007D1292" w:rsidP="001D369F">
            <w:pPr>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主要财务指标</w:t>
            </w:r>
          </w:p>
        </w:tc>
        <w:tc>
          <w:tcPr>
            <w:tcW w:w="4962" w:type="dxa"/>
            <w:vAlign w:val="center"/>
          </w:tcPr>
          <w:p w:rsidR="000306F0" w:rsidRPr="008277FF" w:rsidRDefault="000306F0" w:rsidP="001D369F">
            <w:pPr>
              <w:adjustRightInd w:val="0"/>
              <w:spacing w:before="29" w:line="360" w:lineRule="auto"/>
              <w:ind w:left="17"/>
              <w:jc w:val="center"/>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报告期</w:t>
            </w:r>
          </w:p>
          <w:p w:rsidR="007D1292" w:rsidRPr="008277FF" w:rsidRDefault="000306F0" w:rsidP="001D369F">
            <w:pPr>
              <w:adjustRightInd w:val="0"/>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w:t>
            </w:r>
            <w:r w:rsidRPr="008277FF">
              <w:rPr>
                <w:rFonts w:asciiTheme="minorEastAsia" w:eastAsiaTheme="minorEastAsia" w:hAnsiTheme="minorEastAsia" w:cs="宋体"/>
                <w:color w:val="000000" w:themeColor="text1"/>
                <w:szCs w:val="21"/>
              </w:rPr>
              <w:t>2021年1月1日-2021年3月31日</w:t>
            </w:r>
            <w:r w:rsidRPr="008277FF">
              <w:rPr>
                <w:rFonts w:asciiTheme="minorEastAsia" w:eastAsiaTheme="minorEastAsia" w:hAnsiTheme="minorEastAsia" w:cs="宋体" w:hint="eastAsia"/>
                <w:color w:val="000000" w:themeColor="text1"/>
                <w:szCs w:val="21"/>
              </w:rPr>
              <w:t>)</w:t>
            </w:r>
          </w:p>
        </w:tc>
      </w:tr>
      <w:tr w:rsidR="00CD2C02" w:rsidRPr="008277FF" w:rsidTr="00CD2C02">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1.</w:t>
            </w:r>
            <w:r w:rsidRPr="008277FF">
              <w:rPr>
                <w:rFonts w:asciiTheme="minorEastAsia" w:eastAsiaTheme="minorEastAsia" w:hAnsiTheme="minorEastAsia" w:cs="宋体" w:hint="eastAsia"/>
                <w:color w:val="000000" w:themeColor="text1"/>
                <w:kern w:val="0"/>
                <w:szCs w:val="21"/>
              </w:rPr>
              <w:t>本期已实现收益</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87,665,600.40</w:t>
            </w:r>
          </w:p>
        </w:tc>
      </w:tr>
      <w:tr w:rsidR="00CD2C02" w:rsidRPr="008277FF" w:rsidTr="00CD2C02">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2.</w:t>
            </w:r>
            <w:r w:rsidRPr="008277FF">
              <w:rPr>
                <w:rFonts w:asciiTheme="minorEastAsia" w:eastAsiaTheme="minorEastAsia" w:hAnsiTheme="minorEastAsia" w:cs="宋体" w:hint="eastAsia"/>
                <w:color w:val="000000" w:themeColor="text1"/>
                <w:kern w:val="0"/>
                <w:szCs w:val="21"/>
              </w:rPr>
              <w:t>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-60,851,087.10</w:t>
            </w:r>
          </w:p>
        </w:tc>
      </w:tr>
      <w:tr w:rsidR="00CD2C02" w:rsidRPr="008277FF" w:rsidTr="00CD2C02">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3.</w:t>
            </w:r>
            <w:r w:rsidRPr="008277FF">
              <w:rPr>
                <w:rFonts w:asciiTheme="minorEastAsia" w:eastAsiaTheme="minorEastAsia" w:hAnsiTheme="minorEastAsia" w:cs="宋体" w:hint="eastAsia"/>
                <w:color w:val="000000" w:themeColor="text1"/>
                <w:kern w:val="0"/>
                <w:szCs w:val="21"/>
              </w:rPr>
              <w:t>加权平均基金份额本期利润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-0.0808</w:t>
            </w:r>
          </w:p>
        </w:tc>
      </w:tr>
      <w:tr w:rsidR="00CD2C02" w:rsidRPr="008277FF" w:rsidTr="00CD2C02">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4.</w:t>
            </w:r>
            <w:r w:rsidRPr="008277FF">
              <w:rPr>
                <w:rFonts w:asciiTheme="minorEastAsia" w:eastAsiaTheme="minorEastAsia" w:hAnsiTheme="minorEastAsia" w:cs="宋体" w:hint="eastAsia"/>
                <w:color w:val="000000" w:themeColor="text1"/>
                <w:kern w:val="0"/>
                <w:szCs w:val="21"/>
              </w:rPr>
              <w:t>期末基金资产净值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1,568,224,508.52</w:t>
            </w:r>
          </w:p>
        </w:tc>
      </w:tr>
      <w:tr w:rsidR="00CD2C02" w:rsidRPr="008277FF" w:rsidTr="00CD2C02">
        <w:trPr>
          <w:trHeight w:val="158"/>
        </w:trPr>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lastRenderedPageBreak/>
              <w:t>5.</w:t>
            </w:r>
            <w:r w:rsidRPr="008277FF">
              <w:rPr>
                <w:rFonts w:asciiTheme="minorEastAsia" w:eastAsiaTheme="minorEastAsia" w:hAnsiTheme="minorEastAsia" w:cs="宋体" w:hint="eastAsia"/>
                <w:color w:val="000000" w:themeColor="text1"/>
                <w:kern w:val="0"/>
                <w:szCs w:val="21"/>
              </w:rPr>
              <w:t>期末基金份额净值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2.2039</w:t>
            </w:r>
          </w:p>
        </w:tc>
      </w:tr>
    </w:tbl>
    <w:p w:rsidR="00413A59" w:rsidRDefault="00CD2C02">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8277FF" w:rsidRDefault="007D1292"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上述基金业绩指标不包括持有人认购或交易基金的各项费用，计入费用后实际收益水平要低于所列数字。</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3.2 </w:t>
      </w:r>
      <w:r w:rsidRPr="008277FF">
        <w:rPr>
          <w:rFonts w:asciiTheme="minorEastAsia" w:eastAsiaTheme="minorEastAsia" w:hAnsiTheme="minorEastAsia" w:cs="Arial" w:hint="eastAsia"/>
          <w:b/>
          <w:color w:val="000000" w:themeColor="text1"/>
          <w:kern w:val="0"/>
          <w:sz w:val="24"/>
        </w:rPr>
        <w:t>基金净值表现</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8277FF">
          <w:rPr>
            <w:rFonts w:asciiTheme="minorEastAsia" w:eastAsiaTheme="minorEastAsia" w:hAnsiTheme="minorEastAsia" w:cs="Arial"/>
            <w:b/>
            <w:color w:val="000000" w:themeColor="text1"/>
            <w:kern w:val="0"/>
            <w:sz w:val="24"/>
          </w:rPr>
          <w:t>3.2.1</w:t>
        </w:r>
      </w:smartTag>
      <w:r w:rsidRPr="008277FF">
        <w:rPr>
          <w:rFonts w:asciiTheme="minorEastAsia" w:eastAsiaTheme="minorEastAsia" w:hAnsiTheme="minorEastAsia" w:cs="Arial" w:hint="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8277FF" w:rsidTr="00B918B8">
        <w:tc>
          <w:tcPr>
            <w:tcW w:w="1395"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阶段</w:t>
            </w:r>
          </w:p>
        </w:tc>
        <w:tc>
          <w:tcPr>
            <w:tcW w:w="1092"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净值增长率①</w:t>
            </w:r>
          </w:p>
        </w:tc>
        <w:tc>
          <w:tcPr>
            <w:tcW w:w="116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净值增长率标准差②</w:t>
            </w:r>
          </w:p>
        </w:tc>
        <w:tc>
          <w:tcPr>
            <w:tcW w:w="118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业绩比较基准收益率③</w:t>
            </w:r>
          </w:p>
        </w:tc>
        <w:tc>
          <w:tcPr>
            <w:tcW w:w="1188"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业绩比较基准收益率标准差④</w:t>
            </w:r>
          </w:p>
        </w:tc>
        <w:tc>
          <w:tcPr>
            <w:tcW w:w="1199"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①</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③</w:t>
            </w:r>
          </w:p>
        </w:tc>
        <w:tc>
          <w:tcPr>
            <w:tcW w:w="1204"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②</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④</w:t>
            </w:r>
          </w:p>
        </w:tc>
      </w:tr>
      <w:tr w:rsidR="00413A59">
        <w:tc>
          <w:tcPr>
            <w:tcW w:w="1395" w:type="dxa"/>
            <w:vAlign w:val="center"/>
          </w:tcPr>
          <w:p w:rsidR="00413A59" w:rsidRDefault="00CD2C02">
            <w:pPr>
              <w:jc w:val="left"/>
            </w:pPr>
            <w:r>
              <w:rPr>
                <w:rFonts w:asciiTheme="minorEastAsia" w:eastAsiaTheme="minorEastAsia" w:hAnsiTheme="minorEastAsia"/>
                <w:color w:val="000000" w:themeColor="text1"/>
                <w:szCs w:val="21"/>
              </w:rPr>
              <w:t>过去三个月</w:t>
            </w:r>
          </w:p>
        </w:tc>
        <w:tc>
          <w:tcPr>
            <w:tcW w:w="1092" w:type="dxa"/>
            <w:vAlign w:val="center"/>
          </w:tcPr>
          <w:p w:rsidR="00413A59" w:rsidRDefault="00CD2C02">
            <w:pPr>
              <w:jc w:val="right"/>
            </w:pPr>
            <w:r>
              <w:rPr>
                <w:rFonts w:asciiTheme="minorEastAsia" w:eastAsiaTheme="minorEastAsia" w:hAnsiTheme="minorEastAsia"/>
                <w:color w:val="000000" w:themeColor="text1"/>
                <w:szCs w:val="21"/>
              </w:rPr>
              <w:t>-3.10%</w:t>
            </w:r>
          </w:p>
        </w:tc>
        <w:tc>
          <w:tcPr>
            <w:tcW w:w="1161" w:type="dxa"/>
            <w:vAlign w:val="center"/>
          </w:tcPr>
          <w:p w:rsidR="00413A59" w:rsidRDefault="00CD2C02">
            <w:pPr>
              <w:jc w:val="right"/>
            </w:pPr>
            <w:r>
              <w:rPr>
                <w:rFonts w:asciiTheme="minorEastAsia" w:eastAsiaTheme="minorEastAsia" w:hAnsiTheme="minorEastAsia"/>
                <w:color w:val="000000" w:themeColor="text1"/>
                <w:szCs w:val="21"/>
              </w:rPr>
              <w:t>2.55%</w:t>
            </w:r>
          </w:p>
        </w:tc>
        <w:tc>
          <w:tcPr>
            <w:tcW w:w="1181" w:type="dxa"/>
            <w:vAlign w:val="center"/>
          </w:tcPr>
          <w:p w:rsidR="00413A59" w:rsidRDefault="00CD2C02">
            <w:pPr>
              <w:jc w:val="right"/>
            </w:pPr>
            <w:r>
              <w:rPr>
                <w:rFonts w:asciiTheme="minorEastAsia" w:eastAsiaTheme="minorEastAsia" w:hAnsiTheme="minorEastAsia"/>
                <w:color w:val="000000" w:themeColor="text1"/>
                <w:szCs w:val="21"/>
              </w:rPr>
              <w:t>-1.78%</w:t>
            </w:r>
          </w:p>
        </w:tc>
        <w:tc>
          <w:tcPr>
            <w:tcW w:w="1188" w:type="dxa"/>
            <w:vAlign w:val="center"/>
          </w:tcPr>
          <w:p w:rsidR="00413A59" w:rsidRDefault="00CD2C02">
            <w:pPr>
              <w:jc w:val="right"/>
            </w:pPr>
            <w:r>
              <w:rPr>
                <w:rFonts w:asciiTheme="minorEastAsia" w:eastAsiaTheme="minorEastAsia" w:hAnsiTheme="minorEastAsia"/>
                <w:color w:val="000000" w:themeColor="text1"/>
                <w:szCs w:val="21"/>
              </w:rPr>
              <w:t>1.67%</w:t>
            </w:r>
          </w:p>
        </w:tc>
        <w:tc>
          <w:tcPr>
            <w:tcW w:w="1199" w:type="dxa"/>
            <w:vAlign w:val="center"/>
          </w:tcPr>
          <w:p w:rsidR="00413A59" w:rsidRDefault="00CD2C02">
            <w:pPr>
              <w:jc w:val="right"/>
            </w:pPr>
            <w:r>
              <w:rPr>
                <w:rFonts w:asciiTheme="minorEastAsia" w:eastAsiaTheme="minorEastAsia" w:hAnsiTheme="minorEastAsia"/>
                <w:color w:val="000000" w:themeColor="text1"/>
                <w:szCs w:val="21"/>
              </w:rPr>
              <w:t>-1.32%</w:t>
            </w:r>
          </w:p>
        </w:tc>
        <w:tc>
          <w:tcPr>
            <w:tcW w:w="1204" w:type="dxa"/>
            <w:vAlign w:val="center"/>
          </w:tcPr>
          <w:p w:rsidR="00413A59" w:rsidRDefault="00CD2C02">
            <w:pPr>
              <w:jc w:val="right"/>
            </w:pPr>
            <w:r>
              <w:rPr>
                <w:rFonts w:asciiTheme="minorEastAsia" w:eastAsiaTheme="minorEastAsia" w:hAnsiTheme="minorEastAsia"/>
                <w:color w:val="000000" w:themeColor="text1"/>
                <w:szCs w:val="21"/>
              </w:rPr>
              <w:t>0.88%</w:t>
            </w:r>
          </w:p>
        </w:tc>
      </w:tr>
      <w:tr w:rsidR="00413A59">
        <w:tc>
          <w:tcPr>
            <w:tcW w:w="1395" w:type="dxa"/>
            <w:vAlign w:val="center"/>
          </w:tcPr>
          <w:p w:rsidR="00413A59" w:rsidRDefault="00CD2C02">
            <w:pPr>
              <w:jc w:val="left"/>
            </w:pPr>
            <w:r>
              <w:rPr>
                <w:rFonts w:asciiTheme="minorEastAsia" w:eastAsiaTheme="minorEastAsia" w:hAnsiTheme="minorEastAsia"/>
                <w:color w:val="000000" w:themeColor="text1"/>
                <w:szCs w:val="21"/>
              </w:rPr>
              <w:t>过去六个月</w:t>
            </w:r>
          </w:p>
        </w:tc>
        <w:tc>
          <w:tcPr>
            <w:tcW w:w="1092" w:type="dxa"/>
            <w:vAlign w:val="center"/>
          </w:tcPr>
          <w:p w:rsidR="00413A59" w:rsidRDefault="00CD2C02">
            <w:pPr>
              <w:jc w:val="right"/>
            </w:pPr>
            <w:r>
              <w:rPr>
                <w:rFonts w:asciiTheme="minorEastAsia" w:eastAsiaTheme="minorEastAsia" w:hAnsiTheme="minorEastAsia"/>
                <w:color w:val="000000" w:themeColor="text1"/>
                <w:szCs w:val="21"/>
              </w:rPr>
              <w:t>4.55%</w:t>
            </w:r>
          </w:p>
        </w:tc>
        <w:tc>
          <w:tcPr>
            <w:tcW w:w="1161" w:type="dxa"/>
            <w:vAlign w:val="center"/>
          </w:tcPr>
          <w:p w:rsidR="00413A59" w:rsidRDefault="00CD2C02">
            <w:pPr>
              <w:jc w:val="right"/>
            </w:pPr>
            <w:r>
              <w:rPr>
                <w:rFonts w:asciiTheme="minorEastAsia" w:eastAsiaTheme="minorEastAsia" w:hAnsiTheme="minorEastAsia"/>
                <w:color w:val="000000" w:themeColor="text1"/>
                <w:szCs w:val="21"/>
              </w:rPr>
              <w:t>2.07%</w:t>
            </w:r>
          </w:p>
        </w:tc>
        <w:tc>
          <w:tcPr>
            <w:tcW w:w="1181" w:type="dxa"/>
            <w:vAlign w:val="center"/>
          </w:tcPr>
          <w:p w:rsidR="00413A59" w:rsidRDefault="00CD2C02">
            <w:pPr>
              <w:jc w:val="right"/>
            </w:pPr>
            <w:r>
              <w:rPr>
                <w:rFonts w:asciiTheme="minorEastAsia" w:eastAsiaTheme="minorEastAsia" w:hAnsiTheme="minorEastAsia"/>
                <w:color w:val="000000" w:themeColor="text1"/>
                <w:szCs w:val="21"/>
              </w:rPr>
              <w:t>3.26%</w:t>
            </w:r>
          </w:p>
        </w:tc>
        <w:tc>
          <w:tcPr>
            <w:tcW w:w="1188" w:type="dxa"/>
            <w:vAlign w:val="center"/>
          </w:tcPr>
          <w:p w:rsidR="00413A59" w:rsidRDefault="00CD2C02">
            <w:pPr>
              <w:jc w:val="right"/>
            </w:pPr>
            <w:r>
              <w:rPr>
                <w:rFonts w:asciiTheme="minorEastAsia" w:eastAsiaTheme="minorEastAsia" w:hAnsiTheme="minorEastAsia"/>
                <w:color w:val="000000" w:themeColor="text1"/>
                <w:szCs w:val="21"/>
              </w:rPr>
              <w:t>1.42%</w:t>
            </w:r>
          </w:p>
        </w:tc>
        <w:tc>
          <w:tcPr>
            <w:tcW w:w="1199" w:type="dxa"/>
            <w:vAlign w:val="center"/>
          </w:tcPr>
          <w:p w:rsidR="00413A59" w:rsidRDefault="00CD2C02">
            <w:pPr>
              <w:jc w:val="right"/>
            </w:pPr>
            <w:r>
              <w:rPr>
                <w:rFonts w:asciiTheme="minorEastAsia" w:eastAsiaTheme="minorEastAsia" w:hAnsiTheme="minorEastAsia"/>
                <w:color w:val="000000" w:themeColor="text1"/>
                <w:szCs w:val="21"/>
              </w:rPr>
              <w:t>1.29%</w:t>
            </w:r>
          </w:p>
        </w:tc>
        <w:tc>
          <w:tcPr>
            <w:tcW w:w="1204" w:type="dxa"/>
            <w:vAlign w:val="center"/>
          </w:tcPr>
          <w:p w:rsidR="00413A59" w:rsidRDefault="00CD2C02">
            <w:pPr>
              <w:jc w:val="right"/>
            </w:pPr>
            <w:r>
              <w:rPr>
                <w:rFonts w:asciiTheme="minorEastAsia" w:eastAsiaTheme="minorEastAsia" w:hAnsiTheme="minorEastAsia"/>
                <w:color w:val="000000" w:themeColor="text1"/>
                <w:szCs w:val="21"/>
              </w:rPr>
              <w:t>0.65%</w:t>
            </w:r>
          </w:p>
        </w:tc>
      </w:tr>
      <w:tr w:rsidR="00413A59">
        <w:tc>
          <w:tcPr>
            <w:tcW w:w="1395" w:type="dxa"/>
            <w:vAlign w:val="center"/>
          </w:tcPr>
          <w:p w:rsidR="00413A59" w:rsidRDefault="00CD2C02">
            <w:pPr>
              <w:jc w:val="left"/>
            </w:pPr>
            <w:r>
              <w:rPr>
                <w:rFonts w:asciiTheme="minorEastAsia" w:eastAsiaTheme="minorEastAsia" w:hAnsiTheme="minorEastAsia"/>
                <w:color w:val="000000" w:themeColor="text1"/>
                <w:szCs w:val="21"/>
              </w:rPr>
              <w:t>过去一年</w:t>
            </w:r>
          </w:p>
        </w:tc>
        <w:tc>
          <w:tcPr>
            <w:tcW w:w="1092" w:type="dxa"/>
            <w:vAlign w:val="center"/>
          </w:tcPr>
          <w:p w:rsidR="00413A59" w:rsidRDefault="00CD2C02">
            <w:pPr>
              <w:jc w:val="right"/>
            </w:pPr>
            <w:r>
              <w:rPr>
                <w:rFonts w:asciiTheme="minorEastAsia" w:eastAsiaTheme="minorEastAsia" w:hAnsiTheme="minorEastAsia"/>
                <w:color w:val="000000" w:themeColor="text1"/>
                <w:szCs w:val="21"/>
              </w:rPr>
              <w:t>28.71%</w:t>
            </w:r>
          </w:p>
        </w:tc>
        <w:tc>
          <w:tcPr>
            <w:tcW w:w="1161" w:type="dxa"/>
            <w:vAlign w:val="center"/>
          </w:tcPr>
          <w:p w:rsidR="00413A59" w:rsidRDefault="00CD2C02">
            <w:pPr>
              <w:jc w:val="right"/>
            </w:pPr>
            <w:r>
              <w:rPr>
                <w:rFonts w:asciiTheme="minorEastAsia" w:eastAsiaTheme="minorEastAsia" w:hAnsiTheme="minorEastAsia"/>
                <w:color w:val="000000" w:themeColor="text1"/>
                <w:szCs w:val="21"/>
              </w:rPr>
              <w:t>1.85%</w:t>
            </w:r>
          </w:p>
        </w:tc>
        <w:tc>
          <w:tcPr>
            <w:tcW w:w="1181" w:type="dxa"/>
            <w:vAlign w:val="center"/>
          </w:tcPr>
          <w:p w:rsidR="00413A59" w:rsidRDefault="00CD2C02">
            <w:pPr>
              <w:jc w:val="right"/>
            </w:pPr>
            <w:r>
              <w:rPr>
                <w:rFonts w:asciiTheme="minorEastAsia" w:eastAsiaTheme="minorEastAsia" w:hAnsiTheme="minorEastAsia"/>
                <w:color w:val="000000" w:themeColor="text1"/>
                <w:szCs w:val="21"/>
              </w:rPr>
              <w:t>27.87%</w:t>
            </w:r>
          </w:p>
        </w:tc>
        <w:tc>
          <w:tcPr>
            <w:tcW w:w="1188" w:type="dxa"/>
            <w:vAlign w:val="center"/>
          </w:tcPr>
          <w:p w:rsidR="00413A59" w:rsidRDefault="00CD2C02">
            <w:pPr>
              <w:jc w:val="right"/>
            </w:pPr>
            <w:r>
              <w:rPr>
                <w:rFonts w:asciiTheme="minorEastAsia" w:eastAsiaTheme="minorEastAsia" w:hAnsiTheme="minorEastAsia"/>
                <w:color w:val="000000" w:themeColor="text1"/>
                <w:szCs w:val="21"/>
              </w:rPr>
              <w:t>1.38%</w:t>
            </w:r>
          </w:p>
        </w:tc>
        <w:tc>
          <w:tcPr>
            <w:tcW w:w="1199" w:type="dxa"/>
            <w:vAlign w:val="center"/>
          </w:tcPr>
          <w:p w:rsidR="00413A59" w:rsidRDefault="00CD2C02">
            <w:pPr>
              <w:jc w:val="right"/>
            </w:pPr>
            <w:r>
              <w:rPr>
                <w:rFonts w:asciiTheme="minorEastAsia" w:eastAsiaTheme="minorEastAsia" w:hAnsiTheme="minorEastAsia"/>
                <w:color w:val="000000" w:themeColor="text1"/>
                <w:szCs w:val="21"/>
              </w:rPr>
              <w:t>0.84%</w:t>
            </w:r>
          </w:p>
        </w:tc>
        <w:tc>
          <w:tcPr>
            <w:tcW w:w="1204" w:type="dxa"/>
            <w:vAlign w:val="center"/>
          </w:tcPr>
          <w:p w:rsidR="00413A59" w:rsidRDefault="00CD2C02">
            <w:pPr>
              <w:jc w:val="right"/>
            </w:pPr>
            <w:r>
              <w:rPr>
                <w:rFonts w:asciiTheme="minorEastAsia" w:eastAsiaTheme="minorEastAsia" w:hAnsiTheme="minorEastAsia"/>
                <w:color w:val="000000" w:themeColor="text1"/>
                <w:szCs w:val="21"/>
              </w:rPr>
              <w:t>0.47%</w:t>
            </w:r>
          </w:p>
        </w:tc>
      </w:tr>
      <w:tr w:rsidR="00413A59">
        <w:tc>
          <w:tcPr>
            <w:tcW w:w="1395" w:type="dxa"/>
            <w:vAlign w:val="center"/>
          </w:tcPr>
          <w:p w:rsidR="00413A59" w:rsidRDefault="00CD2C02">
            <w:pPr>
              <w:jc w:val="left"/>
            </w:pPr>
            <w:r>
              <w:rPr>
                <w:rFonts w:asciiTheme="minorEastAsia" w:eastAsiaTheme="minorEastAsia" w:hAnsiTheme="minorEastAsia"/>
                <w:color w:val="000000" w:themeColor="text1"/>
                <w:szCs w:val="21"/>
              </w:rPr>
              <w:t>过去三年</w:t>
            </w:r>
          </w:p>
        </w:tc>
        <w:tc>
          <w:tcPr>
            <w:tcW w:w="1092" w:type="dxa"/>
            <w:vAlign w:val="center"/>
          </w:tcPr>
          <w:p w:rsidR="00413A59" w:rsidRDefault="00CD2C02">
            <w:pPr>
              <w:jc w:val="right"/>
            </w:pPr>
            <w:r>
              <w:rPr>
                <w:rFonts w:asciiTheme="minorEastAsia" w:eastAsiaTheme="minorEastAsia" w:hAnsiTheme="minorEastAsia"/>
                <w:color w:val="000000" w:themeColor="text1"/>
                <w:szCs w:val="21"/>
              </w:rPr>
              <w:t>-</w:t>
            </w:r>
          </w:p>
        </w:tc>
        <w:tc>
          <w:tcPr>
            <w:tcW w:w="1161" w:type="dxa"/>
            <w:vAlign w:val="center"/>
          </w:tcPr>
          <w:p w:rsidR="00413A59" w:rsidRDefault="00CD2C02">
            <w:pPr>
              <w:jc w:val="right"/>
            </w:pPr>
            <w:r>
              <w:rPr>
                <w:rFonts w:asciiTheme="minorEastAsia" w:eastAsiaTheme="minorEastAsia" w:hAnsiTheme="minorEastAsia"/>
                <w:color w:val="000000" w:themeColor="text1"/>
                <w:szCs w:val="21"/>
              </w:rPr>
              <w:t>-</w:t>
            </w:r>
          </w:p>
        </w:tc>
        <w:tc>
          <w:tcPr>
            <w:tcW w:w="1181" w:type="dxa"/>
            <w:vAlign w:val="center"/>
          </w:tcPr>
          <w:p w:rsidR="00413A59" w:rsidRDefault="00CD2C02">
            <w:pPr>
              <w:jc w:val="right"/>
            </w:pPr>
            <w:r>
              <w:rPr>
                <w:rFonts w:asciiTheme="minorEastAsia" w:eastAsiaTheme="minorEastAsia" w:hAnsiTheme="minorEastAsia"/>
                <w:color w:val="000000" w:themeColor="text1"/>
                <w:szCs w:val="21"/>
              </w:rPr>
              <w:t>-</w:t>
            </w:r>
          </w:p>
        </w:tc>
        <w:tc>
          <w:tcPr>
            <w:tcW w:w="1188" w:type="dxa"/>
            <w:vAlign w:val="center"/>
          </w:tcPr>
          <w:p w:rsidR="00413A59" w:rsidRDefault="00CD2C02">
            <w:pPr>
              <w:jc w:val="right"/>
            </w:pPr>
            <w:r>
              <w:rPr>
                <w:rFonts w:asciiTheme="minorEastAsia" w:eastAsiaTheme="minorEastAsia" w:hAnsiTheme="minorEastAsia"/>
                <w:color w:val="000000" w:themeColor="text1"/>
                <w:szCs w:val="21"/>
              </w:rPr>
              <w:t>-</w:t>
            </w:r>
          </w:p>
        </w:tc>
        <w:tc>
          <w:tcPr>
            <w:tcW w:w="1199" w:type="dxa"/>
            <w:vAlign w:val="center"/>
          </w:tcPr>
          <w:p w:rsidR="00413A59" w:rsidRDefault="00CD2C02">
            <w:pPr>
              <w:jc w:val="right"/>
            </w:pPr>
            <w:r>
              <w:rPr>
                <w:rFonts w:asciiTheme="minorEastAsia" w:eastAsiaTheme="minorEastAsia" w:hAnsiTheme="minorEastAsia"/>
                <w:color w:val="000000" w:themeColor="text1"/>
                <w:szCs w:val="21"/>
              </w:rPr>
              <w:t>-</w:t>
            </w:r>
          </w:p>
        </w:tc>
        <w:tc>
          <w:tcPr>
            <w:tcW w:w="1204" w:type="dxa"/>
            <w:vAlign w:val="center"/>
          </w:tcPr>
          <w:p w:rsidR="00413A59" w:rsidRDefault="00CD2C02">
            <w:pPr>
              <w:jc w:val="right"/>
            </w:pPr>
            <w:r>
              <w:rPr>
                <w:rFonts w:asciiTheme="minorEastAsia" w:eastAsiaTheme="minorEastAsia" w:hAnsiTheme="minorEastAsia"/>
                <w:color w:val="000000" w:themeColor="text1"/>
                <w:szCs w:val="21"/>
              </w:rPr>
              <w:t>-</w:t>
            </w:r>
          </w:p>
        </w:tc>
      </w:tr>
      <w:tr w:rsidR="00413A59">
        <w:tc>
          <w:tcPr>
            <w:tcW w:w="1395" w:type="dxa"/>
            <w:vAlign w:val="center"/>
          </w:tcPr>
          <w:p w:rsidR="00413A59" w:rsidRDefault="00CD2C02">
            <w:pPr>
              <w:jc w:val="left"/>
            </w:pPr>
            <w:r>
              <w:rPr>
                <w:rFonts w:asciiTheme="minorEastAsia" w:eastAsiaTheme="minorEastAsia" w:hAnsiTheme="minorEastAsia"/>
                <w:color w:val="000000" w:themeColor="text1"/>
                <w:szCs w:val="21"/>
              </w:rPr>
              <w:t>过去五年</w:t>
            </w:r>
          </w:p>
        </w:tc>
        <w:tc>
          <w:tcPr>
            <w:tcW w:w="1092" w:type="dxa"/>
            <w:vAlign w:val="center"/>
          </w:tcPr>
          <w:p w:rsidR="00413A59" w:rsidRDefault="00CD2C02">
            <w:pPr>
              <w:jc w:val="right"/>
            </w:pPr>
            <w:r>
              <w:rPr>
                <w:rFonts w:asciiTheme="minorEastAsia" w:eastAsiaTheme="minorEastAsia" w:hAnsiTheme="minorEastAsia"/>
                <w:color w:val="000000" w:themeColor="text1"/>
                <w:szCs w:val="21"/>
              </w:rPr>
              <w:t>-</w:t>
            </w:r>
          </w:p>
        </w:tc>
        <w:tc>
          <w:tcPr>
            <w:tcW w:w="1161" w:type="dxa"/>
            <w:vAlign w:val="center"/>
          </w:tcPr>
          <w:p w:rsidR="00413A59" w:rsidRDefault="00CD2C02">
            <w:pPr>
              <w:jc w:val="right"/>
            </w:pPr>
            <w:r>
              <w:rPr>
                <w:rFonts w:asciiTheme="minorEastAsia" w:eastAsiaTheme="minorEastAsia" w:hAnsiTheme="minorEastAsia"/>
                <w:color w:val="000000" w:themeColor="text1"/>
                <w:szCs w:val="21"/>
              </w:rPr>
              <w:t>-</w:t>
            </w:r>
          </w:p>
        </w:tc>
        <w:tc>
          <w:tcPr>
            <w:tcW w:w="1181" w:type="dxa"/>
            <w:vAlign w:val="center"/>
          </w:tcPr>
          <w:p w:rsidR="00413A59" w:rsidRDefault="00CD2C02">
            <w:pPr>
              <w:jc w:val="right"/>
            </w:pPr>
            <w:r>
              <w:rPr>
                <w:rFonts w:asciiTheme="minorEastAsia" w:eastAsiaTheme="minorEastAsia" w:hAnsiTheme="minorEastAsia"/>
                <w:color w:val="000000" w:themeColor="text1"/>
                <w:szCs w:val="21"/>
              </w:rPr>
              <w:t>-</w:t>
            </w:r>
          </w:p>
        </w:tc>
        <w:tc>
          <w:tcPr>
            <w:tcW w:w="1188" w:type="dxa"/>
            <w:vAlign w:val="center"/>
          </w:tcPr>
          <w:p w:rsidR="00413A59" w:rsidRDefault="00CD2C02">
            <w:pPr>
              <w:jc w:val="right"/>
            </w:pPr>
            <w:r>
              <w:rPr>
                <w:rFonts w:asciiTheme="minorEastAsia" w:eastAsiaTheme="minorEastAsia" w:hAnsiTheme="minorEastAsia"/>
                <w:color w:val="000000" w:themeColor="text1"/>
                <w:szCs w:val="21"/>
              </w:rPr>
              <w:t>-</w:t>
            </w:r>
          </w:p>
        </w:tc>
        <w:tc>
          <w:tcPr>
            <w:tcW w:w="1199" w:type="dxa"/>
            <w:vAlign w:val="center"/>
          </w:tcPr>
          <w:p w:rsidR="00413A59" w:rsidRDefault="00CD2C02">
            <w:pPr>
              <w:jc w:val="right"/>
            </w:pPr>
            <w:r>
              <w:rPr>
                <w:rFonts w:asciiTheme="minorEastAsia" w:eastAsiaTheme="minorEastAsia" w:hAnsiTheme="minorEastAsia"/>
                <w:color w:val="000000" w:themeColor="text1"/>
                <w:szCs w:val="21"/>
              </w:rPr>
              <w:t>-</w:t>
            </w:r>
          </w:p>
        </w:tc>
        <w:tc>
          <w:tcPr>
            <w:tcW w:w="1204" w:type="dxa"/>
            <w:vAlign w:val="center"/>
          </w:tcPr>
          <w:p w:rsidR="00413A59" w:rsidRDefault="00CD2C02">
            <w:pPr>
              <w:jc w:val="right"/>
            </w:pPr>
            <w:r>
              <w:rPr>
                <w:rFonts w:asciiTheme="minorEastAsia" w:eastAsiaTheme="minorEastAsia" w:hAnsiTheme="minorEastAsia"/>
                <w:color w:val="000000" w:themeColor="text1"/>
                <w:szCs w:val="21"/>
              </w:rPr>
              <w:t>-</w:t>
            </w:r>
          </w:p>
        </w:tc>
      </w:tr>
      <w:tr w:rsidR="00413A59">
        <w:tc>
          <w:tcPr>
            <w:tcW w:w="1395" w:type="dxa"/>
            <w:vAlign w:val="center"/>
          </w:tcPr>
          <w:p w:rsidR="00413A59" w:rsidRDefault="00CD2C02">
            <w:pPr>
              <w:jc w:val="left"/>
            </w:pPr>
            <w:r>
              <w:rPr>
                <w:rFonts w:asciiTheme="minorEastAsia" w:eastAsiaTheme="minorEastAsia" w:hAnsiTheme="minorEastAsia"/>
                <w:color w:val="000000" w:themeColor="text1"/>
                <w:szCs w:val="21"/>
              </w:rPr>
              <w:t>自基金合同生效起至今</w:t>
            </w:r>
          </w:p>
        </w:tc>
        <w:tc>
          <w:tcPr>
            <w:tcW w:w="1092" w:type="dxa"/>
            <w:vAlign w:val="center"/>
          </w:tcPr>
          <w:p w:rsidR="00413A59" w:rsidRDefault="00CD2C02">
            <w:pPr>
              <w:jc w:val="right"/>
            </w:pPr>
            <w:r>
              <w:rPr>
                <w:rFonts w:asciiTheme="minorEastAsia" w:eastAsiaTheme="minorEastAsia" w:hAnsiTheme="minorEastAsia"/>
                <w:color w:val="000000" w:themeColor="text1"/>
                <w:szCs w:val="21"/>
              </w:rPr>
              <w:t>120.39%</w:t>
            </w:r>
          </w:p>
        </w:tc>
        <w:tc>
          <w:tcPr>
            <w:tcW w:w="1161" w:type="dxa"/>
            <w:vAlign w:val="center"/>
          </w:tcPr>
          <w:p w:rsidR="00413A59" w:rsidRDefault="00CD2C02">
            <w:pPr>
              <w:jc w:val="right"/>
            </w:pPr>
            <w:r>
              <w:rPr>
                <w:rFonts w:asciiTheme="minorEastAsia" w:eastAsiaTheme="minorEastAsia" w:hAnsiTheme="minorEastAsia"/>
                <w:color w:val="000000" w:themeColor="text1"/>
                <w:szCs w:val="21"/>
              </w:rPr>
              <w:t>1.49%</w:t>
            </w:r>
          </w:p>
        </w:tc>
        <w:tc>
          <w:tcPr>
            <w:tcW w:w="1181" w:type="dxa"/>
            <w:vAlign w:val="center"/>
          </w:tcPr>
          <w:p w:rsidR="00413A59" w:rsidRDefault="00CD2C02">
            <w:pPr>
              <w:jc w:val="right"/>
            </w:pPr>
            <w:r>
              <w:rPr>
                <w:rFonts w:asciiTheme="minorEastAsia" w:eastAsiaTheme="minorEastAsia" w:hAnsiTheme="minorEastAsia"/>
                <w:color w:val="000000" w:themeColor="text1"/>
                <w:szCs w:val="21"/>
              </w:rPr>
              <w:t>57.79%</w:t>
            </w:r>
          </w:p>
        </w:tc>
        <w:tc>
          <w:tcPr>
            <w:tcW w:w="1188" w:type="dxa"/>
            <w:vAlign w:val="center"/>
          </w:tcPr>
          <w:p w:rsidR="00413A59" w:rsidRDefault="00CD2C02">
            <w:pPr>
              <w:jc w:val="right"/>
            </w:pPr>
            <w:r>
              <w:rPr>
                <w:rFonts w:asciiTheme="minorEastAsia" w:eastAsiaTheme="minorEastAsia" w:hAnsiTheme="minorEastAsia"/>
                <w:color w:val="000000" w:themeColor="text1"/>
                <w:szCs w:val="21"/>
              </w:rPr>
              <w:t>1.27%</w:t>
            </w:r>
          </w:p>
        </w:tc>
        <w:tc>
          <w:tcPr>
            <w:tcW w:w="1199" w:type="dxa"/>
            <w:vAlign w:val="center"/>
          </w:tcPr>
          <w:p w:rsidR="00413A59" w:rsidRDefault="00CD2C02">
            <w:pPr>
              <w:jc w:val="right"/>
            </w:pPr>
            <w:r>
              <w:rPr>
                <w:rFonts w:asciiTheme="minorEastAsia" w:eastAsiaTheme="minorEastAsia" w:hAnsiTheme="minorEastAsia"/>
                <w:color w:val="000000" w:themeColor="text1"/>
                <w:szCs w:val="21"/>
              </w:rPr>
              <w:t>62.60%</w:t>
            </w:r>
          </w:p>
        </w:tc>
        <w:tc>
          <w:tcPr>
            <w:tcW w:w="1204" w:type="dxa"/>
            <w:vAlign w:val="center"/>
          </w:tcPr>
          <w:p w:rsidR="00413A59" w:rsidRDefault="00CD2C02">
            <w:pPr>
              <w:jc w:val="right"/>
            </w:pPr>
            <w:r>
              <w:rPr>
                <w:rFonts w:asciiTheme="minorEastAsia" w:eastAsiaTheme="minorEastAsia" w:hAnsiTheme="minorEastAsia"/>
                <w:color w:val="000000" w:themeColor="text1"/>
                <w:szCs w:val="21"/>
              </w:rPr>
              <w:t>0.22%</w:t>
            </w:r>
          </w:p>
        </w:tc>
      </w:tr>
    </w:tbl>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3.2.2</w:t>
      </w:r>
      <w:r w:rsidRPr="008277FF">
        <w:rPr>
          <w:rFonts w:asciiTheme="minorEastAsia" w:eastAsiaTheme="minorEastAsia" w:hAnsiTheme="minorEastAsia" w:cs="Arial" w:hint="eastAsia"/>
          <w:b/>
          <w:color w:val="000000" w:themeColor="text1"/>
          <w:kern w:val="0"/>
          <w:sz w:val="24"/>
        </w:rPr>
        <w:t xml:space="preserve">　</w:t>
      </w:r>
      <w:r w:rsidR="009779FD" w:rsidRPr="008277FF">
        <w:rPr>
          <w:rStyle w:val="afb"/>
          <w:rFonts w:hint="eastAsia"/>
          <w:color w:val="000000" w:themeColor="text1"/>
          <w:sz w:val="24"/>
          <w:shd w:val="clear" w:color="auto" w:fill="FFFFFF"/>
        </w:rPr>
        <w:t>自基金转型以来</w:t>
      </w:r>
      <w:r w:rsidRPr="008277FF">
        <w:rPr>
          <w:rFonts w:asciiTheme="minorEastAsia" w:eastAsiaTheme="minorEastAsia" w:hAnsiTheme="minorEastAsia" w:cs="Arial" w:hint="eastAsia"/>
          <w:b/>
          <w:color w:val="000000" w:themeColor="text1"/>
          <w:kern w:val="0"/>
          <w:sz w:val="24"/>
        </w:rPr>
        <w:t>基金累计</w:t>
      </w:r>
      <w:r w:rsidR="004339D9" w:rsidRPr="008277FF">
        <w:rPr>
          <w:rFonts w:asciiTheme="minorEastAsia" w:eastAsiaTheme="minorEastAsia" w:hAnsiTheme="minorEastAsia" w:cs="Arial" w:hint="eastAsia"/>
          <w:b/>
          <w:color w:val="000000" w:themeColor="text1"/>
          <w:kern w:val="0"/>
          <w:sz w:val="24"/>
        </w:rPr>
        <w:t>份额</w:t>
      </w:r>
      <w:r w:rsidRPr="008277FF">
        <w:rPr>
          <w:rFonts w:asciiTheme="minorEastAsia" w:eastAsiaTheme="minorEastAsia" w:hAnsiTheme="minorEastAsia" w:cs="Arial" w:hint="eastAsia"/>
          <w:b/>
          <w:color w:val="000000" w:themeColor="text1"/>
          <w:kern w:val="0"/>
          <w:sz w:val="24"/>
        </w:rPr>
        <w:t>净值增长率变动及其与同期业绩比较基准收益率变动的比较</w:t>
      </w:r>
    </w:p>
    <w:p w:rsidR="00A96FD9" w:rsidRPr="008277FF" w:rsidRDefault="00A96FD9"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上投摩根中国生物医药混合型证券投资基金（QDII）</w:t>
      </w:r>
    </w:p>
    <w:p w:rsidR="00FB39F7" w:rsidRPr="008277FF" w:rsidRDefault="00FB39F7" w:rsidP="00EC4BA3">
      <w:pPr>
        <w:pStyle w:val="a5"/>
        <w:snapToGrid w:val="0"/>
        <w:spacing w:line="360" w:lineRule="auto"/>
        <w:ind w:firstLine="480"/>
        <w:jc w:val="center"/>
        <w:rPr>
          <w:rFonts w:asciiTheme="minorEastAsia" w:eastAsiaTheme="minorEastAsia" w:hAnsiTheme="minorEastAsia"/>
          <w:color w:val="000000" w:themeColor="text1"/>
        </w:rPr>
      </w:pPr>
      <w:r w:rsidRPr="008277FF">
        <w:rPr>
          <w:rFonts w:asciiTheme="minorEastAsia" w:eastAsiaTheme="minorEastAsia" w:hAnsiTheme="minorEastAsia"/>
          <w:color w:val="000000" w:themeColor="text1"/>
        </w:rPr>
        <w:t>累计</w:t>
      </w:r>
      <w:r w:rsidR="00C67DCB" w:rsidRPr="008277FF">
        <w:rPr>
          <w:rFonts w:asciiTheme="minorEastAsia" w:eastAsiaTheme="minorEastAsia" w:hAnsiTheme="minorEastAsia"/>
          <w:color w:val="000000" w:themeColor="text1"/>
        </w:rPr>
        <w:t>份额</w:t>
      </w:r>
      <w:r w:rsidRPr="008277FF">
        <w:rPr>
          <w:rFonts w:asciiTheme="minorEastAsia" w:eastAsiaTheme="minorEastAsia" w:hAnsiTheme="minorEastAsia"/>
          <w:color w:val="000000" w:themeColor="text1"/>
        </w:rPr>
        <w:t>净值增长率与业绩比较基准收益率历史走势对比图</w:t>
      </w:r>
    </w:p>
    <w:p w:rsidR="005908C0" w:rsidRPr="008277FF" w:rsidRDefault="005908C0"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kern w:val="0"/>
          <w:szCs w:val="21"/>
        </w:rPr>
        <w:t>（</w:t>
      </w:r>
      <w:r w:rsidR="00623556" w:rsidRPr="008277FF">
        <w:rPr>
          <w:rFonts w:asciiTheme="minorEastAsia" w:eastAsiaTheme="minorEastAsia" w:hAnsiTheme="minorEastAsia"/>
          <w:color w:val="000000" w:themeColor="text1"/>
          <w:kern w:val="0"/>
          <w:szCs w:val="21"/>
        </w:rPr>
        <w:t>2019年2月22日</w:t>
      </w:r>
      <w:r w:rsidRPr="008277FF">
        <w:rPr>
          <w:rFonts w:asciiTheme="minorEastAsia" w:eastAsiaTheme="minorEastAsia" w:hAnsiTheme="minorEastAsia" w:hint="eastAsia"/>
          <w:color w:val="000000" w:themeColor="text1"/>
          <w:kern w:val="0"/>
          <w:szCs w:val="21"/>
        </w:rPr>
        <w:t>至2021年3月31日）</w:t>
      </w:r>
    </w:p>
    <w:p w:rsidR="00A96FD9" w:rsidRPr="008277FF" w:rsidRDefault="004F16AD" w:rsidP="00A96FD9">
      <w:pPr>
        <w:tabs>
          <w:tab w:val="left" w:pos="1800"/>
        </w:tabs>
        <w:spacing w:line="360" w:lineRule="auto"/>
        <w:jc w:val="center"/>
        <w:rPr>
          <w:rFonts w:asciiTheme="minorEastAsia" w:eastAsiaTheme="minorEastAsia" w:hAnsiTheme="minorEastAsia"/>
          <w:color w:val="000000" w:themeColor="text1"/>
          <w:sz w:val="24"/>
        </w:rPr>
      </w:pPr>
      <w:r w:rsidRPr="008277FF">
        <w:rPr>
          <w:rFonts w:asciiTheme="minorEastAsia" w:eastAsiaTheme="minorEastAsia" w:hAnsiTheme="minorEastAsia"/>
          <w:noProof/>
          <w:color w:val="000000" w:themeColor="text1"/>
          <w:sz w:val="24"/>
        </w:rPr>
        <w:lastRenderedPageBreak/>
        <w:drawing>
          <wp:inline distT="0" distB="0" distL="0" distR="0" wp14:anchorId="5F51B6ED" wp14:editId="5CE3850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413A59" w:rsidRDefault="00CD2C02">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注：本基金合同生效日（转型日）为2019年2月22日，图示的时间段为合同生效日至本报告期末。</w:t>
      </w:r>
    </w:p>
    <w:p w:rsidR="00A96FD9" w:rsidRPr="008277FF" w:rsidRDefault="00A96FD9"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本基金建仓期为本基金合同生效日起 6 个月，建仓期结束时资产配置比例符合本基金基金合同规定。</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4  </w:t>
      </w:r>
      <w:r w:rsidRPr="008277FF">
        <w:rPr>
          <w:rFonts w:asciiTheme="minorEastAsia" w:eastAsiaTheme="minorEastAsia" w:hAnsiTheme="minorEastAsia" w:cs="Arial" w:hint="eastAsia"/>
          <w:color w:val="000000" w:themeColor="text1"/>
          <w:kern w:val="0"/>
          <w:sz w:val="24"/>
          <w:szCs w:val="24"/>
        </w:rPr>
        <w:t>管理人报告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4.1 </w:t>
      </w:r>
      <w:r w:rsidRPr="008277FF">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8277FF" w:rsidTr="00797DD2">
        <w:trPr>
          <w:cantSplit/>
          <w:trHeight w:val="292"/>
        </w:trPr>
        <w:tc>
          <w:tcPr>
            <w:tcW w:w="851"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姓名</w:t>
            </w:r>
          </w:p>
        </w:tc>
        <w:tc>
          <w:tcPr>
            <w:tcW w:w="850"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职务</w:t>
            </w:r>
          </w:p>
        </w:tc>
        <w:tc>
          <w:tcPr>
            <w:tcW w:w="3119" w:type="dxa"/>
            <w:gridSpan w:val="2"/>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任本基金的基金经理期限</w:t>
            </w:r>
          </w:p>
        </w:tc>
        <w:tc>
          <w:tcPr>
            <w:tcW w:w="1417" w:type="dxa"/>
            <w:vMerge w:val="restart"/>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证券从业年限</w:t>
            </w:r>
          </w:p>
        </w:tc>
        <w:tc>
          <w:tcPr>
            <w:tcW w:w="2694" w:type="dxa"/>
            <w:vMerge w:val="restart"/>
            <w:vAlign w:val="center"/>
          </w:tcPr>
          <w:p w:rsidR="007D1292" w:rsidRPr="008277FF" w:rsidRDefault="007D1292" w:rsidP="00797DD2">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说明</w:t>
            </w:r>
          </w:p>
        </w:tc>
      </w:tr>
      <w:tr w:rsidR="008277FF" w:rsidRPr="008277FF" w:rsidTr="00797DD2">
        <w:trPr>
          <w:cantSplit/>
        </w:trPr>
        <w:tc>
          <w:tcPr>
            <w:tcW w:w="851"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850"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1560"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任职日期</w:t>
            </w:r>
          </w:p>
        </w:tc>
        <w:tc>
          <w:tcPr>
            <w:tcW w:w="1559"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离任日期</w:t>
            </w:r>
          </w:p>
        </w:tc>
        <w:tc>
          <w:tcPr>
            <w:tcW w:w="1417"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c>
          <w:tcPr>
            <w:tcW w:w="2694"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r>
      <w:tr w:rsidR="00413A59">
        <w:tc>
          <w:tcPr>
            <w:tcW w:w="851" w:type="dxa"/>
            <w:vAlign w:val="center"/>
          </w:tcPr>
          <w:p w:rsidR="00413A59" w:rsidRDefault="00CD2C02">
            <w:pPr>
              <w:jc w:val="center"/>
            </w:pPr>
            <w:r>
              <w:rPr>
                <w:rFonts w:asciiTheme="minorEastAsia" w:eastAsiaTheme="minorEastAsia" w:hAnsiTheme="minorEastAsia"/>
                <w:color w:val="000000" w:themeColor="text1"/>
                <w:szCs w:val="21"/>
              </w:rPr>
              <w:t>方钰涵</w:t>
            </w:r>
          </w:p>
        </w:tc>
        <w:tc>
          <w:tcPr>
            <w:tcW w:w="850" w:type="dxa"/>
            <w:vAlign w:val="center"/>
          </w:tcPr>
          <w:p w:rsidR="00413A59" w:rsidRDefault="00CD2C02">
            <w:pPr>
              <w:jc w:val="center"/>
            </w:pPr>
            <w:r>
              <w:rPr>
                <w:rFonts w:asciiTheme="minorEastAsia" w:eastAsiaTheme="minorEastAsia" w:hAnsiTheme="minorEastAsia"/>
                <w:color w:val="000000" w:themeColor="text1"/>
                <w:szCs w:val="21"/>
              </w:rPr>
              <w:t>本基金基金经理</w:t>
            </w:r>
          </w:p>
        </w:tc>
        <w:tc>
          <w:tcPr>
            <w:tcW w:w="1560" w:type="dxa"/>
            <w:vAlign w:val="center"/>
          </w:tcPr>
          <w:p w:rsidR="00413A59" w:rsidRDefault="00CD2C02" w:rsidP="00CD2C02">
            <w:pPr>
              <w:jc w:val="center"/>
            </w:pPr>
            <w:r>
              <w:rPr>
                <w:rFonts w:asciiTheme="minorEastAsia" w:eastAsiaTheme="minorEastAsia" w:hAnsiTheme="minorEastAsia"/>
                <w:color w:val="000000" w:themeColor="text1"/>
                <w:szCs w:val="21"/>
              </w:rPr>
              <w:t>201</w:t>
            </w:r>
            <w:r>
              <w:rPr>
                <w:rFonts w:asciiTheme="minorEastAsia" w:eastAsiaTheme="minorEastAsia" w:hAnsiTheme="minorEastAsia" w:hint="eastAsia"/>
                <w:color w:val="000000" w:themeColor="text1"/>
                <w:szCs w:val="21"/>
              </w:rPr>
              <w:t>8</w:t>
            </w:r>
            <w:r>
              <w:rPr>
                <w:rFonts w:asciiTheme="minorEastAsia" w:eastAsiaTheme="minorEastAsia" w:hAnsiTheme="minorEastAsia"/>
                <w:color w:val="000000" w:themeColor="text1"/>
                <w:szCs w:val="21"/>
              </w:rPr>
              <w:t>-0</w:t>
            </w:r>
            <w:r>
              <w:rPr>
                <w:rFonts w:asciiTheme="minorEastAsia" w:eastAsiaTheme="minorEastAsia" w:hAnsiTheme="minorEastAsia" w:hint="eastAsia"/>
                <w:color w:val="000000" w:themeColor="text1"/>
                <w:szCs w:val="21"/>
              </w:rPr>
              <w:t>8</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03</w:t>
            </w:r>
          </w:p>
        </w:tc>
        <w:tc>
          <w:tcPr>
            <w:tcW w:w="1559" w:type="dxa"/>
            <w:vAlign w:val="center"/>
          </w:tcPr>
          <w:p w:rsidR="00413A59" w:rsidRDefault="00CD2C02">
            <w:pPr>
              <w:jc w:val="center"/>
            </w:pPr>
            <w:r>
              <w:rPr>
                <w:rFonts w:asciiTheme="minorEastAsia" w:eastAsiaTheme="minorEastAsia" w:hAnsiTheme="minorEastAsia"/>
                <w:color w:val="000000" w:themeColor="text1"/>
                <w:szCs w:val="21"/>
              </w:rPr>
              <w:t>-</w:t>
            </w:r>
          </w:p>
        </w:tc>
        <w:tc>
          <w:tcPr>
            <w:tcW w:w="1417" w:type="dxa"/>
            <w:vAlign w:val="center"/>
          </w:tcPr>
          <w:p w:rsidR="00413A59" w:rsidRDefault="00CD2C02">
            <w:pPr>
              <w:jc w:val="center"/>
            </w:pPr>
            <w:r>
              <w:rPr>
                <w:rFonts w:asciiTheme="minorEastAsia" w:eastAsiaTheme="minorEastAsia" w:hAnsiTheme="minorEastAsia"/>
                <w:color w:val="000000" w:themeColor="text1"/>
                <w:szCs w:val="21"/>
              </w:rPr>
              <w:t>8年</w:t>
            </w:r>
          </w:p>
        </w:tc>
        <w:tc>
          <w:tcPr>
            <w:tcW w:w="2694" w:type="dxa"/>
            <w:vAlign w:val="center"/>
          </w:tcPr>
          <w:p w:rsidR="00413A59" w:rsidRDefault="00CD2C02">
            <w:pPr>
              <w:jc w:val="left"/>
            </w:pPr>
            <w:r>
              <w:rPr>
                <w:rFonts w:asciiTheme="minorEastAsia" w:eastAsiaTheme="minorEastAsia" w:hAnsiTheme="minorEastAsia"/>
                <w:color w:val="000000" w:themeColor="text1"/>
                <w:szCs w:val="21"/>
              </w:rPr>
              <w:t>方钰涵女士，2013年3月至2014年8月在兴业证券资产管理有限公司担任研究员；2014年9月至2015年6月在国泰基金管理有限公司担任研究员；自2015年6月起加入上投摩根基金管理有限公司，先后担任行业专家、基金经理；自2018年8月起担任上投摩根中国生物医药混合型证券投资基金（QDII）（由上投摩根智慧生活灵活配置混合型证券投资基金转型而来）基</w:t>
            </w:r>
            <w:r>
              <w:rPr>
                <w:rFonts w:asciiTheme="minorEastAsia" w:eastAsiaTheme="minorEastAsia" w:hAnsiTheme="minorEastAsia"/>
                <w:color w:val="000000" w:themeColor="text1"/>
                <w:szCs w:val="21"/>
              </w:rPr>
              <w:lastRenderedPageBreak/>
              <w:t>金经理，自2019年8月起同时担任上投摩根医疗健康股票型证券投资基金基金经理。</w:t>
            </w:r>
          </w:p>
        </w:tc>
      </w:tr>
    </w:tbl>
    <w:p w:rsidR="00413A59" w:rsidRDefault="00CD2C02">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lastRenderedPageBreak/>
        <w:t>注：1.任职日期和离任日期均指根据公司决定确定的聘任日期和解聘日期。</w:t>
      </w:r>
    </w:p>
    <w:p w:rsidR="00A47E47" w:rsidRPr="008277FF" w:rsidRDefault="00A47E47"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2.证券从业的含义遵从行业协会《证券业从业人员资格管理办法》的相关规定。</w:t>
      </w:r>
    </w:p>
    <w:p w:rsidR="0076518F" w:rsidRPr="009B1E46"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B47E0" w:rsidRPr="008277FF" w:rsidRDefault="00FB47E0"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2</w:t>
      </w:r>
      <w:r w:rsidR="003508B0" w:rsidRPr="003508B0">
        <w:rPr>
          <w:rFonts w:hint="eastAsia"/>
          <w:b/>
          <w:color w:val="000000"/>
          <w:sz w:val="24"/>
          <w:shd w:val="clear" w:color="auto" w:fill="FFFFFF"/>
        </w:rPr>
        <w:t>管理人对报告期内本基金运作遵规守信情况的说明</w:t>
      </w:r>
    </w:p>
    <w:p w:rsidR="00363E15" w:rsidRPr="008277FF" w:rsidRDefault="00363E15"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中国生物医药混合型证券投资基金（QDII）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3</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公平交易专项说明</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3.1</w:t>
      </w:r>
      <w:r w:rsidRPr="008277FF">
        <w:rPr>
          <w:rFonts w:asciiTheme="minorEastAsia" w:eastAsiaTheme="minorEastAsia" w:hAnsiTheme="minorEastAsia" w:hint="eastAsia"/>
          <w:color w:val="000000" w:themeColor="text1"/>
          <w:sz w:val="24"/>
        </w:rPr>
        <w:t>公平交易制度的执行情况</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3</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异常交易行为的专项说明</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报告期内，通过对交易价格、交易时间、交易方向等的分析，未发现有可能导致不公平交易和利益输送的异常交易行为。</w:t>
      </w:r>
    </w:p>
    <w:p w:rsidR="001F3C28"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4</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报告期内基金的投资策略和业绩表现说明</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从估值和基本面两个角度回顾一季度的医药行业表现。估值上看，由于医药行业某些赛道较高的基本面确信度带来估值水平的提升后，整体隐含回报率有所下降，导致波动加大。基本面上看，CXO，生物科技，消费，服务的报表数据和未来展望向好，仍是医药行业投资的主旋律。 </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展望未来，一方面，我们看到生物科技公司2021-2022年将迎来多个研发里程碑事件；CXO龙头公司扩产加速，抢占全球市场份额；医疗消费和服务量价齐升，渗透率低，未被满足的需求较大。另外一方面，好资产加上好价格才是划算的投资。以上基本面趋好的赛道里，不同标的的长期估值反应程度并不相同，还有一些优质公司市场认知仍未充分。我们将加深研究深度，扩充核心池数目，在有预期差的地方寻找合理估值的长期标的，进一步分散组合风险，力争为投资者创造阿尔法。</w:t>
      </w:r>
    </w:p>
    <w:p w:rsidR="00B0116D"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本报告期中国生物医药份额净值增长率为:-3.10%，同期业绩比较基准收益率为:-1.78%。</w:t>
      </w:r>
    </w:p>
    <w:p w:rsidR="00D9766F" w:rsidRPr="008277FF" w:rsidRDefault="00D9766F" w:rsidP="00D9766F">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s="Arial"/>
          <w:b/>
          <w:color w:val="000000" w:themeColor="text1"/>
          <w:kern w:val="0"/>
          <w:sz w:val="24"/>
        </w:rPr>
        <w:t>4.</w:t>
      </w: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hint="eastAsia"/>
          <w:b/>
          <w:color w:val="000000" w:themeColor="text1"/>
          <w:kern w:val="0"/>
          <w:sz w:val="24"/>
        </w:rPr>
        <w:t>报告期内基金持有人数或基金资产净值预警说明</w:t>
      </w:r>
    </w:p>
    <w:p w:rsidR="00D9766F" w:rsidRPr="008277FF" w:rsidRDefault="00D9766F" w:rsidP="00D9766F">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无。</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5  </w:t>
      </w:r>
      <w:r w:rsidRPr="008277FF">
        <w:rPr>
          <w:rFonts w:asciiTheme="minorEastAsia" w:eastAsiaTheme="minorEastAsia" w:hAnsiTheme="minorEastAsia" w:cs="Arial" w:hint="eastAsia"/>
          <w:color w:val="000000" w:themeColor="text1"/>
          <w:kern w:val="0"/>
          <w:sz w:val="24"/>
          <w:szCs w:val="24"/>
        </w:rPr>
        <w:t>投资组合报告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5.1 </w:t>
      </w:r>
      <w:r w:rsidRPr="008277FF">
        <w:rPr>
          <w:rFonts w:asciiTheme="minorEastAsia" w:eastAsiaTheme="minorEastAsia" w:hAnsiTheme="minorEastAsia" w:cs="Arial" w:hint="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8277FF" w:rsidTr="00592EFF">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序号</w:t>
            </w:r>
          </w:p>
        </w:tc>
        <w:tc>
          <w:tcPr>
            <w:tcW w:w="4253"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项目</w:t>
            </w:r>
          </w:p>
        </w:tc>
        <w:tc>
          <w:tcPr>
            <w:tcW w:w="2835"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金额(</w:t>
            </w:r>
            <w:r w:rsidR="002655D4" w:rsidRPr="008277FF">
              <w:rPr>
                <w:rFonts w:asciiTheme="minorEastAsia" w:eastAsiaTheme="minorEastAsia" w:hAnsiTheme="minorEastAsia" w:hint="eastAsia"/>
                <w:color w:val="000000" w:themeColor="text1"/>
                <w:szCs w:val="21"/>
              </w:rPr>
              <w:t>人民币</w:t>
            </w:r>
            <w:r w:rsidRPr="008277FF">
              <w:rPr>
                <w:rFonts w:asciiTheme="minorEastAsia" w:eastAsiaTheme="minorEastAsia" w:hAnsiTheme="minorEastAsia" w:hint="eastAsia"/>
                <w:color w:val="000000" w:themeColor="text1"/>
                <w:szCs w:val="21"/>
              </w:rPr>
              <w:t>元)</w:t>
            </w:r>
          </w:p>
        </w:tc>
        <w:tc>
          <w:tcPr>
            <w:tcW w:w="1559"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占基金总资产的比例(</w:t>
            </w:r>
            <w:r w:rsidRPr="008277FF">
              <w:rPr>
                <w:rFonts w:asciiTheme="minorEastAsia" w:eastAsiaTheme="minorEastAsia" w:hAnsiTheme="minorEastAsia"/>
                <w:color w:val="000000" w:themeColor="text1"/>
                <w:szCs w:val="21"/>
              </w:rPr>
              <w:t>%</w:t>
            </w:r>
            <w:r w:rsidRPr="008277FF">
              <w:rPr>
                <w:rFonts w:asciiTheme="minorEastAsia" w:eastAsiaTheme="minorEastAsia" w:hAnsiTheme="minorEastAsia" w:hint="eastAsia"/>
                <w:color w:val="000000" w:themeColor="text1"/>
                <w:szCs w:val="21"/>
              </w:rPr>
              <w:t>)</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1</w:t>
            </w: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权益投资</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999,663,653.78</w:t>
            </w:r>
          </w:p>
        </w:tc>
        <w:tc>
          <w:tcPr>
            <w:tcW w:w="1559"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61.96</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w:t>
            </w:r>
            <w:r w:rsidR="00E462F4" w:rsidRPr="008277FF">
              <w:rPr>
                <w:rFonts w:asciiTheme="minorEastAsia" w:eastAsiaTheme="minorEastAsia" w:hAnsiTheme="minorEastAsia" w:hint="eastAsia"/>
                <w:color w:val="000000" w:themeColor="text1"/>
                <w:szCs w:val="21"/>
              </w:rPr>
              <w:t>普通股</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999,663,653.78</w:t>
            </w:r>
          </w:p>
        </w:tc>
        <w:tc>
          <w:tcPr>
            <w:tcW w:w="1559"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61.96</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firstLineChars="300" w:firstLine="630"/>
              <w:rPr>
                <w:rFonts w:asciiTheme="minorEastAsia" w:eastAsiaTheme="minorEastAsia" w:hAnsiTheme="minorEastAsia" w:cs="宋体"/>
                <w:color w:val="000000" w:themeColor="text1"/>
                <w:szCs w:val="21"/>
              </w:rPr>
            </w:pPr>
            <w:r w:rsidRPr="008277FF">
              <w:rPr>
                <w:rFonts w:asciiTheme="minorEastAsia" w:eastAsiaTheme="minorEastAsia" w:hAnsiTheme="minorEastAsia" w:hint="eastAsia"/>
                <w:color w:val="000000" w:themeColor="text1"/>
                <w:szCs w:val="21"/>
              </w:rPr>
              <w:t>存托凭证</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优先股</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房地产信托</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2</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基金投资</w:t>
            </w:r>
          </w:p>
        </w:tc>
        <w:tc>
          <w:tcPr>
            <w:tcW w:w="2835"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3</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固定收益投资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其中：债券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utoSpaceDE w:val="0"/>
              <w:autoSpaceDN w:val="0"/>
              <w:adjustRightInd w:val="0"/>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资产支持证券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4</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金融衍生品投资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其中：远期</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Del="00455464"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期货</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期权</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298" w:firstLine="626"/>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权证</w:t>
            </w:r>
          </w:p>
        </w:tc>
        <w:tc>
          <w:tcPr>
            <w:tcW w:w="2835"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5</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买入返售金融资产</w:t>
            </w:r>
          </w:p>
        </w:tc>
        <w:tc>
          <w:tcPr>
            <w:tcW w:w="2835"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其中：买断式回购的买入返售金融资产</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6</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货币市场工具</w:t>
            </w:r>
          </w:p>
        </w:tc>
        <w:tc>
          <w:tcPr>
            <w:tcW w:w="2835"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银行存款和结算备付金合计</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533,279,727.87</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33.05</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8</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其他各项资产</w:t>
            </w:r>
          </w:p>
        </w:tc>
        <w:tc>
          <w:tcPr>
            <w:tcW w:w="2835"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80,413,686.01</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4.98</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9</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合计</w:t>
            </w:r>
          </w:p>
        </w:tc>
        <w:tc>
          <w:tcPr>
            <w:tcW w:w="2835"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1,613,357,067.66</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100.00</w:t>
            </w:r>
          </w:p>
        </w:tc>
      </w:tr>
    </w:tbl>
    <w:p w:rsidR="00F512C0" w:rsidRPr="008277FF" w:rsidRDefault="00F512C0" w:rsidP="00363E15">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A82C02"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2</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8277FF" w:rsidTr="002C042C">
        <w:trPr>
          <w:jc w:val="center"/>
        </w:trPr>
        <w:tc>
          <w:tcPr>
            <w:tcW w:w="2410"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国家（地区）</w:t>
            </w:r>
          </w:p>
        </w:tc>
        <w:tc>
          <w:tcPr>
            <w:tcW w:w="3118"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w:t>
            </w:r>
            <w:r w:rsidRPr="008277FF">
              <w:rPr>
                <w:rFonts w:asciiTheme="minorEastAsia" w:eastAsiaTheme="minorEastAsia" w:hAnsiTheme="minorEastAsia" w:cs="Arial"/>
                <w:color w:val="000000" w:themeColor="text1"/>
                <w:kern w:val="0"/>
                <w:szCs w:val="21"/>
              </w:rPr>
              <w:t>(</w:t>
            </w:r>
            <w:r w:rsidRPr="008277FF">
              <w:rPr>
                <w:rFonts w:asciiTheme="minorEastAsia" w:eastAsiaTheme="minorEastAsia" w:hAnsiTheme="minorEastAsia" w:cs="Arial" w:hint="eastAsia"/>
                <w:color w:val="000000" w:themeColor="text1"/>
                <w:kern w:val="0"/>
                <w:szCs w:val="21"/>
              </w:rPr>
              <w:t>人民币元</w:t>
            </w:r>
            <w:r w:rsidRPr="008277FF">
              <w:rPr>
                <w:rFonts w:asciiTheme="minorEastAsia" w:eastAsiaTheme="minorEastAsia" w:hAnsiTheme="minorEastAsia" w:cs="Arial"/>
                <w:color w:val="000000" w:themeColor="text1"/>
                <w:kern w:val="0"/>
                <w:szCs w:val="21"/>
              </w:rPr>
              <w:t>)</w:t>
            </w:r>
          </w:p>
        </w:tc>
        <w:tc>
          <w:tcPr>
            <w:tcW w:w="3076"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413A59">
        <w:trPr>
          <w:jc w:val="center"/>
        </w:trPr>
        <w:tc>
          <w:tcPr>
            <w:tcW w:w="2410" w:type="dxa"/>
            <w:vAlign w:val="center"/>
          </w:tcPr>
          <w:p w:rsidR="00413A59" w:rsidRDefault="00CD2C02">
            <w:pPr>
              <w:jc w:val="left"/>
            </w:pPr>
            <w:r>
              <w:rPr>
                <w:rFonts w:asciiTheme="minorEastAsia" w:eastAsiaTheme="minorEastAsia" w:hAnsiTheme="minorEastAsia"/>
                <w:color w:val="000000" w:themeColor="text1"/>
                <w:szCs w:val="21"/>
              </w:rPr>
              <w:t>中国</w:t>
            </w:r>
          </w:p>
        </w:tc>
        <w:tc>
          <w:tcPr>
            <w:tcW w:w="3118" w:type="dxa"/>
            <w:vAlign w:val="center"/>
          </w:tcPr>
          <w:p w:rsidR="00413A59" w:rsidRDefault="00CD2C02">
            <w:pPr>
              <w:jc w:val="right"/>
            </w:pPr>
            <w:r>
              <w:rPr>
                <w:rFonts w:asciiTheme="minorEastAsia" w:eastAsiaTheme="minorEastAsia" w:hAnsiTheme="minorEastAsia"/>
                <w:color w:val="000000" w:themeColor="text1"/>
                <w:szCs w:val="21"/>
              </w:rPr>
              <w:t>661,454,049.05</w:t>
            </w:r>
          </w:p>
        </w:tc>
        <w:tc>
          <w:tcPr>
            <w:tcW w:w="3076" w:type="dxa"/>
            <w:vAlign w:val="center"/>
          </w:tcPr>
          <w:p w:rsidR="00413A59" w:rsidRDefault="00CD2C02">
            <w:pPr>
              <w:jc w:val="right"/>
            </w:pPr>
            <w:r>
              <w:rPr>
                <w:rFonts w:asciiTheme="minorEastAsia" w:eastAsiaTheme="minorEastAsia" w:hAnsiTheme="minorEastAsia"/>
                <w:color w:val="000000" w:themeColor="text1"/>
                <w:szCs w:val="21"/>
              </w:rPr>
              <w:t>42.18</w:t>
            </w:r>
          </w:p>
        </w:tc>
      </w:tr>
      <w:tr w:rsidR="00413A59">
        <w:trPr>
          <w:jc w:val="center"/>
        </w:trPr>
        <w:tc>
          <w:tcPr>
            <w:tcW w:w="2410" w:type="dxa"/>
            <w:vAlign w:val="center"/>
          </w:tcPr>
          <w:p w:rsidR="00413A59" w:rsidRDefault="00CD2C02">
            <w:pPr>
              <w:jc w:val="left"/>
            </w:pPr>
            <w:r>
              <w:rPr>
                <w:rFonts w:asciiTheme="minorEastAsia" w:eastAsiaTheme="minorEastAsia" w:hAnsiTheme="minorEastAsia"/>
                <w:color w:val="000000" w:themeColor="text1"/>
                <w:szCs w:val="21"/>
              </w:rPr>
              <w:t>中国香港</w:t>
            </w:r>
          </w:p>
        </w:tc>
        <w:tc>
          <w:tcPr>
            <w:tcW w:w="3118" w:type="dxa"/>
            <w:vAlign w:val="center"/>
          </w:tcPr>
          <w:p w:rsidR="00413A59" w:rsidRDefault="00CD2C02">
            <w:pPr>
              <w:jc w:val="right"/>
            </w:pPr>
            <w:r>
              <w:rPr>
                <w:rFonts w:asciiTheme="minorEastAsia" w:eastAsiaTheme="minorEastAsia" w:hAnsiTheme="minorEastAsia"/>
                <w:color w:val="000000" w:themeColor="text1"/>
                <w:szCs w:val="21"/>
              </w:rPr>
              <w:t>301,758,897.56</w:t>
            </w:r>
          </w:p>
        </w:tc>
        <w:tc>
          <w:tcPr>
            <w:tcW w:w="3076" w:type="dxa"/>
            <w:vAlign w:val="center"/>
          </w:tcPr>
          <w:p w:rsidR="00413A59" w:rsidRDefault="00CD2C02">
            <w:pPr>
              <w:jc w:val="right"/>
            </w:pPr>
            <w:r>
              <w:rPr>
                <w:rFonts w:asciiTheme="minorEastAsia" w:eastAsiaTheme="minorEastAsia" w:hAnsiTheme="minorEastAsia"/>
                <w:color w:val="000000" w:themeColor="text1"/>
                <w:szCs w:val="21"/>
              </w:rPr>
              <w:t>19.24</w:t>
            </w:r>
          </w:p>
        </w:tc>
      </w:tr>
      <w:tr w:rsidR="00413A59">
        <w:trPr>
          <w:jc w:val="center"/>
        </w:trPr>
        <w:tc>
          <w:tcPr>
            <w:tcW w:w="2410" w:type="dxa"/>
            <w:vAlign w:val="center"/>
          </w:tcPr>
          <w:p w:rsidR="00413A59" w:rsidRDefault="00CD2C02">
            <w:pPr>
              <w:jc w:val="left"/>
            </w:pPr>
            <w:r>
              <w:rPr>
                <w:rFonts w:asciiTheme="minorEastAsia" w:eastAsiaTheme="minorEastAsia" w:hAnsiTheme="minorEastAsia"/>
                <w:color w:val="000000" w:themeColor="text1"/>
                <w:szCs w:val="21"/>
              </w:rPr>
              <w:t>美国</w:t>
            </w:r>
          </w:p>
        </w:tc>
        <w:tc>
          <w:tcPr>
            <w:tcW w:w="3118" w:type="dxa"/>
            <w:vAlign w:val="center"/>
          </w:tcPr>
          <w:p w:rsidR="00413A59" w:rsidRDefault="00CD2C02">
            <w:pPr>
              <w:jc w:val="right"/>
            </w:pPr>
            <w:r>
              <w:rPr>
                <w:rFonts w:asciiTheme="minorEastAsia" w:eastAsiaTheme="minorEastAsia" w:hAnsiTheme="minorEastAsia"/>
                <w:color w:val="000000" w:themeColor="text1"/>
                <w:szCs w:val="21"/>
              </w:rPr>
              <w:t>36,450,707.17</w:t>
            </w:r>
          </w:p>
        </w:tc>
        <w:tc>
          <w:tcPr>
            <w:tcW w:w="3076" w:type="dxa"/>
            <w:vAlign w:val="center"/>
          </w:tcPr>
          <w:p w:rsidR="00413A59" w:rsidRDefault="00CD2C02">
            <w:pPr>
              <w:jc w:val="right"/>
            </w:pPr>
            <w:r>
              <w:rPr>
                <w:rFonts w:asciiTheme="minorEastAsia" w:eastAsiaTheme="minorEastAsia" w:hAnsiTheme="minorEastAsia"/>
                <w:color w:val="000000" w:themeColor="text1"/>
                <w:szCs w:val="21"/>
              </w:rPr>
              <w:t>2.32</w:t>
            </w:r>
          </w:p>
        </w:tc>
      </w:tr>
      <w:tr w:rsidR="008277FF" w:rsidRPr="008277FF" w:rsidTr="00877D98">
        <w:trPr>
          <w:jc w:val="center"/>
        </w:trPr>
        <w:tc>
          <w:tcPr>
            <w:tcW w:w="2410" w:type="dxa"/>
            <w:vAlign w:val="center"/>
          </w:tcPr>
          <w:p w:rsidR="002C042C" w:rsidRPr="008277FF" w:rsidRDefault="002C042C" w:rsidP="00877D98">
            <w:pPr>
              <w:autoSpaceDE w:val="0"/>
              <w:autoSpaceDN w:val="0"/>
              <w:adjustRightInd w:val="0"/>
              <w:spacing w:before="29" w:line="360" w:lineRule="auto"/>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合计</w:t>
            </w:r>
          </w:p>
        </w:tc>
        <w:tc>
          <w:tcPr>
            <w:tcW w:w="3118"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999,663,653.78</w:t>
            </w:r>
          </w:p>
        </w:tc>
        <w:tc>
          <w:tcPr>
            <w:tcW w:w="3076"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63.74</w:t>
            </w:r>
          </w:p>
        </w:tc>
      </w:tr>
    </w:tbl>
    <w:p w:rsidR="00363E15" w:rsidRPr="008277FF" w:rsidRDefault="00363E15" w:rsidP="00363E15">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注：国家（地区）类别根据其所在的证券交易所确定，ADR、GDR按照存托凭证本身挂牌的证券交易所确定。</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C37E98"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3</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8277FF" w:rsidTr="008B2EAD">
        <w:tc>
          <w:tcPr>
            <w:tcW w:w="2787"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行业类别</w:t>
            </w:r>
          </w:p>
        </w:tc>
        <w:tc>
          <w:tcPr>
            <w:tcW w:w="2551"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公允价值（人民币元）</w:t>
            </w:r>
          </w:p>
        </w:tc>
        <w:tc>
          <w:tcPr>
            <w:tcW w:w="3175"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413A59">
        <w:tc>
          <w:tcPr>
            <w:tcW w:w="2787" w:type="dxa"/>
            <w:vAlign w:val="center"/>
          </w:tcPr>
          <w:p w:rsidR="00413A59" w:rsidRDefault="00CD2C02">
            <w:pPr>
              <w:jc w:val="left"/>
            </w:pPr>
            <w:r>
              <w:rPr>
                <w:rFonts w:asciiTheme="minorEastAsia" w:eastAsiaTheme="minorEastAsia" w:hAnsiTheme="minorEastAsia"/>
                <w:color w:val="000000" w:themeColor="text1"/>
                <w:szCs w:val="21"/>
              </w:rPr>
              <w:t>生命科学工具和服务</w:t>
            </w:r>
          </w:p>
        </w:tc>
        <w:tc>
          <w:tcPr>
            <w:tcW w:w="2551" w:type="dxa"/>
            <w:vAlign w:val="center"/>
          </w:tcPr>
          <w:p w:rsidR="00413A59" w:rsidRDefault="00CD2C02">
            <w:pPr>
              <w:jc w:val="right"/>
            </w:pPr>
            <w:r>
              <w:rPr>
                <w:rFonts w:asciiTheme="minorEastAsia" w:eastAsiaTheme="minorEastAsia" w:hAnsiTheme="minorEastAsia"/>
                <w:color w:val="000000" w:themeColor="text1"/>
                <w:szCs w:val="21"/>
              </w:rPr>
              <w:t>354,943,408.11</w:t>
            </w:r>
          </w:p>
        </w:tc>
        <w:tc>
          <w:tcPr>
            <w:tcW w:w="3175" w:type="dxa"/>
            <w:vAlign w:val="center"/>
          </w:tcPr>
          <w:p w:rsidR="00413A59" w:rsidRDefault="00CD2C02">
            <w:pPr>
              <w:jc w:val="right"/>
            </w:pPr>
            <w:r>
              <w:rPr>
                <w:rFonts w:asciiTheme="minorEastAsia" w:eastAsiaTheme="minorEastAsia" w:hAnsiTheme="minorEastAsia"/>
                <w:color w:val="000000" w:themeColor="text1"/>
                <w:szCs w:val="21"/>
              </w:rPr>
              <w:t>22.63</w:t>
            </w:r>
          </w:p>
        </w:tc>
      </w:tr>
      <w:tr w:rsidR="00413A59">
        <w:tc>
          <w:tcPr>
            <w:tcW w:w="2787" w:type="dxa"/>
            <w:vAlign w:val="center"/>
          </w:tcPr>
          <w:p w:rsidR="00413A59" w:rsidRDefault="00CD2C02">
            <w:pPr>
              <w:jc w:val="left"/>
            </w:pPr>
            <w:r>
              <w:rPr>
                <w:rFonts w:asciiTheme="minorEastAsia" w:eastAsiaTheme="minorEastAsia" w:hAnsiTheme="minorEastAsia"/>
                <w:color w:val="000000" w:themeColor="text1"/>
                <w:szCs w:val="21"/>
              </w:rPr>
              <w:lastRenderedPageBreak/>
              <w:t>生物科技</w:t>
            </w:r>
          </w:p>
        </w:tc>
        <w:tc>
          <w:tcPr>
            <w:tcW w:w="2551" w:type="dxa"/>
            <w:vAlign w:val="center"/>
          </w:tcPr>
          <w:p w:rsidR="00413A59" w:rsidRDefault="00CD2C02">
            <w:pPr>
              <w:jc w:val="right"/>
            </w:pPr>
            <w:r>
              <w:rPr>
                <w:rFonts w:asciiTheme="minorEastAsia" w:eastAsiaTheme="minorEastAsia" w:hAnsiTheme="minorEastAsia"/>
                <w:color w:val="000000" w:themeColor="text1"/>
                <w:szCs w:val="21"/>
              </w:rPr>
              <w:t>270,322,349.20</w:t>
            </w:r>
          </w:p>
        </w:tc>
        <w:tc>
          <w:tcPr>
            <w:tcW w:w="3175" w:type="dxa"/>
            <w:vAlign w:val="center"/>
          </w:tcPr>
          <w:p w:rsidR="00413A59" w:rsidRDefault="00CD2C02">
            <w:pPr>
              <w:jc w:val="right"/>
            </w:pPr>
            <w:r>
              <w:rPr>
                <w:rFonts w:asciiTheme="minorEastAsia" w:eastAsiaTheme="minorEastAsia" w:hAnsiTheme="minorEastAsia"/>
                <w:color w:val="000000" w:themeColor="text1"/>
                <w:szCs w:val="21"/>
              </w:rPr>
              <w:t>17.24</w:t>
            </w:r>
          </w:p>
        </w:tc>
      </w:tr>
      <w:tr w:rsidR="00413A59">
        <w:tc>
          <w:tcPr>
            <w:tcW w:w="2787" w:type="dxa"/>
            <w:vAlign w:val="center"/>
          </w:tcPr>
          <w:p w:rsidR="00413A59" w:rsidRDefault="00CD2C02">
            <w:pPr>
              <w:jc w:val="left"/>
            </w:pPr>
            <w:r>
              <w:rPr>
                <w:rFonts w:asciiTheme="minorEastAsia" w:eastAsiaTheme="minorEastAsia" w:hAnsiTheme="minorEastAsia"/>
                <w:color w:val="000000" w:themeColor="text1"/>
                <w:szCs w:val="21"/>
              </w:rPr>
              <w:t>医疗保健设备与用品</w:t>
            </w:r>
          </w:p>
        </w:tc>
        <w:tc>
          <w:tcPr>
            <w:tcW w:w="2551" w:type="dxa"/>
            <w:vAlign w:val="center"/>
          </w:tcPr>
          <w:p w:rsidR="00413A59" w:rsidRDefault="00CD2C02">
            <w:pPr>
              <w:jc w:val="right"/>
            </w:pPr>
            <w:r>
              <w:rPr>
                <w:rFonts w:asciiTheme="minorEastAsia" w:eastAsiaTheme="minorEastAsia" w:hAnsiTheme="minorEastAsia"/>
                <w:color w:val="000000" w:themeColor="text1"/>
                <w:szCs w:val="21"/>
              </w:rPr>
              <w:t>98,173,205.12</w:t>
            </w:r>
          </w:p>
        </w:tc>
        <w:tc>
          <w:tcPr>
            <w:tcW w:w="3175" w:type="dxa"/>
            <w:vAlign w:val="center"/>
          </w:tcPr>
          <w:p w:rsidR="00413A59" w:rsidRDefault="00CD2C02">
            <w:pPr>
              <w:jc w:val="right"/>
            </w:pPr>
            <w:r>
              <w:rPr>
                <w:rFonts w:asciiTheme="minorEastAsia" w:eastAsiaTheme="minorEastAsia" w:hAnsiTheme="minorEastAsia"/>
                <w:color w:val="000000" w:themeColor="text1"/>
                <w:szCs w:val="21"/>
              </w:rPr>
              <w:t>6.26</w:t>
            </w:r>
          </w:p>
        </w:tc>
      </w:tr>
      <w:tr w:rsidR="00413A59">
        <w:tc>
          <w:tcPr>
            <w:tcW w:w="2787" w:type="dxa"/>
            <w:vAlign w:val="center"/>
          </w:tcPr>
          <w:p w:rsidR="00413A59" w:rsidRDefault="00CD2C02">
            <w:pPr>
              <w:jc w:val="left"/>
            </w:pPr>
            <w:r>
              <w:rPr>
                <w:rFonts w:asciiTheme="minorEastAsia" w:eastAsiaTheme="minorEastAsia" w:hAnsiTheme="minorEastAsia"/>
                <w:color w:val="000000" w:themeColor="text1"/>
                <w:szCs w:val="21"/>
              </w:rPr>
              <w:t>制药</w:t>
            </w:r>
          </w:p>
        </w:tc>
        <w:tc>
          <w:tcPr>
            <w:tcW w:w="2551" w:type="dxa"/>
            <w:vAlign w:val="center"/>
          </w:tcPr>
          <w:p w:rsidR="00413A59" w:rsidRDefault="00CD2C02">
            <w:pPr>
              <w:jc w:val="right"/>
            </w:pPr>
            <w:r>
              <w:rPr>
                <w:rFonts w:asciiTheme="minorEastAsia" w:eastAsiaTheme="minorEastAsia" w:hAnsiTheme="minorEastAsia"/>
                <w:color w:val="000000" w:themeColor="text1"/>
                <w:szCs w:val="21"/>
              </w:rPr>
              <w:t>96,499,150.16</w:t>
            </w:r>
          </w:p>
        </w:tc>
        <w:tc>
          <w:tcPr>
            <w:tcW w:w="3175" w:type="dxa"/>
            <w:vAlign w:val="center"/>
          </w:tcPr>
          <w:p w:rsidR="00413A59" w:rsidRDefault="00CD2C02">
            <w:pPr>
              <w:jc w:val="right"/>
            </w:pPr>
            <w:r>
              <w:rPr>
                <w:rFonts w:asciiTheme="minorEastAsia" w:eastAsiaTheme="minorEastAsia" w:hAnsiTheme="minorEastAsia"/>
                <w:color w:val="000000" w:themeColor="text1"/>
                <w:szCs w:val="21"/>
              </w:rPr>
              <w:t>6.15</w:t>
            </w:r>
          </w:p>
        </w:tc>
      </w:tr>
      <w:tr w:rsidR="00413A59">
        <w:tc>
          <w:tcPr>
            <w:tcW w:w="2787" w:type="dxa"/>
            <w:vAlign w:val="center"/>
          </w:tcPr>
          <w:p w:rsidR="00413A59" w:rsidRDefault="00CD2C02">
            <w:pPr>
              <w:jc w:val="left"/>
            </w:pPr>
            <w:r>
              <w:rPr>
                <w:rFonts w:asciiTheme="minorEastAsia" w:eastAsiaTheme="minorEastAsia" w:hAnsiTheme="minorEastAsia"/>
                <w:color w:val="000000" w:themeColor="text1"/>
                <w:szCs w:val="21"/>
              </w:rPr>
              <w:t>医疗保健提供商与服务</w:t>
            </w:r>
          </w:p>
        </w:tc>
        <w:tc>
          <w:tcPr>
            <w:tcW w:w="2551" w:type="dxa"/>
            <w:vAlign w:val="center"/>
          </w:tcPr>
          <w:p w:rsidR="00413A59" w:rsidRDefault="00CD2C02">
            <w:pPr>
              <w:jc w:val="right"/>
            </w:pPr>
            <w:r>
              <w:rPr>
                <w:rFonts w:asciiTheme="minorEastAsia" w:eastAsiaTheme="minorEastAsia" w:hAnsiTheme="minorEastAsia"/>
                <w:color w:val="000000" w:themeColor="text1"/>
                <w:szCs w:val="21"/>
              </w:rPr>
              <w:t>62,992,933.39</w:t>
            </w:r>
          </w:p>
        </w:tc>
        <w:tc>
          <w:tcPr>
            <w:tcW w:w="3175" w:type="dxa"/>
            <w:vAlign w:val="center"/>
          </w:tcPr>
          <w:p w:rsidR="00413A59" w:rsidRDefault="00CD2C02">
            <w:pPr>
              <w:jc w:val="right"/>
            </w:pPr>
            <w:r>
              <w:rPr>
                <w:rFonts w:asciiTheme="minorEastAsia" w:eastAsiaTheme="minorEastAsia" w:hAnsiTheme="minorEastAsia"/>
                <w:color w:val="000000" w:themeColor="text1"/>
                <w:szCs w:val="21"/>
              </w:rPr>
              <w:t>4.02</w:t>
            </w:r>
          </w:p>
        </w:tc>
      </w:tr>
      <w:tr w:rsidR="00413A59">
        <w:tc>
          <w:tcPr>
            <w:tcW w:w="2787" w:type="dxa"/>
            <w:vAlign w:val="center"/>
          </w:tcPr>
          <w:p w:rsidR="00413A59" w:rsidRDefault="00CD2C02">
            <w:pPr>
              <w:jc w:val="left"/>
            </w:pPr>
            <w:r>
              <w:rPr>
                <w:rFonts w:asciiTheme="minorEastAsia" w:eastAsiaTheme="minorEastAsia" w:hAnsiTheme="minorEastAsia"/>
                <w:color w:val="000000" w:themeColor="text1"/>
                <w:szCs w:val="21"/>
              </w:rPr>
              <w:t>互动媒体与服务Ⅲ</w:t>
            </w:r>
          </w:p>
        </w:tc>
        <w:tc>
          <w:tcPr>
            <w:tcW w:w="2551" w:type="dxa"/>
            <w:vAlign w:val="center"/>
          </w:tcPr>
          <w:p w:rsidR="00413A59" w:rsidRDefault="00CD2C02">
            <w:pPr>
              <w:jc w:val="right"/>
            </w:pPr>
            <w:r>
              <w:rPr>
                <w:rFonts w:asciiTheme="minorEastAsia" w:eastAsiaTheme="minorEastAsia" w:hAnsiTheme="minorEastAsia"/>
                <w:color w:val="000000" w:themeColor="text1"/>
                <w:szCs w:val="21"/>
              </w:rPr>
              <w:t>28,819,792.82</w:t>
            </w:r>
          </w:p>
        </w:tc>
        <w:tc>
          <w:tcPr>
            <w:tcW w:w="3175" w:type="dxa"/>
            <w:vAlign w:val="center"/>
          </w:tcPr>
          <w:p w:rsidR="00413A59" w:rsidRDefault="00CD2C02">
            <w:pPr>
              <w:jc w:val="right"/>
            </w:pPr>
            <w:r>
              <w:rPr>
                <w:rFonts w:asciiTheme="minorEastAsia" w:eastAsiaTheme="minorEastAsia" w:hAnsiTheme="minorEastAsia"/>
                <w:color w:val="000000" w:themeColor="text1"/>
                <w:szCs w:val="21"/>
              </w:rPr>
              <w:t>1.84</w:t>
            </w:r>
          </w:p>
        </w:tc>
      </w:tr>
      <w:tr w:rsidR="00413A59">
        <w:tc>
          <w:tcPr>
            <w:tcW w:w="2787" w:type="dxa"/>
            <w:vAlign w:val="center"/>
          </w:tcPr>
          <w:p w:rsidR="00413A59" w:rsidRDefault="00CD2C02">
            <w:pPr>
              <w:jc w:val="left"/>
            </w:pPr>
            <w:r>
              <w:rPr>
                <w:rFonts w:asciiTheme="minorEastAsia" w:eastAsiaTheme="minorEastAsia" w:hAnsiTheme="minorEastAsia"/>
                <w:color w:val="000000" w:themeColor="text1"/>
                <w:szCs w:val="21"/>
              </w:rPr>
              <w:t>家庭耐用消费品</w:t>
            </w:r>
          </w:p>
        </w:tc>
        <w:tc>
          <w:tcPr>
            <w:tcW w:w="2551" w:type="dxa"/>
            <w:vAlign w:val="center"/>
          </w:tcPr>
          <w:p w:rsidR="00413A59" w:rsidRDefault="00CD2C02">
            <w:pPr>
              <w:jc w:val="right"/>
            </w:pPr>
            <w:r>
              <w:rPr>
                <w:rFonts w:asciiTheme="minorEastAsia" w:eastAsiaTheme="minorEastAsia" w:hAnsiTheme="minorEastAsia"/>
                <w:color w:val="000000" w:themeColor="text1"/>
                <w:szCs w:val="21"/>
              </w:rPr>
              <w:t>25,067,160.00</w:t>
            </w:r>
          </w:p>
        </w:tc>
        <w:tc>
          <w:tcPr>
            <w:tcW w:w="3175" w:type="dxa"/>
            <w:vAlign w:val="center"/>
          </w:tcPr>
          <w:p w:rsidR="00413A59" w:rsidRDefault="00CD2C02">
            <w:pPr>
              <w:jc w:val="right"/>
            </w:pPr>
            <w:r>
              <w:rPr>
                <w:rFonts w:asciiTheme="minorEastAsia" w:eastAsiaTheme="minorEastAsia" w:hAnsiTheme="minorEastAsia"/>
                <w:color w:val="000000" w:themeColor="text1"/>
                <w:szCs w:val="21"/>
              </w:rPr>
              <w:t>1.60</w:t>
            </w:r>
          </w:p>
        </w:tc>
      </w:tr>
      <w:tr w:rsidR="00413A59">
        <w:tc>
          <w:tcPr>
            <w:tcW w:w="2787" w:type="dxa"/>
            <w:vAlign w:val="center"/>
          </w:tcPr>
          <w:p w:rsidR="00413A59" w:rsidRDefault="00CD2C02">
            <w:pPr>
              <w:jc w:val="left"/>
            </w:pPr>
            <w:r>
              <w:rPr>
                <w:rFonts w:asciiTheme="minorEastAsia" w:eastAsiaTheme="minorEastAsia" w:hAnsiTheme="minorEastAsia"/>
                <w:color w:val="000000" w:themeColor="text1"/>
                <w:szCs w:val="21"/>
              </w:rPr>
              <w:t>酒店、餐馆与休闲</w:t>
            </w:r>
          </w:p>
        </w:tc>
        <w:tc>
          <w:tcPr>
            <w:tcW w:w="2551" w:type="dxa"/>
            <w:vAlign w:val="center"/>
          </w:tcPr>
          <w:p w:rsidR="00413A59" w:rsidRDefault="00CD2C02">
            <w:pPr>
              <w:jc w:val="right"/>
            </w:pPr>
            <w:r>
              <w:rPr>
                <w:rFonts w:asciiTheme="minorEastAsia" w:eastAsiaTheme="minorEastAsia" w:hAnsiTheme="minorEastAsia"/>
                <w:color w:val="000000" w:themeColor="text1"/>
                <w:szCs w:val="21"/>
              </w:rPr>
              <w:t>24,796,566.98</w:t>
            </w:r>
          </w:p>
        </w:tc>
        <w:tc>
          <w:tcPr>
            <w:tcW w:w="3175" w:type="dxa"/>
            <w:vAlign w:val="center"/>
          </w:tcPr>
          <w:p w:rsidR="00413A59" w:rsidRDefault="00CD2C02">
            <w:pPr>
              <w:jc w:val="right"/>
            </w:pPr>
            <w:r>
              <w:rPr>
                <w:rFonts w:asciiTheme="minorEastAsia" w:eastAsiaTheme="minorEastAsia" w:hAnsiTheme="minorEastAsia"/>
                <w:color w:val="000000" w:themeColor="text1"/>
                <w:szCs w:val="21"/>
              </w:rPr>
              <w:t>1.58</w:t>
            </w:r>
          </w:p>
        </w:tc>
      </w:tr>
      <w:tr w:rsidR="00413A59">
        <w:tc>
          <w:tcPr>
            <w:tcW w:w="2787" w:type="dxa"/>
            <w:vAlign w:val="center"/>
          </w:tcPr>
          <w:p w:rsidR="00413A59" w:rsidRDefault="00CD2C02">
            <w:pPr>
              <w:jc w:val="left"/>
            </w:pPr>
            <w:r>
              <w:rPr>
                <w:rFonts w:asciiTheme="minorEastAsia" w:eastAsiaTheme="minorEastAsia" w:hAnsiTheme="minorEastAsia"/>
                <w:color w:val="000000" w:themeColor="text1"/>
                <w:szCs w:val="21"/>
              </w:rPr>
              <w:t>化学制品</w:t>
            </w:r>
          </w:p>
        </w:tc>
        <w:tc>
          <w:tcPr>
            <w:tcW w:w="2551" w:type="dxa"/>
            <w:vAlign w:val="center"/>
          </w:tcPr>
          <w:p w:rsidR="00413A59" w:rsidRDefault="00CD2C02">
            <w:pPr>
              <w:jc w:val="right"/>
            </w:pPr>
            <w:r>
              <w:rPr>
                <w:rFonts w:asciiTheme="minorEastAsia" w:eastAsiaTheme="minorEastAsia" w:hAnsiTheme="minorEastAsia"/>
                <w:color w:val="000000" w:themeColor="text1"/>
                <w:szCs w:val="21"/>
              </w:rPr>
              <w:t>15,311,076.00</w:t>
            </w:r>
          </w:p>
        </w:tc>
        <w:tc>
          <w:tcPr>
            <w:tcW w:w="3175" w:type="dxa"/>
            <w:vAlign w:val="center"/>
          </w:tcPr>
          <w:p w:rsidR="00413A59" w:rsidRDefault="00CD2C02">
            <w:pPr>
              <w:jc w:val="right"/>
            </w:pPr>
            <w:r>
              <w:rPr>
                <w:rFonts w:asciiTheme="minorEastAsia" w:eastAsiaTheme="minorEastAsia" w:hAnsiTheme="minorEastAsia"/>
                <w:color w:val="000000" w:themeColor="text1"/>
                <w:szCs w:val="21"/>
              </w:rPr>
              <w:t>0.98</w:t>
            </w:r>
          </w:p>
        </w:tc>
      </w:tr>
      <w:tr w:rsidR="00413A59">
        <w:tc>
          <w:tcPr>
            <w:tcW w:w="2787" w:type="dxa"/>
            <w:vAlign w:val="center"/>
          </w:tcPr>
          <w:p w:rsidR="00413A59" w:rsidRDefault="00CD2C02">
            <w:pPr>
              <w:jc w:val="left"/>
            </w:pPr>
            <w:r>
              <w:rPr>
                <w:rFonts w:asciiTheme="minorEastAsia" w:eastAsiaTheme="minorEastAsia" w:hAnsiTheme="minorEastAsia"/>
                <w:color w:val="000000" w:themeColor="text1"/>
                <w:szCs w:val="21"/>
              </w:rPr>
              <w:t>个人用品</w:t>
            </w:r>
          </w:p>
        </w:tc>
        <w:tc>
          <w:tcPr>
            <w:tcW w:w="2551" w:type="dxa"/>
            <w:vAlign w:val="center"/>
          </w:tcPr>
          <w:p w:rsidR="00413A59" w:rsidRDefault="00CD2C02">
            <w:pPr>
              <w:jc w:val="right"/>
            </w:pPr>
            <w:r>
              <w:rPr>
                <w:rFonts w:asciiTheme="minorEastAsia" w:eastAsiaTheme="minorEastAsia" w:hAnsiTheme="minorEastAsia"/>
                <w:color w:val="000000" w:themeColor="text1"/>
                <w:szCs w:val="21"/>
              </w:rPr>
              <w:t>14,965,084.00</w:t>
            </w:r>
          </w:p>
        </w:tc>
        <w:tc>
          <w:tcPr>
            <w:tcW w:w="3175" w:type="dxa"/>
            <w:vAlign w:val="center"/>
          </w:tcPr>
          <w:p w:rsidR="00413A59" w:rsidRDefault="00CD2C02">
            <w:pPr>
              <w:jc w:val="right"/>
            </w:pPr>
            <w:r>
              <w:rPr>
                <w:rFonts w:asciiTheme="minorEastAsia" w:eastAsiaTheme="minorEastAsia" w:hAnsiTheme="minorEastAsia"/>
                <w:color w:val="000000" w:themeColor="text1"/>
                <w:szCs w:val="21"/>
              </w:rPr>
              <w:t>0.95</w:t>
            </w:r>
          </w:p>
        </w:tc>
      </w:tr>
      <w:tr w:rsidR="00413A59">
        <w:tc>
          <w:tcPr>
            <w:tcW w:w="2787" w:type="dxa"/>
            <w:vAlign w:val="center"/>
          </w:tcPr>
          <w:p w:rsidR="00413A59" w:rsidRDefault="00CD2C02">
            <w:pPr>
              <w:jc w:val="left"/>
            </w:pPr>
            <w:r>
              <w:rPr>
                <w:rFonts w:asciiTheme="minorEastAsia" w:eastAsiaTheme="minorEastAsia" w:hAnsiTheme="minorEastAsia"/>
                <w:color w:val="000000" w:themeColor="text1"/>
                <w:szCs w:val="21"/>
              </w:rPr>
              <w:t>电子设备、仪器和元件</w:t>
            </w:r>
          </w:p>
        </w:tc>
        <w:tc>
          <w:tcPr>
            <w:tcW w:w="2551" w:type="dxa"/>
            <w:vAlign w:val="center"/>
          </w:tcPr>
          <w:p w:rsidR="00413A59" w:rsidRDefault="00CD2C02">
            <w:pPr>
              <w:jc w:val="right"/>
            </w:pPr>
            <w:r>
              <w:rPr>
                <w:rFonts w:asciiTheme="minorEastAsia" w:eastAsiaTheme="minorEastAsia" w:hAnsiTheme="minorEastAsia"/>
                <w:color w:val="000000" w:themeColor="text1"/>
                <w:szCs w:val="21"/>
              </w:rPr>
              <w:t>7,772,928.00</w:t>
            </w:r>
          </w:p>
        </w:tc>
        <w:tc>
          <w:tcPr>
            <w:tcW w:w="3175" w:type="dxa"/>
            <w:vAlign w:val="center"/>
          </w:tcPr>
          <w:p w:rsidR="00413A59" w:rsidRDefault="00CD2C02">
            <w:pPr>
              <w:jc w:val="right"/>
            </w:pPr>
            <w:r>
              <w:rPr>
                <w:rFonts w:asciiTheme="minorEastAsia" w:eastAsiaTheme="minorEastAsia" w:hAnsiTheme="minorEastAsia"/>
                <w:color w:val="000000" w:themeColor="text1"/>
                <w:szCs w:val="21"/>
              </w:rPr>
              <w:t>0.50</w:t>
            </w:r>
          </w:p>
        </w:tc>
      </w:tr>
      <w:tr w:rsidR="008277FF" w:rsidRPr="008277FF" w:rsidTr="00877D98">
        <w:tc>
          <w:tcPr>
            <w:tcW w:w="2787" w:type="dxa"/>
            <w:vAlign w:val="center"/>
          </w:tcPr>
          <w:p w:rsidR="00C37E98" w:rsidRPr="008277FF" w:rsidRDefault="00C37E98" w:rsidP="00877D98">
            <w:pPr>
              <w:autoSpaceDE w:val="0"/>
              <w:autoSpaceDN w:val="0"/>
              <w:adjustRightInd w:val="0"/>
              <w:spacing w:before="29" w:line="360" w:lineRule="auto"/>
              <w:ind w:left="15"/>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合计</w:t>
            </w:r>
          </w:p>
        </w:tc>
        <w:tc>
          <w:tcPr>
            <w:tcW w:w="2551" w:type="dxa"/>
            <w:vAlign w:val="center"/>
          </w:tcPr>
          <w:p w:rsidR="00C37E98" w:rsidRPr="008277FF" w:rsidRDefault="00C37E98" w:rsidP="00C9504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999,663,653.78</w:t>
            </w:r>
          </w:p>
        </w:tc>
        <w:tc>
          <w:tcPr>
            <w:tcW w:w="3175" w:type="dxa"/>
            <w:vAlign w:val="center"/>
          </w:tcPr>
          <w:p w:rsidR="00C37E98" w:rsidRPr="008277FF" w:rsidRDefault="00C37E98" w:rsidP="00C9504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63.74</w:t>
            </w:r>
          </w:p>
        </w:tc>
      </w:tr>
    </w:tbl>
    <w:p w:rsidR="005B6AC7"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注：行业分类标准：MSCI</w:t>
      </w:r>
    </w:p>
    <w:p w:rsidR="000A521D"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4</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40"/>
        <w:gridCol w:w="1476"/>
        <w:gridCol w:w="636"/>
        <w:gridCol w:w="846"/>
        <w:gridCol w:w="441"/>
        <w:gridCol w:w="651"/>
        <w:gridCol w:w="1476"/>
        <w:gridCol w:w="1686"/>
        <w:gridCol w:w="861"/>
      </w:tblGrid>
      <w:tr w:rsidR="008277FF" w:rsidRPr="008277FF" w:rsidTr="001C7D5D">
        <w:tc>
          <w:tcPr>
            <w:tcW w:w="794"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序号</w:t>
            </w:r>
          </w:p>
        </w:tc>
        <w:tc>
          <w:tcPr>
            <w:tcW w:w="974" w:type="dxa"/>
            <w:vAlign w:val="center"/>
          </w:tcPr>
          <w:p w:rsidR="001C7D5D" w:rsidRPr="008277FF" w:rsidRDefault="001C7D5D" w:rsidP="001C7D5D">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公司名称（英文）</w:t>
            </w:r>
          </w:p>
        </w:tc>
        <w:tc>
          <w:tcPr>
            <w:tcW w:w="1019" w:type="dxa"/>
            <w:vAlign w:val="center"/>
          </w:tcPr>
          <w:p w:rsidR="001C7D5D" w:rsidRPr="008277FF" w:rsidRDefault="001C7D5D" w:rsidP="00797DD2">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公司名称（中文）</w:t>
            </w:r>
          </w:p>
        </w:tc>
        <w:tc>
          <w:tcPr>
            <w:tcW w:w="703" w:type="dxa"/>
            <w:vAlign w:val="center"/>
          </w:tcPr>
          <w:p w:rsidR="001C7D5D" w:rsidRPr="008277FF" w:rsidRDefault="001C7D5D" w:rsidP="00797DD2">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证券代码</w:t>
            </w:r>
          </w:p>
        </w:tc>
        <w:tc>
          <w:tcPr>
            <w:tcW w:w="793"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所在证</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券市场</w:t>
            </w:r>
          </w:p>
        </w:tc>
        <w:tc>
          <w:tcPr>
            <w:tcW w:w="969"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所属国家</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（地区</w:t>
            </w:r>
            <w:r w:rsidRPr="008277FF">
              <w:rPr>
                <w:rFonts w:asciiTheme="minorEastAsia" w:eastAsiaTheme="minorEastAsia" w:hAnsiTheme="minorEastAsia" w:cs="Arial"/>
                <w:color w:val="000000" w:themeColor="text1"/>
                <w:kern w:val="0"/>
                <w:szCs w:val="21"/>
              </w:rPr>
              <w:t>)</w:t>
            </w:r>
          </w:p>
        </w:tc>
        <w:tc>
          <w:tcPr>
            <w:tcW w:w="1146"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数量</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（股）</w:t>
            </w:r>
          </w:p>
        </w:tc>
        <w:tc>
          <w:tcPr>
            <w:tcW w:w="969"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公允价值（人民币元）</w:t>
            </w:r>
          </w:p>
        </w:tc>
        <w:tc>
          <w:tcPr>
            <w:tcW w:w="1146"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413A59">
        <w:tc>
          <w:tcPr>
            <w:tcW w:w="0" w:type="auto"/>
            <w:vAlign w:val="center"/>
          </w:tcPr>
          <w:p w:rsidR="00413A59" w:rsidRDefault="00CD2C02">
            <w:pPr>
              <w:jc w:val="center"/>
            </w:pPr>
            <w:r>
              <w:rPr>
                <w:rFonts w:asciiTheme="minorEastAsia" w:eastAsiaTheme="minorEastAsia" w:hAnsiTheme="minorEastAsia"/>
                <w:color w:val="000000" w:themeColor="text1"/>
                <w:szCs w:val="21"/>
              </w:rPr>
              <w:t>1</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WuXi Apptec Co.,Ltd.</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药明康德</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603259</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上海证券交易所</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中国</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1,066,950.00</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149,586,390.00</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9.54</w:t>
            </w:r>
          </w:p>
        </w:tc>
      </w:tr>
      <w:tr w:rsidR="00413A59">
        <w:tc>
          <w:tcPr>
            <w:tcW w:w="0" w:type="auto"/>
            <w:vAlign w:val="center"/>
          </w:tcPr>
          <w:p w:rsidR="00413A59" w:rsidRDefault="00CD2C02">
            <w:pPr>
              <w:jc w:val="center"/>
            </w:pPr>
            <w:r>
              <w:rPr>
                <w:rFonts w:asciiTheme="minorEastAsia" w:eastAsiaTheme="minorEastAsia" w:hAnsiTheme="minorEastAsia"/>
                <w:color w:val="000000" w:themeColor="text1"/>
                <w:szCs w:val="21"/>
              </w:rPr>
              <w:t>2</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Pharmaron Beijing Co., Ltd.</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康龙化成</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300759</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深圳证券交易所</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中国</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856,328.00</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128,355,003.92</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8.18</w:t>
            </w:r>
          </w:p>
        </w:tc>
      </w:tr>
      <w:tr w:rsidR="00413A59">
        <w:tc>
          <w:tcPr>
            <w:tcW w:w="0" w:type="auto"/>
            <w:vAlign w:val="center"/>
          </w:tcPr>
          <w:p w:rsidR="00413A59" w:rsidRDefault="00CD2C02">
            <w:pPr>
              <w:jc w:val="center"/>
            </w:pPr>
            <w:r>
              <w:rPr>
                <w:rFonts w:asciiTheme="minorEastAsia" w:eastAsiaTheme="minorEastAsia" w:hAnsiTheme="minorEastAsia"/>
                <w:color w:val="000000" w:themeColor="text1"/>
                <w:szCs w:val="21"/>
              </w:rPr>
              <w:t>3</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 xml:space="preserve">Asymchem Laboratories (Tianjin) </w:t>
            </w:r>
            <w:r>
              <w:rPr>
                <w:rFonts w:asciiTheme="minorEastAsia" w:eastAsiaTheme="minorEastAsia" w:hAnsiTheme="minorEastAsia"/>
                <w:color w:val="000000" w:themeColor="text1"/>
                <w:szCs w:val="21"/>
              </w:rPr>
              <w:lastRenderedPageBreak/>
              <w:t>Co., Ltd.</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lastRenderedPageBreak/>
              <w:t>凯莱英</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002821</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深圳证</w:t>
            </w:r>
            <w:r>
              <w:rPr>
                <w:rFonts w:asciiTheme="minorEastAsia" w:eastAsiaTheme="minorEastAsia" w:hAnsiTheme="minorEastAsia"/>
                <w:color w:val="000000" w:themeColor="text1"/>
                <w:szCs w:val="21"/>
              </w:rPr>
              <w:lastRenderedPageBreak/>
              <w:t>券交易所</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lastRenderedPageBreak/>
              <w:t>中国</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315,368.00</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91,100,354.16</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5.81</w:t>
            </w:r>
          </w:p>
        </w:tc>
      </w:tr>
      <w:tr w:rsidR="00413A59">
        <w:tc>
          <w:tcPr>
            <w:tcW w:w="0" w:type="auto"/>
            <w:vAlign w:val="center"/>
          </w:tcPr>
          <w:p w:rsidR="00413A59" w:rsidRDefault="00CD2C02">
            <w:pPr>
              <w:jc w:val="center"/>
            </w:pPr>
            <w:r>
              <w:rPr>
                <w:rFonts w:asciiTheme="minorEastAsia" w:eastAsiaTheme="minorEastAsia" w:hAnsiTheme="minorEastAsia"/>
                <w:color w:val="000000" w:themeColor="text1"/>
                <w:szCs w:val="21"/>
              </w:rPr>
              <w:t>4</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Innovent Biologics Inc</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信达生物</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01801</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香港证券交易所</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中国香港</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1,298,500.00</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86,535,212.24</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5.52</w:t>
            </w:r>
          </w:p>
        </w:tc>
      </w:tr>
      <w:tr w:rsidR="00413A59">
        <w:tc>
          <w:tcPr>
            <w:tcW w:w="0" w:type="auto"/>
            <w:vAlign w:val="center"/>
          </w:tcPr>
          <w:p w:rsidR="00413A59" w:rsidRDefault="00CD2C02">
            <w:pPr>
              <w:jc w:val="center"/>
            </w:pPr>
            <w:r>
              <w:rPr>
                <w:rFonts w:asciiTheme="minorEastAsia" w:eastAsiaTheme="minorEastAsia" w:hAnsiTheme="minorEastAsia"/>
                <w:color w:val="000000" w:themeColor="text1"/>
                <w:szCs w:val="21"/>
              </w:rPr>
              <w:t>5</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Wuxi Biologics (Cayman) Inc</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药明生物</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02269</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香港证券交易所</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中国香港</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935,873.00</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77,002,014.19</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4.91</w:t>
            </w:r>
          </w:p>
        </w:tc>
      </w:tr>
      <w:tr w:rsidR="00413A59">
        <w:tc>
          <w:tcPr>
            <w:tcW w:w="0" w:type="auto"/>
            <w:vAlign w:val="center"/>
          </w:tcPr>
          <w:p w:rsidR="00413A59" w:rsidRDefault="00CD2C02">
            <w:pPr>
              <w:jc w:val="center"/>
            </w:pPr>
            <w:r>
              <w:rPr>
                <w:rFonts w:asciiTheme="minorEastAsia" w:eastAsiaTheme="minorEastAsia" w:hAnsiTheme="minorEastAsia"/>
                <w:color w:val="000000" w:themeColor="text1"/>
                <w:szCs w:val="21"/>
              </w:rPr>
              <w:t>6</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Guangzhou Kingmed Diagnostics Group Co,.Ltd.</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金域医学</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603882</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上海证券交易所</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中国</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481,392.00</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61,160,853.60</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3.90</w:t>
            </w:r>
          </w:p>
        </w:tc>
      </w:tr>
      <w:tr w:rsidR="00413A59">
        <w:tc>
          <w:tcPr>
            <w:tcW w:w="0" w:type="auto"/>
            <w:vAlign w:val="center"/>
          </w:tcPr>
          <w:p w:rsidR="00413A59" w:rsidRDefault="00CD2C02">
            <w:pPr>
              <w:jc w:val="center"/>
            </w:pPr>
            <w:r>
              <w:rPr>
                <w:rFonts w:asciiTheme="minorEastAsia" w:eastAsiaTheme="minorEastAsia" w:hAnsiTheme="minorEastAsia"/>
                <w:color w:val="000000" w:themeColor="text1"/>
                <w:szCs w:val="21"/>
              </w:rPr>
              <w:t>7</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Shenzhen Mindray Bio-Medical Electronics Co., Ltd.</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迈瑞医疗</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300760</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深圳证券交易所</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中国</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150,937.00</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60,240,466.07</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3.84</w:t>
            </w:r>
          </w:p>
        </w:tc>
      </w:tr>
      <w:tr w:rsidR="00413A59">
        <w:tc>
          <w:tcPr>
            <w:tcW w:w="0" w:type="auto"/>
            <w:vAlign w:val="center"/>
          </w:tcPr>
          <w:p w:rsidR="00413A59" w:rsidRDefault="00CD2C02">
            <w:pPr>
              <w:jc w:val="center"/>
            </w:pPr>
            <w:r>
              <w:rPr>
                <w:rFonts w:asciiTheme="minorEastAsia" w:eastAsiaTheme="minorEastAsia" w:hAnsiTheme="minorEastAsia"/>
                <w:color w:val="000000" w:themeColor="text1"/>
                <w:szCs w:val="21"/>
              </w:rPr>
              <w:t>8</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Shenzhen New Industries Biomedical Engineering Co.,Ltd.</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新产业</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300832</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深圳证券交易所</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中国</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494,000.00</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59,161,440.00</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3.77</w:t>
            </w:r>
          </w:p>
        </w:tc>
      </w:tr>
      <w:tr w:rsidR="00413A59">
        <w:tc>
          <w:tcPr>
            <w:tcW w:w="0" w:type="auto"/>
            <w:vAlign w:val="center"/>
          </w:tcPr>
          <w:p w:rsidR="00413A59" w:rsidRDefault="00CD2C02">
            <w:pPr>
              <w:jc w:val="center"/>
            </w:pPr>
            <w:r>
              <w:rPr>
                <w:rFonts w:asciiTheme="minorEastAsia" w:eastAsiaTheme="minorEastAsia" w:hAnsiTheme="minorEastAsia"/>
                <w:color w:val="000000" w:themeColor="text1"/>
                <w:szCs w:val="21"/>
              </w:rPr>
              <w:t>9</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Ascentage Pharma Group Inter Shares</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亚盛医药-B</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06855</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香港证券交</w:t>
            </w:r>
            <w:r>
              <w:rPr>
                <w:rFonts w:asciiTheme="minorEastAsia" w:eastAsiaTheme="minorEastAsia" w:hAnsiTheme="minorEastAsia"/>
                <w:color w:val="000000" w:themeColor="text1"/>
                <w:szCs w:val="21"/>
              </w:rPr>
              <w:lastRenderedPageBreak/>
              <w:t>易所</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lastRenderedPageBreak/>
              <w:t>中国香港</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1,677,500.00</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43,029,909.81</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2.74</w:t>
            </w:r>
          </w:p>
        </w:tc>
      </w:tr>
      <w:tr w:rsidR="00413A59">
        <w:tc>
          <w:tcPr>
            <w:tcW w:w="0" w:type="auto"/>
            <w:vAlign w:val="center"/>
          </w:tcPr>
          <w:p w:rsidR="00413A59" w:rsidRDefault="00CD2C02">
            <w:pPr>
              <w:jc w:val="center"/>
            </w:pPr>
            <w:r>
              <w:rPr>
                <w:rFonts w:asciiTheme="minorEastAsia" w:eastAsiaTheme="minorEastAsia" w:hAnsiTheme="minorEastAsia"/>
                <w:color w:val="000000" w:themeColor="text1"/>
                <w:szCs w:val="21"/>
              </w:rPr>
              <w:t>10</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I-Mab ADR</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天境生物</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IMAB</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美国纳斯达克市场</w:t>
            </w:r>
          </w:p>
        </w:tc>
        <w:tc>
          <w:tcPr>
            <w:tcW w:w="0" w:type="auto"/>
            <w:vAlign w:val="center"/>
          </w:tcPr>
          <w:p w:rsidR="00413A59" w:rsidRDefault="00CD2C02">
            <w:pPr>
              <w:jc w:val="center"/>
            </w:pPr>
            <w:r>
              <w:rPr>
                <w:rFonts w:asciiTheme="minorEastAsia" w:eastAsiaTheme="minorEastAsia" w:hAnsiTheme="minorEastAsia"/>
                <w:color w:val="000000" w:themeColor="text1"/>
                <w:szCs w:val="21"/>
              </w:rPr>
              <w:t>美国</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114,441.00</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36,450,707.17</w:t>
            </w:r>
          </w:p>
        </w:tc>
        <w:tc>
          <w:tcPr>
            <w:tcW w:w="0" w:type="auto"/>
            <w:vAlign w:val="center"/>
          </w:tcPr>
          <w:p w:rsidR="00413A59" w:rsidRDefault="00CD2C02">
            <w:pPr>
              <w:jc w:val="right"/>
            </w:pPr>
            <w:r>
              <w:rPr>
                <w:rFonts w:asciiTheme="minorEastAsia" w:eastAsiaTheme="minorEastAsia" w:hAnsiTheme="minorEastAsia"/>
                <w:color w:val="000000" w:themeColor="text1"/>
                <w:szCs w:val="21"/>
              </w:rPr>
              <w:t>2.32</w:t>
            </w:r>
          </w:p>
        </w:tc>
      </w:tr>
    </w:tbl>
    <w:p w:rsidR="00521EDE" w:rsidRPr="008277FF" w:rsidRDefault="00521EDE" w:rsidP="00890172">
      <w:pPr>
        <w:autoSpaceDE w:val="0"/>
        <w:autoSpaceDN w:val="0"/>
        <w:adjustRightInd w:val="0"/>
        <w:spacing w:before="29" w:line="360" w:lineRule="auto"/>
        <w:ind w:left="15"/>
        <w:jc w:val="left"/>
        <w:rPr>
          <w:rFonts w:asciiTheme="minorEastAsia" w:eastAsiaTheme="minorEastAsia" w:hAnsiTheme="minorEastAsia" w:cs="宋体"/>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报告期末按债券信用等级分类的债券投资组合</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6</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报告期末按公允价值占基金资产净值比例大小排名的前五名债券投资明细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7</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报告期末按公允价值占基金资产净值比例大小排名的前十名资产支持证券投资明细</w:t>
      </w:r>
    </w:p>
    <w:p w:rsidR="00521EDE" w:rsidRPr="008277FF" w:rsidRDefault="00521EDE"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本基金本报告期末未持有资产支持证券。</w:t>
      </w:r>
    </w:p>
    <w:p w:rsidR="005B6AC7" w:rsidRPr="008277FF" w:rsidRDefault="005B6AC7" w:rsidP="00521EDE">
      <w:pPr>
        <w:autoSpaceDE w:val="0"/>
        <w:autoSpaceDN w:val="0"/>
        <w:adjustRightInd w:val="0"/>
        <w:spacing w:before="29" w:line="360" w:lineRule="auto"/>
        <w:ind w:left="15"/>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8</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报告期末按公允价值占基金资产净值比例大小排名的前五名金融衍生品投资明细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本基金本报告期末未持有金融衍生品。</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22A61"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9</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w:t>
      </w:r>
      <w:r w:rsidR="0076518F" w:rsidRPr="008277FF">
        <w:rPr>
          <w:rFonts w:asciiTheme="minorEastAsia" w:eastAsiaTheme="minorEastAsia" w:hAnsiTheme="minorEastAsia" w:cs="Arial"/>
          <w:b/>
          <w:color w:val="000000" w:themeColor="text1"/>
          <w:kern w:val="0"/>
          <w:sz w:val="24"/>
        </w:rPr>
        <w:t>前</w:t>
      </w:r>
      <w:r w:rsidR="0076518F" w:rsidRPr="008277FF">
        <w:rPr>
          <w:rFonts w:asciiTheme="minorEastAsia" w:eastAsiaTheme="minorEastAsia" w:hAnsiTheme="minorEastAsia" w:cs="Arial" w:hint="eastAsia"/>
          <w:b/>
          <w:color w:val="000000" w:themeColor="text1"/>
          <w:kern w:val="0"/>
          <w:sz w:val="24"/>
        </w:rPr>
        <w:t>十名基金投资明细</w:t>
      </w:r>
    </w:p>
    <w:p w:rsidR="00521EDE" w:rsidRPr="008277FF" w:rsidRDefault="00521EDE"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本基金本报告期末未持有基金。</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55EA7"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10</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投资组合报告附注</w:t>
      </w:r>
    </w:p>
    <w:p w:rsidR="00B55EA7" w:rsidRPr="008277FF" w:rsidRDefault="00B55EA7" w:rsidP="000E3F11">
      <w:pPr>
        <w:widowControl/>
        <w:spacing w:line="360" w:lineRule="auto"/>
        <w:ind w:left="120" w:hangingChars="50" w:hanging="120"/>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t>5.10.1本基金投资的前十名证券的发行主体本期未出现被监管部门立案调查，或在报告编制日前一年内受到公开谴责、处罚的情形。</w:t>
      </w:r>
    </w:p>
    <w:p w:rsidR="00B55EA7" w:rsidRPr="008277FF" w:rsidRDefault="00B55EA7" w:rsidP="00B55EA7">
      <w:pPr>
        <w:widowControl/>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t>5.10.2报告期内本基金投资的前十名股票中没有在基金合同规定备选股票库之外的股票。</w:t>
      </w:r>
    </w:p>
    <w:p w:rsidR="0076518F" w:rsidRPr="008277FF" w:rsidRDefault="008C71EB"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lastRenderedPageBreak/>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.3</w:t>
      </w:r>
      <w:r w:rsidR="0076518F" w:rsidRPr="008277FF">
        <w:rPr>
          <w:rFonts w:asciiTheme="minorEastAsia" w:eastAsiaTheme="minorEastAsia" w:hAnsiTheme="minorEastAsia" w:cs="Arial" w:hint="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8277FF" w:rsidTr="004C05F3">
        <w:tc>
          <w:tcPr>
            <w:tcW w:w="802"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序号</w:t>
            </w:r>
          </w:p>
        </w:tc>
        <w:tc>
          <w:tcPr>
            <w:tcW w:w="2903"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名称</w:t>
            </w:r>
          </w:p>
        </w:tc>
        <w:tc>
          <w:tcPr>
            <w:tcW w:w="4808"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金额(</w:t>
            </w:r>
            <w:r w:rsidR="00C42431" w:rsidRPr="008277FF">
              <w:rPr>
                <w:rFonts w:asciiTheme="minorEastAsia" w:eastAsiaTheme="minorEastAsia" w:hAnsiTheme="minorEastAsia" w:cs="宋体" w:hint="eastAsia"/>
                <w:color w:val="000000" w:themeColor="text1"/>
                <w:kern w:val="0"/>
                <w:szCs w:val="21"/>
              </w:rPr>
              <w:t>人民币</w:t>
            </w:r>
            <w:r w:rsidRPr="008277FF">
              <w:rPr>
                <w:rFonts w:asciiTheme="minorEastAsia" w:eastAsiaTheme="minorEastAsia" w:hAnsiTheme="minorEastAsia" w:cs="宋体" w:hint="eastAsia"/>
                <w:color w:val="000000" w:themeColor="text1"/>
                <w:kern w:val="0"/>
                <w:szCs w:val="21"/>
              </w:rPr>
              <w:t>元)</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szCs w:val="21"/>
              </w:rPr>
              <w:t>1</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存出保证金</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21,621,842.19</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2</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41,581,182.03</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3</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应收股利</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4</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应收利息</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55,184.99</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5</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应收申购款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17,155,476.80</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6</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其他应收款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待摊费用</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8</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合计</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80,413,686.01</w:t>
            </w:r>
          </w:p>
        </w:tc>
      </w:tr>
    </w:tbl>
    <w:p w:rsidR="00A22D4B" w:rsidRPr="008277FF" w:rsidRDefault="00A22D4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.4</w:t>
      </w:r>
      <w:r w:rsidR="0076518F" w:rsidRPr="008277FF">
        <w:rPr>
          <w:rFonts w:asciiTheme="minorEastAsia" w:eastAsiaTheme="minorEastAsia" w:hAnsiTheme="minorEastAsia" w:cs="Arial" w:hint="eastAsia"/>
          <w:b/>
          <w:color w:val="000000" w:themeColor="text1"/>
          <w:kern w:val="0"/>
          <w:sz w:val="24"/>
        </w:rPr>
        <w:t>报告期末持有的处于转股期的可转换债券明细</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本基金本报告期末未持有处于转股期的可转换债券。</w:t>
      </w:r>
    </w:p>
    <w:p w:rsidR="009E3391" w:rsidRPr="008277FF" w:rsidRDefault="009E3391" w:rsidP="002236BC">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.5</w:t>
      </w:r>
      <w:r w:rsidR="0076518F" w:rsidRPr="008277FF">
        <w:rPr>
          <w:rFonts w:asciiTheme="minorEastAsia" w:eastAsiaTheme="minorEastAsia" w:hAnsiTheme="minorEastAsia" w:cs="Arial" w:hint="eastAsia"/>
          <w:b/>
          <w:color w:val="000000" w:themeColor="text1"/>
          <w:kern w:val="0"/>
          <w:sz w:val="24"/>
        </w:rPr>
        <w:t xml:space="preserve"> 报告期末前十名股票中存在流通受限情况的说明</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本基金本报告期末前十名股票中不存在流通受限情况。</w:t>
      </w:r>
    </w:p>
    <w:p w:rsidR="000E3B88" w:rsidRPr="008277FF" w:rsidRDefault="000E3B88" w:rsidP="002236BC">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.6</w:t>
      </w:r>
      <w:r w:rsidR="001C46E1" w:rsidRPr="008277FF">
        <w:rPr>
          <w:rFonts w:asciiTheme="minorEastAsia" w:eastAsiaTheme="minorEastAsia" w:hAnsiTheme="minorEastAsia" w:cs="Arial" w:hint="eastAsia"/>
          <w:b/>
          <w:color w:val="000000" w:themeColor="text1"/>
          <w:kern w:val="0"/>
          <w:sz w:val="24"/>
        </w:rPr>
        <w:t>投资组合报告附注的其他文字描述部分</w:t>
      </w:r>
    </w:p>
    <w:p w:rsidR="000A55BD" w:rsidRPr="008277FF" w:rsidRDefault="000A55BD" w:rsidP="009E3391">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因四舍五入的原因，投资组合报告中分项之和与合计数可能存在尾差。</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6  </w:t>
      </w:r>
      <w:r w:rsidRPr="008277FF">
        <w:rPr>
          <w:rFonts w:asciiTheme="minorEastAsia" w:eastAsiaTheme="minorEastAsia" w:hAnsiTheme="minorEastAsia" w:cs="Arial" w:hint="eastAsia"/>
          <w:color w:val="000000" w:themeColor="text1"/>
          <w:kern w:val="0"/>
          <w:sz w:val="24"/>
          <w:szCs w:val="24"/>
        </w:rPr>
        <w:t>开放式基金份额变动</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775,433,993.78</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t>报告期期间</w:t>
            </w:r>
            <w:r w:rsidR="004027BA" w:rsidRPr="008277FF">
              <w:rPr>
                <w:rFonts w:asciiTheme="minorEastAsia" w:eastAsiaTheme="minorEastAsia" w:hAnsiTheme="minorEastAsia" w:cs="宋体" w:hint="eastAsia"/>
                <w:color w:val="000000" w:themeColor="text1"/>
                <w:kern w:val="0"/>
                <w:szCs w:val="21"/>
              </w:rPr>
              <w:t>基金</w:t>
            </w:r>
            <w:r w:rsidR="008975BC" w:rsidRPr="008277FF">
              <w:rPr>
                <w:rFonts w:asciiTheme="minorEastAsia" w:eastAsiaTheme="minorEastAsia" w:hAnsiTheme="minorEastAsia" w:cs="宋体" w:hint="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285,865,456.50</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减：</w:t>
            </w:r>
            <w:r w:rsidR="00FB0D88" w:rsidRPr="008277FF">
              <w:rPr>
                <w:rFonts w:asciiTheme="minorEastAsia" w:eastAsiaTheme="minorEastAsia" w:hAnsiTheme="minorEastAsia" w:cs="宋体"/>
                <w:color w:val="000000" w:themeColor="text1"/>
                <w:kern w:val="0"/>
                <w:szCs w:val="21"/>
              </w:rPr>
              <w:t>报告期期间</w:t>
            </w:r>
            <w:r w:rsidRPr="008277FF">
              <w:rPr>
                <w:rFonts w:asciiTheme="minorEastAsia" w:eastAsiaTheme="minorEastAsia" w:hAnsiTheme="minorEastAsia" w:cs="宋体" w:hint="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349,725,576.44</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t>报告期期间</w:t>
            </w:r>
            <w:r w:rsidR="008975BC" w:rsidRPr="008277FF">
              <w:rPr>
                <w:rFonts w:asciiTheme="minorEastAsia" w:eastAsiaTheme="minorEastAsia" w:hAnsiTheme="minorEastAsia" w:cs="宋体" w:hint="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711,573,873.84</w:t>
            </w:r>
          </w:p>
        </w:tc>
      </w:tr>
    </w:tbl>
    <w:p w:rsidR="00BB5F3D" w:rsidRPr="00696B8B" w:rsidRDefault="00BB5F3D" w:rsidP="007449EE">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sidRPr="00696B8B">
        <w:rPr>
          <w:rFonts w:asciiTheme="minorEastAsia" w:eastAsiaTheme="minorEastAsia" w:hAnsiTheme="minorEastAsia" w:cs="Arial" w:hint="eastAsia"/>
          <w:color w:val="000000" w:themeColor="text1"/>
          <w:kern w:val="0"/>
          <w:sz w:val="24"/>
          <w:szCs w:val="24"/>
        </w:rPr>
        <w:lastRenderedPageBreak/>
        <w:t xml:space="preserve">§7  </w:t>
      </w:r>
      <w:r w:rsidRPr="00696B8B">
        <w:rPr>
          <w:rFonts w:ascii="方正仿宋简体" w:hint="eastAsia"/>
          <w:color w:val="000000" w:themeColor="text1"/>
          <w:sz w:val="24"/>
          <w:szCs w:val="24"/>
        </w:rPr>
        <w:t>基金管理人运用固有资金投资本基金情况</w:t>
      </w:r>
    </w:p>
    <w:p w:rsidR="00BB5F3D" w:rsidRPr="00696B8B" w:rsidRDefault="00BB5F3D" w:rsidP="00BB5F3D">
      <w:pPr>
        <w:spacing w:line="360" w:lineRule="auto"/>
        <w:jc w:val="left"/>
        <w:rPr>
          <w:color w:val="000000" w:themeColor="text1"/>
          <w:sz w:val="24"/>
        </w:rPr>
      </w:pPr>
      <w:r w:rsidRPr="00696B8B">
        <w:rPr>
          <w:b/>
          <w:color w:val="000000" w:themeColor="text1"/>
          <w:sz w:val="24"/>
        </w:rPr>
        <w:t xml:space="preserve">7.1 </w:t>
      </w:r>
      <w:r w:rsidRPr="00696B8B">
        <w:rPr>
          <w:rFonts w:hint="eastAsia"/>
          <w:b/>
          <w:color w:val="000000" w:themeColor="text1"/>
          <w:sz w:val="24"/>
        </w:rPr>
        <w:t>基金管理人持有本基金份额变动情况</w:t>
      </w:r>
    </w:p>
    <w:p w:rsidR="00BB5F3D" w:rsidRPr="00285ABF" w:rsidRDefault="00BB5F3D" w:rsidP="00BB5F3D">
      <w:pPr>
        <w:autoSpaceDE w:val="0"/>
        <w:autoSpaceDN w:val="0"/>
        <w:adjustRightInd w:val="0"/>
        <w:spacing w:line="360" w:lineRule="auto"/>
        <w:jc w:val="lef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无。</w:t>
      </w:r>
    </w:p>
    <w:p w:rsidR="00BB5F3D" w:rsidRPr="00285ABF" w:rsidRDefault="00BB5F3D" w:rsidP="00BB5F3D">
      <w:pPr>
        <w:autoSpaceDE w:val="0"/>
        <w:autoSpaceDN w:val="0"/>
        <w:adjustRightInd w:val="0"/>
        <w:spacing w:line="360" w:lineRule="auto"/>
        <w:jc w:val="left"/>
        <w:rPr>
          <w:rFonts w:asciiTheme="minorEastAsia" w:eastAsiaTheme="minorEastAsia" w:hAnsiTheme="minorEastAsia"/>
          <w:color w:val="000000" w:themeColor="text1"/>
          <w:szCs w:val="21"/>
        </w:rPr>
      </w:pPr>
    </w:p>
    <w:p w:rsidR="00BB5F3D" w:rsidRPr="003508B0" w:rsidRDefault="00BB5F3D" w:rsidP="00BB5F3D">
      <w:pPr>
        <w:spacing w:line="360" w:lineRule="auto"/>
        <w:jc w:val="left"/>
        <w:rPr>
          <w:rFonts w:asciiTheme="minorEastAsia" w:eastAsiaTheme="minorEastAsia" w:hAnsiTheme="minorEastAsia"/>
          <w:b/>
          <w:color w:val="000000" w:themeColor="text1"/>
          <w:sz w:val="24"/>
        </w:rPr>
      </w:pPr>
      <w:r w:rsidRPr="003508B0">
        <w:rPr>
          <w:rFonts w:asciiTheme="minorEastAsia" w:eastAsiaTheme="minorEastAsia" w:hAnsiTheme="minorEastAsia"/>
          <w:b/>
          <w:color w:val="000000" w:themeColor="text1"/>
          <w:sz w:val="24"/>
        </w:rPr>
        <w:t xml:space="preserve">7.2 </w:t>
      </w:r>
      <w:r w:rsidRPr="003508B0">
        <w:rPr>
          <w:rFonts w:asciiTheme="minorEastAsia" w:eastAsiaTheme="minorEastAsia" w:hAnsiTheme="minorEastAsia" w:hint="eastAsia"/>
          <w:b/>
          <w:color w:val="000000" w:themeColor="text1"/>
          <w:sz w:val="24"/>
        </w:rPr>
        <w:t>基金管理人运用固有资金投资本基金交易明细</w:t>
      </w:r>
    </w:p>
    <w:p w:rsidR="005E64DA" w:rsidRPr="008277FF" w:rsidRDefault="00BB5F3D" w:rsidP="005E64DA">
      <w:pPr>
        <w:autoSpaceDE w:val="0"/>
        <w:autoSpaceDN w:val="0"/>
        <w:adjustRightInd w:val="0"/>
        <w:spacing w:line="360" w:lineRule="auto"/>
        <w:jc w:val="left"/>
        <w:rPr>
          <w:rFonts w:asciiTheme="minorEastAsia" w:eastAsiaTheme="minorEastAsia" w:hAnsiTheme="minorEastAsia"/>
          <w:color w:val="000000" w:themeColor="text1"/>
          <w:szCs w:val="21"/>
        </w:rPr>
      </w:pPr>
      <w:r w:rsidRPr="00285ABF">
        <w:rPr>
          <w:rFonts w:asciiTheme="minorEastAsia" w:eastAsiaTheme="minorEastAsia" w:hAnsiTheme="minorEastAsia" w:hint="eastAsia"/>
          <w:color w:val="000000" w:themeColor="text1"/>
          <w:szCs w:val="21"/>
        </w:rPr>
        <w:t>无。</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002711AA" w:rsidRPr="008277FF">
        <w:rPr>
          <w:rFonts w:asciiTheme="minorEastAsia" w:eastAsiaTheme="minorEastAsia" w:hAnsiTheme="minorEastAsia" w:cs="Arial" w:hint="eastAsia"/>
          <w:color w:val="000000" w:themeColor="text1"/>
          <w:kern w:val="0"/>
          <w:sz w:val="24"/>
          <w:szCs w:val="24"/>
        </w:rPr>
        <w:t>8</w:t>
      </w:r>
      <w:r w:rsidRPr="008277FF">
        <w:rPr>
          <w:rFonts w:asciiTheme="minorEastAsia" w:eastAsiaTheme="minorEastAsia" w:hAnsiTheme="minorEastAsia" w:cs="Arial" w:hint="eastAsia"/>
          <w:color w:val="000000" w:themeColor="text1"/>
          <w:kern w:val="0"/>
          <w:sz w:val="24"/>
          <w:szCs w:val="24"/>
        </w:rPr>
        <w:t xml:space="preserve"> </w:t>
      </w:r>
      <w:r w:rsidRPr="008277FF">
        <w:rPr>
          <w:rFonts w:asciiTheme="minorEastAsia" w:eastAsiaTheme="minorEastAsia" w:hAnsiTheme="minorEastAsia" w:cs="Arial"/>
          <w:color w:val="000000" w:themeColor="text1"/>
          <w:kern w:val="0"/>
          <w:sz w:val="24"/>
          <w:szCs w:val="24"/>
        </w:rPr>
        <w:t>备查文件目录</w:t>
      </w: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1</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备查文件目录</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 中国证监会批准原上投摩根智慧生活灵活配置混合型证券投资基金设立的文件；</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原上投摩根智慧生活灵活配置混合型证券投资基金的基金合同；</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原上投摩根智慧生活灵活配置混合型证券投资基金的托管协议；</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中国证监会批准原上投摩根智慧生活灵活配置混合型证券投资基金变更注册为上投摩根中国生物医药混合型证券投资基金（QDII）的文件；</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上投摩根中国生物医药混合型证券投资基金（QDII）的基金合同；</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上投摩根中国生物医药混合型证券投资基金（QDII）的托管协议；</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《上投摩根开放式基金业务规则》；</w:t>
      </w:r>
    </w:p>
    <w:p w:rsidR="00413A59" w:rsidRDefault="00CD2C0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 基金管理人业务资格批件、营业执照；</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 基金托管人业务资格批件和营业执照。</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2</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存放地点</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基金管理人或基金托管人住所。</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3</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查阅方式</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投资者可在营业时间免费查阅，也可按工本费购买复印件。</w:t>
      </w: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A2EC6" w:rsidRPr="008277FF" w:rsidRDefault="008A2EC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975BC" w:rsidRPr="008277FF" w:rsidRDefault="008975BC"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上投摩根基金管理有限公司</w:t>
      </w:r>
    </w:p>
    <w:p w:rsidR="0076518F" w:rsidRPr="008277FF" w:rsidRDefault="00623556"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二〇二一年四月二十二日</w:t>
      </w:r>
    </w:p>
    <w:sectPr w:rsidR="0076518F" w:rsidRPr="008277FF"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18F" w:rsidRDefault="0093018F">
      <w:r>
        <w:separator/>
      </w:r>
    </w:p>
  </w:endnote>
  <w:endnote w:type="continuationSeparator" w:id="0">
    <w:p w:rsidR="0093018F" w:rsidRDefault="0093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D14A55">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D14A55">
      <w:rPr>
        <w:noProof/>
        <w:kern w:val="0"/>
        <w:szCs w:val="21"/>
      </w:rPr>
      <w:t>14</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D14A55">
      <w:rPr>
        <w:rStyle w:val="a8"/>
        <w:noProof/>
      </w:rPr>
      <w:t>2</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18F" w:rsidRDefault="0093018F">
      <w:r>
        <w:separator/>
      </w:r>
    </w:p>
  </w:footnote>
  <w:footnote w:type="continuationSeparator" w:id="0">
    <w:p w:rsidR="0093018F" w:rsidRDefault="0093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上投摩根中国生物医药混合型证券投资基金（</w:t>
    </w:r>
    <w:r w:rsidRPr="006669C9">
      <w:t>QDII</w:t>
    </w:r>
    <w:r w:rsidRPr="006669C9">
      <w:t>）</w:t>
    </w:r>
    <w:r w:rsidRPr="006669C9">
      <w:t>2021</w:t>
    </w:r>
    <w:r w:rsidRPr="006669C9">
      <w:t>年第</w:t>
    </w:r>
    <w:r w:rsidRPr="006669C9">
      <w:t>1</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3A59"/>
    <w:rsid w:val="00414827"/>
    <w:rsid w:val="00416C10"/>
    <w:rsid w:val="00420007"/>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25F4"/>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D2C02"/>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14A55"/>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33</TotalTime>
  <Pages>14</Pages>
  <Words>1065</Words>
  <Characters>6077</Characters>
  <Application>Microsoft Office Word</Application>
  <DocSecurity>0</DocSecurity>
  <Lines>50</Lines>
  <Paragraphs>14</Paragraphs>
  <ScaleCrop>false</ScaleCrop>
  <Company>TRT. Ltd. Co.</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Trowa.Ding@FA</cp:lastModifiedBy>
  <cp:revision>18</cp:revision>
  <cp:lastPrinted>2007-07-19T00:46:00Z</cp:lastPrinted>
  <dcterms:created xsi:type="dcterms:W3CDTF">2014-12-16T02:40:00Z</dcterms:created>
  <dcterms:modified xsi:type="dcterms:W3CDTF">2021-04-20T09:45:00Z</dcterms:modified>
</cp:coreProperties>
</file>