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上投摩根中国生物医药混合型证券投资基金（QDII）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2019年第3季度报告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2019年9月30日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二〇一九年十月二十五日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基金托管人中国银行股份有限公司根据本基金合同规定，于</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24</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Cs w:val="21"/>
        </w:rPr>
        <w:t xml:space="preserve"> </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本报告期自2019年7月1日起至9月30日止。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上投摩根中国生物医药混合（QDII）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001984</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001984</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2019年2月22日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175,126,576.55</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采用“自下而上”的策略，通过系统和深入的基本面研究和跨市场估值优势的挖掘，优选在中国境内、香港及美国等市场上市的中国生物医药类公司构建股票投资组合，并辅以严格的投资组合风险控制，以获得中长期的</w:t>
            </w:r>
            <w:r w:rsidRPr="008277FF">
              <w:rPr>
                <w:rFonts w:asciiTheme="minorEastAsia" w:eastAsiaTheme="minorEastAsia" w:hAnsiTheme="minorEastAsia"/>
                <w:color w:val="000000" w:themeColor="text1"/>
                <w:kern w:val="0"/>
                <w:szCs w:val="21"/>
              </w:rPr>
              <w:lastRenderedPageBreak/>
              <w:t>较高投资收益。本基金主要投资于生物医药行业相关的中国公司股票。其中“中国公司”是指满足以下三个条件之一的上市公司：1）上市公司注册地在中国（包含中国内地及香港）；2）上市公司至少50%的主营业务收入或利润来自于中国；3）上市公司的主要经营活动在中国。本基金所定义的生物医药行业由研究开发、生产和销售用于预防、诊断和治疗疾病的生物医药相关产品或服务的上市公司组成，将主要包含主营业务为生物医药行业相关的上市公司，前述生物医药行业包括化学制药、中药、生物制药、医药商业、医疗服务、医疗器械等。</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申银万国医药生物行业指数收益率×45%+恒生医疗保健行业指数收益率×35%+中债总指数收益率×20%</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607640" w:rsidRDefault="0056195C">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本基金属于混合型基金产品，预期风险和收益</w:t>
            </w:r>
            <w:r>
              <w:rPr>
                <w:rFonts w:asciiTheme="minorEastAsia" w:eastAsiaTheme="minorEastAsia" w:hAnsiTheme="minorEastAsia"/>
                <w:color w:val="000000" w:themeColor="text1"/>
                <w:kern w:val="0"/>
                <w:szCs w:val="21"/>
              </w:rPr>
              <w:t>水平高于债券型基金和货币市场基金。</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中国银行股份有限公司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Bank of China (Hong Kong)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中国银行(香港)有限公司</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56195C" w:rsidRPr="008277FF" w:rsidTr="0056195C">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2019年7月1日-2019年9月30日</w:t>
            </w:r>
            <w:r w:rsidRPr="008277FF">
              <w:rPr>
                <w:rFonts w:asciiTheme="minorEastAsia" w:eastAsiaTheme="minorEastAsia" w:hAnsiTheme="minorEastAsia" w:cs="宋体" w:hint="eastAsia"/>
                <w:color w:val="000000" w:themeColor="text1"/>
                <w:szCs w:val="21"/>
              </w:rPr>
              <w:t>)</w:t>
            </w:r>
          </w:p>
        </w:tc>
      </w:tr>
      <w:tr w:rsidR="0056195C" w:rsidRPr="008277FF" w:rsidTr="0056195C">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24,209,106.97</w:t>
            </w:r>
          </w:p>
        </w:tc>
      </w:tr>
      <w:tr w:rsidR="0056195C" w:rsidRPr="008277FF" w:rsidTr="0056195C">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39,011,990.55</w:t>
            </w:r>
          </w:p>
        </w:tc>
      </w:tr>
      <w:tr w:rsidR="0056195C" w:rsidRPr="008277FF" w:rsidTr="0056195C">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lastRenderedPageBreak/>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0.0782</w:t>
            </w:r>
          </w:p>
        </w:tc>
      </w:tr>
      <w:tr w:rsidR="0056195C" w:rsidRPr="008277FF" w:rsidTr="0056195C">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219,332,938.99</w:t>
            </w:r>
          </w:p>
        </w:tc>
      </w:tr>
      <w:tr w:rsidR="0056195C" w:rsidRPr="008277FF" w:rsidTr="0056195C">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1.2524</w:t>
            </w:r>
          </w:p>
        </w:tc>
      </w:tr>
    </w:tbl>
    <w:p w:rsidR="00607640" w:rsidRDefault="0056195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注：注：本期已实现收益指基金本期利息收入、投资收益、其他收入（不含公允价值变动收益）扣除相关费用后的余额，本期利润为本期已实现收益加上本期公允价值变动收益。</w:t>
      </w:r>
    </w:p>
    <w:p w:rsidR="007D1292" w:rsidRPr="008277FF" w:rsidRDefault="007D1292"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上述基金业绩指标不包括持有人认购或交易基金的各项费用，计入费用后实际收益水平要低于所列数字。</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607640">
        <w:tc>
          <w:tcPr>
            <w:tcW w:w="1395" w:type="dxa"/>
            <w:vAlign w:val="center"/>
          </w:tcPr>
          <w:p w:rsidR="00607640" w:rsidRDefault="0056195C">
            <w:pPr>
              <w:jc w:val="left"/>
            </w:pPr>
            <w:r>
              <w:rPr>
                <w:rFonts w:asciiTheme="minorEastAsia" w:eastAsiaTheme="minorEastAsia" w:hAnsiTheme="minorEastAsia"/>
                <w:color w:val="000000" w:themeColor="text1"/>
                <w:szCs w:val="21"/>
              </w:rPr>
              <w:t>过去三个月</w:t>
            </w:r>
          </w:p>
        </w:tc>
        <w:tc>
          <w:tcPr>
            <w:tcW w:w="1092" w:type="dxa"/>
            <w:vAlign w:val="center"/>
          </w:tcPr>
          <w:p w:rsidR="00607640" w:rsidRDefault="0056195C">
            <w:pPr>
              <w:jc w:val="right"/>
            </w:pPr>
            <w:r>
              <w:rPr>
                <w:rFonts w:asciiTheme="minorEastAsia" w:eastAsiaTheme="minorEastAsia" w:hAnsiTheme="minorEastAsia"/>
                <w:color w:val="000000" w:themeColor="text1"/>
                <w:szCs w:val="21"/>
              </w:rPr>
              <w:t>18.24%</w:t>
            </w:r>
          </w:p>
        </w:tc>
        <w:tc>
          <w:tcPr>
            <w:tcW w:w="1161" w:type="dxa"/>
            <w:vAlign w:val="center"/>
          </w:tcPr>
          <w:p w:rsidR="00607640" w:rsidRDefault="0056195C">
            <w:pPr>
              <w:jc w:val="right"/>
            </w:pPr>
            <w:r>
              <w:rPr>
                <w:rFonts w:asciiTheme="minorEastAsia" w:eastAsiaTheme="minorEastAsia" w:hAnsiTheme="minorEastAsia"/>
                <w:color w:val="000000" w:themeColor="text1"/>
                <w:szCs w:val="21"/>
              </w:rPr>
              <w:t>0.90%</w:t>
            </w:r>
          </w:p>
        </w:tc>
        <w:tc>
          <w:tcPr>
            <w:tcW w:w="1181" w:type="dxa"/>
            <w:vAlign w:val="center"/>
          </w:tcPr>
          <w:p w:rsidR="00607640" w:rsidRDefault="0056195C">
            <w:pPr>
              <w:jc w:val="right"/>
            </w:pPr>
            <w:r>
              <w:rPr>
                <w:rFonts w:asciiTheme="minorEastAsia" w:eastAsiaTheme="minorEastAsia" w:hAnsiTheme="minorEastAsia"/>
                <w:color w:val="000000" w:themeColor="text1"/>
                <w:szCs w:val="21"/>
              </w:rPr>
              <w:t>4.74%</w:t>
            </w:r>
          </w:p>
        </w:tc>
        <w:tc>
          <w:tcPr>
            <w:tcW w:w="1188" w:type="dxa"/>
            <w:vAlign w:val="center"/>
          </w:tcPr>
          <w:p w:rsidR="00607640" w:rsidRDefault="0056195C">
            <w:pPr>
              <w:jc w:val="right"/>
            </w:pPr>
            <w:r>
              <w:rPr>
                <w:rFonts w:asciiTheme="minorEastAsia" w:eastAsiaTheme="minorEastAsia" w:hAnsiTheme="minorEastAsia"/>
                <w:color w:val="000000" w:themeColor="text1"/>
                <w:szCs w:val="21"/>
              </w:rPr>
              <w:t>0.91%</w:t>
            </w:r>
          </w:p>
        </w:tc>
        <w:tc>
          <w:tcPr>
            <w:tcW w:w="1199" w:type="dxa"/>
            <w:vAlign w:val="center"/>
          </w:tcPr>
          <w:p w:rsidR="00607640" w:rsidRDefault="0056195C">
            <w:pPr>
              <w:jc w:val="right"/>
            </w:pPr>
            <w:r>
              <w:rPr>
                <w:rFonts w:asciiTheme="minorEastAsia" w:eastAsiaTheme="minorEastAsia" w:hAnsiTheme="minorEastAsia"/>
                <w:color w:val="000000" w:themeColor="text1"/>
                <w:szCs w:val="21"/>
              </w:rPr>
              <w:t>13.50%</w:t>
            </w:r>
          </w:p>
        </w:tc>
        <w:tc>
          <w:tcPr>
            <w:tcW w:w="1204" w:type="dxa"/>
            <w:vAlign w:val="center"/>
          </w:tcPr>
          <w:p w:rsidR="00607640" w:rsidRDefault="0056195C">
            <w:pPr>
              <w:jc w:val="right"/>
            </w:pPr>
            <w:r>
              <w:rPr>
                <w:rFonts w:asciiTheme="minorEastAsia" w:eastAsiaTheme="minorEastAsia" w:hAnsiTheme="minorEastAsia"/>
                <w:color w:val="000000" w:themeColor="text1"/>
                <w:szCs w:val="21"/>
              </w:rPr>
              <w:t>-0.01%</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b"/>
          <w:rFonts w:hint="eastAsia"/>
          <w:color w:val="000000" w:themeColor="text1"/>
          <w:sz w:val="24"/>
          <w:shd w:val="clear" w:color="auto" w:fill="FFFFFF"/>
        </w:rPr>
        <w:t>自基金转型以来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上投摩根中国生物医药混合型证券投资基金（QDII）</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2019年2月22日</w:t>
      </w:r>
      <w:r w:rsidRPr="008277FF">
        <w:rPr>
          <w:rFonts w:asciiTheme="minorEastAsia" w:eastAsiaTheme="minorEastAsia" w:hAnsiTheme="minorEastAsia" w:hint="eastAsia"/>
          <w:color w:val="000000" w:themeColor="text1"/>
          <w:kern w:val="0"/>
          <w:szCs w:val="21"/>
        </w:rPr>
        <w:t>至2019年9月30日）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lastRenderedPageBreak/>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607640" w:rsidRDefault="0056195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注：本基金合同生效日（转型日）为</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22</w:t>
      </w:r>
      <w:r>
        <w:rPr>
          <w:rFonts w:asciiTheme="minorEastAsia" w:eastAsiaTheme="minorEastAsia" w:hAnsiTheme="minorEastAsia"/>
          <w:color w:val="000000" w:themeColor="text1"/>
          <w:szCs w:val="21"/>
        </w:rPr>
        <w:t>日，截至本报告期末，本基金合同生效（转型）未满一年，图示时间段为</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22</w:t>
      </w:r>
      <w:r>
        <w:rPr>
          <w:rFonts w:asciiTheme="minorEastAsia" w:eastAsiaTheme="minorEastAsia" w:hAnsiTheme="minorEastAsia"/>
          <w:color w:val="000000" w:themeColor="text1"/>
          <w:szCs w:val="21"/>
        </w:rPr>
        <w:t>日至</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30</w:t>
      </w:r>
      <w:r>
        <w:rPr>
          <w:rFonts w:asciiTheme="minorEastAsia" w:eastAsiaTheme="minorEastAsia" w:hAnsiTheme="minorEastAsia"/>
          <w:color w:val="000000" w:themeColor="text1"/>
          <w:szCs w:val="21"/>
        </w:rPr>
        <w:t>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本基金建仓期自2019年2月22日至2019年8月21日，建仓期结束时资产配置比例符合本基金基金合同规定。</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607640">
        <w:tc>
          <w:tcPr>
            <w:tcW w:w="851" w:type="dxa"/>
            <w:vAlign w:val="center"/>
          </w:tcPr>
          <w:p w:rsidR="00607640" w:rsidRDefault="0056195C">
            <w:pPr>
              <w:jc w:val="center"/>
            </w:pPr>
            <w:r>
              <w:rPr>
                <w:rFonts w:asciiTheme="minorEastAsia" w:eastAsiaTheme="minorEastAsia" w:hAnsiTheme="minorEastAsia"/>
                <w:color w:val="000000" w:themeColor="text1"/>
                <w:szCs w:val="21"/>
              </w:rPr>
              <w:t>张一甫</w:t>
            </w:r>
          </w:p>
        </w:tc>
        <w:tc>
          <w:tcPr>
            <w:tcW w:w="850" w:type="dxa"/>
            <w:vAlign w:val="center"/>
          </w:tcPr>
          <w:p w:rsidR="00607640" w:rsidRDefault="0056195C">
            <w:pPr>
              <w:jc w:val="center"/>
            </w:pPr>
            <w:r>
              <w:rPr>
                <w:rFonts w:asciiTheme="minorEastAsia" w:eastAsiaTheme="minorEastAsia" w:hAnsiTheme="minorEastAsia"/>
                <w:color w:val="000000" w:themeColor="text1"/>
                <w:szCs w:val="21"/>
              </w:rPr>
              <w:t>本基金基金经理</w:t>
            </w:r>
          </w:p>
        </w:tc>
        <w:tc>
          <w:tcPr>
            <w:tcW w:w="1560" w:type="dxa"/>
            <w:vAlign w:val="center"/>
          </w:tcPr>
          <w:p w:rsidR="00607640" w:rsidRDefault="0056195C">
            <w:pPr>
              <w:jc w:val="center"/>
            </w:pPr>
            <w:r>
              <w:rPr>
                <w:rFonts w:asciiTheme="minorEastAsia" w:eastAsiaTheme="minorEastAsia" w:hAnsiTheme="minorEastAsia"/>
                <w:color w:val="000000" w:themeColor="text1"/>
                <w:szCs w:val="21"/>
              </w:rPr>
              <w:t>2018-08-03</w:t>
            </w:r>
          </w:p>
        </w:tc>
        <w:tc>
          <w:tcPr>
            <w:tcW w:w="1559" w:type="dxa"/>
            <w:vAlign w:val="center"/>
          </w:tcPr>
          <w:p w:rsidR="00607640" w:rsidRDefault="0056195C">
            <w:pPr>
              <w:jc w:val="center"/>
            </w:pPr>
            <w:r>
              <w:rPr>
                <w:rFonts w:asciiTheme="minorEastAsia" w:eastAsiaTheme="minorEastAsia" w:hAnsiTheme="minorEastAsia"/>
                <w:color w:val="000000" w:themeColor="text1"/>
                <w:szCs w:val="21"/>
              </w:rPr>
              <w:t>2019-08-16</w:t>
            </w:r>
          </w:p>
        </w:tc>
        <w:tc>
          <w:tcPr>
            <w:tcW w:w="1417" w:type="dxa"/>
            <w:vAlign w:val="center"/>
          </w:tcPr>
          <w:p w:rsidR="00607640" w:rsidRDefault="0056195C">
            <w:pPr>
              <w:jc w:val="center"/>
            </w:pP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年</w:t>
            </w:r>
          </w:p>
        </w:tc>
        <w:tc>
          <w:tcPr>
            <w:tcW w:w="2694" w:type="dxa"/>
            <w:vAlign w:val="center"/>
          </w:tcPr>
          <w:p w:rsidR="00607640" w:rsidRDefault="0056195C">
            <w:pPr>
              <w:jc w:val="left"/>
            </w:pPr>
            <w:r>
              <w:rPr>
                <w:rFonts w:asciiTheme="minorEastAsia" w:eastAsiaTheme="minorEastAsia" w:hAnsiTheme="minorEastAsia"/>
                <w:color w:val="000000" w:themeColor="text1"/>
                <w:szCs w:val="21"/>
              </w:rPr>
              <w:t>张一甫先生，自</w:t>
            </w:r>
            <w:r>
              <w:rPr>
                <w:rFonts w:asciiTheme="minorEastAsia" w:eastAsiaTheme="minorEastAsia" w:hAnsiTheme="minorEastAsia"/>
                <w:color w:val="000000" w:themeColor="text1"/>
                <w:szCs w:val="21"/>
              </w:rPr>
              <w:t>2010</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2011</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月在国泰君安证券股份有限公司担任助理研究员，自</w:t>
            </w:r>
            <w:r>
              <w:rPr>
                <w:rFonts w:asciiTheme="minorEastAsia" w:eastAsiaTheme="minorEastAsia" w:hAnsiTheme="minorEastAsia"/>
                <w:color w:val="000000" w:themeColor="text1"/>
                <w:szCs w:val="21"/>
              </w:rPr>
              <w:t>2012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2012</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月在瑞银证券有限责任公司担任研究员；自</w:t>
            </w:r>
            <w:r>
              <w:rPr>
                <w:rFonts w:asciiTheme="minorEastAsia" w:eastAsiaTheme="minorEastAsia" w:hAnsiTheme="minorEastAsia"/>
                <w:color w:val="000000" w:themeColor="text1"/>
                <w:szCs w:val="21"/>
              </w:rPr>
              <w:t>2013</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月在国泰君安证券股份有限公司担任研究员；自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月起加入上投摩根基金管理有限公司，历任研究员、行业专家兼基金经理助理，基金经理。自</w:t>
            </w:r>
            <w:r>
              <w:rPr>
                <w:rFonts w:asciiTheme="minorEastAsia" w:eastAsiaTheme="minorEastAsia" w:hAnsiTheme="minorEastAsia"/>
                <w:color w:val="000000" w:themeColor="text1"/>
                <w:szCs w:val="21"/>
              </w:rPr>
              <w:t>2017</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月担任</w:t>
            </w:r>
            <w:r>
              <w:rPr>
                <w:rFonts w:asciiTheme="minorEastAsia" w:eastAsiaTheme="minorEastAsia" w:hAnsiTheme="minorEastAsia"/>
                <w:color w:val="000000" w:themeColor="text1"/>
                <w:szCs w:val="21"/>
              </w:rPr>
              <w:lastRenderedPageBreak/>
              <w:t>上投摩根成长先锋混合型证券投资基金基金经理，自</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月同时担任上投摩根医疗健康股票型证券投资基金基金经理，自</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月同时担任上投摩根中国生物医药混合型证券投资基金（</w:t>
            </w:r>
            <w:r>
              <w:rPr>
                <w:rFonts w:asciiTheme="minorEastAsia" w:eastAsiaTheme="minorEastAsia" w:hAnsiTheme="minorEastAsia"/>
                <w:color w:val="000000" w:themeColor="text1"/>
                <w:szCs w:val="21"/>
              </w:rPr>
              <w:t>QDII</w:t>
            </w:r>
            <w:r>
              <w:rPr>
                <w:rFonts w:asciiTheme="minorEastAsia" w:eastAsiaTheme="minorEastAsia" w:hAnsiTheme="minorEastAsia"/>
                <w:color w:val="000000" w:themeColor="text1"/>
                <w:szCs w:val="21"/>
              </w:rPr>
              <w:t>）（由上投摩根智慧生活灵活配置混合型证券投资基金转型而来）基金经理。</w:t>
            </w:r>
          </w:p>
        </w:tc>
      </w:tr>
      <w:tr w:rsidR="00607640">
        <w:tc>
          <w:tcPr>
            <w:tcW w:w="851" w:type="dxa"/>
            <w:vAlign w:val="center"/>
          </w:tcPr>
          <w:p w:rsidR="00607640" w:rsidRDefault="0056195C">
            <w:pPr>
              <w:jc w:val="center"/>
            </w:pPr>
            <w:r>
              <w:rPr>
                <w:rFonts w:asciiTheme="minorEastAsia" w:eastAsiaTheme="minorEastAsia" w:hAnsiTheme="minorEastAsia"/>
                <w:color w:val="000000" w:themeColor="text1"/>
                <w:szCs w:val="21"/>
              </w:rPr>
              <w:lastRenderedPageBreak/>
              <w:t>方钰涵</w:t>
            </w:r>
          </w:p>
        </w:tc>
        <w:tc>
          <w:tcPr>
            <w:tcW w:w="850" w:type="dxa"/>
            <w:vAlign w:val="center"/>
          </w:tcPr>
          <w:p w:rsidR="00607640" w:rsidRDefault="0056195C">
            <w:pPr>
              <w:jc w:val="center"/>
            </w:pPr>
            <w:r>
              <w:rPr>
                <w:rFonts w:asciiTheme="minorEastAsia" w:eastAsiaTheme="minorEastAsia" w:hAnsiTheme="minorEastAsia"/>
                <w:color w:val="000000" w:themeColor="text1"/>
                <w:szCs w:val="21"/>
              </w:rPr>
              <w:t>本基金基金经理</w:t>
            </w:r>
          </w:p>
        </w:tc>
        <w:tc>
          <w:tcPr>
            <w:tcW w:w="1560" w:type="dxa"/>
            <w:vAlign w:val="center"/>
          </w:tcPr>
          <w:p w:rsidR="00607640" w:rsidRDefault="0056195C">
            <w:pPr>
              <w:jc w:val="center"/>
            </w:pPr>
            <w:r>
              <w:rPr>
                <w:rFonts w:asciiTheme="minorEastAsia" w:eastAsiaTheme="minorEastAsia" w:hAnsiTheme="minorEastAsia"/>
                <w:color w:val="000000" w:themeColor="text1"/>
                <w:szCs w:val="21"/>
              </w:rPr>
              <w:t>2018-08-03</w:t>
            </w:r>
          </w:p>
        </w:tc>
        <w:tc>
          <w:tcPr>
            <w:tcW w:w="1559" w:type="dxa"/>
            <w:vAlign w:val="center"/>
          </w:tcPr>
          <w:p w:rsidR="00607640" w:rsidRDefault="0056195C">
            <w:pPr>
              <w:jc w:val="center"/>
            </w:pPr>
            <w:r>
              <w:rPr>
                <w:rFonts w:asciiTheme="minorEastAsia" w:eastAsiaTheme="minorEastAsia" w:hAnsiTheme="minorEastAsia"/>
                <w:color w:val="000000" w:themeColor="text1"/>
                <w:szCs w:val="21"/>
              </w:rPr>
              <w:t>-</w:t>
            </w:r>
          </w:p>
        </w:tc>
        <w:tc>
          <w:tcPr>
            <w:tcW w:w="1417" w:type="dxa"/>
            <w:vAlign w:val="center"/>
          </w:tcPr>
          <w:p w:rsidR="00607640" w:rsidRDefault="0056195C">
            <w:pPr>
              <w:jc w:val="center"/>
            </w:pP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年</w:t>
            </w:r>
          </w:p>
        </w:tc>
        <w:tc>
          <w:tcPr>
            <w:tcW w:w="2694" w:type="dxa"/>
            <w:vAlign w:val="center"/>
          </w:tcPr>
          <w:p w:rsidR="00607640" w:rsidRDefault="0056195C">
            <w:pPr>
              <w:jc w:val="left"/>
            </w:pPr>
            <w:r>
              <w:rPr>
                <w:rFonts w:asciiTheme="minorEastAsia" w:eastAsiaTheme="minorEastAsia" w:hAnsiTheme="minorEastAsia"/>
                <w:color w:val="000000" w:themeColor="text1"/>
                <w:szCs w:val="21"/>
              </w:rPr>
              <w:t>方钰涵女士，</w:t>
            </w:r>
            <w:r>
              <w:rPr>
                <w:rFonts w:asciiTheme="minorEastAsia" w:eastAsiaTheme="minorEastAsia" w:hAnsiTheme="minorEastAsia"/>
                <w:color w:val="000000" w:themeColor="text1"/>
                <w:szCs w:val="21"/>
              </w:rPr>
              <w:t>2013</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月在兴业证券资产管理有限公司担任研究员；自</w:t>
            </w:r>
            <w:r>
              <w:rPr>
                <w:rFonts w:asciiTheme="minorEastAsia" w:eastAsiaTheme="minorEastAsia" w:hAnsiTheme="minorEastAsia"/>
                <w:color w:val="000000" w:themeColor="text1"/>
                <w:szCs w:val="21"/>
              </w:rPr>
              <w:t>2014</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月至</w:t>
            </w:r>
            <w:r>
              <w:rPr>
                <w:rFonts w:asciiTheme="minorEastAsia" w:eastAsiaTheme="minorEastAsia" w:hAnsiTheme="minorEastAsia"/>
                <w:color w:val="000000" w:themeColor="text1"/>
                <w:szCs w:val="21"/>
              </w:rPr>
              <w:t>2015</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6</w:t>
            </w:r>
            <w:r>
              <w:rPr>
                <w:rFonts w:asciiTheme="minorEastAsia" w:eastAsiaTheme="minorEastAsia" w:hAnsiTheme="minorEastAsia"/>
                <w:color w:val="000000" w:themeColor="text1"/>
                <w:szCs w:val="21"/>
              </w:rPr>
              <w:t>月在国泰基金管理有限公司担任研究员；自</w:t>
            </w:r>
            <w:r>
              <w:rPr>
                <w:rFonts w:asciiTheme="minorEastAsia" w:eastAsiaTheme="minorEastAsia" w:hAnsiTheme="minorEastAsia"/>
                <w:color w:val="000000" w:themeColor="text1"/>
                <w:szCs w:val="21"/>
              </w:rPr>
              <w:t>2015</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6</w:t>
            </w:r>
            <w:r>
              <w:rPr>
                <w:rFonts w:asciiTheme="minorEastAsia" w:eastAsiaTheme="minorEastAsia" w:hAnsiTheme="minorEastAsia"/>
                <w:color w:val="000000" w:themeColor="text1"/>
                <w:szCs w:val="21"/>
              </w:rPr>
              <w:t>月起加入上投摩根基金管理有限公司，先后担任行业专家、基金经理；自</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月起担任上投摩根中国生物医药混合型证券投资基金（</w:t>
            </w:r>
            <w:r>
              <w:rPr>
                <w:rFonts w:asciiTheme="minorEastAsia" w:eastAsiaTheme="minorEastAsia" w:hAnsiTheme="minorEastAsia"/>
                <w:color w:val="000000" w:themeColor="text1"/>
                <w:szCs w:val="21"/>
              </w:rPr>
              <w:t>QDII</w:t>
            </w:r>
            <w:r>
              <w:rPr>
                <w:rFonts w:asciiTheme="minorEastAsia" w:eastAsiaTheme="minorEastAsia" w:hAnsiTheme="minorEastAsia"/>
                <w:color w:val="000000" w:themeColor="text1"/>
                <w:szCs w:val="21"/>
              </w:rPr>
              <w:t>）（由上投摩根智慧生活灵活配置混合型证券投资基金转型而来）基金经理，自</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8</w:t>
            </w:r>
            <w:r>
              <w:rPr>
                <w:rFonts w:asciiTheme="minorEastAsia" w:eastAsiaTheme="minorEastAsia" w:hAnsiTheme="minorEastAsia"/>
                <w:color w:val="000000" w:themeColor="text1"/>
                <w:szCs w:val="21"/>
              </w:rPr>
              <w:t>月起同时担任上投摩根医疗健康股票型证券投资基金基金经理。</w:t>
            </w:r>
          </w:p>
        </w:tc>
      </w:tr>
    </w:tbl>
    <w:p w:rsidR="00607640" w:rsidRDefault="0056195C">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任职日期和离任日期均指根据公司决定确定的聘任日期和解聘日期。</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2</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中国生物医药混合型证券投资基金（QDII）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3.1</w:t>
      </w:r>
      <w:r w:rsidRPr="008277FF">
        <w:rPr>
          <w:rFonts w:asciiTheme="minorEastAsia" w:eastAsiaTheme="minorEastAsia" w:hAnsiTheme="minorEastAsia" w:hint="eastAsia"/>
          <w:color w:val="000000" w:themeColor="text1"/>
          <w:sz w:val="24"/>
        </w:rPr>
        <w:t>公平交易制度的执行情况</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3</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报告期内基金投资策略和运作分析</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年三季度是转型后的中国生物医药基金</w:t>
      </w:r>
      <w:r>
        <w:rPr>
          <w:rFonts w:asciiTheme="minorEastAsia" w:eastAsiaTheme="minorEastAsia" w:hAnsiTheme="minorEastAsia"/>
          <w:color w:val="000000" w:themeColor="text1"/>
          <w:szCs w:val="21"/>
        </w:rPr>
        <w:t>(QDII)</w:t>
      </w:r>
      <w:r>
        <w:rPr>
          <w:rFonts w:asciiTheme="minorEastAsia" w:eastAsiaTheme="minorEastAsia" w:hAnsiTheme="minorEastAsia"/>
          <w:color w:val="000000" w:themeColor="text1"/>
          <w:szCs w:val="21"/>
        </w:rPr>
        <w:t>首个完整运作的季度。作为目前市场上唯一一只专注于投资在</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H</w:t>
      </w:r>
      <w:r>
        <w:rPr>
          <w:rFonts w:asciiTheme="minorEastAsia" w:eastAsiaTheme="minorEastAsia" w:hAnsiTheme="minorEastAsia"/>
          <w:color w:val="000000" w:themeColor="text1"/>
          <w:szCs w:val="21"/>
        </w:rPr>
        <w:t>以及少数其他上市地点的中国生物医药公司的基金，我们跨市场动态选取有估值吸引力的细分领域龙头，本季度除了获取</w:t>
      </w:r>
      <w:r>
        <w:rPr>
          <w:rFonts w:asciiTheme="minorEastAsia" w:eastAsiaTheme="minorEastAsia" w:hAnsiTheme="minorEastAsia"/>
          <w:color w:val="000000" w:themeColor="text1"/>
          <w:szCs w:val="21"/>
        </w:rPr>
        <w:t>A</w:t>
      </w:r>
      <w:r>
        <w:rPr>
          <w:rFonts w:asciiTheme="minorEastAsia" w:eastAsiaTheme="minorEastAsia" w:hAnsiTheme="minorEastAsia"/>
          <w:color w:val="000000" w:themeColor="text1"/>
          <w:szCs w:val="21"/>
        </w:rPr>
        <w:t>股龙头公司的收益，还重点布局了人工关节高值耗材、试管婴儿医疗服务等香港市场的投资机会。</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我们认为，中国目前的生物医药行业面临辞旧（仿制）迎新（创新）、承前（旧体制）启后（新政策）的转折期，涌现了不少的结构性投资机会。概括起来，主要包括以下几类：</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 1</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 xml:space="preserve">    </w:t>
      </w:r>
      <w:r>
        <w:rPr>
          <w:rFonts w:asciiTheme="minorEastAsia" w:eastAsiaTheme="minorEastAsia" w:hAnsiTheme="minorEastAsia"/>
          <w:color w:val="000000" w:themeColor="text1"/>
          <w:szCs w:val="21"/>
        </w:rPr>
        <w:t>在细分子行业里能够进入全球市场、真正具备全球竞争力的公司，这背后的核</w:t>
      </w:r>
      <w:r>
        <w:rPr>
          <w:rFonts w:asciiTheme="minorEastAsia" w:eastAsiaTheme="minorEastAsia" w:hAnsiTheme="minorEastAsia"/>
          <w:color w:val="000000" w:themeColor="text1"/>
          <w:szCs w:val="21"/>
        </w:rPr>
        <w:lastRenderedPageBreak/>
        <w:t>心竞争力来源是我国过去二三十年来沉淀下来的工程师红利、及从低端逐渐到高端的制造能力。截止到</w:t>
      </w:r>
      <w:r>
        <w:rPr>
          <w:rFonts w:asciiTheme="minorEastAsia" w:eastAsiaTheme="minorEastAsia" w:hAnsiTheme="minorEastAsia"/>
          <w:color w:val="000000" w:themeColor="text1"/>
          <w:szCs w:val="21"/>
        </w:rPr>
        <w:t>2018</w:t>
      </w:r>
      <w:r>
        <w:rPr>
          <w:rFonts w:asciiTheme="minorEastAsia" w:eastAsiaTheme="minorEastAsia" w:hAnsiTheme="minorEastAsia"/>
          <w:color w:val="000000" w:themeColor="text1"/>
          <w:szCs w:val="21"/>
        </w:rPr>
        <w:t>年底，我国输送了</w:t>
      </w:r>
      <w:r>
        <w:rPr>
          <w:rFonts w:asciiTheme="minorEastAsia" w:eastAsiaTheme="minorEastAsia" w:hAnsiTheme="minorEastAsia"/>
          <w:color w:val="000000" w:themeColor="text1"/>
          <w:szCs w:val="21"/>
        </w:rPr>
        <w:t>500</w:t>
      </w:r>
      <w:r>
        <w:rPr>
          <w:rFonts w:asciiTheme="minorEastAsia" w:eastAsiaTheme="minorEastAsia" w:hAnsiTheme="minorEastAsia"/>
          <w:color w:val="000000" w:themeColor="text1"/>
          <w:szCs w:val="21"/>
        </w:rPr>
        <w:t>万名的出国留学生，其中有</w:t>
      </w:r>
      <w:r>
        <w:rPr>
          <w:rFonts w:asciiTheme="minorEastAsia" w:eastAsiaTheme="minorEastAsia" w:hAnsiTheme="minorEastAsia"/>
          <w:color w:val="000000" w:themeColor="text1"/>
          <w:szCs w:val="21"/>
        </w:rPr>
        <w:t>300</w:t>
      </w:r>
      <w:r>
        <w:rPr>
          <w:rFonts w:asciiTheme="minorEastAsia" w:eastAsiaTheme="minorEastAsia" w:hAnsiTheme="minorEastAsia"/>
          <w:color w:val="000000" w:themeColor="text1"/>
          <w:szCs w:val="21"/>
        </w:rPr>
        <w:t>万名已学成归国，带来在大型制药公司研发、生产、销售或审评审批机构多年的资深经验。拥有核心竞争资源的公司，通常根植于刚刚起步</w:t>
      </w:r>
      <w:r>
        <w:rPr>
          <w:rFonts w:asciiTheme="minorEastAsia" w:eastAsiaTheme="minorEastAsia" w:hAnsiTheme="minorEastAsia"/>
          <w:color w:val="000000" w:themeColor="text1"/>
          <w:szCs w:val="21"/>
        </w:rPr>
        <w:t>的、巨大且快速增长的中国本土市场，又以欧美市场的客户转移正向趋势为基础增长，前者更加强劲，例如一些龙头的全球外包服务公司，囊括临床前至生产，小分子和大分子、医疗器械公司、原料药公司，壁垒沉淀时间长，且可识别，可持续。</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 2</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 xml:space="preserve">    </w:t>
      </w:r>
      <w:r>
        <w:rPr>
          <w:rFonts w:asciiTheme="minorEastAsia" w:eastAsiaTheme="minorEastAsia" w:hAnsiTheme="minorEastAsia"/>
          <w:color w:val="000000" w:themeColor="text1"/>
          <w:szCs w:val="21"/>
        </w:rPr>
        <w:t>虽只在中国本土市场经营，但是所处的本地行业稳定增长，体现为渗透率仍较低，医药消费仍在增长，消费者的用药结构或检测费用和国外还有较大差距，从国外发展的映射来看能看到较长的赛道，例如一些龙头的血液制品公司，本土医疗器械公司，医疗服务和药房零售公司。</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 xml:space="preserve"> 3）在香港上市的、不能/尚未能通过沪港通买入的独有公司，本基金的QDII额度发挥了优势，包括未有收入利润的创新药企业（如免疫治疗、创新疫苗等）、高值耗材（人工关节等）。我们看好国内自主创新的免疫治疗药品、小分子药品获批之后的几年产生爆发性的销售增长带来的投资机会。而未有利润的创新药公司通常配合以更加合理的组织架构和激励机制，快速组建起一支研发、注册、临床的全球队伍，将内生研发或BD引进的临床短缺产品推向全球，我们亦看好这类企业内部组织体系变革在科创时代焕发的新生活力。展望未来半年，香港市场排队上市的公司数量仍多，涉及领域比以往更加丰富，包括CROCMO、自主创新高值耗材、生物类似药、自主创新小分子药物等，我们期待继续寻找估值吸引力的投资机会。</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本报告期中国生物医药混合（QDII）份额净值增长率为:18.24%，同期业绩比较基准收益率为:4.74%。</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w:t>
            </w:r>
            <w:r w:rsidRPr="008277FF">
              <w:rPr>
                <w:rFonts w:asciiTheme="minorEastAsia" w:eastAsiaTheme="minorEastAsia" w:hAnsiTheme="minorEastAsia" w:hint="eastAsia"/>
                <w:color w:val="000000" w:themeColor="text1"/>
                <w:szCs w:val="21"/>
              </w:rPr>
              <w:lastRenderedPageBreak/>
              <w:t>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lastRenderedPageBreak/>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173,564,670.15</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72.27</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173,564,670.15</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72.27</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53,848,772.11</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22.42</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12,744,778.13</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5.31</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240,158,220.39</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607640">
        <w:trPr>
          <w:jc w:val="center"/>
        </w:trPr>
        <w:tc>
          <w:tcPr>
            <w:tcW w:w="2410" w:type="dxa"/>
            <w:vAlign w:val="center"/>
          </w:tcPr>
          <w:p w:rsidR="00607640" w:rsidRDefault="0056195C">
            <w:pPr>
              <w:jc w:val="left"/>
            </w:pPr>
            <w:r>
              <w:rPr>
                <w:rFonts w:asciiTheme="minorEastAsia" w:eastAsiaTheme="minorEastAsia" w:hAnsiTheme="minorEastAsia"/>
                <w:color w:val="000000" w:themeColor="text1"/>
                <w:szCs w:val="21"/>
              </w:rPr>
              <w:t>中国</w:t>
            </w:r>
          </w:p>
        </w:tc>
        <w:tc>
          <w:tcPr>
            <w:tcW w:w="3118" w:type="dxa"/>
            <w:vAlign w:val="center"/>
          </w:tcPr>
          <w:p w:rsidR="00607640" w:rsidRDefault="0056195C">
            <w:pPr>
              <w:jc w:val="right"/>
            </w:pPr>
            <w:r>
              <w:rPr>
                <w:rFonts w:asciiTheme="minorEastAsia" w:eastAsiaTheme="minorEastAsia" w:hAnsiTheme="minorEastAsia"/>
                <w:color w:val="000000" w:themeColor="text1"/>
                <w:szCs w:val="21"/>
              </w:rPr>
              <w:t>117,473,142.23</w:t>
            </w:r>
          </w:p>
        </w:tc>
        <w:tc>
          <w:tcPr>
            <w:tcW w:w="3076" w:type="dxa"/>
            <w:vAlign w:val="center"/>
          </w:tcPr>
          <w:p w:rsidR="00607640" w:rsidRDefault="0056195C">
            <w:pPr>
              <w:jc w:val="right"/>
            </w:pPr>
            <w:r>
              <w:rPr>
                <w:rFonts w:asciiTheme="minorEastAsia" w:eastAsiaTheme="minorEastAsia" w:hAnsiTheme="minorEastAsia"/>
                <w:color w:val="000000" w:themeColor="text1"/>
                <w:szCs w:val="21"/>
              </w:rPr>
              <w:t>53.56</w:t>
            </w:r>
          </w:p>
        </w:tc>
      </w:tr>
      <w:tr w:rsidR="00607640">
        <w:trPr>
          <w:jc w:val="center"/>
        </w:trPr>
        <w:tc>
          <w:tcPr>
            <w:tcW w:w="2410" w:type="dxa"/>
            <w:vAlign w:val="center"/>
          </w:tcPr>
          <w:p w:rsidR="00607640" w:rsidRDefault="0056195C">
            <w:pPr>
              <w:jc w:val="left"/>
            </w:pPr>
            <w:r>
              <w:rPr>
                <w:rFonts w:asciiTheme="minorEastAsia" w:eastAsiaTheme="minorEastAsia" w:hAnsiTheme="minorEastAsia"/>
                <w:color w:val="000000" w:themeColor="text1"/>
                <w:szCs w:val="21"/>
              </w:rPr>
              <w:t>中国香港</w:t>
            </w:r>
          </w:p>
        </w:tc>
        <w:tc>
          <w:tcPr>
            <w:tcW w:w="3118" w:type="dxa"/>
            <w:vAlign w:val="center"/>
          </w:tcPr>
          <w:p w:rsidR="00607640" w:rsidRDefault="0056195C">
            <w:pPr>
              <w:jc w:val="right"/>
            </w:pPr>
            <w:r>
              <w:rPr>
                <w:rFonts w:asciiTheme="minorEastAsia" w:eastAsiaTheme="minorEastAsia" w:hAnsiTheme="minorEastAsia"/>
                <w:color w:val="000000" w:themeColor="text1"/>
                <w:szCs w:val="21"/>
              </w:rPr>
              <w:t>56,091,527.92</w:t>
            </w:r>
          </w:p>
        </w:tc>
        <w:tc>
          <w:tcPr>
            <w:tcW w:w="3076" w:type="dxa"/>
            <w:vAlign w:val="center"/>
          </w:tcPr>
          <w:p w:rsidR="00607640" w:rsidRDefault="0056195C">
            <w:pPr>
              <w:jc w:val="right"/>
            </w:pPr>
            <w:r>
              <w:rPr>
                <w:rFonts w:asciiTheme="minorEastAsia" w:eastAsiaTheme="minorEastAsia" w:hAnsiTheme="minorEastAsia"/>
                <w:color w:val="000000" w:themeColor="text1"/>
                <w:szCs w:val="21"/>
              </w:rPr>
              <w:t>25.57</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173,564,670.15</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79.13</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lastRenderedPageBreak/>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8277FF" w:rsidTr="008B2EAD">
        <w:tc>
          <w:tcPr>
            <w:tcW w:w="2787"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行业类别</w:t>
            </w:r>
          </w:p>
        </w:tc>
        <w:tc>
          <w:tcPr>
            <w:tcW w:w="2551"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3175"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制药</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48,533,808.49</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22.13</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医疗保健设备与用品</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41,459,026.22</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18.90</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生命科学工具和服务</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23,143,462.00</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10.55</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生物科技</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15,441,388.21</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7.04</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综合消费者服务</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11,664,982.74</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5.32</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医疗保健提供商与服务</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11,588,143.86</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5.28</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专营零售</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10,148,672.82</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4.63</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食品与主要用品零售</w:t>
            </w:r>
            <w:r>
              <w:rPr>
                <w:rFonts w:asciiTheme="minorEastAsia" w:eastAsiaTheme="minorEastAsia" w:hAnsiTheme="minorEastAsia"/>
                <w:color w:val="000000" w:themeColor="text1"/>
                <w:szCs w:val="21"/>
              </w:rPr>
              <w:t>Ⅲ</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4,189,617.05</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1.91</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化学制品</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3,065,236.94</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1.40</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居家用品</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3,014,481.15</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1.37</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互联网与售货目录零售</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1,011,514.01</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0.46</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食品</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289,372.66</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0.13</w:t>
            </w:r>
          </w:p>
        </w:tc>
      </w:tr>
      <w:tr w:rsidR="00607640">
        <w:tc>
          <w:tcPr>
            <w:tcW w:w="2787" w:type="dxa"/>
            <w:vAlign w:val="center"/>
          </w:tcPr>
          <w:p w:rsidR="00607640" w:rsidRDefault="0056195C">
            <w:pPr>
              <w:jc w:val="left"/>
            </w:pPr>
            <w:r>
              <w:rPr>
                <w:rFonts w:asciiTheme="minorEastAsia" w:eastAsiaTheme="minorEastAsia" w:hAnsiTheme="minorEastAsia"/>
                <w:color w:val="000000" w:themeColor="text1"/>
                <w:szCs w:val="21"/>
              </w:rPr>
              <w:t>电子设备、仪器和元件</w:t>
            </w:r>
          </w:p>
        </w:tc>
        <w:tc>
          <w:tcPr>
            <w:tcW w:w="2551" w:type="dxa"/>
            <w:vAlign w:val="center"/>
          </w:tcPr>
          <w:p w:rsidR="00607640" w:rsidRDefault="0056195C">
            <w:pPr>
              <w:jc w:val="right"/>
            </w:pPr>
            <w:r>
              <w:rPr>
                <w:rFonts w:asciiTheme="minorEastAsia" w:eastAsiaTheme="minorEastAsia" w:hAnsiTheme="minorEastAsia"/>
                <w:color w:val="000000" w:themeColor="text1"/>
                <w:szCs w:val="21"/>
              </w:rPr>
              <w:t>14,964.00</w:t>
            </w:r>
          </w:p>
        </w:tc>
        <w:tc>
          <w:tcPr>
            <w:tcW w:w="3175" w:type="dxa"/>
            <w:vAlign w:val="center"/>
          </w:tcPr>
          <w:p w:rsidR="00607640" w:rsidRDefault="0056195C">
            <w:pPr>
              <w:jc w:val="right"/>
            </w:pPr>
            <w:r>
              <w:rPr>
                <w:rFonts w:asciiTheme="minorEastAsia" w:eastAsiaTheme="minorEastAsia" w:hAnsiTheme="minorEastAsia"/>
                <w:color w:val="000000" w:themeColor="text1"/>
                <w:szCs w:val="21"/>
              </w:rPr>
              <w:t>0.01</w:t>
            </w:r>
          </w:p>
        </w:tc>
      </w:tr>
      <w:tr w:rsidR="008277FF" w:rsidRPr="008277FF" w:rsidTr="00877D98">
        <w:tc>
          <w:tcPr>
            <w:tcW w:w="2787" w:type="dxa"/>
            <w:vAlign w:val="center"/>
          </w:tcPr>
          <w:p w:rsidR="00C37E98" w:rsidRPr="008277FF" w:rsidRDefault="00C37E98" w:rsidP="00877D98">
            <w:pPr>
              <w:autoSpaceDE w:val="0"/>
              <w:autoSpaceDN w:val="0"/>
              <w:adjustRightInd w:val="0"/>
              <w:spacing w:before="29" w:line="360" w:lineRule="auto"/>
              <w:ind w:left="15"/>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2551"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173,564,670.15</w:t>
            </w:r>
          </w:p>
        </w:tc>
        <w:tc>
          <w:tcPr>
            <w:tcW w:w="3175"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79.13</w:t>
            </w:r>
          </w:p>
        </w:tc>
      </w:tr>
    </w:tbl>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28"/>
        <w:gridCol w:w="1893"/>
        <w:gridCol w:w="611"/>
        <w:gridCol w:w="808"/>
        <w:gridCol w:w="427"/>
        <w:gridCol w:w="625"/>
        <w:gridCol w:w="1400"/>
        <w:gridCol w:w="1499"/>
        <w:gridCol w:w="822"/>
      </w:tblGrid>
      <w:tr w:rsidR="008277FF" w:rsidRPr="008277FF" w:rsidTr="001C7D5D">
        <w:tc>
          <w:tcPr>
            <w:tcW w:w="794"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序号</w:t>
            </w:r>
          </w:p>
        </w:tc>
        <w:tc>
          <w:tcPr>
            <w:tcW w:w="974" w:type="dxa"/>
            <w:vAlign w:val="center"/>
          </w:tcPr>
          <w:p w:rsidR="001C7D5D" w:rsidRPr="008277FF" w:rsidRDefault="001C7D5D" w:rsidP="001C7D5D">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公司名称（英文）</w:t>
            </w:r>
          </w:p>
        </w:tc>
        <w:tc>
          <w:tcPr>
            <w:tcW w:w="1019"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公司名称（中文）</w:t>
            </w:r>
          </w:p>
        </w:tc>
        <w:tc>
          <w:tcPr>
            <w:tcW w:w="703"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证券代码</w:t>
            </w:r>
          </w:p>
        </w:tc>
        <w:tc>
          <w:tcPr>
            <w:tcW w:w="793"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所在证</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券市场</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所属国家</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（地区</w:t>
            </w:r>
            <w:r w:rsidRPr="008277FF">
              <w:rPr>
                <w:rFonts w:asciiTheme="minorEastAsia" w:eastAsiaTheme="minorEastAsia" w:hAnsiTheme="minorEastAsia" w:cs="Arial"/>
                <w:color w:val="000000" w:themeColor="text1"/>
                <w:kern w:val="0"/>
                <w:szCs w:val="21"/>
              </w:rPr>
              <w:t>)</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数量</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（股）</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1</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 xml:space="preserve">Sino </w:t>
            </w:r>
            <w:r>
              <w:rPr>
                <w:rFonts w:asciiTheme="minorEastAsia" w:eastAsiaTheme="minorEastAsia" w:hAnsiTheme="minorEastAsia"/>
                <w:color w:val="000000" w:themeColor="text1"/>
                <w:szCs w:val="21"/>
              </w:rPr>
              <w:t>Biopharmaceutical 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中国生物制药</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1177</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香港证券交易所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中国香港</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1,288,000.00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11,571,417.24</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5.28</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2</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Offcn Education Technology Co 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中公教育</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002607</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深圳证券</w:t>
            </w:r>
            <w:r>
              <w:rPr>
                <w:rFonts w:asciiTheme="minorEastAsia" w:eastAsiaTheme="minorEastAsia" w:hAnsiTheme="minorEastAsia"/>
                <w:color w:val="000000" w:themeColor="text1"/>
                <w:szCs w:val="21"/>
              </w:rPr>
              <w:lastRenderedPageBreak/>
              <w:t>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lastRenderedPageBreak/>
              <w:t>中国</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623,766.00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10,148,672.82</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4.63</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3</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Beijing Chunlizhengda Medical Instruments Co., 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春立医疗</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1858</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香港证券交易所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中国香港</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256,000.00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8,959,484.93</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4.08</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4</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Nanjing King-friend Biochemical Pharmaceutical Co 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健友股份</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603707</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上海证券交易所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236,176.00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8,773,938.40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4.00</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5</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WuXi AppTec Co 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药明康德</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603259</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上海证券交易所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90,229.00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7,822,854.30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3.57</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6</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Asymchem Laboratories (Tianjin) Co 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凯莱英</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002821</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深圳证券交易所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63,984.00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7,540,514.40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3.44</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7</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Shenzhen Mindray Bio-Medical</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迈瑞医疗</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300760</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深圳证券交易所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37,329.00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6,885,707.34</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3.14</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8</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AK Medical Holdings Limited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爱康医疗</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1789</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香港证券交易</w:t>
            </w:r>
            <w:r>
              <w:rPr>
                <w:rFonts w:asciiTheme="minorEastAsia" w:eastAsiaTheme="minorEastAsia" w:hAnsiTheme="minorEastAsia"/>
                <w:color w:val="000000" w:themeColor="text1"/>
                <w:szCs w:val="21"/>
              </w:rPr>
              <w:lastRenderedPageBreak/>
              <w:t>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lastRenderedPageBreak/>
              <w:t>中国香港</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1,022,000.00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6,849,376.85</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3.12</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9</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Guangzhou Wondfo Biotech Co.,Ltd.</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万孚生物</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300482</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深圳证券交易所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137,070.00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6,689,016.00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3.05</w:t>
            </w:r>
          </w:p>
        </w:tc>
      </w:tr>
      <w:tr w:rsidR="00607640">
        <w:tc>
          <w:tcPr>
            <w:tcW w:w="0" w:type="auto"/>
            <w:vAlign w:val="center"/>
          </w:tcPr>
          <w:p w:rsidR="00607640" w:rsidRDefault="0056195C">
            <w:pPr>
              <w:jc w:val="center"/>
            </w:pPr>
            <w:r>
              <w:rPr>
                <w:rFonts w:asciiTheme="minorEastAsia" w:eastAsiaTheme="minorEastAsia" w:hAnsiTheme="minorEastAsia"/>
                <w:color w:val="000000" w:themeColor="text1"/>
                <w:szCs w:val="21"/>
              </w:rPr>
              <w:t>10</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Scholar Education Group</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思考乐教育</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1769</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香港证券交易所</w:t>
            </w:r>
          </w:p>
        </w:tc>
        <w:tc>
          <w:tcPr>
            <w:tcW w:w="0" w:type="auto"/>
            <w:vAlign w:val="center"/>
          </w:tcPr>
          <w:p w:rsidR="00607640" w:rsidRDefault="0056195C">
            <w:pPr>
              <w:jc w:val="center"/>
            </w:pPr>
            <w:r>
              <w:rPr>
                <w:rFonts w:asciiTheme="minorEastAsia" w:eastAsiaTheme="minorEastAsia" w:hAnsiTheme="minorEastAsia"/>
                <w:color w:val="000000" w:themeColor="text1"/>
                <w:szCs w:val="21"/>
              </w:rPr>
              <w:t>中国香港</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899,000.00</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6,292,638.24</w:t>
            </w:r>
          </w:p>
        </w:tc>
        <w:tc>
          <w:tcPr>
            <w:tcW w:w="0" w:type="auto"/>
            <w:vAlign w:val="center"/>
          </w:tcPr>
          <w:p w:rsidR="00607640" w:rsidRDefault="0056195C">
            <w:pPr>
              <w:jc w:val="right"/>
            </w:pPr>
            <w:r>
              <w:rPr>
                <w:rFonts w:asciiTheme="minorEastAsia" w:eastAsiaTheme="minorEastAsia" w:hAnsiTheme="minorEastAsia"/>
                <w:color w:val="000000" w:themeColor="text1"/>
                <w:szCs w:val="21"/>
              </w:rPr>
              <w:t>2.87</w:t>
            </w:r>
          </w:p>
        </w:tc>
      </w:tr>
    </w:tbl>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本基金本报告期末未持有基金。</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lastRenderedPageBreak/>
        <w:t>5.10.1本基金投资的前十名证券的发行主体本期未出现被监管部门立案调查，或在报告编制日前一年内受到公开谴责、处罚的情形。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24,429.29</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7,024.66</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12,713,324.18</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12,744,778.13</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因四舍五入的原因，投资组合报告中分项之和与合计数可能存在尾差。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348,244,742.92</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lastRenderedPageBreak/>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91,071,319.37</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264,189,485.74</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175,126,576.55</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696B8B" w:rsidRDefault="00BB5F3D" w:rsidP="00BB5F3D">
      <w:pPr>
        <w:spacing w:line="360" w:lineRule="auto"/>
        <w:jc w:val="left"/>
        <w:rPr>
          <w:color w:val="000000" w:themeColor="text1"/>
          <w:sz w:val="24"/>
        </w:rPr>
      </w:pPr>
      <w:r w:rsidRPr="00696B8B">
        <w:rPr>
          <w:b/>
          <w:color w:val="000000" w:themeColor="text1"/>
          <w:sz w:val="24"/>
        </w:rPr>
        <w:t xml:space="preserve">7.1 </w:t>
      </w:r>
      <w:r w:rsidRPr="00696B8B">
        <w:rPr>
          <w:rFonts w:hint="eastAsia"/>
          <w:b/>
          <w:color w:val="000000" w:themeColor="text1"/>
          <w:sz w:val="24"/>
        </w:rPr>
        <w:t>基金管理人持有本基金份额变动情况</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无。</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B111B9" w:rsidRPr="008277FF">
        <w:rPr>
          <w:rFonts w:asciiTheme="minorEastAsia" w:eastAsiaTheme="minorEastAsia" w:hAnsiTheme="minorEastAsia" w:cs="Arial" w:hint="eastAsia"/>
          <w:color w:val="000000" w:themeColor="text1"/>
          <w:kern w:val="0"/>
          <w:sz w:val="24"/>
          <w:szCs w:val="24"/>
        </w:rPr>
        <w:t xml:space="preserve">8 </w:t>
      </w:r>
      <w:r w:rsidRPr="008277FF">
        <w:rPr>
          <w:rFonts w:asciiTheme="minorEastAsia" w:eastAsiaTheme="minorEastAsia" w:hAnsiTheme="minorEastAsia" w:cs="Arial" w:hint="eastAsia"/>
          <w:color w:val="000000" w:themeColor="text1"/>
          <w:kern w:val="0"/>
          <w:sz w:val="24"/>
          <w:szCs w:val="24"/>
        </w:rPr>
        <w:t>影响投资者决策的其他重要信息</w:t>
      </w:r>
    </w:p>
    <w:p w:rsidR="00093448" w:rsidRPr="00093448" w:rsidRDefault="00093448" w:rsidP="00093448">
      <w:pPr>
        <w:autoSpaceDE w:val="0"/>
        <w:autoSpaceDN w:val="0"/>
        <w:adjustRightInd w:val="0"/>
        <w:spacing w:line="360" w:lineRule="auto"/>
        <w:jc w:val="left"/>
        <w:rPr>
          <w:rFonts w:ascii="宋体" w:hAnsi="宋体"/>
          <w:b/>
          <w:bCs/>
          <w:color w:val="000000"/>
          <w:kern w:val="0"/>
          <w:sz w:val="24"/>
        </w:rPr>
      </w:pPr>
      <w:r w:rsidRPr="00093448">
        <w:rPr>
          <w:rFonts w:ascii="宋体" w:hAnsi="宋体" w:hint="eastAsia"/>
          <w:b/>
          <w:bCs/>
          <w:color w:val="000000"/>
          <w:kern w:val="0"/>
          <w:sz w:val="24"/>
        </w:rPr>
        <w:t>8.1 影响投资者决策的其他重要信息</w:t>
      </w:r>
    </w:p>
    <w:p w:rsidR="00093448" w:rsidRPr="00090DA4" w:rsidRDefault="00093448" w:rsidP="00093448">
      <w:pPr>
        <w:spacing w:line="360" w:lineRule="auto"/>
        <w:ind w:firstLineChars="200" w:firstLine="420"/>
        <w:rPr>
          <w:rFonts w:ascii="宋体" w:hAnsi="宋体"/>
          <w:color w:val="000000"/>
          <w:szCs w:val="21"/>
        </w:rPr>
      </w:pPr>
      <w:r w:rsidRPr="00090DA4">
        <w:rPr>
          <w:rFonts w:ascii="宋体" w:hAnsi="宋体"/>
          <w:color w:val="00000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9</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9</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w:t>
      </w:r>
      <w:r>
        <w:rPr>
          <w:rFonts w:asciiTheme="minorEastAsia" w:eastAsiaTheme="minorEastAsia" w:hAnsiTheme="minorEastAsia" w:hint="eastAsia"/>
          <w:color w:val="000000" w:themeColor="text1"/>
          <w:szCs w:val="21"/>
        </w:rPr>
        <w:t>中国证监会批准原上投摩根智慧生活灵活配置混合型证券投资基金设立的文件；</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Pr>
          <w:rFonts w:asciiTheme="minorEastAsia" w:eastAsiaTheme="minorEastAsia" w:hAnsiTheme="minorEastAsia" w:hint="eastAsia"/>
          <w:color w:val="000000" w:themeColor="text1"/>
          <w:szCs w:val="21"/>
        </w:rPr>
        <w:t>原上投摩根智慧生活灵活配置混合型证券投资基金的基金合同；</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Pr>
          <w:rFonts w:asciiTheme="minorEastAsia" w:eastAsiaTheme="minorEastAsia" w:hAnsiTheme="minorEastAsia" w:hint="eastAsia"/>
          <w:color w:val="000000" w:themeColor="text1"/>
          <w:szCs w:val="21"/>
        </w:rPr>
        <w:t>原上投摩根智慧生活灵活配置混合型证券投资基金的托管协议；</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Pr>
          <w:rFonts w:asciiTheme="minorEastAsia" w:eastAsiaTheme="minorEastAsia" w:hAnsiTheme="minorEastAsia" w:hint="eastAsia"/>
          <w:color w:val="000000" w:themeColor="text1"/>
          <w:szCs w:val="21"/>
        </w:rPr>
        <w:t>中国证监会批准原上投摩根智慧生活灵活配置混合型证券投资基金变更注册为上投摩根中国生物医药混合型证券投资基金（</w:t>
      </w:r>
      <w:r>
        <w:rPr>
          <w:rFonts w:asciiTheme="minorEastAsia" w:eastAsiaTheme="minorEastAsia" w:hAnsiTheme="minorEastAsia" w:hint="eastAsia"/>
          <w:color w:val="000000" w:themeColor="text1"/>
          <w:szCs w:val="21"/>
        </w:rPr>
        <w:t>QDII</w:t>
      </w:r>
      <w:r>
        <w:rPr>
          <w:rFonts w:asciiTheme="minorEastAsia" w:eastAsiaTheme="minorEastAsia" w:hAnsiTheme="minorEastAsia" w:hint="eastAsia"/>
          <w:color w:val="000000" w:themeColor="text1"/>
          <w:szCs w:val="21"/>
        </w:rPr>
        <w:t>）的文件；</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Pr>
          <w:rFonts w:asciiTheme="minorEastAsia" w:eastAsiaTheme="minorEastAsia" w:hAnsiTheme="minorEastAsia" w:hint="eastAsia"/>
          <w:color w:val="000000" w:themeColor="text1"/>
          <w:szCs w:val="21"/>
        </w:rPr>
        <w:t>上投摩根中国生物医药混合型证券投资基金（</w:t>
      </w:r>
      <w:r>
        <w:rPr>
          <w:rFonts w:asciiTheme="minorEastAsia" w:eastAsiaTheme="minorEastAsia" w:hAnsiTheme="minorEastAsia" w:hint="eastAsia"/>
          <w:color w:val="000000" w:themeColor="text1"/>
          <w:szCs w:val="21"/>
        </w:rPr>
        <w:t>QDII</w:t>
      </w:r>
      <w:r>
        <w:rPr>
          <w:rFonts w:asciiTheme="minorEastAsia" w:eastAsiaTheme="minorEastAsia" w:hAnsiTheme="minorEastAsia" w:hint="eastAsia"/>
          <w:color w:val="000000" w:themeColor="text1"/>
          <w:szCs w:val="21"/>
        </w:rPr>
        <w:t>）的基金合同；</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6. </w:t>
      </w:r>
      <w:r>
        <w:rPr>
          <w:rFonts w:asciiTheme="minorEastAsia" w:eastAsiaTheme="minorEastAsia" w:hAnsiTheme="minorEastAsia" w:hint="eastAsia"/>
          <w:color w:val="000000" w:themeColor="text1"/>
          <w:szCs w:val="21"/>
        </w:rPr>
        <w:t>上投摩根中国生物医药混合型证券投资基金（</w:t>
      </w:r>
      <w:r>
        <w:rPr>
          <w:rFonts w:asciiTheme="minorEastAsia" w:eastAsiaTheme="minorEastAsia" w:hAnsiTheme="minorEastAsia" w:hint="eastAsia"/>
          <w:color w:val="000000" w:themeColor="text1"/>
          <w:szCs w:val="21"/>
        </w:rPr>
        <w:t>QDII</w:t>
      </w:r>
      <w:r>
        <w:rPr>
          <w:rFonts w:asciiTheme="minorEastAsia" w:eastAsiaTheme="minorEastAsia" w:hAnsiTheme="minorEastAsia" w:hint="eastAsia"/>
          <w:color w:val="000000" w:themeColor="text1"/>
          <w:szCs w:val="21"/>
        </w:rPr>
        <w:t>）的托管协议；</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7. </w:t>
      </w:r>
      <w:r>
        <w:rPr>
          <w:rFonts w:asciiTheme="minorEastAsia" w:eastAsiaTheme="minorEastAsia" w:hAnsiTheme="minorEastAsia" w:hint="eastAsia"/>
          <w:color w:val="000000" w:themeColor="text1"/>
          <w:szCs w:val="21"/>
        </w:rPr>
        <w:t>《上投摩根开放式基金业务规则》；</w:t>
      </w:r>
    </w:p>
    <w:p w:rsidR="00607640" w:rsidRDefault="005619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8. </w:t>
      </w:r>
      <w:r>
        <w:rPr>
          <w:rFonts w:asciiTheme="minorEastAsia" w:eastAsiaTheme="minorEastAsia" w:hAnsiTheme="minorEastAsia" w:hint="eastAsia"/>
          <w:color w:val="000000" w:themeColor="text1"/>
          <w:szCs w:val="21"/>
        </w:rPr>
        <w:t>基金管理人业务资格批件、营业执照；</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 基金托管人业务资格批件和营业执照。</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9</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lastRenderedPageBreak/>
        <w:t>基金管理人或基金托管人住所。</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9</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二〇一九年十月二十五日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56195C">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56195C">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56195C">
      <w:rPr>
        <w:rStyle w:val="a8"/>
        <w:noProof/>
      </w:rPr>
      <w:t>15</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上投摩根中国生物医药混合型证券投资基金（</w:t>
    </w:r>
    <w:r w:rsidRPr="006669C9">
      <w:t>QDII</w:t>
    </w:r>
    <w:r w:rsidRPr="006669C9">
      <w:t>）</w:t>
    </w:r>
    <w:r w:rsidRPr="006669C9">
      <w:t>2019</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195C"/>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07640"/>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8A4E9C6D-7915-4B82-B77C-0F48CCDC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6</TotalTime>
  <Pages>15</Pages>
  <Words>1184</Words>
  <Characters>6751</Characters>
  <Application>Microsoft Office Word</Application>
  <DocSecurity>0</DocSecurity>
  <Lines>56</Lines>
  <Paragraphs>15</Paragraphs>
  <ScaleCrop>false</ScaleCrop>
  <Company>TRT. Ltd. Co.</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cp:revision>
  <cp:lastPrinted>2007-07-19T00:46:00Z</cp:lastPrinted>
  <dcterms:created xsi:type="dcterms:W3CDTF">2014-12-16T02:40:00Z</dcterms:created>
  <dcterms:modified xsi:type="dcterms:W3CDTF">2019-10-23T08:23:00Z</dcterms:modified>
</cp:coreProperties>
</file>