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上投摩根中国生物医药混合型证券投资基金（QDII）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2019年第3季度报告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2019年9月30日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中国银行股份有限公司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二〇一九年十月二十五日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基金托管人中国银行股份有限公司根据本基金合同规定，于</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24</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本报告期自2019年7月1日起至9月30日止。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上投摩根中国生物医药混合（QDII）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001984</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001984</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2019年2月22日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175,126,576.55</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本基金采用定量及定性研究方法，自下而上优选在中国境内、香港及美国等全球市场上市的中国生物医药类公司，通过严格的风险控制，力争实现基金资产的长期增值。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采用“自下而上”的策略，通过系统和深入的基本面研究和跨市场估值优势的挖掘，优选在中国境内、香港及美国等市场上市的中国生物医药类公司构建股票投资组合，并辅以严格的投资组合风险控制，以获得中长期的</w:t>
            </w:r>
            <w:r w:rsidRPr="008277FF">
              <w:rPr>
                <w:rFonts w:asciiTheme="minorEastAsia" w:eastAsiaTheme="minorEastAsia" w:hAnsiTheme="minorEastAsia"/>
                <w:color w:val="000000" w:themeColor="text1"/>
                <w:kern w:val="0"/>
                <w:szCs w:val="21"/>
              </w:rPr>
              <w:lastRenderedPageBreak/>
              <w:t>较高投资收益。本基金主要投资于生物医药行业相关的中国公司股票。其中“中国公司”是指满足以下三个条件之一的上市公司：1）上市公司注册地在中国（包含中国内地及香港）；2）上市公司至少50%的主营业务收入或利润来自于中国；3）上市公司的主要经营活动在中国。本基金所定义的生物医药行业由研究开发、生产和销售用于预防、诊断和治疗疾病的生物医药相关产品或服务的上市公司组成，将主要包含主营业务为生物医药行业相关的上市公司，前述生物医药行业包括化学制药、中药、生物制药、医药商业、医疗服务、医疗器械等。</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申银万国医药生物行业指数收益率×45%+恒生医疗保健行业指数收益率×35%+中债总指数收益率×20%</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07640" w:rsidRDefault="0056195C">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本基金属于混合型基金产品，预期风险和收益</w:t>
            </w:r>
            <w:r>
              <w:rPr>
                <w:rFonts w:asciiTheme="minorEastAsia" w:eastAsiaTheme="minorEastAsia" w:hAnsiTheme="minorEastAsia"/>
                <w:color w:val="000000" w:themeColor="text1"/>
                <w:kern w:val="0"/>
                <w:szCs w:val="21"/>
              </w:rPr>
              <w:t>水平高于债券型基金和货币市场基金。</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中国银行股份有限公司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Bank of China (Hong Kong)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中国银行(香港)有限公司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56195C" w:rsidRPr="008277FF" w:rsidTr="0056195C">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2019年7月1日-2019年9月30日</w:t>
            </w:r>
            <w:r w:rsidRPr="008277FF">
              <w:rPr>
                <w:rFonts w:asciiTheme="minorEastAsia" w:eastAsiaTheme="minorEastAsia" w:hAnsiTheme="minorEastAsia" w:cs="宋体" w:hint="eastAsia"/>
                <w:color w:val="000000" w:themeColor="text1"/>
                <w:szCs w:val="21"/>
              </w:rPr>
              <w:t>)</w:t>
            </w:r>
          </w:p>
        </w:tc>
      </w:tr>
      <w:tr w:rsidR="0056195C" w:rsidRPr="008277FF" w:rsidTr="0056195C">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24,209,106.97</w:t>
            </w:r>
          </w:p>
        </w:tc>
      </w:tr>
      <w:tr w:rsidR="0056195C" w:rsidRPr="008277FF" w:rsidTr="0056195C">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39,011,990.55</w:t>
            </w:r>
          </w:p>
        </w:tc>
      </w:tr>
      <w:tr w:rsidR="0056195C" w:rsidRPr="008277FF" w:rsidTr="0056195C">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lastRenderedPageBreak/>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0.0782</w:t>
            </w:r>
          </w:p>
        </w:tc>
      </w:tr>
      <w:tr w:rsidR="0056195C" w:rsidRPr="008277FF" w:rsidTr="0056195C">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219,332,938.99</w:t>
            </w:r>
          </w:p>
        </w:tc>
      </w:tr>
      <w:tr w:rsidR="0056195C" w:rsidRPr="008277FF" w:rsidTr="0056195C">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1.2524</w:t>
            </w:r>
          </w:p>
        </w:tc>
      </w:tr>
    </w:tbl>
    <w:p w:rsidR="00607640" w:rsidRDefault="0056195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607640">
        <w:tc>
          <w:tcPr>
            <w:tcW w:w="1395" w:type="dxa"/>
            <w:vAlign w:val="center"/>
          </w:tcPr>
          <w:p w:rsidR="00607640" w:rsidRDefault="0056195C">
            <w:pPr>
              <w:jc w:val="left"/>
            </w:pPr>
            <w:r>
              <w:rPr>
                <w:rFonts w:asciiTheme="minorEastAsia" w:eastAsiaTheme="minorEastAsia" w:hAnsiTheme="minorEastAsia"/>
                <w:color w:val="000000" w:themeColor="text1"/>
                <w:szCs w:val="21"/>
              </w:rPr>
              <w:t>过去三个月</w:t>
            </w:r>
          </w:p>
        </w:tc>
        <w:tc>
          <w:tcPr>
            <w:tcW w:w="1092" w:type="dxa"/>
            <w:vAlign w:val="center"/>
          </w:tcPr>
          <w:p w:rsidR="00607640" w:rsidRDefault="0056195C">
            <w:pPr>
              <w:jc w:val="right"/>
            </w:pPr>
            <w:r>
              <w:rPr>
                <w:rFonts w:asciiTheme="minorEastAsia" w:eastAsiaTheme="minorEastAsia" w:hAnsiTheme="minorEastAsia"/>
                <w:color w:val="000000" w:themeColor="text1"/>
                <w:szCs w:val="21"/>
              </w:rPr>
              <w:t>18.24%</w:t>
            </w:r>
          </w:p>
        </w:tc>
        <w:tc>
          <w:tcPr>
            <w:tcW w:w="1161" w:type="dxa"/>
            <w:vAlign w:val="center"/>
          </w:tcPr>
          <w:p w:rsidR="00607640" w:rsidRDefault="0056195C">
            <w:pPr>
              <w:jc w:val="right"/>
            </w:pPr>
            <w:r>
              <w:rPr>
                <w:rFonts w:asciiTheme="minorEastAsia" w:eastAsiaTheme="minorEastAsia" w:hAnsiTheme="minorEastAsia"/>
                <w:color w:val="000000" w:themeColor="text1"/>
                <w:szCs w:val="21"/>
              </w:rPr>
              <w:t>0.90%</w:t>
            </w:r>
          </w:p>
        </w:tc>
        <w:tc>
          <w:tcPr>
            <w:tcW w:w="1181" w:type="dxa"/>
            <w:vAlign w:val="center"/>
          </w:tcPr>
          <w:p w:rsidR="00607640" w:rsidRDefault="0056195C">
            <w:pPr>
              <w:jc w:val="right"/>
            </w:pPr>
            <w:r>
              <w:rPr>
                <w:rFonts w:asciiTheme="minorEastAsia" w:eastAsiaTheme="minorEastAsia" w:hAnsiTheme="minorEastAsia"/>
                <w:color w:val="000000" w:themeColor="text1"/>
                <w:szCs w:val="21"/>
              </w:rPr>
              <w:t>4.74%</w:t>
            </w:r>
          </w:p>
        </w:tc>
        <w:tc>
          <w:tcPr>
            <w:tcW w:w="1188" w:type="dxa"/>
            <w:vAlign w:val="center"/>
          </w:tcPr>
          <w:p w:rsidR="00607640" w:rsidRDefault="0056195C">
            <w:pPr>
              <w:jc w:val="right"/>
            </w:pPr>
            <w:r>
              <w:rPr>
                <w:rFonts w:asciiTheme="minorEastAsia" w:eastAsiaTheme="minorEastAsia" w:hAnsiTheme="minorEastAsia"/>
                <w:color w:val="000000" w:themeColor="text1"/>
                <w:szCs w:val="21"/>
              </w:rPr>
              <w:t>0.91%</w:t>
            </w:r>
          </w:p>
        </w:tc>
        <w:tc>
          <w:tcPr>
            <w:tcW w:w="1199" w:type="dxa"/>
            <w:vAlign w:val="center"/>
          </w:tcPr>
          <w:p w:rsidR="00607640" w:rsidRDefault="0056195C">
            <w:pPr>
              <w:jc w:val="right"/>
            </w:pPr>
            <w:r>
              <w:rPr>
                <w:rFonts w:asciiTheme="minorEastAsia" w:eastAsiaTheme="minorEastAsia" w:hAnsiTheme="minorEastAsia"/>
                <w:color w:val="000000" w:themeColor="text1"/>
                <w:szCs w:val="21"/>
              </w:rPr>
              <w:t>13.50%</w:t>
            </w:r>
          </w:p>
        </w:tc>
        <w:tc>
          <w:tcPr>
            <w:tcW w:w="1204" w:type="dxa"/>
            <w:vAlign w:val="center"/>
          </w:tcPr>
          <w:p w:rsidR="00607640" w:rsidRDefault="0056195C">
            <w:pPr>
              <w:jc w:val="right"/>
            </w:pPr>
            <w:r>
              <w:rPr>
                <w:rFonts w:asciiTheme="minorEastAsia" w:eastAsiaTheme="minorEastAsia" w:hAnsiTheme="minorEastAsia"/>
                <w:color w:val="000000" w:themeColor="text1"/>
                <w:szCs w:val="21"/>
              </w:rPr>
              <w:t>-0.01%</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自基金转型以来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上投摩根中国生物医药混合型证券投资基金（QDII）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2019年2月22日</w:t>
      </w:r>
      <w:r w:rsidRPr="008277FF">
        <w:rPr>
          <w:rFonts w:asciiTheme="minorEastAsia" w:eastAsiaTheme="minorEastAsia" w:hAnsiTheme="minorEastAsia" w:hint="eastAsia"/>
          <w:color w:val="000000" w:themeColor="text1"/>
          <w:kern w:val="0"/>
          <w:szCs w:val="21"/>
        </w:rPr>
        <w:t>至2019年9月30日）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607640" w:rsidRDefault="0056195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注：本基金合同生效日（转型日）为</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22</w:t>
      </w:r>
      <w:r>
        <w:rPr>
          <w:rFonts w:asciiTheme="minorEastAsia" w:eastAsiaTheme="minorEastAsia" w:hAnsiTheme="minorEastAsia"/>
          <w:color w:val="000000" w:themeColor="text1"/>
          <w:szCs w:val="21"/>
        </w:rPr>
        <w:t>日，截至本报告期末，本基金合同生效（转型）未满一年，图示时间段为</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22</w:t>
      </w:r>
      <w:r>
        <w:rPr>
          <w:rFonts w:asciiTheme="minorEastAsia" w:eastAsiaTheme="minorEastAsia" w:hAnsiTheme="minorEastAsia"/>
          <w:color w:val="000000" w:themeColor="text1"/>
          <w:szCs w:val="21"/>
        </w:rPr>
        <w:t>日至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30</w:t>
      </w:r>
      <w:r>
        <w:rPr>
          <w:rFonts w:asciiTheme="minorEastAsia" w:eastAsiaTheme="minorEastAsia" w:hAnsiTheme="minorEastAsia"/>
          <w:color w:val="000000" w:themeColor="text1"/>
          <w:szCs w:val="21"/>
        </w:rPr>
        <w:t>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本基金建仓期自2019年2月22日至2019年8月21日，建仓期结束时资产配置比例符合本基金基金合同规定。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607640">
        <w:tc>
          <w:tcPr>
            <w:tcW w:w="851" w:type="dxa"/>
            <w:vAlign w:val="center"/>
          </w:tcPr>
          <w:p w:rsidR="00607640" w:rsidRDefault="0056195C">
            <w:pPr>
              <w:jc w:val="center"/>
            </w:pPr>
            <w:r>
              <w:rPr>
                <w:rFonts w:asciiTheme="minorEastAsia" w:eastAsiaTheme="minorEastAsia" w:hAnsiTheme="minorEastAsia"/>
                <w:color w:val="000000" w:themeColor="text1"/>
                <w:szCs w:val="21"/>
              </w:rPr>
              <w:t>张一甫</w:t>
            </w:r>
          </w:p>
        </w:tc>
        <w:tc>
          <w:tcPr>
            <w:tcW w:w="850" w:type="dxa"/>
            <w:vAlign w:val="center"/>
          </w:tcPr>
          <w:p w:rsidR="00607640" w:rsidRDefault="0056195C">
            <w:pPr>
              <w:jc w:val="center"/>
            </w:pPr>
            <w:r>
              <w:rPr>
                <w:rFonts w:asciiTheme="minorEastAsia" w:eastAsiaTheme="minorEastAsia" w:hAnsiTheme="minorEastAsia"/>
                <w:color w:val="000000" w:themeColor="text1"/>
                <w:szCs w:val="21"/>
              </w:rPr>
              <w:t>本基金基金经理</w:t>
            </w:r>
          </w:p>
        </w:tc>
        <w:tc>
          <w:tcPr>
            <w:tcW w:w="1560" w:type="dxa"/>
            <w:vAlign w:val="center"/>
          </w:tcPr>
          <w:p w:rsidR="00607640" w:rsidRDefault="0056195C">
            <w:pPr>
              <w:jc w:val="center"/>
            </w:pPr>
            <w:r>
              <w:rPr>
                <w:rFonts w:asciiTheme="minorEastAsia" w:eastAsiaTheme="minorEastAsia" w:hAnsiTheme="minorEastAsia"/>
                <w:color w:val="000000" w:themeColor="text1"/>
                <w:szCs w:val="21"/>
              </w:rPr>
              <w:t>2018-08-03</w:t>
            </w:r>
          </w:p>
        </w:tc>
        <w:tc>
          <w:tcPr>
            <w:tcW w:w="1559" w:type="dxa"/>
            <w:vAlign w:val="center"/>
          </w:tcPr>
          <w:p w:rsidR="00607640" w:rsidRDefault="0056195C">
            <w:pPr>
              <w:jc w:val="center"/>
            </w:pPr>
            <w:r>
              <w:rPr>
                <w:rFonts w:asciiTheme="minorEastAsia" w:eastAsiaTheme="minorEastAsia" w:hAnsiTheme="minorEastAsia"/>
                <w:color w:val="000000" w:themeColor="text1"/>
                <w:szCs w:val="21"/>
              </w:rPr>
              <w:t>2019-08-16</w:t>
            </w:r>
          </w:p>
        </w:tc>
        <w:tc>
          <w:tcPr>
            <w:tcW w:w="1417" w:type="dxa"/>
            <w:vAlign w:val="center"/>
          </w:tcPr>
          <w:p w:rsidR="00607640" w:rsidRDefault="0056195C">
            <w:pPr>
              <w:jc w:val="center"/>
            </w:pP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年</w:t>
            </w:r>
          </w:p>
        </w:tc>
        <w:tc>
          <w:tcPr>
            <w:tcW w:w="2694" w:type="dxa"/>
            <w:vAlign w:val="center"/>
          </w:tcPr>
          <w:p w:rsidR="00607640" w:rsidRDefault="0056195C">
            <w:pPr>
              <w:jc w:val="left"/>
            </w:pPr>
            <w:r>
              <w:rPr>
                <w:rFonts w:asciiTheme="minorEastAsia" w:eastAsiaTheme="minorEastAsia" w:hAnsiTheme="minorEastAsia"/>
                <w:color w:val="000000" w:themeColor="text1"/>
                <w:szCs w:val="21"/>
              </w:rPr>
              <w:t>张一甫先生，自</w:t>
            </w:r>
            <w:r>
              <w:rPr>
                <w:rFonts w:asciiTheme="minorEastAsia" w:eastAsiaTheme="minorEastAsia" w:hAnsiTheme="minorEastAsia"/>
                <w:color w:val="000000" w:themeColor="text1"/>
                <w:szCs w:val="21"/>
              </w:rPr>
              <w:t>2010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月在国泰君安证券股份有限公司担任助理研究员，自</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月在瑞银证券有限责任公司担任研究员；自</w:t>
            </w:r>
            <w:r>
              <w:rPr>
                <w:rFonts w:asciiTheme="minorEastAsia" w:eastAsiaTheme="minorEastAsia" w:hAnsiTheme="minorEastAsia"/>
                <w:color w:val="000000" w:themeColor="text1"/>
                <w:szCs w:val="21"/>
              </w:rPr>
              <w:t>2013</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月在国泰君安证券股份有限公司担任研究员；自</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月起加入上投摩根基金管理有限公司，历任研究员、行业专家兼基金经理助理，基金经理。自</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月担任</w:t>
            </w:r>
            <w:r>
              <w:rPr>
                <w:rFonts w:asciiTheme="minorEastAsia" w:eastAsiaTheme="minorEastAsia" w:hAnsiTheme="minorEastAsia"/>
                <w:color w:val="000000" w:themeColor="text1"/>
                <w:szCs w:val="21"/>
              </w:rPr>
              <w:lastRenderedPageBreak/>
              <w:t>上投摩根成长先锋混合型证券投资基金基金经理，自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月同时担任上投摩根医疗健康股票型证券投资基金基金经理，自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月同时担任上投摩根中国生物医药混合型证券投资基金（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）（由上投摩根智慧生活灵活配置混合型证券投资基金转型而来）基金经理。</w:t>
            </w:r>
          </w:p>
        </w:tc>
      </w:tr>
      <w:tr w:rsidR="00607640">
        <w:tc>
          <w:tcPr>
            <w:tcW w:w="851" w:type="dxa"/>
            <w:vAlign w:val="center"/>
          </w:tcPr>
          <w:p w:rsidR="00607640" w:rsidRDefault="0056195C">
            <w:pPr>
              <w:jc w:val="center"/>
            </w:pPr>
            <w:r>
              <w:rPr>
                <w:rFonts w:asciiTheme="minorEastAsia" w:eastAsiaTheme="minorEastAsia" w:hAnsiTheme="minorEastAsia"/>
                <w:color w:val="000000" w:themeColor="text1"/>
                <w:szCs w:val="21"/>
              </w:rPr>
              <w:lastRenderedPageBreak/>
              <w:t>方钰涵</w:t>
            </w:r>
          </w:p>
        </w:tc>
        <w:tc>
          <w:tcPr>
            <w:tcW w:w="850" w:type="dxa"/>
            <w:vAlign w:val="center"/>
          </w:tcPr>
          <w:p w:rsidR="00607640" w:rsidRDefault="0056195C">
            <w:pPr>
              <w:jc w:val="center"/>
            </w:pPr>
            <w:r>
              <w:rPr>
                <w:rFonts w:asciiTheme="minorEastAsia" w:eastAsiaTheme="minorEastAsia" w:hAnsiTheme="minorEastAsia"/>
                <w:color w:val="000000" w:themeColor="text1"/>
                <w:szCs w:val="21"/>
              </w:rPr>
              <w:t>本基金基金经理</w:t>
            </w:r>
          </w:p>
        </w:tc>
        <w:tc>
          <w:tcPr>
            <w:tcW w:w="1560" w:type="dxa"/>
            <w:vAlign w:val="center"/>
          </w:tcPr>
          <w:p w:rsidR="00607640" w:rsidRDefault="0056195C">
            <w:pPr>
              <w:jc w:val="center"/>
            </w:pPr>
            <w:r>
              <w:rPr>
                <w:rFonts w:asciiTheme="minorEastAsia" w:eastAsiaTheme="minorEastAsia" w:hAnsiTheme="minorEastAsia"/>
                <w:color w:val="000000" w:themeColor="text1"/>
                <w:szCs w:val="21"/>
              </w:rPr>
              <w:t>2018-08-03</w:t>
            </w:r>
          </w:p>
        </w:tc>
        <w:tc>
          <w:tcPr>
            <w:tcW w:w="1559" w:type="dxa"/>
            <w:vAlign w:val="center"/>
          </w:tcPr>
          <w:p w:rsidR="00607640" w:rsidRDefault="0056195C">
            <w:pPr>
              <w:jc w:val="center"/>
            </w:pPr>
            <w:r>
              <w:rPr>
                <w:rFonts w:asciiTheme="minorEastAsia" w:eastAsiaTheme="minorEastAsia" w:hAnsiTheme="minorEastAsia"/>
                <w:color w:val="000000" w:themeColor="text1"/>
                <w:szCs w:val="21"/>
              </w:rPr>
              <w:t>-</w:t>
            </w:r>
          </w:p>
        </w:tc>
        <w:tc>
          <w:tcPr>
            <w:tcW w:w="1417" w:type="dxa"/>
            <w:vAlign w:val="center"/>
          </w:tcPr>
          <w:p w:rsidR="00607640" w:rsidRDefault="0056195C">
            <w:pPr>
              <w:jc w:val="center"/>
            </w:pP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年</w:t>
            </w:r>
          </w:p>
        </w:tc>
        <w:tc>
          <w:tcPr>
            <w:tcW w:w="2694" w:type="dxa"/>
            <w:vAlign w:val="center"/>
          </w:tcPr>
          <w:p w:rsidR="00607640" w:rsidRDefault="0056195C">
            <w:pPr>
              <w:jc w:val="left"/>
            </w:pPr>
            <w:r>
              <w:rPr>
                <w:rFonts w:asciiTheme="minorEastAsia" w:eastAsiaTheme="minorEastAsia" w:hAnsiTheme="minorEastAsia"/>
                <w:color w:val="000000" w:themeColor="text1"/>
                <w:szCs w:val="21"/>
              </w:rPr>
              <w:t>方钰涵女士，</w:t>
            </w:r>
            <w:r>
              <w:rPr>
                <w:rFonts w:asciiTheme="minorEastAsia" w:eastAsiaTheme="minorEastAsia" w:hAnsiTheme="minorEastAsia"/>
                <w:color w:val="000000" w:themeColor="text1"/>
                <w:szCs w:val="21"/>
              </w:rPr>
              <w:t>2013</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月在兴业证券资产管理有限公司担任研究员；自</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2015</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月在国泰基金管理有限公司担任研究员；自</w:t>
            </w:r>
            <w:r>
              <w:rPr>
                <w:rFonts w:asciiTheme="minorEastAsia" w:eastAsiaTheme="minorEastAsia" w:hAnsiTheme="minorEastAsia"/>
                <w:color w:val="000000" w:themeColor="text1"/>
                <w:szCs w:val="21"/>
              </w:rPr>
              <w:t>2015</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月起加入上投摩根基金管理有限公司，先后担任行业专家、基金经理；自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月起担任上投摩根中国生物医药混合型证券投资基金（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）（由上投摩根智慧生活灵活配置混合型证券投资基金转型而来）基金经理，自</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月起同时担任上投摩根医疗健康股票型证券投资基金基金经理。</w:t>
            </w:r>
          </w:p>
        </w:tc>
      </w:tr>
    </w:tbl>
    <w:p w:rsidR="00607640" w:rsidRDefault="0056195C">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任职日期和离任日期均指根据公司决定确定的聘任日期和解聘日期。</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2</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中国生物医药混合型证券投资基金（QDII）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3.1</w:t>
      </w:r>
      <w:r w:rsidRPr="008277FF">
        <w:rPr>
          <w:rFonts w:asciiTheme="minorEastAsia" w:eastAsiaTheme="minorEastAsia" w:hAnsiTheme="minorEastAsia" w:hint="eastAsia"/>
          <w:color w:val="000000" w:themeColor="text1"/>
          <w:sz w:val="24"/>
        </w:rPr>
        <w:t>公平交易制度的执行情况</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3</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报告期内基金投资策略和运作分析</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年三季度是转型后的中国生物医药基金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首个完整运作的季度。作为目前市场上唯一一只专注于投资在</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H</w:t>
      </w:r>
      <w:r>
        <w:rPr>
          <w:rFonts w:asciiTheme="minorEastAsia" w:eastAsiaTheme="minorEastAsia" w:hAnsiTheme="minorEastAsia"/>
          <w:color w:val="000000" w:themeColor="text1"/>
          <w:szCs w:val="21"/>
        </w:rPr>
        <w:t>以及少数其他上市地点的中国生物医药公司的基金，我们跨市场动态选取有估值吸引力的细分领域龙头，本季度除了获取</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股龙头公司的收益，还重点布局了人工关节高值耗材、试管婴儿医疗服务等香港市场的投资机会。</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我们认为，中国目前的生物医药行业面临辞旧（仿制）迎新（创新）、承前（旧体制）启后（新政策）的转折期，涌现了不少的结构性投资机会。概括起来，主要包括以下几类：</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 1</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在细分子行业里能够进入全球市场、真正具备全球竞争力的公司，这背后的核</w:t>
      </w:r>
      <w:r>
        <w:rPr>
          <w:rFonts w:asciiTheme="minorEastAsia" w:eastAsiaTheme="minorEastAsia" w:hAnsiTheme="minorEastAsia"/>
          <w:color w:val="000000" w:themeColor="text1"/>
          <w:szCs w:val="21"/>
        </w:rPr>
        <w:lastRenderedPageBreak/>
        <w:t>心竞争力来源是我国过去二三十年来沉淀下来的工程师红利、及从低端逐渐到高端的制造能力。截止到</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年底，我国输送了</w:t>
      </w:r>
      <w:r>
        <w:rPr>
          <w:rFonts w:asciiTheme="minorEastAsia" w:eastAsiaTheme="minorEastAsia" w:hAnsiTheme="minorEastAsia"/>
          <w:color w:val="000000" w:themeColor="text1"/>
          <w:szCs w:val="21"/>
        </w:rPr>
        <w:t>500</w:t>
      </w:r>
      <w:r>
        <w:rPr>
          <w:rFonts w:asciiTheme="minorEastAsia" w:eastAsiaTheme="minorEastAsia" w:hAnsiTheme="minorEastAsia"/>
          <w:color w:val="000000" w:themeColor="text1"/>
          <w:szCs w:val="21"/>
        </w:rPr>
        <w:t>万名的出国留学生，其中有</w:t>
      </w:r>
      <w:r>
        <w:rPr>
          <w:rFonts w:asciiTheme="minorEastAsia" w:eastAsiaTheme="minorEastAsia" w:hAnsiTheme="minorEastAsia"/>
          <w:color w:val="000000" w:themeColor="text1"/>
          <w:szCs w:val="21"/>
        </w:rPr>
        <w:t>300</w:t>
      </w:r>
      <w:r>
        <w:rPr>
          <w:rFonts w:asciiTheme="minorEastAsia" w:eastAsiaTheme="minorEastAsia" w:hAnsiTheme="minorEastAsia"/>
          <w:color w:val="000000" w:themeColor="text1"/>
          <w:szCs w:val="21"/>
        </w:rPr>
        <w:t>万名已学成归国，带来在大型制药公司研发、生产、销售或审评审批机构多年的资深经验。拥有核心竞争资源的公司，通常根植于刚刚起步</w:t>
      </w:r>
      <w:r>
        <w:rPr>
          <w:rFonts w:asciiTheme="minorEastAsia" w:eastAsiaTheme="minorEastAsia" w:hAnsiTheme="minorEastAsia"/>
          <w:color w:val="000000" w:themeColor="text1"/>
          <w:szCs w:val="21"/>
        </w:rPr>
        <w:t>的、巨大且快速增长的中国本土市场，又以欧美市场的客户转移正向趋势为基础增长，前者更加强劲，例如一些龙头的全球外包服务公司，囊括临床前至生产，小分子和大分子、医疗器械公司、原料药公司，壁垒沉淀时间长，且可识别，可持续。</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 2</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虽只在中国本土市场经营，但是所处的本地行业稳定增长，体现为渗透率仍较低，医药消费仍在增长，消费者的用药结构或检测费用和国外还有较大差距，从国外发展的映射来看能看到较长的赛道，例如一些龙头的血液制品公司，本土医疗器械公司，医疗服务和药房零售公司。</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 xml:space="preserve"> 3）在香港上市的、不能/尚未能通过沪港通买入的独有公司，本基金的QDII额度发挥了优势，包括未有收入利润的创新药企业（如免疫治疗、创新疫苗等）、高值耗材（人工关节等）。我们看好国内自主创新的免疫治疗药品、小分子药品获批之后的几年产生爆发性的销售增长带来的投资机会。而未有利润的创新药公司通常配合以更加合理的组织架构和激励机制，快速组建起一支研发、注册、临床的全球队伍，将内生研发或BD引进的临床短缺产品推向全球，我们亦看好这类企业内部组织体系变革在科创时代焕发的新生活力。展望未来半年，香港市场排队上市的公司数量仍多，涉及领域比以往更加丰富，包括CROCMO、自主创新高值耗材、生物类似药、自主创新小分子药物等，我们期待继续寻找估值吸引力的投资机会。</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本报告期中国生物医药混合（QDII）份额净值增长率为:18.24%，同期业绩比较基准收益率为:4.74%。</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w:t>
            </w:r>
            <w:r w:rsidRPr="008277FF">
              <w:rPr>
                <w:rFonts w:asciiTheme="minorEastAsia" w:eastAsiaTheme="minorEastAsia" w:hAnsiTheme="minorEastAsia" w:hint="eastAsia"/>
                <w:color w:val="000000" w:themeColor="text1"/>
                <w:szCs w:val="21"/>
              </w:rPr>
              <w:lastRenderedPageBreak/>
              <w:t>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lastRenderedPageBreak/>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173,564,670.15</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72.27</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173,564,670.15</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72.27</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53,848,772.11</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22.42</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12,744,778.13</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5.31</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240,158,220.39</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607640">
        <w:trPr>
          <w:jc w:val="center"/>
        </w:trPr>
        <w:tc>
          <w:tcPr>
            <w:tcW w:w="2410" w:type="dxa"/>
            <w:vAlign w:val="center"/>
          </w:tcPr>
          <w:p w:rsidR="00607640" w:rsidRDefault="0056195C">
            <w:pPr>
              <w:jc w:val="left"/>
            </w:pPr>
            <w:r>
              <w:rPr>
                <w:rFonts w:asciiTheme="minorEastAsia" w:eastAsiaTheme="minorEastAsia" w:hAnsiTheme="minorEastAsia"/>
                <w:color w:val="000000" w:themeColor="text1"/>
                <w:szCs w:val="21"/>
              </w:rPr>
              <w:t>中国</w:t>
            </w:r>
          </w:p>
        </w:tc>
        <w:tc>
          <w:tcPr>
            <w:tcW w:w="3118" w:type="dxa"/>
            <w:vAlign w:val="center"/>
          </w:tcPr>
          <w:p w:rsidR="00607640" w:rsidRDefault="0056195C">
            <w:pPr>
              <w:jc w:val="right"/>
            </w:pPr>
            <w:r>
              <w:rPr>
                <w:rFonts w:asciiTheme="minorEastAsia" w:eastAsiaTheme="minorEastAsia" w:hAnsiTheme="minorEastAsia"/>
                <w:color w:val="000000" w:themeColor="text1"/>
                <w:szCs w:val="21"/>
              </w:rPr>
              <w:t>117,473,142.23</w:t>
            </w:r>
          </w:p>
        </w:tc>
        <w:tc>
          <w:tcPr>
            <w:tcW w:w="3076" w:type="dxa"/>
            <w:vAlign w:val="center"/>
          </w:tcPr>
          <w:p w:rsidR="00607640" w:rsidRDefault="0056195C">
            <w:pPr>
              <w:jc w:val="right"/>
            </w:pPr>
            <w:r>
              <w:rPr>
                <w:rFonts w:asciiTheme="minorEastAsia" w:eastAsiaTheme="minorEastAsia" w:hAnsiTheme="minorEastAsia"/>
                <w:color w:val="000000" w:themeColor="text1"/>
                <w:szCs w:val="21"/>
              </w:rPr>
              <w:t>53.56</w:t>
            </w:r>
          </w:p>
        </w:tc>
      </w:tr>
      <w:tr w:rsidR="00607640">
        <w:trPr>
          <w:jc w:val="center"/>
        </w:trPr>
        <w:tc>
          <w:tcPr>
            <w:tcW w:w="2410" w:type="dxa"/>
            <w:vAlign w:val="center"/>
          </w:tcPr>
          <w:p w:rsidR="00607640" w:rsidRDefault="0056195C">
            <w:pPr>
              <w:jc w:val="left"/>
            </w:pPr>
            <w:r>
              <w:rPr>
                <w:rFonts w:asciiTheme="minorEastAsia" w:eastAsiaTheme="minorEastAsia" w:hAnsiTheme="minorEastAsia"/>
                <w:color w:val="000000" w:themeColor="text1"/>
                <w:szCs w:val="21"/>
              </w:rPr>
              <w:t>中国香港</w:t>
            </w:r>
          </w:p>
        </w:tc>
        <w:tc>
          <w:tcPr>
            <w:tcW w:w="3118" w:type="dxa"/>
            <w:vAlign w:val="center"/>
          </w:tcPr>
          <w:p w:rsidR="00607640" w:rsidRDefault="0056195C">
            <w:pPr>
              <w:jc w:val="right"/>
            </w:pPr>
            <w:r>
              <w:rPr>
                <w:rFonts w:asciiTheme="minorEastAsia" w:eastAsiaTheme="minorEastAsia" w:hAnsiTheme="minorEastAsia"/>
                <w:color w:val="000000" w:themeColor="text1"/>
                <w:szCs w:val="21"/>
              </w:rPr>
              <w:t>56,091,527.92</w:t>
            </w:r>
          </w:p>
        </w:tc>
        <w:tc>
          <w:tcPr>
            <w:tcW w:w="3076" w:type="dxa"/>
            <w:vAlign w:val="center"/>
          </w:tcPr>
          <w:p w:rsidR="00607640" w:rsidRDefault="0056195C">
            <w:pPr>
              <w:jc w:val="right"/>
            </w:pPr>
            <w:r>
              <w:rPr>
                <w:rFonts w:asciiTheme="minorEastAsia" w:eastAsiaTheme="minorEastAsia" w:hAnsiTheme="minorEastAsia"/>
                <w:color w:val="000000" w:themeColor="text1"/>
                <w:szCs w:val="21"/>
              </w:rPr>
              <w:t>25.57</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173,564,670.15</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79.13</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lastRenderedPageBreak/>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制药</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48,533,808.49</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22.13</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医疗保健设备与用品</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41,459,026.22</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18.90</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生命科学工具和服务</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23,143,462.00</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10.55</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生物科技</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15,441,388.21</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7.04</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综合消费者服务</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11,664,982.74</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5.32</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医疗保健提供商与服务</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11,588,143.86</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5.28</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专营零售</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10,148,672.82</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4.63</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食品与主要用品零售</w:t>
            </w:r>
            <w:r>
              <w:rPr>
                <w:rFonts w:asciiTheme="minorEastAsia" w:eastAsiaTheme="minorEastAsia" w:hAnsiTheme="minorEastAsia"/>
                <w:color w:val="000000" w:themeColor="text1"/>
                <w:szCs w:val="21"/>
              </w:rPr>
              <w:t>Ⅲ</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4,189,617.05</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1.91</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化学制品</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3,065,236.94</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1.40</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居家用品</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3,014,481.15</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1.37</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互联网与售货目录零售</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1,011,514.01</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0.46</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食品</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289,372.66</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0.13</w:t>
            </w:r>
          </w:p>
        </w:tc>
      </w:tr>
      <w:tr w:rsidR="00607640">
        <w:tc>
          <w:tcPr>
            <w:tcW w:w="2787" w:type="dxa"/>
            <w:vAlign w:val="center"/>
          </w:tcPr>
          <w:p w:rsidR="00607640" w:rsidRDefault="0056195C">
            <w:pPr>
              <w:jc w:val="left"/>
            </w:pPr>
            <w:r>
              <w:rPr>
                <w:rFonts w:asciiTheme="minorEastAsia" w:eastAsiaTheme="minorEastAsia" w:hAnsiTheme="minorEastAsia"/>
                <w:color w:val="000000" w:themeColor="text1"/>
                <w:szCs w:val="21"/>
              </w:rPr>
              <w:t>电子设备、仪器和元件</w:t>
            </w:r>
          </w:p>
        </w:tc>
        <w:tc>
          <w:tcPr>
            <w:tcW w:w="2551" w:type="dxa"/>
            <w:vAlign w:val="center"/>
          </w:tcPr>
          <w:p w:rsidR="00607640" w:rsidRDefault="0056195C">
            <w:pPr>
              <w:jc w:val="right"/>
            </w:pPr>
            <w:r>
              <w:rPr>
                <w:rFonts w:asciiTheme="minorEastAsia" w:eastAsiaTheme="minorEastAsia" w:hAnsiTheme="minorEastAsia"/>
                <w:color w:val="000000" w:themeColor="text1"/>
                <w:szCs w:val="21"/>
              </w:rPr>
              <w:t>14,964.00</w:t>
            </w:r>
          </w:p>
        </w:tc>
        <w:tc>
          <w:tcPr>
            <w:tcW w:w="3175" w:type="dxa"/>
            <w:vAlign w:val="center"/>
          </w:tcPr>
          <w:p w:rsidR="00607640" w:rsidRDefault="0056195C">
            <w:pPr>
              <w:jc w:val="right"/>
            </w:pPr>
            <w:r>
              <w:rPr>
                <w:rFonts w:asciiTheme="minorEastAsia" w:eastAsiaTheme="minorEastAsia" w:hAnsiTheme="minorEastAsia"/>
                <w:color w:val="000000" w:themeColor="text1"/>
                <w:szCs w:val="21"/>
              </w:rPr>
              <w:t>0.01</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173,564,670.15</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79.13</w:t>
            </w:r>
          </w:p>
        </w:tc>
      </w:tr>
    </w:tbl>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28"/>
        <w:gridCol w:w="1893"/>
        <w:gridCol w:w="611"/>
        <w:gridCol w:w="808"/>
        <w:gridCol w:w="427"/>
        <w:gridCol w:w="625"/>
        <w:gridCol w:w="1400"/>
        <w:gridCol w:w="1499"/>
        <w:gridCol w:w="822"/>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1</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 xml:space="preserve">Sino </w:t>
            </w:r>
            <w:r>
              <w:rPr>
                <w:rFonts w:asciiTheme="minorEastAsia" w:eastAsiaTheme="minorEastAsia" w:hAnsiTheme="minorEastAsia"/>
                <w:color w:val="000000" w:themeColor="text1"/>
                <w:szCs w:val="21"/>
              </w:rPr>
              <w:t>Biopharmaceutical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中国生物制药</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1177</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香港证券交易所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中国香港</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1,288,000.00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11,571,417.24</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5.28</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2</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Offcn Education Technology Co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中公教育</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002607</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深圳证券</w:t>
            </w:r>
            <w:r>
              <w:rPr>
                <w:rFonts w:asciiTheme="minorEastAsia" w:eastAsiaTheme="minorEastAsia" w:hAnsiTheme="minorEastAsia"/>
                <w:color w:val="000000" w:themeColor="text1"/>
                <w:szCs w:val="21"/>
              </w:rPr>
              <w:lastRenderedPageBreak/>
              <w:t>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lastRenderedPageBreak/>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623,766.00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10,148,672.82</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4.63</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3</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Beijing Chunlizhengda Medical Instruments Co.,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春立医疗</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1858</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香港证券交易所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中国香港</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256,000.00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8,959,484.93</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4.08</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4</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Nanjing King-friend Biochemical Pharmaceutical Co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健友股份</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603707</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上海证券交易所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236,176.00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8,773,938.40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4.00</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5</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WuXi AppTec Co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药明康德</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603259</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上海证券交易所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90,229.00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7,822,854.30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3.57</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6</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Asymchem Laboratories (Tianjin) Co 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凯莱英</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002821</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深圳证券交易所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63,984.00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7,540,514.40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3.44</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7</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Shenzhen Mindray Bio-Medical</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迈瑞医疗</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300760</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深圳证券交易所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37,329.00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6,885,707.34</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3.14</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8</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AK Medical Holdings Limited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爱康医疗</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1789</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香港证券交易</w:t>
            </w:r>
            <w:r>
              <w:rPr>
                <w:rFonts w:asciiTheme="minorEastAsia" w:eastAsiaTheme="minorEastAsia" w:hAnsiTheme="minorEastAsia"/>
                <w:color w:val="000000" w:themeColor="text1"/>
                <w:szCs w:val="21"/>
              </w:rPr>
              <w:lastRenderedPageBreak/>
              <w:t>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lastRenderedPageBreak/>
              <w:t>中国香港</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1,022,000.00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6,849,376.85</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3.12</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9</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Guangzhou Wondfo Biotech Co.,Ltd.</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万孚生物</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300482</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深圳证券交易所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137,070.00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6,689,016.00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3.05</w:t>
            </w:r>
          </w:p>
        </w:tc>
      </w:tr>
      <w:tr w:rsidR="00607640">
        <w:tc>
          <w:tcPr>
            <w:tcW w:w="0" w:type="auto"/>
            <w:vAlign w:val="center"/>
          </w:tcPr>
          <w:p w:rsidR="00607640" w:rsidRDefault="0056195C">
            <w:pPr>
              <w:jc w:val="center"/>
            </w:pPr>
            <w:r>
              <w:rPr>
                <w:rFonts w:asciiTheme="minorEastAsia" w:eastAsiaTheme="minorEastAsia" w:hAnsiTheme="minorEastAsia"/>
                <w:color w:val="000000" w:themeColor="text1"/>
                <w:szCs w:val="21"/>
              </w:rPr>
              <w:t>10</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Scholar Education Group</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思考乐教育</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1769</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香港证券交易所</w:t>
            </w:r>
          </w:p>
        </w:tc>
        <w:tc>
          <w:tcPr>
            <w:tcW w:w="0" w:type="auto"/>
            <w:vAlign w:val="center"/>
          </w:tcPr>
          <w:p w:rsidR="00607640" w:rsidRDefault="0056195C">
            <w:pPr>
              <w:jc w:val="center"/>
            </w:pPr>
            <w:r>
              <w:rPr>
                <w:rFonts w:asciiTheme="minorEastAsia" w:eastAsiaTheme="minorEastAsia" w:hAnsiTheme="minorEastAsia"/>
                <w:color w:val="000000" w:themeColor="text1"/>
                <w:szCs w:val="21"/>
              </w:rPr>
              <w:t>中国香港</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899,000.00</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6,292,638.24</w:t>
            </w:r>
          </w:p>
        </w:tc>
        <w:tc>
          <w:tcPr>
            <w:tcW w:w="0" w:type="auto"/>
            <w:vAlign w:val="center"/>
          </w:tcPr>
          <w:p w:rsidR="00607640" w:rsidRDefault="0056195C">
            <w:pPr>
              <w:jc w:val="right"/>
            </w:pPr>
            <w:r>
              <w:rPr>
                <w:rFonts w:asciiTheme="minorEastAsia" w:eastAsiaTheme="minorEastAsia" w:hAnsiTheme="minorEastAsia"/>
                <w:color w:val="000000" w:themeColor="text1"/>
                <w:szCs w:val="21"/>
              </w:rPr>
              <w:t>2.87</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lastRenderedPageBreak/>
        <w:t>5.10.1本基金投资的前十名证券的发行主体本期未出现被监管部门立案调查，或在报告编制日前一年内受到公开谴责、处罚的情形。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24,429.29</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7,024.66</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12,713,324.18</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12,744,778.13</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因四舍五入的原因，投资组合报告中分项之和与合计数可能存在尾差。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348,244,742.92</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lastRenderedPageBreak/>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91,071,319.37</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264,189,485.74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175,126,576.55</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无。</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B111B9" w:rsidRPr="008277FF">
        <w:rPr>
          <w:rFonts w:asciiTheme="minorEastAsia" w:eastAsiaTheme="minorEastAsia" w:hAnsiTheme="minorEastAsia" w:cs="Arial" w:hint="eastAsia"/>
          <w:color w:val="000000" w:themeColor="text1"/>
          <w:kern w:val="0"/>
          <w:sz w:val="24"/>
          <w:szCs w:val="24"/>
        </w:rPr>
        <w:t xml:space="preserve">8 </w:t>
      </w:r>
      <w:r w:rsidRPr="008277FF">
        <w:rPr>
          <w:rFonts w:asciiTheme="minorEastAsia" w:eastAsiaTheme="minorEastAsia" w:hAnsiTheme="minorEastAsia" w:cs="Arial" w:hint="eastAsia"/>
          <w:color w:val="000000" w:themeColor="text1"/>
          <w:kern w:val="0"/>
          <w:sz w:val="24"/>
          <w:szCs w:val="24"/>
        </w:rPr>
        <w:t>影响投资者决策的其他重要信息</w:t>
      </w:r>
    </w:p>
    <w:p w:rsidR="00093448" w:rsidRPr="00093448" w:rsidRDefault="00093448" w:rsidP="00093448">
      <w:pPr>
        <w:autoSpaceDE w:val="0"/>
        <w:autoSpaceDN w:val="0"/>
        <w:adjustRightInd w:val="0"/>
        <w:spacing w:line="360" w:lineRule="auto"/>
        <w:jc w:val="left"/>
        <w:rPr>
          <w:rFonts w:ascii="宋体" w:hAnsi="宋体"/>
          <w:b/>
          <w:bCs/>
          <w:color w:val="000000"/>
          <w:kern w:val="0"/>
          <w:sz w:val="24"/>
        </w:rPr>
      </w:pPr>
      <w:r w:rsidRPr="00093448">
        <w:rPr>
          <w:rFonts w:ascii="宋体" w:hAnsi="宋体" w:hint="eastAsia"/>
          <w:b/>
          <w:bCs/>
          <w:color w:val="000000"/>
          <w:kern w:val="0"/>
          <w:sz w:val="24"/>
        </w:rPr>
        <w:t>8.1 影响投资者决策的其他重要信息</w:t>
      </w:r>
    </w:p>
    <w:p w:rsidR="00093448" w:rsidRPr="00090DA4" w:rsidRDefault="00093448" w:rsidP="00093448">
      <w:pPr>
        <w:spacing w:line="360" w:lineRule="auto"/>
        <w:ind w:firstLineChars="200" w:firstLine="420"/>
        <w:rPr>
          <w:rFonts w:ascii="宋体" w:hAnsi="宋体"/>
          <w:color w:val="000000"/>
          <w:szCs w:val="21"/>
        </w:rPr>
      </w:pPr>
      <w:r w:rsidRPr="00090DA4">
        <w:rPr>
          <w:rFonts w:ascii="宋体" w:hAnsi="宋体"/>
          <w:color w:val="00000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9</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 </w:t>
      </w:r>
      <w:r>
        <w:rPr>
          <w:rFonts w:asciiTheme="minorEastAsia" w:eastAsiaTheme="minorEastAsia" w:hAnsiTheme="minorEastAsia" w:hint="eastAsia"/>
          <w:color w:val="000000" w:themeColor="text1"/>
          <w:szCs w:val="21"/>
        </w:rPr>
        <w:t>中国证监会批准原上投摩根智慧生活灵活配置混合型证券投资基金设立的文件；</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Pr>
          <w:rFonts w:asciiTheme="minorEastAsia" w:eastAsiaTheme="minorEastAsia" w:hAnsiTheme="minorEastAsia" w:hint="eastAsia"/>
          <w:color w:val="000000" w:themeColor="text1"/>
          <w:szCs w:val="21"/>
        </w:rPr>
        <w:t>原上投摩根智慧生活灵活配置混合型证券投资基金的基金合同；</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w:t>
      </w:r>
      <w:r>
        <w:rPr>
          <w:rFonts w:asciiTheme="minorEastAsia" w:eastAsiaTheme="minorEastAsia" w:hAnsiTheme="minorEastAsia" w:hint="eastAsia"/>
          <w:color w:val="000000" w:themeColor="text1"/>
          <w:szCs w:val="21"/>
        </w:rPr>
        <w:t>原上投摩根智慧生活灵活配置混合型证券投资基金的托管协议；</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4. </w:t>
      </w:r>
      <w:r>
        <w:rPr>
          <w:rFonts w:asciiTheme="minorEastAsia" w:eastAsiaTheme="minorEastAsia" w:hAnsiTheme="minorEastAsia" w:hint="eastAsia"/>
          <w:color w:val="000000" w:themeColor="text1"/>
          <w:szCs w:val="21"/>
        </w:rPr>
        <w:t>中国证监会批准原上投摩根智慧生活灵活配置混合型证券投资基金变更注册为上投摩根中国生物医药混合型证券投资基金（</w:t>
      </w:r>
      <w:r>
        <w:rPr>
          <w:rFonts w:asciiTheme="minorEastAsia" w:eastAsiaTheme="minorEastAsia" w:hAnsiTheme="minorEastAsia" w:hint="eastAsia"/>
          <w:color w:val="000000" w:themeColor="text1"/>
          <w:szCs w:val="21"/>
        </w:rPr>
        <w:t>QDII</w:t>
      </w:r>
      <w:r>
        <w:rPr>
          <w:rFonts w:asciiTheme="minorEastAsia" w:eastAsiaTheme="minorEastAsia" w:hAnsiTheme="minorEastAsia" w:hint="eastAsia"/>
          <w:color w:val="000000" w:themeColor="text1"/>
          <w:szCs w:val="21"/>
        </w:rPr>
        <w:t>）的文件；</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 </w:t>
      </w:r>
      <w:r>
        <w:rPr>
          <w:rFonts w:asciiTheme="minorEastAsia" w:eastAsiaTheme="minorEastAsia" w:hAnsiTheme="minorEastAsia" w:hint="eastAsia"/>
          <w:color w:val="000000" w:themeColor="text1"/>
          <w:szCs w:val="21"/>
        </w:rPr>
        <w:t>上投摩根中国生物医药混合型证券投资基金（</w:t>
      </w:r>
      <w:r>
        <w:rPr>
          <w:rFonts w:asciiTheme="minorEastAsia" w:eastAsiaTheme="minorEastAsia" w:hAnsiTheme="minorEastAsia" w:hint="eastAsia"/>
          <w:color w:val="000000" w:themeColor="text1"/>
          <w:szCs w:val="21"/>
        </w:rPr>
        <w:t>QDII</w:t>
      </w:r>
      <w:r>
        <w:rPr>
          <w:rFonts w:asciiTheme="minorEastAsia" w:eastAsiaTheme="minorEastAsia" w:hAnsiTheme="minorEastAsia" w:hint="eastAsia"/>
          <w:color w:val="000000" w:themeColor="text1"/>
          <w:szCs w:val="21"/>
        </w:rPr>
        <w:t>）的基金合同；</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6. </w:t>
      </w:r>
      <w:r>
        <w:rPr>
          <w:rFonts w:asciiTheme="minorEastAsia" w:eastAsiaTheme="minorEastAsia" w:hAnsiTheme="minorEastAsia" w:hint="eastAsia"/>
          <w:color w:val="000000" w:themeColor="text1"/>
          <w:szCs w:val="21"/>
        </w:rPr>
        <w:t>上投摩根中国生物医药混合型证券投资基金（</w:t>
      </w:r>
      <w:r>
        <w:rPr>
          <w:rFonts w:asciiTheme="minorEastAsia" w:eastAsiaTheme="minorEastAsia" w:hAnsiTheme="minorEastAsia" w:hint="eastAsia"/>
          <w:color w:val="000000" w:themeColor="text1"/>
          <w:szCs w:val="21"/>
        </w:rPr>
        <w:t>QDII</w:t>
      </w:r>
      <w:r>
        <w:rPr>
          <w:rFonts w:asciiTheme="minorEastAsia" w:eastAsiaTheme="minorEastAsia" w:hAnsiTheme="minorEastAsia" w:hint="eastAsia"/>
          <w:color w:val="000000" w:themeColor="text1"/>
          <w:szCs w:val="21"/>
        </w:rPr>
        <w:t>）的托管协议；</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7. </w:t>
      </w:r>
      <w:r>
        <w:rPr>
          <w:rFonts w:asciiTheme="minorEastAsia" w:eastAsiaTheme="minorEastAsia" w:hAnsiTheme="minorEastAsia" w:hint="eastAsia"/>
          <w:color w:val="000000" w:themeColor="text1"/>
          <w:szCs w:val="21"/>
        </w:rPr>
        <w:t>《上投摩根开放式基金业务规则》；</w:t>
      </w:r>
    </w:p>
    <w:p w:rsidR="00607640" w:rsidRDefault="0056195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8. </w:t>
      </w:r>
      <w:r>
        <w:rPr>
          <w:rFonts w:asciiTheme="minorEastAsia" w:eastAsiaTheme="minorEastAsia" w:hAnsiTheme="minorEastAsia" w:hint="eastAsia"/>
          <w:color w:val="000000" w:themeColor="text1"/>
          <w:szCs w:val="21"/>
        </w:rPr>
        <w:t>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lastRenderedPageBreak/>
        <w:t>基金管理人或基金托管人住所。</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9</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二〇一九年十月二十五日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56195C">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56195C">
      <w:rPr>
        <w:noProof/>
        <w:kern w:val="0"/>
        <w:szCs w:val="21"/>
      </w:rPr>
      <w:t>15</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56195C">
      <w:rPr>
        <w:rStyle w:val="a8"/>
        <w:noProof/>
      </w:rPr>
      <w:t>15</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上投摩根中国生物医药混合型证券投资基金（</w:t>
    </w:r>
    <w:r w:rsidRPr="006669C9">
      <w:t>QDII</w:t>
    </w:r>
    <w:r w:rsidRPr="006669C9">
      <w:t>）</w:t>
    </w:r>
    <w:r w:rsidRPr="006669C9">
      <w:t>2019</w:t>
    </w:r>
    <w:r w:rsidRPr="006669C9">
      <w:t>年第</w:t>
    </w:r>
    <w:r w:rsidRPr="006669C9">
      <w:t>3</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195C"/>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07640"/>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8A4E9C6D-7915-4B82-B77C-0F48CCDC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6</TotalTime>
  <Pages>15</Pages>
  <Words>1184</Words>
  <Characters>6751</Characters>
  <Application>Microsoft Office Word</Application>
  <DocSecurity>0</DocSecurity>
  <Lines>56</Lines>
  <Paragraphs>15</Paragraphs>
  <ScaleCrop>false</ScaleCrop>
  <Company>TRT. Ltd. Co.</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Trowa.Ding@FA</cp:lastModifiedBy>
  <cp:revision>11</cp:revision>
  <cp:lastPrinted>2007-07-19T00:46:00Z</cp:lastPrinted>
  <dcterms:created xsi:type="dcterms:W3CDTF">2014-12-16T02:40:00Z</dcterms:created>
  <dcterms:modified xsi:type="dcterms:W3CDTF">2019-10-23T08:23:00Z</dcterms:modified>
</cp:coreProperties>
</file>