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上投摩根智慧生活灵活配置混合型证券投资基金</w:t>
      </w:r>
    </w:p>
    <w:p w:rsidR="00DB765D" w:rsidRDefault="00BF504D">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2018年第4季度报告</w:t>
      </w:r>
    </w:p>
    <w:p w:rsidR="00DB765D" w:rsidRDefault="00BF504D">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2018年12月31日</w:t>
      </w: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Pr="00081218"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jc w:val="center"/>
        <w:rPr>
          <w:rFonts w:asciiTheme="minorEastAsia" w:eastAsiaTheme="minorEastAsia" w:hAnsiTheme="minorEastAsia"/>
          <w:b/>
          <w:bCs/>
          <w:color w:val="000000" w:themeColor="text1"/>
          <w:sz w:val="24"/>
          <w:szCs w:val="24"/>
        </w:rPr>
      </w:pPr>
    </w:p>
    <w:p w:rsidR="00DB765D" w:rsidRDefault="00DB765D">
      <w:pPr>
        <w:spacing w:line="360" w:lineRule="auto"/>
        <w:rPr>
          <w:rFonts w:asciiTheme="minorEastAsia" w:eastAsiaTheme="minorEastAsia" w:hAnsiTheme="minorEastAsia"/>
          <w:b/>
          <w:bCs/>
          <w:color w:val="000000" w:themeColor="text1"/>
          <w:sz w:val="24"/>
          <w:szCs w:val="24"/>
        </w:rPr>
      </w:pPr>
    </w:p>
    <w:p w:rsidR="00DB765D" w:rsidRDefault="00BF504D">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B765D" w:rsidRDefault="00BF504D">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DB765D" w:rsidRDefault="00BF504D">
      <w:pPr>
        <w:spacing w:line="360" w:lineRule="auto"/>
        <w:ind w:firstLineChars="900" w:firstLine="2168"/>
        <w:rPr>
          <w:rFonts w:asciiTheme="minorEastAsia" w:eastAsiaTheme="minorEastAsia" w:hAnsiTheme="minorEastAsia"/>
          <w:b/>
          <w:color w:val="000000" w:themeColor="text1"/>
          <w:sz w:val="24"/>
          <w:szCs w:val="24"/>
        </w:rPr>
        <w:sectPr w:rsidR="00DB765D">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二〇一九年一月二十二日</w:t>
      </w:r>
    </w:p>
    <w:p w:rsidR="00DB765D" w:rsidRDefault="00BF504D" w:rsidP="00081218">
      <w:pPr>
        <w:pStyle w:val="1"/>
        <w:spacing w:beforeLines="100" w:afterLines="100"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基金托管人中国银行股份有限公司根据本基金合同规定，于2019年1月21日复核了本报告中的财务指标、净值表现和投资组合报告等内容，保证复核内容不存在虚假记载、误导性陈述或者重大遗漏。 </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本报告期自2018年10月1日起至12月31日止。</w:t>
      </w:r>
    </w:p>
    <w:p w:rsidR="00DB765D" w:rsidRDefault="00BF504D" w:rsidP="00081218">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479"/>
      </w:tblGrid>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上投摩根智慧生活混合</w:t>
            </w:r>
          </w:p>
        </w:tc>
      </w:tr>
      <w:tr w:rsidR="00DB765D">
        <w:tc>
          <w:tcPr>
            <w:tcW w:w="2835" w:type="dxa"/>
            <w:tcBorders>
              <w:top w:val="single" w:sz="4" w:space="0" w:color="auto"/>
              <w:left w:val="single" w:sz="4" w:space="0" w:color="auto"/>
              <w:bottom w:val="single" w:sz="4" w:space="0" w:color="auto"/>
              <w:right w:val="single" w:sz="4" w:space="0" w:color="auto"/>
            </w:tcBorders>
            <w:vAlign w:val="center"/>
          </w:tcPr>
          <w:p w:rsidR="00DB765D" w:rsidRDefault="00BF504D">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001984</w:t>
            </w:r>
          </w:p>
        </w:tc>
      </w:tr>
      <w:tr w:rsidR="00DB765D">
        <w:tc>
          <w:tcPr>
            <w:tcW w:w="2835" w:type="dxa"/>
            <w:tcBorders>
              <w:top w:val="single" w:sz="4" w:space="0" w:color="auto"/>
              <w:left w:val="single" w:sz="4" w:space="0" w:color="auto"/>
              <w:bottom w:val="single" w:sz="4" w:space="0" w:color="auto"/>
              <w:right w:val="single" w:sz="4" w:space="0" w:color="auto"/>
            </w:tcBorders>
            <w:vAlign w:val="center"/>
          </w:tcPr>
          <w:p w:rsidR="00DB765D" w:rsidRDefault="00BF504D">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001984</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2016年4月28日</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16,048,732.56</w:t>
            </w:r>
            <w:r>
              <w:rPr>
                <w:rFonts w:asciiTheme="minorEastAsia" w:eastAsiaTheme="minorEastAsia" w:hAnsiTheme="minorEastAsia" w:hint="eastAsia"/>
                <w:color w:val="000000" w:themeColor="text1"/>
                <w:kern w:val="0"/>
              </w:rPr>
              <w:t>份</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本基金将主要投资于智慧生活主题上市公司，通过严格的风险控制，力争实现基金资产的长期增值。</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1、资产配置策略</w:t>
            </w:r>
          </w:p>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综合分析和持续跟踪基本面、政策面、市场面等多方面因素，对宏观经济、国家政策、资金面和市场情绪等影响证券市场的重要因素进行深入分析，适度调整确定基金资产在股票、债券及现金等类别资产间的分配比例，</w:t>
            </w:r>
            <w:r>
              <w:rPr>
                <w:rFonts w:asciiTheme="minorEastAsia" w:eastAsiaTheme="minorEastAsia" w:hAnsiTheme="minorEastAsia"/>
                <w:color w:val="000000" w:themeColor="text1"/>
                <w:kern w:val="0"/>
              </w:rPr>
              <w:lastRenderedPageBreak/>
              <w:t>动态优化投资组合。</w:t>
            </w:r>
          </w:p>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2、股票投资策略</w:t>
            </w:r>
          </w:p>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所界定的智慧生活是指人们生活中对于个性化、便捷性、健康、娱乐和经济的需求。由于智慧生活主题涉及多个行业，行业配置上，本基金将遵循自上而下的宏观产业分析逻辑，从行业生命周期、行业景气度、行业竞争格局等多角度，对基金资产在行业间分配进行安排。个股选择上，关注企业的核心竞争力与未来的发展战略，重点投资于具有新型商业模式、具备技术优势、解决用户痛点、引领新的生活方式和消费习惯的相关行业及公司。</w:t>
            </w:r>
          </w:p>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3、固定收益类投资策略</w:t>
            </w:r>
          </w:p>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对于固定收益类资产的选择，本基金将以价值分析为主线，在综合研究的基础上实施积极主动的组合管理，自上而下进行组合构建，自下而上进行个券选择。</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中证800指数收益率*60%+中债总指数收益率*40%</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w:t>
            </w:r>
          </w:p>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B765D">
        <w:tc>
          <w:tcPr>
            <w:tcW w:w="2835"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DB765D" w:rsidRDefault="00BF504D" w:rsidP="00081218">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4962"/>
      </w:tblGrid>
      <w:tr w:rsidR="00BF504D" w:rsidTr="00BF504D">
        <w:tc>
          <w:tcPr>
            <w:tcW w:w="3402" w:type="dxa"/>
            <w:vAlign w:val="center"/>
          </w:tcPr>
          <w:p w:rsidR="00DB765D" w:rsidRDefault="00BF504D">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B765D" w:rsidRDefault="00BF504D">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B765D" w:rsidRDefault="00BF504D">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2018年10月1日-2018年12月31日</w:t>
            </w:r>
            <w:r>
              <w:rPr>
                <w:rFonts w:asciiTheme="minorEastAsia" w:eastAsiaTheme="minorEastAsia" w:hAnsiTheme="minorEastAsia" w:cs="宋体" w:hint="eastAsia"/>
                <w:color w:val="000000" w:themeColor="text1"/>
              </w:rPr>
              <w:t>)</w:t>
            </w:r>
          </w:p>
        </w:tc>
      </w:tr>
      <w:tr w:rsidR="00BF504D" w:rsidTr="00BF504D">
        <w:tc>
          <w:tcPr>
            <w:tcW w:w="3402"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B765D" w:rsidRDefault="00BF504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-475,088.70</w:t>
            </w:r>
          </w:p>
        </w:tc>
      </w:tr>
      <w:tr w:rsidR="00BF504D" w:rsidTr="00BF504D">
        <w:tc>
          <w:tcPr>
            <w:tcW w:w="3402"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B765D" w:rsidRDefault="00BF504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-1,035,491.05</w:t>
            </w:r>
          </w:p>
        </w:tc>
      </w:tr>
      <w:tr w:rsidR="00BF504D" w:rsidTr="00BF504D">
        <w:tc>
          <w:tcPr>
            <w:tcW w:w="3402"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B765D" w:rsidRDefault="00BF504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-0.0650</w:t>
            </w:r>
          </w:p>
        </w:tc>
      </w:tr>
      <w:tr w:rsidR="00BF504D" w:rsidTr="00BF504D">
        <w:tc>
          <w:tcPr>
            <w:tcW w:w="3402"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B765D" w:rsidRDefault="00BF504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14,081,276.88</w:t>
            </w:r>
          </w:p>
        </w:tc>
      </w:tr>
      <w:tr w:rsidR="00BF504D" w:rsidTr="00BF504D">
        <w:trPr>
          <w:trHeight w:val="158"/>
        </w:trPr>
        <w:tc>
          <w:tcPr>
            <w:tcW w:w="3402" w:type="dxa"/>
            <w:vAlign w:val="center"/>
          </w:tcPr>
          <w:p w:rsidR="00DB765D" w:rsidRDefault="00BF504D">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B765D" w:rsidRDefault="00BF504D">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0.877</w:t>
            </w:r>
          </w:p>
        </w:tc>
      </w:tr>
    </w:tbl>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B765D" w:rsidRDefault="00BF504D">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tblPr>
      <w:tblGrid>
        <w:gridCol w:w="1395"/>
        <w:gridCol w:w="1092"/>
        <w:gridCol w:w="1161"/>
        <w:gridCol w:w="1181"/>
        <w:gridCol w:w="1188"/>
        <w:gridCol w:w="1199"/>
        <w:gridCol w:w="1204"/>
      </w:tblGrid>
      <w:tr w:rsidR="00DB765D">
        <w:tc>
          <w:tcPr>
            <w:tcW w:w="1395"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DB765D">
        <w:tc>
          <w:tcPr>
            <w:tcW w:w="1395" w:type="dxa"/>
            <w:vAlign w:val="center"/>
          </w:tcPr>
          <w:p w:rsidR="00DB765D" w:rsidRDefault="00BF504D">
            <w:pPr>
              <w:jc w:val="left"/>
            </w:pPr>
            <w:r>
              <w:rPr>
                <w:rFonts w:asciiTheme="minorEastAsia" w:eastAsiaTheme="minorEastAsia" w:hAnsiTheme="minorEastAsia"/>
                <w:color w:val="000000" w:themeColor="text1"/>
                <w:kern w:val="0"/>
              </w:rPr>
              <w:t>过去三个月</w:t>
            </w:r>
          </w:p>
        </w:tc>
        <w:tc>
          <w:tcPr>
            <w:tcW w:w="1092" w:type="dxa"/>
            <w:vAlign w:val="center"/>
          </w:tcPr>
          <w:p w:rsidR="00DB765D" w:rsidRDefault="00BF504D">
            <w:pPr>
              <w:jc w:val="center"/>
            </w:pPr>
            <w:r>
              <w:rPr>
                <w:rFonts w:asciiTheme="minorEastAsia" w:eastAsiaTheme="minorEastAsia" w:hAnsiTheme="minorEastAsia"/>
                <w:color w:val="000000" w:themeColor="text1"/>
                <w:kern w:val="0"/>
              </w:rPr>
              <w:t>-7.00%</w:t>
            </w:r>
          </w:p>
        </w:tc>
        <w:tc>
          <w:tcPr>
            <w:tcW w:w="1161" w:type="dxa"/>
            <w:vAlign w:val="center"/>
          </w:tcPr>
          <w:p w:rsidR="00DB765D" w:rsidRDefault="00BF504D">
            <w:pPr>
              <w:jc w:val="center"/>
            </w:pPr>
            <w:r>
              <w:rPr>
                <w:rFonts w:asciiTheme="minorEastAsia" w:eastAsiaTheme="minorEastAsia" w:hAnsiTheme="minorEastAsia"/>
                <w:color w:val="000000" w:themeColor="text1"/>
                <w:kern w:val="0"/>
              </w:rPr>
              <w:t>0.94%</w:t>
            </w:r>
          </w:p>
        </w:tc>
        <w:tc>
          <w:tcPr>
            <w:tcW w:w="1181" w:type="dxa"/>
            <w:vAlign w:val="center"/>
          </w:tcPr>
          <w:p w:rsidR="00DB765D" w:rsidRDefault="00BF504D">
            <w:pPr>
              <w:jc w:val="center"/>
            </w:pPr>
            <w:r>
              <w:rPr>
                <w:rFonts w:asciiTheme="minorEastAsia" w:eastAsiaTheme="minorEastAsia" w:hAnsiTheme="minorEastAsia"/>
                <w:color w:val="000000" w:themeColor="text1"/>
                <w:kern w:val="0"/>
              </w:rPr>
              <w:t>-6.41%</w:t>
            </w:r>
          </w:p>
        </w:tc>
        <w:tc>
          <w:tcPr>
            <w:tcW w:w="1188" w:type="dxa"/>
            <w:vAlign w:val="center"/>
          </w:tcPr>
          <w:p w:rsidR="00DB765D" w:rsidRDefault="00BF504D">
            <w:pPr>
              <w:jc w:val="center"/>
            </w:pPr>
            <w:r>
              <w:rPr>
                <w:rFonts w:asciiTheme="minorEastAsia" w:eastAsiaTheme="minorEastAsia" w:hAnsiTheme="minorEastAsia"/>
                <w:color w:val="000000" w:themeColor="text1"/>
                <w:kern w:val="0"/>
              </w:rPr>
              <w:t>0.99%</w:t>
            </w:r>
          </w:p>
        </w:tc>
        <w:tc>
          <w:tcPr>
            <w:tcW w:w="1199" w:type="dxa"/>
            <w:vAlign w:val="center"/>
          </w:tcPr>
          <w:p w:rsidR="00DB765D" w:rsidRDefault="00BF504D">
            <w:pPr>
              <w:jc w:val="center"/>
            </w:pPr>
            <w:r>
              <w:rPr>
                <w:rFonts w:asciiTheme="minorEastAsia" w:eastAsiaTheme="minorEastAsia" w:hAnsiTheme="minorEastAsia"/>
                <w:color w:val="000000" w:themeColor="text1"/>
                <w:kern w:val="0"/>
              </w:rPr>
              <w:t>-0.59%</w:t>
            </w:r>
          </w:p>
        </w:tc>
        <w:tc>
          <w:tcPr>
            <w:tcW w:w="1204" w:type="dxa"/>
            <w:vAlign w:val="center"/>
          </w:tcPr>
          <w:p w:rsidR="00DB765D" w:rsidRDefault="00BF504D">
            <w:pPr>
              <w:jc w:val="center"/>
            </w:pPr>
            <w:r>
              <w:rPr>
                <w:rFonts w:asciiTheme="minorEastAsia" w:eastAsiaTheme="minorEastAsia" w:hAnsiTheme="minorEastAsia"/>
                <w:color w:val="000000" w:themeColor="text1"/>
                <w:kern w:val="0"/>
              </w:rPr>
              <w:t>-0.05%</w:t>
            </w:r>
          </w:p>
        </w:tc>
      </w:tr>
    </w:tbl>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B765D" w:rsidRDefault="00BF504D">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上投摩根智慧生活灵活配置混合型证券投资基金</w:t>
      </w:r>
    </w:p>
    <w:p w:rsidR="00DB765D" w:rsidRDefault="00BF504D">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B765D" w:rsidRDefault="00BF504D">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2016年4月28日</w:t>
      </w:r>
      <w:r>
        <w:rPr>
          <w:rFonts w:asciiTheme="minorEastAsia" w:eastAsiaTheme="minorEastAsia" w:hAnsiTheme="minorEastAsia" w:hint="eastAsia"/>
          <w:color w:val="000000" w:themeColor="text1"/>
        </w:rPr>
        <w:t>至2018年12月31日)</w:t>
      </w:r>
    </w:p>
    <w:p w:rsidR="00DB765D" w:rsidRDefault="00BF504D">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6850" cy="3086100"/>
                    </a:xfrm>
                    <a:prstGeom prst="rect">
                      <a:avLst/>
                    </a:prstGeom>
                    <a:noFill/>
                    <a:ln>
                      <a:noFill/>
                    </a:ln>
                  </pic:spPr>
                </pic:pic>
              </a:graphicData>
            </a:graphic>
          </wp:inline>
        </w:drawing>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注：本基金合同生效日为2016年4月28日，图示时间段为2016年4月28日至2018年12月31日。</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本基金建仓期自2016年4月28日至2016年10月27日。建仓期结束时资产配置比例符合本基金基金合同规定。</w:t>
      </w:r>
    </w:p>
    <w:p w:rsidR="00DB765D" w:rsidRDefault="00DB765D">
      <w:pPr>
        <w:tabs>
          <w:tab w:val="left" w:pos="1800"/>
        </w:tabs>
        <w:spacing w:line="360" w:lineRule="auto"/>
        <w:rPr>
          <w:rFonts w:asciiTheme="minorEastAsia" w:eastAsiaTheme="minorEastAsia" w:hAnsiTheme="minorEastAsia"/>
          <w:color w:val="000000" w:themeColor="text1"/>
          <w:sz w:val="24"/>
          <w:szCs w:val="24"/>
        </w:rPr>
      </w:pPr>
    </w:p>
    <w:p w:rsidR="00DB765D" w:rsidRDefault="00BF504D" w:rsidP="00081218">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1560"/>
        <w:gridCol w:w="1559"/>
        <w:gridCol w:w="1417"/>
        <w:gridCol w:w="2694"/>
      </w:tblGrid>
      <w:tr w:rsidR="00DB765D">
        <w:trPr>
          <w:cantSplit/>
          <w:trHeight w:val="292"/>
        </w:trPr>
        <w:tc>
          <w:tcPr>
            <w:tcW w:w="851" w:type="dxa"/>
            <w:vMerge w:val="restart"/>
            <w:vAlign w:val="center"/>
          </w:tcPr>
          <w:p w:rsidR="00DB765D" w:rsidRDefault="00BF504D">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B765D" w:rsidRDefault="00BF504D">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B765D" w:rsidRDefault="00BF504D">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B765D">
        <w:trPr>
          <w:cantSplit/>
        </w:trPr>
        <w:tc>
          <w:tcPr>
            <w:tcW w:w="851" w:type="dxa"/>
            <w:vMerge/>
            <w:vAlign w:val="center"/>
          </w:tcPr>
          <w:p w:rsidR="00DB765D" w:rsidRDefault="00DB765D">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B765D" w:rsidRDefault="00DB765D">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B765D" w:rsidRDefault="00DB765D">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B765D" w:rsidRDefault="00DB765D">
            <w:pPr>
              <w:widowControl/>
              <w:spacing w:line="360" w:lineRule="auto"/>
              <w:jc w:val="left"/>
              <w:rPr>
                <w:rFonts w:asciiTheme="minorEastAsia" w:eastAsiaTheme="minorEastAsia" w:hAnsiTheme="minorEastAsia"/>
                <w:color w:val="000000" w:themeColor="text1"/>
                <w:kern w:val="0"/>
              </w:rPr>
            </w:pPr>
          </w:p>
        </w:tc>
      </w:tr>
      <w:tr w:rsidR="00DB765D">
        <w:tc>
          <w:tcPr>
            <w:tcW w:w="851" w:type="dxa"/>
            <w:vAlign w:val="center"/>
          </w:tcPr>
          <w:p w:rsidR="00DB765D" w:rsidRDefault="00BF504D">
            <w:pPr>
              <w:jc w:val="center"/>
            </w:pPr>
            <w:r>
              <w:rPr>
                <w:rFonts w:asciiTheme="minorEastAsia" w:eastAsiaTheme="minorEastAsia" w:hAnsiTheme="minorEastAsia"/>
                <w:color w:val="000000" w:themeColor="text1"/>
              </w:rPr>
              <w:t>方钰涵</w:t>
            </w:r>
          </w:p>
        </w:tc>
        <w:tc>
          <w:tcPr>
            <w:tcW w:w="850" w:type="dxa"/>
            <w:vAlign w:val="center"/>
          </w:tcPr>
          <w:p w:rsidR="00DB765D" w:rsidRDefault="00BF504D">
            <w:pPr>
              <w:jc w:val="center"/>
            </w:pPr>
            <w:r>
              <w:rPr>
                <w:rFonts w:asciiTheme="minorEastAsia" w:eastAsiaTheme="minorEastAsia" w:hAnsiTheme="minorEastAsia"/>
                <w:color w:val="000000" w:themeColor="text1"/>
              </w:rPr>
              <w:t>本基金基金经理</w:t>
            </w:r>
          </w:p>
        </w:tc>
        <w:tc>
          <w:tcPr>
            <w:tcW w:w="1560" w:type="dxa"/>
            <w:vAlign w:val="center"/>
          </w:tcPr>
          <w:p w:rsidR="00DB765D" w:rsidRDefault="00BF504D">
            <w:pPr>
              <w:jc w:val="center"/>
            </w:pPr>
            <w:r>
              <w:rPr>
                <w:rFonts w:asciiTheme="minorEastAsia" w:eastAsiaTheme="minorEastAsia" w:hAnsiTheme="minorEastAsia"/>
                <w:color w:val="000000" w:themeColor="text1"/>
              </w:rPr>
              <w:t>2018-08-03</w:t>
            </w:r>
          </w:p>
        </w:tc>
        <w:tc>
          <w:tcPr>
            <w:tcW w:w="1559" w:type="dxa"/>
            <w:vAlign w:val="center"/>
          </w:tcPr>
          <w:p w:rsidR="00DB765D" w:rsidRDefault="00BF504D">
            <w:pPr>
              <w:jc w:val="center"/>
            </w:pPr>
            <w:r>
              <w:rPr>
                <w:rFonts w:asciiTheme="minorEastAsia" w:eastAsiaTheme="minorEastAsia" w:hAnsiTheme="minorEastAsia"/>
                <w:color w:val="000000" w:themeColor="text1"/>
              </w:rPr>
              <w:t>-</w:t>
            </w:r>
          </w:p>
        </w:tc>
        <w:tc>
          <w:tcPr>
            <w:tcW w:w="1417" w:type="dxa"/>
            <w:vAlign w:val="center"/>
          </w:tcPr>
          <w:p w:rsidR="00DB765D" w:rsidRDefault="00BF504D">
            <w:pPr>
              <w:jc w:val="center"/>
            </w:pPr>
            <w:r>
              <w:rPr>
                <w:rFonts w:asciiTheme="minorEastAsia" w:eastAsiaTheme="minorEastAsia" w:hAnsiTheme="minorEastAsia"/>
                <w:color w:val="000000" w:themeColor="text1"/>
              </w:rPr>
              <w:t>7年</w:t>
            </w:r>
          </w:p>
        </w:tc>
        <w:tc>
          <w:tcPr>
            <w:tcW w:w="2694" w:type="dxa"/>
            <w:vAlign w:val="center"/>
          </w:tcPr>
          <w:p w:rsidR="00DB765D" w:rsidRDefault="00BF504D">
            <w:r>
              <w:rPr>
                <w:rFonts w:asciiTheme="minorEastAsia" w:eastAsiaTheme="minorEastAsia" w:hAnsiTheme="minorEastAsia"/>
                <w:color w:val="000000" w:themeColor="text1"/>
              </w:rPr>
              <w:t>方钰涵女士，2012年12月至2014年8月在兴业证券资产管理有限公司担任研究员；自2014年9月至2015年6月在国泰基金管理有限公司担任研究员；自2015年6月起加入上投摩根基金管理有限公司，任行业专家；自2018年8月起担任上投摩根智慧生活灵活配置混合型证券投资基金基金经理。</w:t>
            </w:r>
          </w:p>
        </w:tc>
      </w:tr>
      <w:tr w:rsidR="00DB765D">
        <w:tc>
          <w:tcPr>
            <w:tcW w:w="851" w:type="dxa"/>
            <w:vAlign w:val="center"/>
          </w:tcPr>
          <w:p w:rsidR="00DB765D" w:rsidRDefault="00BF504D">
            <w:pPr>
              <w:jc w:val="center"/>
            </w:pPr>
            <w:r>
              <w:rPr>
                <w:rFonts w:asciiTheme="minorEastAsia" w:eastAsiaTheme="minorEastAsia" w:hAnsiTheme="minorEastAsia"/>
                <w:color w:val="000000" w:themeColor="text1"/>
              </w:rPr>
              <w:t>张一甫</w:t>
            </w:r>
          </w:p>
        </w:tc>
        <w:tc>
          <w:tcPr>
            <w:tcW w:w="850" w:type="dxa"/>
            <w:vAlign w:val="center"/>
          </w:tcPr>
          <w:p w:rsidR="00DB765D" w:rsidRDefault="00BF504D">
            <w:pPr>
              <w:jc w:val="center"/>
            </w:pPr>
            <w:r>
              <w:rPr>
                <w:rFonts w:asciiTheme="minorEastAsia" w:eastAsiaTheme="minorEastAsia" w:hAnsiTheme="minorEastAsia"/>
                <w:color w:val="000000" w:themeColor="text1"/>
              </w:rPr>
              <w:t>本基金基金经理</w:t>
            </w:r>
          </w:p>
        </w:tc>
        <w:tc>
          <w:tcPr>
            <w:tcW w:w="1560" w:type="dxa"/>
            <w:vAlign w:val="center"/>
          </w:tcPr>
          <w:p w:rsidR="00DB765D" w:rsidRDefault="00BF504D">
            <w:pPr>
              <w:jc w:val="center"/>
            </w:pPr>
            <w:r>
              <w:rPr>
                <w:rFonts w:asciiTheme="minorEastAsia" w:eastAsiaTheme="minorEastAsia" w:hAnsiTheme="minorEastAsia"/>
                <w:color w:val="000000" w:themeColor="text1"/>
              </w:rPr>
              <w:t>2018-08-03</w:t>
            </w:r>
          </w:p>
        </w:tc>
        <w:tc>
          <w:tcPr>
            <w:tcW w:w="1559" w:type="dxa"/>
            <w:vAlign w:val="center"/>
          </w:tcPr>
          <w:p w:rsidR="00DB765D" w:rsidRDefault="00BF504D">
            <w:pPr>
              <w:jc w:val="center"/>
            </w:pPr>
            <w:r>
              <w:rPr>
                <w:rFonts w:asciiTheme="minorEastAsia" w:eastAsiaTheme="minorEastAsia" w:hAnsiTheme="minorEastAsia"/>
                <w:color w:val="000000" w:themeColor="text1"/>
              </w:rPr>
              <w:t>-</w:t>
            </w:r>
          </w:p>
        </w:tc>
        <w:tc>
          <w:tcPr>
            <w:tcW w:w="1417" w:type="dxa"/>
            <w:vAlign w:val="center"/>
          </w:tcPr>
          <w:p w:rsidR="00DB765D" w:rsidRDefault="00BF504D">
            <w:pPr>
              <w:jc w:val="center"/>
            </w:pPr>
            <w:r>
              <w:rPr>
                <w:rFonts w:asciiTheme="minorEastAsia" w:eastAsiaTheme="minorEastAsia" w:hAnsiTheme="minorEastAsia"/>
                <w:color w:val="000000" w:themeColor="text1"/>
              </w:rPr>
              <w:t>8年</w:t>
            </w:r>
          </w:p>
        </w:tc>
        <w:tc>
          <w:tcPr>
            <w:tcW w:w="2694" w:type="dxa"/>
            <w:vAlign w:val="center"/>
          </w:tcPr>
          <w:p w:rsidR="00DB765D" w:rsidRDefault="00BF504D">
            <w:r>
              <w:rPr>
                <w:rFonts w:asciiTheme="minorEastAsia" w:eastAsiaTheme="minorEastAsia" w:hAnsiTheme="minorEastAsia"/>
                <w:color w:val="000000" w:themeColor="text1"/>
              </w:rPr>
              <w:t>张一甫先生，自2010年7月至2011年12月在国泰君安证券股份有限公司担任助理研究员，自2012年1月至2012年12月在瑞银证券有限责任公司担任研究员；自2013年3月至2014年1月在国泰君安证券股份有限公司担任研究员；自2014年3月起加入上投摩根基金管理有限公司，历任研究员、行业专家兼基金经理助理。自2017年1月起担任上投摩根成长先锋混合型证券投资基金基金经理，自2018年2月起同时担任上投摩根医疗健康股票型证券投资基金基金经理，自2018年8月起同时担任上投摩根智慧生活灵活配置混合型证券投资基金基金经理。</w:t>
            </w:r>
          </w:p>
        </w:tc>
      </w:tr>
    </w:tbl>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智慧生活灵活配置混合型证券投资基金基金合同》的规定。基金经理对个股和投资组合的比例遵循了投资决策委员会的授权限制，基金投资比例符合基金合同和法律法规的要求。</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B765D" w:rsidRDefault="00DB765D">
      <w:pPr>
        <w:spacing w:line="360" w:lineRule="auto"/>
        <w:ind w:firstLineChars="200" w:firstLine="480"/>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四季度的国内宏观环境没有提供太多有利于权益资产的增量变化，而微观角度的业绩增速衰减尚未充分反映在价格中，因此本基金依然选择低于中枢的仓位水平运作。考虑到外部环境在四季度相对中性，国内政策环境灵活性增加，经济增速衰减的幅度可能并不陡峭。从中长期来看，应该注意到，无论是从A股市值/中国GDP、或是从(A股+香港中资股+中概股)/中国GDP、(A股+香港主板+中概股)/中国GDP的角度，其数值均处于近15年来的相对底部区域，该区间内历史上的低点包括2005年5月、2008年10月、2013年6月，高点包括2007年12月，2015年5月。在以上短期、中长期背景的考虑下，本基金将重点关注如下特征的具备穿越周期的可能性的企业：第一，企业所在赛道成长天花板较高；第二，其商业模式有较好的现金流创造能力，第三，历史证明，其优秀的管理层的战略眼光形成的商业实践可复制、可预测。</w:t>
      </w: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w:t>
      </w:r>
      <w:bookmarkStart w:id="0" w:name="_GoBack"/>
      <w:bookmarkEnd w:id="0"/>
      <w:r>
        <w:rPr>
          <w:rFonts w:asciiTheme="minorEastAsia" w:eastAsiaTheme="minorEastAsia" w:hAnsiTheme="minorEastAsia"/>
          <w:color w:val="000000" w:themeColor="text1"/>
        </w:rPr>
        <w:t>智慧生活份额净值增长率为:-7.00%，同期业绩比较基准收益率为:-6.41%。</w:t>
      </w:r>
    </w:p>
    <w:p w:rsidR="00DB765D" w:rsidRDefault="00DB765D">
      <w:pPr>
        <w:spacing w:line="360" w:lineRule="auto"/>
        <w:ind w:firstLineChars="200" w:firstLine="480"/>
        <w:rPr>
          <w:rFonts w:asciiTheme="minorEastAsia" w:eastAsiaTheme="minorEastAsia" w:hAnsiTheme="minorEastAsia"/>
          <w:color w:val="000000" w:themeColor="text1"/>
          <w:sz w:val="24"/>
          <w:szCs w:val="24"/>
        </w:rPr>
      </w:pP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报告期内，本基金存在连续六十个工作日基金资产净值低于五千万元的情况，出现该情况的时间范围为2017年07月21日至2018年12月31日。</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基金管理人拟调整本基金运作方式，加大营销力度，提升基金规模，方案已报监管机关。</w:t>
      </w:r>
    </w:p>
    <w:p w:rsidR="00DB765D" w:rsidRDefault="00BF504D" w:rsidP="00081218">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tblPr>
      <w:tblGrid>
        <w:gridCol w:w="720"/>
        <w:gridCol w:w="3357"/>
        <w:gridCol w:w="2977"/>
        <w:gridCol w:w="1843"/>
      </w:tblGrid>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7,077,443.02</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49.64</w:t>
            </w:r>
          </w:p>
        </w:tc>
      </w:tr>
      <w:tr w:rsidR="00DB765D">
        <w:trPr>
          <w:jc w:val="center"/>
        </w:trPr>
        <w:tc>
          <w:tcPr>
            <w:tcW w:w="720" w:type="dxa"/>
            <w:vAlign w:val="center"/>
          </w:tcPr>
          <w:p w:rsidR="00DB765D" w:rsidRDefault="00DB765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7,077,443.02</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49.64</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vAlign w:val="center"/>
          </w:tcPr>
          <w:p w:rsidR="00DB765D" w:rsidRDefault="00DB765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vAlign w:val="center"/>
          </w:tcPr>
          <w:p w:rsidR="00DB765D" w:rsidRDefault="00DB765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B765D" w:rsidRDefault="00BF504D">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B765D" w:rsidRDefault="00BF504D">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B765D" w:rsidRDefault="00BF504D">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vAlign w:val="center"/>
          </w:tcPr>
          <w:p w:rsidR="00DB765D" w:rsidRDefault="00DB765D">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B765D" w:rsidRDefault="00BF504D">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7,124,734.01</w:t>
            </w:r>
          </w:p>
        </w:tc>
        <w:tc>
          <w:tcPr>
            <w:tcW w:w="1843" w:type="dxa"/>
            <w:vAlign w:val="center"/>
          </w:tcPr>
          <w:p w:rsidR="00DB765D" w:rsidRDefault="00BF504D">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49.98</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B765D" w:rsidRDefault="00BF504D">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53,978.64</w:t>
            </w:r>
          </w:p>
        </w:tc>
        <w:tc>
          <w:tcPr>
            <w:tcW w:w="1843" w:type="dxa"/>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0.38</w:t>
            </w:r>
          </w:p>
        </w:tc>
      </w:tr>
      <w:tr w:rsidR="00DB765D">
        <w:trPr>
          <w:jc w:val="center"/>
        </w:trPr>
        <w:tc>
          <w:tcPr>
            <w:tcW w:w="720" w:type="dxa"/>
            <w:vAlign w:val="center"/>
          </w:tcPr>
          <w:p w:rsidR="00DB765D" w:rsidRDefault="00BF504D">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B765D" w:rsidRDefault="00BF504D">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14,256,155.67</w:t>
            </w:r>
          </w:p>
        </w:tc>
        <w:tc>
          <w:tcPr>
            <w:tcW w:w="1843" w:type="dxa"/>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B765D" w:rsidRDefault="00DB765D">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B765D" w:rsidRDefault="00BF504D">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rsidR="00DB765D">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B765D" w:rsidRDefault="00DB765D">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DB765D" w:rsidRDefault="00DB765D">
            <w:pPr>
              <w:jc w:val="right"/>
              <w:rPr>
                <w:rFonts w:asciiTheme="minorEastAsia" w:eastAsiaTheme="minorEastAsia" w:hAnsiTheme="minorEastAsia" w:cs="宋体"/>
                <w:color w:val="000000" w:themeColor="text1"/>
                <w:kern w:val="0"/>
              </w:rPr>
            </w:pP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5,801,374.99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41.20</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434,160.00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3.08</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210,524.15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1.50</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268,298.24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1.91</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200,330.00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1.42</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162,755.64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1.16</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B765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DB765D">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B765D" w:rsidRDefault="00BF504D">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7,077,443.02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765D" w:rsidRDefault="00BF504D">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50.26</w:t>
            </w:r>
          </w:p>
        </w:tc>
      </w:tr>
    </w:tbl>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tblPr>
      <w:tblGrid>
        <w:gridCol w:w="817"/>
        <w:gridCol w:w="1276"/>
        <w:gridCol w:w="1701"/>
        <w:gridCol w:w="1276"/>
        <w:gridCol w:w="1842"/>
        <w:gridCol w:w="1616"/>
      </w:tblGrid>
      <w:tr w:rsidR="00DB765D">
        <w:tc>
          <w:tcPr>
            <w:tcW w:w="817" w:type="dxa"/>
            <w:vAlign w:val="center"/>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B765D" w:rsidRDefault="00BF504D">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1</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300595</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欧普康视</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19,198.00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743,730.52</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5.28</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2</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300482</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万孚生物</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28,040.00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712,496.40</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5.06</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3</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300760</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迈瑞医疗</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4,208.00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459,597.76</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3.26</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4</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002821</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凯莱英</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6,550.00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444,417.50</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3.16</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5</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002607</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亚夏汽车</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60,300.00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434,160.00</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3.08</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6</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603707</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健友股份</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21,784.00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408,885.68</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2.90</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7</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600276</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恒瑞医药</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7,234.00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381,593.50</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2.71</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8</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300003</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乐普医疗</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13,674.00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284,555.94</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2.02</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9</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603259</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药明康德</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3,584.00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268,298.24</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1.91</w:t>
            </w:r>
          </w:p>
        </w:tc>
      </w:tr>
      <w:tr w:rsidR="00DB765D">
        <w:tc>
          <w:tcPr>
            <w:tcW w:w="817" w:type="dxa"/>
            <w:vAlign w:val="center"/>
          </w:tcPr>
          <w:p w:rsidR="00DB765D" w:rsidRDefault="00BF504D">
            <w:pPr>
              <w:jc w:val="center"/>
            </w:pPr>
            <w:r>
              <w:rPr>
                <w:rFonts w:asciiTheme="minorEastAsia" w:eastAsiaTheme="minorEastAsia" w:hAnsiTheme="minorEastAsia" w:cs="宋体"/>
                <w:color w:val="000000" w:themeColor="text1"/>
                <w:kern w:val="0"/>
              </w:rPr>
              <w:t>10</w:t>
            </w:r>
          </w:p>
        </w:tc>
        <w:tc>
          <w:tcPr>
            <w:tcW w:w="1276" w:type="dxa"/>
            <w:vAlign w:val="center"/>
          </w:tcPr>
          <w:p w:rsidR="00DB765D" w:rsidRDefault="00BF504D">
            <w:pPr>
              <w:jc w:val="center"/>
            </w:pPr>
            <w:r>
              <w:rPr>
                <w:rFonts w:asciiTheme="minorEastAsia" w:eastAsiaTheme="minorEastAsia" w:hAnsiTheme="minorEastAsia" w:cs="宋体"/>
                <w:color w:val="000000" w:themeColor="text1"/>
                <w:kern w:val="0"/>
              </w:rPr>
              <w:t>002007</w:t>
            </w:r>
          </w:p>
        </w:tc>
        <w:tc>
          <w:tcPr>
            <w:tcW w:w="1701" w:type="dxa"/>
            <w:vAlign w:val="center"/>
          </w:tcPr>
          <w:p w:rsidR="00DB765D" w:rsidRDefault="00BF504D">
            <w:pPr>
              <w:jc w:val="center"/>
            </w:pPr>
            <w:r>
              <w:rPr>
                <w:rFonts w:asciiTheme="minorEastAsia" w:eastAsiaTheme="minorEastAsia" w:hAnsiTheme="minorEastAsia" w:cs="宋体"/>
                <w:color w:val="000000" w:themeColor="text1"/>
                <w:kern w:val="0"/>
              </w:rPr>
              <w:t>华兰生物</w:t>
            </w:r>
          </w:p>
        </w:tc>
        <w:tc>
          <w:tcPr>
            <w:tcW w:w="1276" w:type="dxa"/>
            <w:vAlign w:val="center"/>
          </w:tcPr>
          <w:p w:rsidR="00DB765D" w:rsidRDefault="00BF504D">
            <w:pPr>
              <w:jc w:val="right"/>
            </w:pPr>
            <w:r>
              <w:rPr>
                <w:rFonts w:asciiTheme="minorEastAsia" w:eastAsiaTheme="minorEastAsia" w:hAnsiTheme="minorEastAsia" w:cs="宋体"/>
                <w:color w:val="000000" w:themeColor="text1"/>
                <w:kern w:val="0"/>
              </w:rPr>
              <w:t>8,100.00</w:t>
            </w:r>
          </w:p>
        </w:tc>
        <w:tc>
          <w:tcPr>
            <w:tcW w:w="1842" w:type="dxa"/>
            <w:vAlign w:val="center"/>
          </w:tcPr>
          <w:p w:rsidR="00DB765D" w:rsidRDefault="00BF504D">
            <w:pPr>
              <w:jc w:val="right"/>
            </w:pPr>
            <w:r>
              <w:rPr>
                <w:rFonts w:asciiTheme="minorEastAsia" w:eastAsiaTheme="minorEastAsia" w:hAnsiTheme="minorEastAsia" w:cs="宋体"/>
                <w:color w:val="000000" w:themeColor="text1"/>
                <w:kern w:val="0"/>
              </w:rPr>
              <w:t>265,680.00</w:t>
            </w:r>
          </w:p>
        </w:tc>
        <w:tc>
          <w:tcPr>
            <w:tcW w:w="1616" w:type="dxa"/>
            <w:vAlign w:val="center"/>
          </w:tcPr>
          <w:p w:rsidR="00DB765D" w:rsidRDefault="00BF504D">
            <w:pPr>
              <w:jc w:val="right"/>
            </w:pPr>
            <w:r>
              <w:rPr>
                <w:rFonts w:asciiTheme="minorEastAsia" w:eastAsiaTheme="minorEastAsia" w:hAnsiTheme="minorEastAsia" w:cs="宋体"/>
                <w:color w:val="000000" w:themeColor="text1"/>
                <w:kern w:val="0"/>
              </w:rPr>
              <w:t>1.89</w:t>
            </w:r>
          </w:p>
        </w:tc>
      </w:tr>
    </w:tbl>
    <w:p w:rsidR="00DB765D" w:rsidRDefault="00DB765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B765D" w:rsidRDefault="00DB765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B765D" w:rsidRDefault="00BF504D">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B765D" w:rsidRDefault="00DB765D">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B765D" w:rsidRDefault="00DB765D">
      <w:pPr>
        <w:adjustRightInd w:val="0"/>
        <w:snapToGrid w:val="0"/>
        <w:spacing w:line="360" w:lineRule="exact"/>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B765D" w:rsidRDefault="00BF504D">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tblPr>
      <w:tblGrid>
        <w:gridCol w:w="1235"/>
        <w:gridCol w:w="2470"/>
        <w:gridCol w:w="4808"/>
      </w:tblGrid>
      <w:tr w:rsidR="00DB765D">
        <w:tc>
          <w:tcPr>
            <w:tcW w:w="1235"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B765D" w:rsidRDefault="00BF504D">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8,681.90</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42,657.28</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1,521.12</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1,118.34</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B765D">
        <w:tc>
          <w:tcPr>
            <w:tcW w:w="1235" w:type="dxa"/>
            <w:vAlign w:val="center"/>
          </w:tcPr>
          <w:p w:rsidR="00DB765D" w:rsidRDefault="00BF504D">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B765D" w:rsidRDefault="00BF504D">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53,978.64</w:t>
            </w:r>
          </w:p>
        </w:tc>
      </w:tr>
    </w:tbl>
    <w:p w:rsidR="00DB765D" w:rsidRDefault="00DB765D">
      <w:pPr>
        <w:autoSpaceDE w:val="0"/>
        <w:autoSpaceDN w:val="0"/>
        <w:adjustRightInd w:val="0"/>
        <w:spacing w:line="360" w:lineRule="auto"/>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B765D" w:rsidRDefault="00DB765D">
      <w:pPr>
        <w:autoSpaceDE w:val="0"/>
        <w:autoSpaceDN w:val="0"/>
        <w:adjustRightInd w:val="0"/>
        <w:spacing w:line="360" w:lineRule="auto"/>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B765D" w:rsidRDefault="00DB765D">
      <w:pPr>
        <w:autoSpaceDE w:val="0"/>
        <w:autoSpaceDN w:val="0"/>
        <w:adjustRightInd w:val="0"/>
        <w:spacing w:line="360" w:lineRule="auto"/>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DB765D" w:rsidRDefault="00BF504D" w:rsidP="00081218">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B765D" w:rsidRDefault="00BF504D">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tblPr>
      <w:tblGrid>
        <w:gridCol w:w="4609"/>
        <w:gridCol w:w="4025"/>
      </w:tblGrid>
      <w:tr w:rsidR="00DB765D">
        <w:tc>
          <w:tcPr>
            <w:tcW w:w="4609"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15,954,871.70</w:t>
            </w:r>
          </w:p>
        </w:tc>
      </w:tr>
      <w:tr w:rsidR="00DB765D">
        <w:tc>
          <w:tcPr>
            <w:tcW w:w="4609"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786,464.24</w:t>
            </w:r>
          </w:p>
        </w:tc>
      </w:tr>
      <w:tr w:rsidR="00DB765D">
        <w:tc>
          <w:tcPr>
            <w:tcW w:w="4609"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692,603.38</w:t>
            </w:r>
          </w:p>
        </w:tc>
      </w:tr>
      <w:tr w:rsidR="00DB765D">
        <w:tc>
          <w:tcPr>
            <w:tcW w:w="4609"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B765D">
        <w:tc>
          <w:tcPr>
            <w:tcW w:w="4609"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B765D" w:rsidRDefault="00BF504D">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16,048,732.56</w:t>
            </w:r>
          </w:p>
        </w:tc>
      </w:tr>
    </w:tbl>
    <w:p w:rsidR="00DB765D" w:rsidRDefault="00BF504D" w:rsidP="00081218">
      <w:pPr>
        <w:pStyle w:val="1"/>
        <w:tabs>
          <w:tab w:val="center" w:pos="4156"/>
          <w:tab w:val="right" w:pos="8312"/>
        </w:tabs>
        <w:spacing w:beforeLines="100" w:afterLines="100"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B765D" w:rsidRDefault="00BF504D">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B765D" w:rsidRDefault="00BF504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B765D" w:rsidRDefault="00DB765D">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B765D" w:rsidRDefault="00BF504D" w:rsidP="00081218">
      <w:pPr>
        <w:pStyle w:val="1"/>
        <w:spacing w:beforeLines="100" w:afterLines="100"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中国证监会批准上投摩根智慧生活灵活配置混合型证券投资基金设立的文件；</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《上投摩根智慧生活灵活配置混合型证券投资基金基金合同》；</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《上投摩根智慧生活灵活配置混合型证券投资基金基金托管协议》；</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《上投摩根开放式基金业务规则》；</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基金管理人业务资格批件、营业执照；</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基金托管人业务资格批件和营业执照。</w:t>
      </w:r>
    </w:p>
    <w:p w:rsidR="00DB765D" w:rsidRDefault="00DB765D">
      <w:pPr>
        <w:spacing w:line="360" w:lineRule="auto"/>
        <w:ind w:firstLineChars="200" w:firstLine="480"/>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DB765D" w:rsidRDefault="00DB765D">
      <w:pPr>
        <w:spacing w:line="360" w:lineRule="auto"/>
        <w:ind w:firstLineChars="200" w:firstLine="480"/>
        <w:rPr>
          <w:rFonts w:asciiTheme="minorEastAsia" w:eastAsiaTheme="minorEastAsia" w:hAnsiTheme="minorEastAsia"/>
          <w:color w:val="000000" w:themeColor="text1"/>
          <w:sz w:val="24"/>
          <w:szCs w:val="24"/>
        </w:rPr>
      </w:pPr>
    </w:p>
    <w:p w:rsidR="00DB765D" w:rsidRDefault="00BF504D">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B765D" w:rsidRDefault="00BF504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DB765D">
      <w:pPr>
        <w:spacing w:line="360" w:lineRule="auto"/>
        <w:ind w:left="840"/>
        <w:jc w:val="right"/>
        <w:rPr>
          <w:rFonts w:asciiTheme="minorEastAsia" w:eastAsiaTheme="minorEastAsia" w:hAnsiTheme="minorEastAsia"/>
          <w:color w:val="000000" w:themeColor="text1"/>
          <w:sz w:val="24"/>
          <w:szCs w:val="24"/>
        </w:rPr>
      </w:pPr>
    </w:p>
    <w:p w:rsidR="00DB765D" w:rsidRDefault="00BF504D">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B765D" w:rsidRDefault="00BF504D">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二〇一九年一月二十二日</w:t>
      </w:r>
    </w:p>
    <w:p w:rsidR="00DB765D" w:rsidRDefault="00DB765D">
      <w:pPr>
        <w:spacing w:line="360" w:lineRule="auto"/>
        <w:ind w:left="840"/>
        <w:jc w:val="right"/>
        <w:rPr>
          <w:rFonts w:asciiTheme="minorEastAsia" w:eastAsiaTheme="minorEastAsia" w:hAnsiTheme="minorEastAsia"/>
          <w:b/>
          <w:bCs/>
          <w:color w:val="000000" w:themeColor="text1"/>
          <w:sz w:val="24"/>
          <w:szCs w:val="24"/>
        </w:rPr>
      </w:pPr>
    </w:p>
    <w:p w:rsidR="00DB765D" w:rsidRDefault="00DB765D">
      <w:pPr>
        <w:rPr>
          <w:rFonts w:asciiTheme="minorEastAsia" w:eastAsiaTheme="minorEastAsia" w:hAnsiTheme="minorEastAsia"/>
          <w:color w:val="000000" w:themeColor="text1"/>
          <w:sz w:val="24"/>
          <w:szCs w:val="24"/>
        </w:rPr>
      </w:pPr>
    </w:p>
    <w:sectPr w:rsidR="00DB765D" w:rsidSect="004058DD">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8DD" w:rsidRDefault="00BF504D">
      <w:r>
        <w:separator/>
      </w:r>
    </w:p>
  </w:endnote>
  <w:endnote w:type="continuationSeparator" w:id="1">
    <w:p w:rsidR="004058DD" w:rsidRDefault="00BF5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5D" w:rsidRDefault="00BF504D">
    <w:pPr>
      <w:pStyle w:val="ac"/>
      <w:tabs>
        <w:tab w:val="left" w:pos="4215"/>
        <w:tab w:val="center" w:pos="4545"/>
      </w:tabs>
    </w:pPr>
    <w:r>
      <w:ptab w:relativeTo="margin" w:alignment="center" w:leader="none"/>
    </w:r>
    <w:r>
      <w:ptab w:relativeTo="margin" w:alignment="center" w:leader="none"/>
    </w:r>
    <w:r w:rsidR="004058DD" w:rsidRPr="004058DD">
      <w:fldChar w:fldCharType="begin"/>
    </w:r>
    <w:r>
      <w:instrText xml:space="preserve"> PAGE   \* MERGEFORMAT </w:instrText>
    </w:r>
    <w:r w:rsidR="004058DD" w:rsidRPr="004058DD">
      <w:fldChar w:fldCharType="separate"/>
    </w:r>
    <w:r w:rsidR="00081218" w:rsidRPr="00081218">
      <w:rPr>
        <w:noProof/>
        <w:lang w:val="zh-CN"/>
      </w:rPr>
      <w:t>1</w:t>
    </w:r>
    <w:r w:rsidR="004058DD">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5D" w:rsidRDefault="004058DD">
    <w:pPr>
      <w:pStyle w:val="ac"/>
      <w:framePr w:wrap="around" w:vAnchor="text" w:hAnchor="margin" w:xAlign="center" w:y="1"/>
      <w:rPr>
        <w:rStyle w:val="af3"/>
      </w:rPr>
    </w:pPr>
    <w:r>
      <w:rPr>
        <w:rStyle w:val="af3"/>
      </w:rPr>
      <w:fldChar w:fldCharType="begin"/>
    </w:r>
    <w:r w:rsidR="00BF504D">
      <w:rPr>
        <w:rStyle w:val="af3"/>
      </w:rPr>
      <w:instrText xml:space="preserve">PAGE  </w:instrText>
    </w:r>
    <w:r>
      <w:rPr>
        <w:rStyle w:val="af3"/>
      </w:rPr>
      <w:fldChar w:fldCharType="separate"/>
    </w:r>
    <w:r w:rsidR="00081218">
      <w:rPr>
        <w:rStyle w:val="af3"/>
        <w:noProof/>
      </w:rPr>
      <w:t>12</w:t>
    </w:r>
    <w:r>
      <w:rPr>
        <w:rStyle w:val="af3"/>
      </w:rPr>
      <w:fldChar w:fldCharType="end"/>
    </w:r>
  </w:p>
  <w:p w:rsidR="00DB765D" w:rsidRDefault="00DB76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8DD" w:rsidRDefault="00BF504D">
      <w:r>
        <w:separator/>
      </w:r>
    </w:p>
  </w:footnote>
  <w:footnote w:type="continuationSeparator" w:id="1">
    <w:p w:rsidR="004058DD" w:rsidRDefault="00BF5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5D" w:rsidRDefault="00BF504D">
    <w:pPr>
      <w:pStyle w:val="ad"/>
      <w:pBdr>
        <w:bottom w:val="single" w:sz="6" w:space="0" w:color="auto"/>
      </w:pBdr>
      <w:jc w:val="right"/>
    </w:pPr>
    <w:r>
      <w:rPr>
        <w:rFonts w:hint="eastAsia"/>
      </w:rPr>
      <w:t>上投摩根智慧生活灵活配置混合型证券投资基金</w:t>
    </w:r>
    <w:r>
      <w:rPr>
        <w:rFonts w:hint="eastAsia"/>
      </w:rPr>
      <w:t>2018</w:t>
    </w:r>
    <w:r>
      <w:rPr>
        <w:rFonts w:hint="eastAsia"/>
      </w:rPr>
      <w:t>年第</w:t>
    </w:r>
    <w:r>
      <w:rPr>
        <w:rFonts w:hint="eastAsia"/>
      </w:rPr>
      <w:t>4</w:t>
    </w:r>
    <w:r>
      <w:rPr>
        <w:rFonts w:hint="eastAsia"/>
      </w:rP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81218"/>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58DD"/>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504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B765D"/>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uiPriority="0"/>
    <w:lsdException w:name="annotation text" w:qFormat="1"/>
    <w:lsdException w:name="header" w:semiHidden="0"/>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lsdException w:name="Block Text" w:unhideWhenUsed="1"/>
    <w:lsdException w:name="Hyperlink" w:semiHidden="0"/>
    <w:lsdException w:name="FollowedHyperlink" w:semiHidden="0" w:qFormat="1"/>
    <w:lsdException w:name="Strong" w:semiHidden="0" w:uiPriority="22" w:qFormat="1"/>
    <w:lsdException w:name="Emphasis" w:semiHidden="0" w:uiPriority="20" w:qFormat="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058DD"/>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4058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58DD"/>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58D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4058DD"/>
    <w:pPr>
      <w:ind w:firstLineChars="200" w:firstLine="420"/>
    </w:pPr>
  </w:style>
  <w:style w:type="paragraph" w:styleId="a4">
    <w:name w:val="annotation subject"/>
    <w:basedOn w:val="a5"/>
    <w:next w:val="a5"/>
    <w:link w:val="Char"/>
    <w:uiPriority w:val="99"/>
    <w:semiHidden/>
    <w:qFormat/>
    <w:rsid w:val="004058DD"/>
    <w:rPr>
      <w:b/>
      <w:bCs/>
    </w:rPr>
  </w:style>
  <w:style w:type="paragraph" w:styleId="a5">
    <w:name w:val="annotation text"/>
    <w:basedOn w:val="a"/>
    <w:link w:val="Char0"/>
    <w:uiPriority w:val="99"/>
    <w:semiHidden/>
    <w:qFormat/>
    <w:rsid w:val="004058DD"/>
    <w:pPr>
      <w:jc w:val="left"/>
    </w:pPr>
  </w:style>
  <w:style w:type="paragraph" w:styleId="a6">
    <w:name w:val="Document Map"/>
    <w:basedOn w:val="a"/>
    <w:link w:val="Char1"/>
    <w:uiPriority w:val="99"/>
    <w:semiHidden/>
    <w:rsid w:val="004058DD"/>
    <w:pPr>
      <w:shd w:val="clear" w:color="auto" w:fill="000080"/>
    </w:pPr>
  </w:style>
  <w:style w:type="paragraph" w:styleId="a7">
    <w:name w:val="Body Text"/>
    <w:basedOn w:val="a"/>
    <w:link w:val="Char2"/>
    <w:uiPriority w:val="99"/>
    <w:qFormat/>
    <w:rsid w:val="004058DD"/>
    <w:pPr>
      <w:spacing w:after="120"/>
    </w:pPr>
  </w:style>
  <w:style w:type="paragraph" w:styleId="a8">
    <w:name w:val="Body Text Indent"/>
    <w:basedOn w:val="a"/>
    <w:link w:val="Char3"/>
    <w:uiPriority w:val="99"/>
    <w:rsid w:val="004058D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sid w:val="004058DD"/>
    <w:rPr>
      <w:rFonts w:ascii="宋体" w:hAnsi="Courier New" w:cs="宋体"/>
    </w:rPr>
  </w:style>
  <w:style w:type="paragraph" w:styleId="aa">
    <w:name w:val="Date"/>
    <w:basedOn w:val="a"/>
    <w:next w:val="a"/>
    <w:link w:val="Char5"/>
    <w:qFormat/>
    <w:rsid w:val="004058DD"/>
    <w:rPr>
      <w:sz w:val="24"/>
      <w:szCs w:val="24"/>
    </w:rPr>
  </w:style>
  <w:style w:type="paragraph" w:styleId="20">
    <w:name w:val="Body Text Indent 2"/>
    <w:basedOn w:val="a"/>
    <w:link w:val="2Char0"/>
    <w:uiPriority w:val="99"/>
    <w:qFormat/>
    <w:rsid w:val="004058DD"/>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sid w:val="004058DD"/>
    <w:rPr>
      <w:sz w:val="18"/>
      <w:szCs w:val="18"/>
    </w:rPr>
  </w:style>
  <w:style w:type="paragraph" w:styleId="ac">
    <w:name w:val="footer"/>
    <w:basedOn w:val="a"/>
    <w:link w:val="Char7"/>
    <w:uiPriority w:val="99"/>
    <w:qFormat/>
    <w:rsid w:val="004058DD"/>
    <w:pPr>
      <w:tabs>
        <w:tab w:val="center" w:pos="4153"/>
        <w:tab w:val="right" w:pos="8306"/>
      </w:tabs>
      <w:snapToGrid w:val="0"/>
      <w:jc w:val="left"/>
    </w:pPr>
    <w:rPr>
      <w:sz w:val="18"/>
      <w:szCs w:val="18"/>
    </w:rPr>
  </w:style>
  <w:style w:type="paragraph" w:styleId="ad">
    <w:name w:val="header"/>
    <w:basedOn w:val="a"/>
    <w:link w:val="Char8"/>
    <w:uiPriority w:val="99"/>
    <w:rsid w:val="004058DD"/>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rsid w:val="004058DD"/>
    <w:pPr>
      <w:spacing w:after="220" w:line="220" w:lineRule="atLeast"/>
      <w:ind w:left="1440" w:hanging="360"/>
    </w:pPr>
  </w:style>
  <w:style w:type="paragraph" w:styleId="af">
    <w:name w:val="footnote text"/>
    <w:basedOn w:val="a"/>
    <w:link w:val="Char9"/>
    <w:rsid w:val="004058DD"/>
    <w:pPr>
      <w:snapToGrid w:val="0"/>
      <w:jc w:val="left"/>
    </w:pPr>
    <w:rPr>
      <w:sz w:val="18"/>
      <w:szCs w:val="18"/>
    </w:rPr>
  </w:style>
  <w:style w:type="paragraph" w:styleId="30">
    <w:name w:val="Body Text Indent 3"/>
    <w:basedOn w:val="a"/>
    <w:link w:val="3Char0"/>
    <w:uiPriority w:val="99"/>
    <w:rsid w:val="004058DD"/>
    <w:pPr>
      <w:spacing w:line="560" w:lineRule="exact"/>
      <w:ind w:firstLineChars="200" w:firstLine="420"/>
    </w:pPr>
    <w:rPr>
      <w:rFonts w:ascii="Arial" w:hAnsi="Arial" w:cs="Arial"/>
      <w:color w:val="FF0000"/>
    </w:rPr>
  </w:style>
  <w:style w:type="paragraph" w:styleId="af0">
    <w:name w:val="Normal (Web)"/>
    <w:basedOn w:val="a"/>
    <w:uiPriority w:val="99"/>
    <w:rsid w:val="004058DD"/>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rsid w:val="004058DD"/>
    <w:pPr>
      <w:jc w:val="right"/>
    </w:pPr>
    <w:rPr>
      <w:color w:val="008000"/>
    </w:rPr>
  </w:style>
  <w:style w:type="paragraph" w:styleId="af1">
    <w:name w:val="Title"/>
    <w:basedOn w:val="a"/>
    <w:next w:val="a"/>
    <w:link w:val="Chara"/>
    <w:uiPriority w:val="99"/>
    <w:qFormat/>
    <w:rsid w:val="004058DD"/>
    <w:pPr>
      <w:spacing w:before="240" w:after="60"/>
      <w:jc w:val="center"/>
      <w:outlineLvl w:val="0"/>
    </w:pPr>
    <w:rPr>
      <w:rFonts w:ascii="Cambria" w:hAnsi="Cambria" w:cs="Cambria"/>
      <w:b/>
      <w:bCs/>
      <w:sz w:val="32"/>
      <w:szCs w:val="32"/>
    </w:rPr>
  </w:style>
  <w:style w:type="character" w:styleId="af2">
    <w:name w:val="Strong"/>
    <w:basedOn w:val="a1"/>
    <w:uiPriority w:val="22"/>
    <w:qFormat/>
    <w:rsid w:val="004058DD"/>
    <w:rPr>
      <w:b/>
      <w:bCs/>
    </w:rPr>
  </w:style>
  <w:style w:type="character" w:styleId="af3">
    <w:name w:val="page number"/>
    <w:basedOn w:val="a1"/>
    <w:uiPriority w:val="99"/>
    <w:rsid w:val="004058DD"/>
  </w:style>
  <w:style w:type="character" w:styleId="af4">
    <w:name w:val="FollowedHyperlink"/>
    <w:basedOn w:val="a1"/>
    <w:uiPriority w:val="99"/>
    <w:qFormat/>
    <w:rsid w:val="004058DD"/>
    <w:rPr>
      <w:color w:val="800080"/>
      <w:u w:val="single"/>
    </w:rPr>
  </w:style>
  <w:style w:type="character" w:styleId="af5">
    <w:name w:val="Hyperlink"/>
    <w:basedOn w:val="a1"/>
    <w:uiPriority w:val="99"/>
    <w:rsid w:val="004058DD"/>
    <w:rPr>
      <w:color w:val="0000FF"/>
      <w:u w:val="single"/>
    </w:rPr>
  </w:style>
  <w:style w:type="character" w:styleId="af6">
    <w:name w:val="annotation reference"/>
    <w:basedOn w:val="a1"/>
    <w:uiPriority w:val="99"/>
    <w:semiHidden/>
    <w:qFormat/>
    <w:rsid w:val="004058DD"/>
    <w:rPr>
      <w:sz w:val="21"/>
      <w:szCs w:val="21"/>
    </w:rPr>
  </w:style>
  <w:style w:type="character" w:styleId="af7">
    <w:name w:val="footnote reference"/>
    <w:basedOn w:val="a1"/>
    <w:rsid w:val="004058DD"/>
    <w:rPr>
      <w:vertAlign w:val="superscript"/>
    </w:rPr>
  </w:style>
  <w:style w:type="table" w:styleId="af8">
    <w:name w:val="Table Grid"/>
    <w:basedOn w:val="a2"/>
    <w:uiPriority w:val="99"/>
    <w:rsid w:val="004058D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sid w:val="004058DD"/>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58DD"/>
    <w:rPr>
      <w:rFonts w:ascii="Arial" w:eastAsia="宋体" w:hAnsi="Arial" w:cs="Arial"/>
      <w:b/>
      <w:bCs/>
      <w:sz w:val="24"/>
      <w:szCs w:val="24"/>
    </w:rPr>
  </w:style>
  <w:style w:type="character" w:customStyle="1" w:styleId="3Char">
    <w:name w:val="标题 3 Char"/>
    <w:basedOn w:val="a1"/>
    <w:link w:val="3"/>
    <w:uiPriority w:val="99"/>
    <w:rsid w:val="004058DD"/>
    <w:rPr>
      <w:rFonts w:ascii="Times New Roman" w:eastAsia="宋体" w:hAnsi="Times New Roman" w:cs="Times New Roman"/>
      <w:b/>
      <w:bCs/>
      <w:sz w:val="32"/>
      <w:szCs w:val="32"/>
    </w:rPr>
  </w:style>
  <w:style w:type="character" w:customStyle="1" w:styleId="Char3">
    <w:name w:val="正文文本缩进 Char"/>
    <w:basedOn w:val="a1"/>
    <w:link w:val="a8"/>
    <w:uiPriority w:val="99"/>
    <w:rsid w:val="004058DD"/>
    <w:rPr>
      <w:rFonts w:ascii="Arial Unicode MS" w:eastAsia="Arial Unicode MS" w:hAnsi="Arial Unicode MS" w:cs="Arial Unicode MS"/>
      <w:kern w:val="0"/>
      <w:sz w:val="24"/>
      <w:szCs w:val="24"/>
    </w:rPr>
  </w:style>
  <w:style w:type="character" w:customStyle="1" w:styleId="Char4">
    <w:name w:val="纯文本 Char"/>
    <w:basedOn w:val="a1"/>
    <w:link w:val="a9"/>
    <w:uiPriority w:val="99"/>
    <w:rsid w:val="004058DD"/>
    <w:rPr>
      <w:rFonts w:ascii="宋体" w:eastAsia="宋体" w:hAnsi="Courier New" w:cs="宋体"/>
      <w:szCs w:val="21"/>
    </w:rPr>
  </w:style>
  <w:style w:type="character" w:customStyle="1" w:styleId="2Char0">
    <w:name w:val="正文文本缩进 2 Char"/>
    <w:basedOn w:val="a1"/>
    <w:link w:val="20"/>
    <w:uiPriority w:val="99"/>
    <w:rsid w:val="004058DD"/>
    <w:rPr>
      <w:rFonts w:ascii="宋体" w:eastAsia="宋体" w:hAnsi="宋体" w:cs="宋体"/>
      <w:color w:val="FF0000"/>
      <w:sz w:val="24"/>
      <w:szCs w:val="24"/>
    </w:rPr>
  </w:style>
  <w:style w:type="character" w:customStyle="1" w:styleId="Char7">
    <w:name w:val="页脚 Char"/>
    <w:basedOn w:val="a1"/>
    <w:link w:val="ac"/>
    <w:uiPriority w:val="99"/>
    <w:rsid w:val="004058DD"/>
    <w:rPr>
      <w:rFonts w:ascii="Times New Roman" w:eastAsia="宋体" w:hAnsi="Times New Roman" w:cs="Times New Roman"/>
      <w:sz w:val="18"/>
      <w:szCs w:val="18"/>
    </w:rPr>
  </w:style>
  <w:style w:type="character" w:customStyle="1" w:styleId="3Char0">
    <w:name w:val="正文文本缩进 3 Char"/>
    <w:basedOn w:val="a1"/>
    <w:link w:val="30"/>
    <w:uiPriority w:val="99"/>
    <w:rsid w:val="004058DD"/>
    <w:rPr>
      <w:rFonts w:ascii="Arial" w:eastAsia="宋体" w:hAnsi="Arial" w:cs="Arial"/>
      <w:color w:val="FF0000"/>
      <w:szCs w:val="21"/>
    </w:rPr>
  </w:style>
  <w:style w:type="character" w:customStyle="1" w:styleId="Char8">
    <w:name w:val="页眉 Char"/>
    <w:basedOn w:val="a1"/>
    <w:link w:val="ad"/>
    <w:uiPriority w:val="99"/>
    <w:rsid w:val="004058DD"/>
    <w:rPr>
      <w:rFonts w:ascii="Times New Roman" w:eastAsia="宋体" w:hAnsi="Times New Roman" w:cs="Times New Roman"/>
      <w:sz w:val="18"/>
      <w:szCs w:val="18"/>
    </w:rPr>
  </w:style>
  <w:style w:type="character" w:customStyle="1" w:styleId="Char2">
    <w:name w:val="正文文本 Char"/>
    <w:basedOn w:val="a1"/>
    <w:link w:val="a7"/>
    <w:uiPriority w:val="99"/>
    <w:qFormat/>
    <w:rsid w:val="004058DD"/>
    <w:rPr>
      <w:rFonts w:ascii="Times New Roman" w:eastAsia="宋体" w:hAnsi="Times New Roman" w:cs="Times New Roman"/>
      <w:szCs w:val="21"/>
    </w:rPr>
  </w:style>
  <w:style w:type="character" w:customStyle="1" w:styleId="Char5">
    <w:name w:val="日期 Char"/>
    <w:basedOn w:val="a1"/>
    <w:link w:val="aa"/>
    <w:qFormat/>
    <w:rsid w:val="004058DD"/>
    <w:rPr>
      <w:rFonts w:ascii="Times New Roman" w:eastAsia="宋体" w:hAnsi="Times New Roman" w:cs="Times New Roman"/>
      <w:sz w:val="24"/>
      <w:szCs w:val="24"/>
    </w:rPr>
  </w:style>
  <w:style w:type="character" w:customStyle="1" w:styleId="c1">
    <w:name w:val="c1"/>
    <w:basedOn w:val="a1"/>
    <w:uiPriority w:val="99"/>
    <w:qFormat/>
    <w:rsid w:val="004058DD"/>
    <w:rPr>
      <w:color w:val="000000"/>
      <w:sz w:val="18"/>
      <w:szCs w:val="18"/>
    </w:rPr>
  </w:style>
  <w:style w:type="paragraph" w:customStyle="1" w:styleId="font5">
    <w:name w:val="font5"/>
    <w:basedOn w:val="a"/>
    <w:uiPriority w:val="99"/>
    <w:qFormat/>
    <w:rsid w:val="004058DD"/>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rsid w:val="004058DD"/>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rsid w:val="004058DD"/>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rsid w:val="004058DD"/>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rsid w:val="004058DD"/>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4058DD"/>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rsid w:val="004058DD"/>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rsid w:val="004058D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rsid w:val="004058DD"/>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sid w:val="004058DD"/>
    <w:rPr>
      <w:rFonts w:ascii="Times New Roman" w:eastAsia="宋体" w:hAnsi="Times New Roman" w:cs="Times New Roman"/>
      <w:sz w:val="18"/>
      <w:szCs w:val="18"/>
    </w:rPr>
  </w:style>
  <w:style w:type="character" w:customStyle="1" w:styleId="Char0">
    <w:name w:val="批注文字 Char"/>
    <w:basedOn w:val="a1"/>
    <w:link w:val="a5"/>
    <w:uiPriority w:val="99"/>
    <w:semiHidden/>
    <w:qFormat/>
    <w:rsid w:val="004058DD"/>
    <w:rPr>
      <w:rFonts w:ascii="Times New Roman" w:eastAsia="宋体" w:hAnsi="Times New Roman" w:cs="Times New Roman"/>
      <w:szCs w:val="21"/>
    </w:rPr>
  </w:style>
  <w:style w:type="character" w:customStyle="1" w:styleId="Char">
    <w:name w:val="批注主题 Char"/>
    <w:basedOn w:val="Char0"/>
    <w:link w:val="a4"/>
    <w:uiPriority w:val="99"/>
    <w:semiHidden/>
    <w:qFormat/>
    <w:rsid w:val="004058DD"/>
    <w:rPr>
      <w:rFonts w:ascii="Times New Roman" w:eastAsia="宋体" w:hAnsi="Times New Roman" w:cs="Times New Roman"/>
      <w:b/>
      <w:bCs/>
      <w:szCs w:val="21"/>
    </w:rPr>
  </w:style>
  <w:style w:type="paragraph" w:customStyle="1" w:styleId="Charb">
    <w:name w:val="Char"/>
    <w:basedOn w:val="a"/>
    <w:uiPriority w:val="99"/>
    <w:qFormat/>
    <w:rsid w:val="004058DD"/>
  </w:style>
  <w:style w:type="character" w:customStyle="1" w:styleId="Char1">
    <w:name w:val="文档结构图 Char"/>
    <w:basedOn w:val="a1"/>
    <w:link w:val="a6"/>
    <w:uiPriority w:val="99"/>
    <w:semiHidden/>
    <w:rsid w:val="004058DD"/>
    <w:rPr>
      <w:rFonts w:ascii="Times New Roman" w:eastAsia="宋体" w:hAnsi="Times New Roman" w:cs="Times New Roman"/>
      <w:szCs w:val="21"/>
      <w:shd w:val="clear" w:color="auto" w:fill="000080"/>
    </w:rPr>
  </w:style>
  <w:style w:type="paragraph" w:customStyle="1" w:styleId="af9">
    <w:name w:val="正文 + (符号) 宋体"/>
    <w:basedOn w:val="a"/>
    <w:uiPriority w:val="99"/>
    <w:rsid w:val="004058DD"/>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sid w:val="004058DD"/>
    <w:rPr>
      <w:rFonts w:ascii="Times New Roman" w:eastAsia="宋体" w:hAnsi="Times New Roman" w:cs="Times New Roman"/>
      <w:sz w:val="18"/>
      <w:szCs w:val="18"/>
    </w:rPr>
  </w:style>
  <w:style w:type="paragraph" w:customStyle="1" w:styleId="Char10">
    <w:name w:val="Char1"/>
    <w:basedOn w:val="a"/>
    <w:uiPriority w:val="99"/>
    <w:rsid w:val="004058DD"/>
  </w:style>
  <w:style w:type="paragraph" w:customStyle="1" w:styleId="CharCharCharCharCharChar1CharCharChar">
    <w:name w:val="Char Char Char Char Char Char1 Char Char Char"/>
    <w:basedOn w:val="a"/>
    <w:uiPriority w:val="99"/>
    <w:rsid w:val="004058DD"/>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58DD"/>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sid w:val="004058DD"/>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58DD"/>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sid w:val="004058DD"/>
    <w:rPr>
      <w:rFonts w:ascii="Calibri" w:eastAsia="宋体" w:hAnsi="Calibri" w:cs="Calibri"/>
      <w:sz w:val="22"/>
      <w:szCs w:val="22"/>
    </w:rPr>
  </w:style>
  <w:style w:type="character" w:customStyle="1" w:styleId="Charc">
    <w:name w:val="无间隔 Char"/>
    <w:basedOn w:val="a1"/>
    <w:link w:val="11"/>
    <w:uiPriority w:val="1"/>
    <w:locked/>
    <w:rsid w:val="004058DD"/>
    <w:rPr>
      <w:rFonts w:ascii="Calibri" w:eastAsia="宋体" w:hAnsi="Calibri" w:cs="Calibri"/>
      <w:kern w:val="0"/>
      <w:sz w:val="22"/>
    </w:rPr>
  </w:style>
  <w:style w:type="character" w:customStyle="1" w:styleId="t1">
    <w:name w:val="t1"/>
    <w:basedOn w:val="a1"/>
    <w:uiPriority w:val="99"/>
    <w:rsid w:val="004058DD"/>
    <w:rPr>
      <w:color w:val="auto"/>
    </w:rPr>
  </w:style>
  <w:style w:type="paragraph" w:customStyle="1" w:styleId="12">
    <w:name w:val="列出段落1"/>
    <w:basedOn w:val="a"/>
    <w:uiPriority w:val="34"/>
    <w:qFormat/>
    <w:rsid w:val="004058DD"/>
    <w:pPr>
      <w:ind w:firstLineChars="200" w:firstLine="420"/>
    </w:pPr>
  </w:style>
  <w:style w:type="paragraph" w:customStyle="1" w:styleId="Default">
    <w:name w:val="Default"/>
    <w:rsid w:val="004058DD"/>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4ADEBF6-2E45-435D-9377-7F337C0EFE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ut174</cp:lastModifiedBy>
  <cp:revision>266</cp:revision>
  <dcterms:created xsi:type="dcterms:W3CDTF">2012-10-16T06:07:00Z</dcterms:created>
  <dcterms:modified xsi:type="dcterms:W3CDTF">2019-01-21T08:59:00Z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