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上投摩根安鑫回报混合型证券投资基金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8</w:t>
      </w:r>
      <w:r w:rsidRPr="00B27A29">
        <w:rPr>
          <w:rFonts w:eastAsiaTheme="minorEastAsia"/>
          <w:b/>
          <w:color w:val="000000" w:themeColor="text1"/>
          <w:sz w:val="36"/>
          <w:szCs w:val="36"/>
        </w:rPr>
        <w:t>月</w:t>
      </w:r>
      <w:r w:rsidRPr="00B27A29">
        <w:rPr>
          <w:rFonts w:eastAsiaTheme="minorEastAsia"/>
          <w:b/>
          <w:color w:val="000000" w:themeColor="text1"/>
          <w:sz w:val="36"/>
          <w:szCs w:val="36"/>
        </w:rPr>
        <w:t>26</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报告送出日期：二〇二一年十月二十七日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8</w:t>
      </w:r>
      <w:r w:rsidRPr="00B27A29">
        <w:rPr>
          <w:rFonts w:eastAsiaTheme="minorEastAsia"/>
          <w:color w:val="000000" w:themeColor="text1"/>
          <w:szCs w:val="21"/>
        </w:rPr>
        <w:t>月</w:t>
      </w:r>
      <w:r w:rsidRPr="00B27A29">
        <w:rPr>
          <w:rFonts w:eastAsiaTheme="minorEastAsia"/>
          <w:color w:val="000000" w:themeColor="text1"/>
          <w:szCs w:val="21"/>
        </w:rPr>
        <w:t>26</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上投摩根安鑫回报混合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001947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2016</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11,303,717.31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短期债等多种投资策略，实施积极主动的组合管理，并根据对债券收益率曲线形态、息差变化的预测，对债券组合进行动态调整。</w:t>
            </w:r>
          </w:p>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本基金将采用自下而上的分析方法，以企业基本面研究为核心，并结合股票价值评估，精选具有较强竞争优势且估值合理的股票构建投资组合。</w:t>
            </w:r>
          </w:p>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本基金将采取一定的新股投资策略，深入分析基本面，结合市场估值水平和股市投资环境，选择合适标的参与新股投资。</w:t>
            </w:r>
          </w:p>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、股指期货投资策略</w:t>
            </w:r>
          </w:p>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本基金在进行股指期货投资时，将通过对证券市场和期货市场运行趋势的研究，并结合股指期货的定价模型寻求其合理的估值水平。</w:t>
            </w:r>
          </w:p>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、股票期权投资策略</w:t>
            </w:r>
          </w:p>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本基金将基于对证券市场的预判，并结合股指期权定价模型，选择估值合理的期权合约。</w:t>
            </w:r>
          </w:p>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、资产支持证券投资策略</w:t>
            </w:r>
          </w:p>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本基金主要从资产池信用状况、违约相关性、历史违约记录和损失比例、证券的信用增强方式、利差补偿程度等方面对资产支持证券的风险与收益状况进行评估，确定资产合理配置比例。</w:t>
            </w:r>
          </w:p>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一年期银行定期存款利率（税后）</w:t>
            </w:r>
            <w:r w:rsidRPr="00B27A29">
              <w:rPr>
                <w:rFonts w:eastAsiaTheme="minorEastAsia"/>
                <w:color w:val="000000" w:themeColor="text1"/>
                <w:kern w:val="0"/>
                <w:szCs w:val="21"/>
              </w:rPr>
              <w:t>+1%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D4C32" w:rsidRDefault="00627DB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001947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002845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8,451,743.92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2,851,973.39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8</w:t>
            </w:r>
            <w:r w:rsidRPr="00B27A29">
              <w:rPr>
                <w:rFonts w:eastAsiaTheme="minorEastAsia"/>
                <w:color w:val="000000" w:themeColor="text1"/>
                <w:szCs w:val="21"/>
              </w:rPr>
              <w:t>月</w:t>
            </w:r>
            <w:r w:rsidRPr="00B27A29">
              <w:rPr>
                <w:rFonts w:eastAsiaTheme="minorEastAsia"/>
                <w:color w:val="000000" w:themeColor="text1"/>
                <w:szCs w:val="21"/>
              </w:rPr>
              <w:t>26</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61,406.62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2,349.11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-77,622.01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-32,122.25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8,701,560.10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2,927,745.31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1.0266</w:t>
            </w:r>
          </w:p>
        </w:tc>
      </w:tr>
    </w:tbl>
    <w:p w:rsidR="00BD4C32" w:rsidRDefault="00627DB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上投摩根安鑫回报混合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D4C32">
        <w:tc>
          <w:tcPr>
            <w:tcW w:w="1290" w:type="dxa"/>
            <w:vAlign w:val="center"/>
          </w:tcPr>
          <w:p w:rsidR="00BD4C32" w:rsidRDefault="00627DB7">
            <w:pPr>
              <w:jc w:val="left"/>
            </w:pPr>
            <w:r>
              <w:rPr>
                <w:rFonts w:eastAsiaTheme="minorEastAsia"/>
                <w:color w:val="000000" w:themeColor="text1"/>
                <w:szCs w:val="21"/>
              </w:rPr>
              <w:t>过去三个月</w:t>
            </w:r>
          </w:p>
        </w:tc>
        <w:tc>
          <w:tcPr>
            <w:tcW w:w="1291" w:type="dxa"/>
            <w:vAlign w:val="center"/>
          </w:tcPr>
          <w:p w:rsidR="00BD4C32" w:rsidRDefault="00627DB7">
            <w:pPr>
              <w:jc w:val="right"/>
            </w:pPr>
            <w:r>
              <w:rPr>
                <w:rFonts w:eastAsiaTheme="minorEastAsia"/>
                <w:color w:val="000000" w:themeColor="text1"/>
                <w:szCs w:val="21"/>
              </w:rPr>
              <w:t>-0.84%</w:t>
            </w:r>
          </w:p>
        </w:tc>
        <w:tc>
          <w:tcPr>
            <w:tcW w:w="1291" w:type="dxa"/>
            <w:vAlign w:val="center"/>
          </w:tcPr>
          <w:p w:rsidR="00BD4C32" w:rsidRDefault="00627DB7">
            <w:pPr>
              <w:jc w:val="right"/>
            </w:pPr>
            <w:r>
              <w:rPr>
                <w:rFonts w:eastAsiaTheme="minorEastAsia"/>
                <w:color w:val="000000" w:themeColor="text1"/>
                <w:szCs w:val="21"/>
              </w:rPr>
              <w:t>0.23%</w:t>
            </w:r>
          </w:p>
        </w:tc>
        <w:tc>
          <w:tcPr>
            <w:tcW w:w="1291" w:type="dxa"/>
            <w:vAlign w:val="center"/>
          </w:tcPr>
          <w:p w:rsidR="00BD4C32" w:rsidRDefault="00627DB7">
            <w:pPr>
              <w:jc w:val="right"/>
            </w:pPr>
            <w:r>
              <w:rPr>
                <w:rFonts w:eastAsiaTheme="minorEastAsia"/>
                <w:color w:val="000000" w:themeColor="text1"/>
                <w:szCs w:val="21"/>
              </w:rPr>
              <w:t>0.40%</w:t>
            </w:r>
          </w:p>
        </w:tc>
        <w:tc>
          <w:tcPr>
            <w:tcW w:w="1291" w:type="dxa"/>
            <w:vAlign w:val="center"/>
          </w:tcPr>
          <w:p w:rsidR="00BD4C32" w:rsidRDefault="00627DB7">
            <w:pPr>
              <w:jc w:val="right"/>
            </w:pPr>
            <w:r>
              <w:rPr>
                <w:rFonts w:eastAsiaTheme="minorEastAsia"/>
                <w:color w:val="000000" w:themeColor="text1"/>
                <w:szCs w:val="21"/>
              </w:rPr>
              <w:t>0.01%</w:t>
            </w:r>
          </w:p>
        </w:tc>
        <w:tc>
          <w:tcPr>
            <w:tcW w:w="1291" w:type="dxa"/>
            <w:vAlign w:val="center"/>
          </w:tcPr>
          <w:p w:rsidR="00BD4C32" w:rsidRDefault="00627DB7">
            <w:pPr>
              <w:jc w:val="right"/>
            </w:pPr>
            <w:r>
              <w:rPr>
                <w:rFonts w:eastAsiaTheme="minorEastAsia"/>
                <w:color w:val="000000" w:themeColor="text1"/>
                <w:szCs w:val="21"/>
              </w:rPr>
              <w:t>-1.24%</w:t>
            </w:r>
          </w:p>
        </w:tc>
        <w:tc>
          <w:tcPr>
            <w:tcW w:w="1291" w:type="dxa"/>
            <w:vAlign w:val="center"/>
          </w:tcPr>
          <w:p w:rsidR="00BD4C32" w:rsidRDefault="00627DB7">
            <w:pPr>
              <w:jc w:val="right"/>
            </w:pPr>
            <w:r>
              <w:rPr>
                <w:rFonts w:eastAsiaTheme="minorEastAsia"/>
                <w:color w:val="000000" w:themeColor="text1"/>
                <w:szCs w:val="21"/>
              </w:rPr>
              <w:t>0.22%</w:t>
            </w:r>
          </w:p>
        </w:tc>
      </w:tr>
      <w:tr w:rsidR="00BD4C32">
        <w:tc>
          <w:tcPr>
            <w:tcW w:w="1290" w:type="dxa"/>
            <w:vAlign w:val="center"/>
          </w:tcPr>
          <w:p w:rsidR="00BD4C32" w:rsidRDefault="00627DB7">
            <w:pPr>
              <w:jc w:val="left"/>
            </w:pPr>
            <w:r>
              <w:rPr>
                <w:rFonts w:eastAsiaTheme="minorEastAsia"/>
                <w:color w:val="000000" w:themeColor="text1"/>
                <w:szCs w:val="21"/>
              </w:rPr>
              <w:t>过去六个月</w:t>
            </w:r>
          </w:p>
        </w:tc>
        <w:tc>
          <w:tcPr>
            <w:tcW w:w="1291" w:type="dxa"/>
            <w:vAlign w:val="center"/>
          </w:tcPr>
          <w:p w:rsidR="00BD4C32" w:rsidRDefault="00627DB7">
            <w:pPr>
              <w:jc w:val="right"/>
            </w:pPr>
            <w:r>
              <w:rPr>
                <w:rFonts w:eastAsiaTheme="minorEastAsia"/>
                <w:color w:val="000000" w:themeColor="text1"/>
                <w:szCs w:val="21"/>
              </w:rPr>
              <w:t>1.05%</w:t>
            </w:r>
          </w:p>
        </w:tc>
        <w:tc>
          <w:tcPr>
            <w:tcW w:w="1291" w:type="dxa"/>
            <w:vAlign w:val="center"/>
          </w:tcPr>
          <w:p w:rsidR="00BD4C32" w:rsidRDefault="00627DB7">
            <w:pPr>
              <w:jc w:val="right"/>
            </w:pPr>
            <w:r>
              <w:rPr>
                <w:rFonts w:eastAsiaTheme="minorEastAsia"/>
                <w:color w:val="000000" w:themeColor="text1"/>
                <w:szCs w:val="21"/>
              </w:rPr>
              <w:t>0.22%</w:t>
            </w:r>
          </w:p>
        </w:tc>
        <w:tc>
          <w:tcPr>
            <w:tcW w:w="1291" w:type="dxa"/>
            <w:vAlign w:val="center"/>
          </w:tcPr>
          <w:p w:rsidR="00BD4C32" w:rsidRDefault="00627DB7">
            <w:pPr>
              <w:jc w:val="right"/>
            </w:pPr>
            <w:r>
              <w:rPr>
                <w:rFonts w:eastAsiaTheme="minorEastAsia"/>
                <w:color w:val="000000" w:themeColor="text1"/>
                <w:szCs w:val="21"/>
              </w:rPr>
              <w:t>1.03%</w:t>
            </w:r>
          </w:p>
        </w:tc>
        <w:tc>
          <w:tcPr>
            <w:tcW w:w="1291" w:type="dxa"/>
            <w:vAlign w:val="center"/>
          </w:tcPr>
          <w:p w:rsidR="00BD4C32" w:rsidRDefault="00627DB7">
            <w:pPr>
              <w:jc w:val="right"/>
            </w:pPr>
            <w:r>
              <w:rPr>
                <w:rFonts w:eastAsiaTheme="minorEastAsia"/>
                <w:color w:val="000000" w:themeColor="text1"/>
                <w:szCs w:val="21"/>
              </w:rPr>
              <w:t>0.01%</w:t>
            </w:r>
          </w:p>
        </w:tc>
        <w:tc>
          <w:tcPr>
            <w:tcW w:w="1291" w:type="dxa"/>
            <w:vAlign w:val="center"/>
          </w:tcPr>
          <w:p w:rsidR="00BD4C32" w:rsidRDefault="00627DB7">
            <w:pPr>
              <w:jc w:val="right"/>
            </w:pPr>
            <w:r>
              <w:rPr>
                <w:rFonts w:eastAsiaTheme="minorEastAsia"/>
                <w:color w:val="000000" w:themeColor="text1"/>
                <w:szCs w:val="21"/>
              </w:rPr>
              <w:t>0.02%</w:t>
            </w:r>
          </w:p>
        </w:tc>
        <w:tc>
          <w:tcPr>
            <w:tcW w:w="1291" w:type="dxa"/>
            <w:vAlign w:val="center"/>
          </w:tcPr>
          <w:p w:rsidR="00BD4C32" w:rsidRDefault="00627DB7">
            <w:pPr>
              <w:jc w:val="right"/>
            </w:pPr>
            <w:r>
              <w:rPr>
                <w:rFonts w:eastAsiaTheme="minorEastAsia"/>
                <w:color w:val="000000" w:themeColor="text1"/>
                <w:szCs w:val="21"/>
              </w:rPr>
              <w:t>0.21%</w:t>
            </w:r>
          </w:p>
        </w:tc>
      </w:tr>
      <w:tr w:rsidR="00BD4C32">
        <w:tc>
          <w:tcPr>
            <w:tcW w:w="1290" w:type="dxa"/>
            <w:vAlign w:val="center"/>
          </w:tcPr>
          <w:p w:rsidR="00BD4C32" w:rsidRDefault="00627DB7">
            <w:pPr>
              <w:jc w:val="left"/>
            </w:pPr>
            <w:r>
              <w:rPr>
                <w:rFonts w:eastAsiaTheme="minorEastAsia"/>
                <w:color w:val="000000" w:themeColor="text1"/>
                <w:szCs w:val="21"/>
              </w:rPr>
              <w:t>过去一年</w:t>
            </w:r>
          </w:p>
        </w:tc>
        <w:tc>
          <w:tcPr>
            <w:tcW w:w="1291" w:type="dxa"/>
            <w:vAlign w:val="center"/>
          </w:tcPr>
          <w:p w:rsidR="00BD4C32" w:rsidRDefault="00627DB7">
            <w:pPr>
              <w:jc w:val="right"/>
            </w:pPr>
            <w:r>
              <w:rPr>
                <w:rFonts w:eastAsiaTheme="minorEastAsia"/>
                <w:color w:val="000000" w:themeColor="text1"/>
                <w:szCs w:val="21"/>
              </w:rPr>
              <w:t>6.27%</w:t>
            </w:r>
          </w:p>
        </w:tc>
        <w:tc>
          <w:tcPr>
            <w:tcW w:w="1291" w:type="dxa"/>
            <w:vAlign w:val="center"/>
          </w:tcPr>
          <w:p w:rsidR="00BD4C32" w:rsidRDefault="00627DB7">
            <w:pPr>
              <w:jc w:val="right"/>
            </w:pPr>
            <w:r>
              <w:rPr>
                <w:rFonts w:eastAsiaTheme="minorEastAsia"/>
                <w:color w:val="000000" w:themeColor="text1"/>
                <w:szCs w:val="21"/>
              </w:rPr>
              <w:t>0.33%</w:t>
            </w:r>
          </w:p>
        </w:tc>
        <w:tc>
          <w:tcPr>
            <w:tcW w:w="1291" w:type="dxa"/>
            <w:vAlign w:val="center"/>
          </w:tcPr>
          <w:p w:rsidR="00BD4C32" w:rsidRDefault="00627DB7">
            <w:pPr>
              <w:jc w:val="right"/>
            </w:pPr>
            <w:r>
              <w:rPr>
                <w:rFonts w:eastAsiaTheme="minorEastAsia"/>
                <w:color w:val="000000" w:themeColor="text1"/>
                <w:szCs w:val="21"/>
              </w:rPr>
              <w:t>2.29%</w:t>
            </w:r>
          </w:p>
        </w:tc>
        <w:tc>
          <w:tcPr>
            <w:tcW w:w="1291" w:type="dxa"/>
            <w:vAlign w:val="center"/>
          </w:tcPr>
          <w:p w:rsidR="00BD4C32" w:rsidRDefault="00627DB7">
            <w:pPr>
              <w:jc w:val="right"/>
            </w:pPr>
            <w:r>
              <w:rPr>
                <w:rFonts w:eastAsiaTheme="minorEastAsia"/>
                <w:color w:val="000000" w:themeColor="text1"/>
                <w:szCs w:val="21"/>
              </w:rPr>
              <w:t>0.01%</w:t>
            </w:r>
          </w:p>
        </w:tc>
        <w:tc>
          <w:tcPr>
            <w:tcW w:w="1291" w:type="dxa"/>
            <w:vAlign w:val="center"/>
          </w:tcPr>
          <w:p w:rsidR="00BD4C32" w:rsidRDefault="00627DB7">
            <w:pPr>
              <w:jc w:val="right"/>
            </w:pPr>
            <w:r>
              <w:rPr>
                <w:rFonts w:eastAsiaTheme="minorEastAsia"/>
                <w:color w:val="000000" w:themeColor="text1"/>
                <w:szCs w:val="21"/>
              </w:rPr>
              <w:t>3.98%</w:t>
            </w:r>
          </w:p>
        </w:tc>
        <w:tc>
          <w:tcPr>
            <w:tcW w:w="1291" w:type="dxa"/>
            <w:vAlign w:val="center"/>
          </w:tcPr>
          <w:p w:rsidR="00BD4C32" w:rsidRDefault="00627DB7">
            <w:pPr>
              <w:jc w:val="right"/>
            </w:pPr>
            <w:r>
              <w:rPr>
                <w:rFonts w:eastAsiaTheme="minorEastAsia"/>
                <w:color w:val="000000" w:themeColor="text1"/>
                <w:szCs w:val="21"/>
              </w:rPr>
              <w:t>0.32%</w:t>
            </w:r>
          </w:p>
        </w:tc>
      </w:tr>
      <w:tr w:rsidR="00BD4C32">
        <w:tc>
          <w:tcPr>
            <w:tcW w:w="1290" w:type="dxa"/>
            <w:vAlign w:val="center"/>
          </w:tcPr>
          <w:p w:rsidR="00BD4C32" w:rsidRDefault="00627DB7">
            <w:pPr>
              <w:jc w:val="left"/>
            </w:pPr>
            <w:r>
              <w:rPr>
                <w:rFonts w:eastAsiaTheme="minorEastAsia"/>
                <w:color w:val="000000" w:themeColor="text1"/>
                <w:szCs w:val="21"/>
              </w:rPr>
              <w:t>过去三年</w:t>
            </w:r>
          </w:p>
        </w:tc>
        <w:tc>
          <w:tcPr>
            <w:tcW w:w="1291" w:type="dxa"/>
            <w:vAlign w:val="center"/>
          </w:tcPr>
          <w:p w:rsidR="00BD4C32" w:rsidRDefault="00627DB7">
            <w:pPr>
              <w:jc w:val="right"/>
            </w:pPr>
            <w:r>
              <w:rPr>
                <w:rFonts w:eastAsiaTheme="minorEastAsia"/>
                <w:color w:val="000000" w:themeColor="text1"/>
                <w:szCs w:val="21"/>
              </w:rPr>
              <w:t>16.36%</w:t>
            </w:r>
          </w:p>
        </w:tc>
        <w:tc>
          <w:tcPr>
            <w:tcW w:w="1291" w:type="dxa"/>
            <w:vAlign w:val="center"/>
          </w:tcPr>
          <w:p w:rsidR="00BD4C32" w:rsidRDefault="00627DB7">
            <w:pPr>
              <w:jc w:val="right"/>
            </w:pPr>
            <w:r>
              <w:rPr>
                <w:rFonts w:eastAsiaTheme="minorEastAsia"/>
                <w:color w:val="000000" w:themeColor="text1"/>
                <w:szCs w:val="21"/>
              </w:rPr>
              <w:t>0.27%</w:t>
            </w:r>
          </w:p>
        </w:tc>
        <w:tc>
          <w:tcPr>
            <w:tcW w:w="1291" w:type="dxa"/>
            <w:vAlign w:val="center"/>
          </w:tcPr>
          <w:p w:rsidR="00BD4C32" w:rsidRDefault="00627DB7">
            <w:pPr>
              <w:jc w:val="right"/>
            </w:pPr>
            <w:r>
              <w:rPr>
                <w:rFonts w:eastAsiaTheme="minorEastAsia"/>
                <w:color w:val="000000" w:themeColor="text1"/>
                <w:szCs w:val="21"/>
              </w:rPr>
              <w:t>7.37%</w:t>
            </w:r>
          </w:p>
        </w:tc>
        <w:tc>
          <w:tcPr>
            <w:tcW w:w="1291" w:type="dxa"/>
            <w:vAlign w:val="center"/>
          </w:tcPr>
          <w:p w:rsidR="00BD4C32" w:rsidRDefault="00627DB7">
            <w:pPr>
              <w:jc w:val="right"/>
            </w:pPr>
            <w:r>
              <w:rPr>
                <w:rFonts w:eastAsiaTheme="minorEastAsia"/>
                <w:color w:val="000000" w:themeColor="text1"/>
                <w:szCs w:val="21"/>
              </w:rPr>
              <w:t>0.01%</w:t>
            </w:r>
          </w:p>
        </w:tc>
        <w:tc>
          <w:tcPr>
            <w:tcW w:w="1291" w:type="dxa"/>
            <w:vAlign w:val="center"/>
          </w:tcPr>
          <w:p w:rsidR="00BD4C32" w:rsidRDefault="00627DB7">
            <w:pPr>
              <w:jc w:val="right"/>
            </w:pPr>
            <w:r>
              <w:rPr>
                <w:rFonts w:eastAsiaTheme="minorEastAsia"/>
                <w:color w:val="000000" w:themeColor="text1"/>
                <w:szCs w:val="21"/>
              </w:rPr>
              <w:t>8.99%</w:t>
            </w:r>
          </w:p>
        </w:tc>
        <w:tc>
          <w:tcPr>
            <w:tcW w:w="1291" w:type="dxa"/>
            <w:vAlign w:val="center"/>
          </w:tcPr>
          <w:p w:rsidR="00BD4C32" w:rsidRDefault="00627DB7">
            <w:pPr>
              <w:jc w:val="right"/>
            </w:pPr>
            <w:r>
              <w:rPr>
                <w:rFonts w:eastAsiaTheme="minorEastAsia"/>
                <w:color w:val="000000" w:themeColor="text1"/>
                <w:szCs w:val="21"/>
              </w:rPr>
              <w:t>0.26%</w:t>
            </w:r>
          </w:p>
        </w:tc>
      </w:tr>
      <w:tr w:rsidR="00BD4C32">
        <w:tc>
          <w:tcPr>
            <w:tcW w:w="1290" w:type="dxa"/>
            <w:vAlign w:val="center"/>
          </w:tcPr>
          <w:p w:rsidR="00BD4C32" w:rsidRDefault="00627DB7">
            <w:pPr>
              <w:jc w:val="left"/>
            </w:pPr>
            <w:r>
              <w:rPr>
                <w:rFonts w:eastAsiaTheme="minorEastAsia"/>
                <w:color w:val="000000" w:themeColor="text1"/>
                <w:szCs w:val="21"/>
              </w:rPr>
              <w:t>过去五年</w:t>
            </w:r>
          </w:p>
        </w:tc>
        <w:tc>
          <w:tcPr>
            <w:tcW w:w="1291" w:type="dxa"/>
            <w:vAlign w:val="center"/>
          </w:tcPr>
          <w:p w:rsidR="00BD4C32" w:rsidRDefault="00627DB7">
            <w:pPr>
              <w:jc w:val="right"/>
            </w:pPr>
            <w:r>
              <w:rPr>
                <w:rFonts w:eastAsiaTheme="minorEastAsia"/>
                <w:color w:val="000000" w:themeColor="text1"/>
                <w:szCs w:val="21"/>
              </w:rPr>
              <w:t>21.09%</w:t>
            </w:r>
          </w:p>
        </w:tc>
        <w:tc>
          <w:tcPr>
            <w:tcW w:w="1291" w:type="dxa"/>
            <w:vAlign w:val="center"/>
          </w:tcPr>
          <w:p w:rsidR="00BD4C32" w:rsidRDefault="00627DB7">
            <w:pPr>
              <w:jc w:val="right"/>
            </w:pPr>
            <w:r>
              <w:rPr>
                <w:rFonts w:eastAsiaTheme="minorEastAsia"/>
                <w:color w:val="000000" w:themeColor="text1"/>
                <w:szCs w:val="21"/>
              </w:rPr>
              <w:t>0.22%</w:t>
            </w:r>
          </w:p>
        </w:tc>
        <w:tc>
          <w:tcPr>
            <w:tcW w:w="1291" w:type="dxa"/>
            <w:vAlign w:val="center"/>
          </w:tcPr>
          <w:p w:rsidR="00BD4C32" w:rsidRDefault="00627DB7">
            <w:pPr>
              <w:jc w:val="right"/>
            </w:pPr>
            <w:r>
              <w:rPr>
                <w:rFonts w:eastAsiaTheme="minorEastAsia"/>
                <w:color w:val="000000" w:themeColor="text1"/>
                <w:szCs w:val="21"/>
              </w:rPr>
              <w:t>12.44%</w:t>
            </w:r>
          </w:p>
        </w:tc>
        <w:tc>
          <w:tcPr>
            <w:tcW w:w="1291" w:type="dxa"/>
            <w:vAlign w:val="center"/>
          </w:tcPr>
          <w:p w:rsidR="00BD4C32" w:rsidRDefault="00627DB7">
            <w:pPr>
              <w:jc w:val="right"/>
            </w:pPr>
            <w:r>
              <w:rPr>
                <w:rFonts w:eastAsiaTheme="minorEastAsia"/>
                <w:color w:val="000000" w:themeColor="text1"/>
                <w:szCs w:val="21"/>
              </w:rPr>
              <w:t>0.01%</w:t>
            </w:r>
          </w:p>
        </w:tc>
        <w:tc>
          <w:tcPr>
            <w:tcW w:w="1291" w:type="dxa"/>
            <w:vAlign w:val="center"/>
          </w:tcPr>
          <w:p w:rsidR="00BD4C32" w:rsidRDefault="00627DB7">
            <w:pPr>
              <w:jc w:val="right"/>
            </w:pPr>
            <w:r>
              <w:rPr>
                <w:rFonts w:eastAsiaTheme="minorEastAsia"/>
                <w:color w:val="000000" w:themeColor="text1"/>
                <w:szCs w:val="21"/>
              </w:rPr>
              <w:t>8.65%</w:t>
            </w:r>
          </w:p>
        </w:tc>
        <w:tc>
          <w:tcPr>
            <w:tcW w:w="1291" w:type="dxa"/>
            <w:vAlign w:val="center"/>
          </w:tcPr>
          <w:p w:rsidR="00BD4C32" w:rsidRDefault="00627DB7">
            <w:pPr>
              <w:jc w:val="right"/>
            </w:pPr>
            <w:r>
              <w:rPr>
                <w:rFonts w:eastAsiaTheme="minorEastAsia"/>
                <w:color w:val="000000" w:themeColor="text1"/>
                <w:szCs w:val="21"/>
              </w:rPr>
              <w:t>0.21%</w:t>
            </w:r>
          </w:p>
        </w:tc>
      </w:tr>
      <w:tr w:rsidR="00BD4C32">
        <w:tc>
          <w:tcPr>
            <w:tcW w:w="1290" w:type="dxa"/>
            <w:vAlign w:val="center"/>
          </w:tcPr>
          <w:p w:rsidR="00BD4C32" w:rsidRDefault="00627DB7">
            <w:pPr>
              <w:jc w:val="left"/>
            </w:pPr>
            <w:r>
              <w:rPr>
                <w:rFonts w:eastAsiaTheme="minorEastAsia"/>
                <w:color w:val="000000" w:themeColor="text1"/>
                <w:szCs w:val="21"/>
              </w:rPr>
              <w:t>自基金合同生效起至今</w:t>
            </w:r>
          </w:p>
        </w:tc>
        <w:tc>
          <w:tcPr>
            <w:tcW w:w="1291" w:type="dxa"/>
            <w:vAlign w:val="center"/>
          </w:tcPr>
          <w:p w:rsidR="00BD4C32" w:rsidRDefault="00627DB7">
            <w:pPr>
              <w:jc w:val="right"/>
            </w:pPr>
            <w:r>
              <w:rPr>
                <w:rFonts w:eastAsiaTheme="minorEastAsia"/>
                <w:color w:val="000000" w:themeColor="text1"/>
                <w:szCs w:val="21"/>
              </w:rPr>
              <w:t>21.33%</w:t>
            </w:r>
          </w:p>
        </w:tc>
        <w:tc>
          <w:tcPr>
            <w:tcW w:w="1291" w:type="dxa"/>
            <w:vAlign w:val="center"/>
          </w:tcPr>
          <w:p w:rsidR="00BD4C32" w:rsidRDefault="00627DB7">
            <w:pPr>
              <w:jc w:val="right"/>
            </w:pPr>
            <w:r>
              <w:rPr>
                <w:rFonts w:eastAsiaTheme="minorEastAsia"/>
                <w:color w:val="000000" w:themeColor="text1"/>
                <w:szCs w:val="21"/>
              </w:rPr>
              <w:t>0.22%</w:t>
            </w:r>
          </w:p>
        </w:tc>
        <w:tc>
          <w:tcPr>
            <w:tcW w:w="1291" w:type="dxa"/>
            <w:vAlign w:val="center"/>
          </w:tcPr>
          <w:p w:rsidR="00BD4C32" w:rsidRDefault="00627DB7">
            <w:pPr>
              <w:jc w:val="right"/>
            </w:pPr>
            <w:r>
              <w:rPr>
                <w:rFonts w:eastAsiaTheme="minorEastAsia"/>
                <w:color w:val="000000" w:themeColor="text1"/>
                <w:szCs w:val="21"/>
              </w:rPr>
              <w:t>12.83%</w:t>
            </w:r>
          </w:p>
        </w:tc>
        <w:tc>
          <w:tcPr>
            <w:tcW w:w="1291" w:type="dxa"/>
            <w:vAlign w:val="center"/>
          </w:tcPr>
          <w:p w:rsidR="00BD4C32" w:rsidRDefault="00627DB7">
            <w:pPr>
              <w:jc w:val="right"/>
            </w:pPr>
            <w:r>
              <w:rPr>
                <w:rFonts w:eastAsiaTheme="minorEastAsia"/>
                <w:color w:val="000000" w:themeColor="text1"/>
                <w:szCs w:val="21"/>
              </w:rPr>
              <w:t>0.01%</w:t>
            </w:r>
          </w:p>
        </w:tc>
        <w:tc>
          <w:tcPr>
            <w:tcW w:w="1291" w:type="dxa"/>
            <w:vAlign w:val="center"/>
          </w:tcPr>
          <w:p w:rsidR="00BD4C32" w:rsidRDefault="00627DB7">
            <w:pPr>
              <w:jc w:val="right"/>
            </w:pPr>
            <w:r>
              <w:rPr>
                <w:rFonts w:eastAsiaTheme="minorEastAsia"/>
                <w:color w:val="000000" w:themeColor="text1"/>
                <w:szCs w:val="21"/>
              </w:rPr>
              <w:t>8.50%</w:t>
            </w:r>
          </w:p>
        </w:tc>
        <w:tc>
          <w:tcPr>
            <w:tcW w:w="1291" w:type="dxa"/>
            <w:vAlign w:val="center"/>
          </w:tcPr>
          <w:p w:rsidR="00BD4C32" w:rsidRDefault="00627DB7">
            <w:pPr>
              <w:jc w:val="right"/>
            </w:pPr>
            <w:r>
              <w:rPr>
                <w:rFonts w:eastAsiaTheme="minorEastAsia"/>
                <w:color w:val="000000" w:themeColor="text1"/>
                <w:szCs w:val="21"/>
              </w:rPr>
              <w:t>0.21%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上投摩根安鑫回报混合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D4C32">
        <w:tc>
          <w:tcPr>
            <w:tcW w:w="1290" w:type="dxa"/>
            <w:vAlign w:val="center"/>
          </w:tcPr>
          <w:p w:rsidR="00BD4C32" w:rsidRDefault="00627DB7">
            <w:pPr>
              <w:jc w:val="left"/>
            </w:pPr>
            <w:r>
              <w:rPr>
                <w:rFonts w:eastAsiaTheme="minorEastAsia"/>
                <w:color w:val="000000" w:themeColor="text1"/>
                <w:szCs w:val="21"/>
              </w:rPr>
              <w:t>过去三个月</w:t>
            </w:r>
          </w:p>
        </w:tc>
        <w:tc>
          <w:tcPr>
            <w:tcW w:w="1291" w:type="dxa"/>
            <w:vAlign w:val="center"/>
          </w:tcPr>
          <w:p w:rsidR="00BD4C32" w:rsidRDefault="00627DB7">
            <w:pPr>
              <w:jc w:val="right"/>
            </w:pPr>
            <w:r>
              <w:rPr>
                <w:rFonts w:eastAsiaTheme="minorEastAsia"/>
                <w:color w:val="000000" w:themeColor="text1"/>
                <w:szCs w:val="21"/>
              </w:rPr>
              <w:t>-0.93%</w:t>
            </w:r>
          </w:p>
        </w:tc>
        <w:tc>
          <w:tcPr>
            <w:tcW w:w="1291" w:type="dxa"/>
            <w:vAlign w:val="center"/>
          </w:tcPr>
          <w:p w:rsidR="00BD4C32" w:rsidRDefault="00627DB7">
            <w:pPr>
              <w:jc w:val="right"/>
            </w:pPr>
            <w:r>
              <w:rPr>
                <w:rFonts w:eastAsiaTheme="minorEastAsia"/>
                <w:color w:val="000000" w:themeColor="text1"/>
                <w:szCs w:val="21"/>
              </w:rPr>
              <w:t>0.23%</w:t>
            </w:r>
          </w:p>
        </w:tc>
        <w:tc>
          <w:tcPr>
            <w:tcW w:w="1291" w:type="dxa"/>
            <w:vAlign w:val="center"/>
          </w:tcPr>
          <w:p w:rsidR="00BD4C32" w:rsidRDefault="00627DB7">
            <w:pPr>
              <w:jc w:val="right"/>
            </w:pPr>
            <w:r>
              <w:rPr>
                <w:rFonts w:eastAsiaTheme="minorEastAsia"/>
                <w:color w:val="000000" w:themeColor="text1"/>
                <w:szCs w:val="21"/>
              </w:rPr>
              <w:t>0.40%</w:t>
            </w:r>
          </w:p>
        </w:tc>
        <w:tc>
          <w:tcPr>
            <w:tcW w:w="1291" w:type="dxa"/>
            <w:vAlign w:val="center"/>
          </w:tcPr>
          <w:p w:rsidR="00BD4C32" w:rsidRDefault="00627DB7">
            <w:pPr>
              <w:jc w:val="right"/>
            </w:pPr>
            <w:r>
              <w:rPr>
                <w:rFonts w:eastAsiaTheme="minorEastAsia"/>
                <w:color w:val="000000" w:themeColor="text1"/>
                <w:szCs w:val="21"/>
              </w:rPr>
              <w:t>0.01%</w:t>
            </w:r>
          </w:p>
        </w:tc>
        <w:tc>
          <w:tcPr>
            <w:tcW w:w="1291" w:type="dxa"/>
            <w:vAlign w:val="center"/>
          </w:tcPr>
          <w:p w:rsidR="00BD4C32" w:rsidRDefault="00627DB7">
            <w:pPr>
              <w:jc w:val="right"/>
            </w:pPr>
            <w:r>
              <w:rPr>
                <w:rFonts w:eastAsiaTheme="minorEastAsia"/>
                <w:color w:val="000000" w:themeColor="text1"/>
                <w:szCs w:val="21"/>
              </w:rPr>
              <w:t>-1.33%</w:t>
            </w:r>
          </w:p>
        </w:tc>
        <w:tc>
          <w:tcPr>
            <w:tcW w:w="1291" w:type="dxa"/>
            <w:vAlign w:val="center"/>
          </w:tcPr>
          <w:p w:rsidR="00BD4C32" w:rsidRDefault="00627DB7">
            <w:pPr>
              <w:jc w:val="right"/>
            </w:pPr>
            <w:r>
              <w:rPr>
                <w:rFonts w:eastAsiaTheme="minorEastAsia"/>
                <w:color w:val="000000" w:themeColor="text1"/>
                <w:szCs w:val="21"/>
              </w:rPr>
              <w:t>0.22%</w:t>
            </w:r>
          </w:p>
        </w:tc>
      </w:tr>
      <w:tr w:rsidR="00BD4C32">
        <w:tc>
          <w:tcPr>
            <w:tcW w:w="1290" w:type="dxa"/>
            <w:vAlign w:val="center"/>
          </w:tcPr>
          <w:p w:rsidR="00BD4C32" w:rsidRDefault="00627DB7">
            <w:pPr>
              <w:jc w:val="left"/>
            </w:pPr>
            <w:r>
              <w:rPr>
                <w:rFonts w:eastAsiaTheme="minorEastAsia"/>
                <w:color w:val="000000" w:themeColor="text1"/>
                <w:szCs w:val="21"/>
              </w:rPr>
              <w:t>过去六个月</w:t>
            </w:r>
          </w:p>
        </w:tc>
        <w:tc>
          <w:tcPr>
            <w:tcW w:w="1291" w:type="dxa"/>
            <w:vAlign w:val="center"/>
          </w:tcPr>
          <w:p w:rsidR="00BD4C32" w:rsidRDefault="00627DB7">
            <w:pPr>
              <w:jc w:val="right"/>
            </w:pPr>
            <w:r>
              <w:rPr>
                <w:rFonts w:eastAsiaTheme="minorEastAsia"/>
                <w:color w:val="000000" w:themeColor="text1"/>
                <w:szCs w:val="21"/>
              </w:rPr>
              <w:t>0.83%</w:t>
            </w:r>
          </w:p>
        </w:tc>
        <w:tc>
          <w:tcPr>
            <w:tcW w:w="1291" w:type="dxa"/>
            <w:vAlign w:val="center"/>
          </w:tcPr>
          <w:p w:rsidR="00BD4C32" w:rsidRDefault="00627DB7">
            <w:pPr>
              <w:jc w:val="right"/>
            </w:pPr>
            <w:r>
              <w:rPr>
                <w:rFonts w:eastAsiaTheme="minorEastAsia"/>
                <w:color w:val="000000" w:themeColor="text1"/>
                <w:szCs w:val="21"/>
              </w:rPr>
              <w:t>0.22%</w:t>
            </w:r>
          </w:p>
        </w:tc>
        <w:tc>
          <w:tcPr>
            <w:tcW w:w="1291" w:type="dxa"/>
            <w:vAlign w:val="center"/>
          </w:tcPr>
          <w:p w:rsidR="00BD4C32" w:rsidRDefault="00627DB7">
            <w:pPr>
              <w:jc w:val="right"/>
            </w:pPr>
            <w:r>
              <w:rPr>
                <w:rFonts w:eastAsiaTheme="minorEastAsia"/>
                <w:color w:val="000000" w:themeColor="text1"/>
                <w:szCs w:val="21"/>
              </w:rPr>
              <w:t>1.03%</w:t>
            </w:r>
          </w:p>
        </w:tc>
        <w:tc>
          <w:tcPr>
            <w:tcW w:w="1291" w:type="dxa"/>
            <w:vAlign w:val="center"/>
          </w:tcPr>
          <w:p w:rsidR="00BD4C32" w:rsidRDefault="00627DB7">
            <w:pPr>
              <w:jc w:val="right"/>
            </w:pPr>
            <w:r>
              <w:rPr>
                <w:rFonts w:eastAsiaTheme="minorEastAsia"/>
                <w:color w:val="000000" w:themeColor="text1"/>
                <w:szCs w:val="21"/>
              </w:rPr>
              <w:t>0.01%</w:t>
            </w:r>
          </w:p>
        </w:tc>
        <w:tc>
          <w:tcPr>
            <w:tcW w:w="1291" w:type="dxa"/>
            <w:vAlign w:val="center"/>
          </w:tcPr>
          <w:p w:rsidR="00BD4C32" w:rsidRDefault="00627DB7">
            <w:pPr>
              <w:jc w:val="right"/>
            </w:pPr>
            <w:r>
              <w:rPr>
                <w:rFonts w:eastAsiaTheme="minorEastAsia"/>
                <w:color w:val="000000" w:themeColor="text1"/>
                <w:szCs w:val="21"/>
              </w:rPr>
              <w:t>-0.20%</w:t>
            </w:r>
          </w:p>
        </w:tc>
        <w:tc>
          <w:tcPr>
            <w:tcW w:w="1291" w:type="dxa"/>
            <w:vAlign w:val="center"/>
          </w:tcPr>
          <w:p w:rsidR="00BD4C32" w:rsidRDefault="00627DB7">
            <w:pPr>
              <w:jc w:val="right"/>
            </w:pPr>
            <w:r>
              <w:rPr>
                <w:rFonts w:eastAsiaTheme="minorEastAsia"/>
                <w:color w:val="000000" w:themeColor="text1"/>
                <w:szCs w:val="21"/>
              </w:rPr>
              <w:t>0.21%</w:t>
            </w:r>
          </w:p>
        </w:tc>
      </w:tr>
      <w:tr w:rsidR="00BD4C32">
        <w:tc>
          <w:tcPr>
            <w:tcW w:w="1290" w:type="dxa"/>
            <w:vAlign w:val="center"/>
          </w:tcPr>
          <w:p w:rsidR="00BD4C32" w:rsidRDefault="00627DB7">
            <w:pPr>
              <w:jc w:val="left"/>
            </w:pPr>
            <w:r>
              <w:rPr>
                <w:rFonts w:eastAsiaTheme="minorEastAsia"/>
                <w:color w:val="000000" w:themeColor="text1"/>
                <w:szCs w:val="21"/>
              </w:rPr>
              <w:t>过去一年</w:t>
            </w:r>
          </w:p>
        </w:tc>
        <w:tc>
          <w:tcPr>
            <w:tcW w:w="1291" w:type="dxa"/>
            <w:vAlign w:val="center"/>
          </w:tcPr>
          <w:p w:rsidR="00BD4C32" w:rsidRDefault="00627DB7">
            <w:pPr>
              <w:jc w:val="right"/>
            </w:pPr>
            <w:r>
              <w:rPr>
                <w:rFonts w:eastAsiaTheme="minorEastAsia"/>
                <w:color w:val="000000" w:themeColor="text1"/>
                <w:szCs w:val="21"/>
              </w:rPr>
              <w:t>5.80%</w:t>
            </w:r>
          </w:p>
        </w:tc>
        <w:tc>
          <w:tcPr>
            <w:tcW w:w="1291" w:type="dxa"/>
            <w:vAlign w:val="center"/>
          </w:tcPr>
          <w:p w:rsidR="00BD4C32" w:rsidRDefault="00627DB7">
            <w:pPr>
              <w:jc w:val="right"/>
            </w:pPr>
            <w:r>
              <w:rPr>
                <w:rFonts w:eastAsiaTheme="minorEastAsia"/>
                <w:color w:val="000000" w:themeColor="text1"/>
                <w:szCs w:val="21"/>
              </w:rPr>
              <w:t>0.33%</w:t>
            </w:r>
          </w:p>
        </w:tc>
        <w:tc>
          <w:tcPr>
            <w:tcW w:w="1291" w:type="dxa"/>
            <w:vAlign w:val="center"/>
          </w:tcPr>
          <w:p w:rsidR="00BD4C32" w:rsidRDefault="00627DB7">
            <w:pPr>
              <w:jc w:val="right"/>
            </w:pPr>
            <w:r>
              <w:rPr>
                <w:rFonts w:eastAsiaTheme="minorEastAsia"/>
                <w:color w:val="000000" w:themeColor="text1"/>
                <w:szCs w:val="21"/>
              </w:rPr>
              <w:t>2.29%</w:t>
            </w:r>
          </w:p>
        </w:tc>
        <w:tc>
          <w:tcPr>
            <w:tcW w:w="1291" w:type="dxa"/>
            <w:vAlign w:val="center"/>
          </w:tcPr>
          <w:p w:rsidR="00BD4C32" w:rsidRDefault="00627DB7">
            <w:pPr>
              <w:jc w:val="right"/>
            </w:pPr>
            <w:r>
              <w:rPr>
                <w:rFonts w:eastAsiaTheme="minorEastAsia"/>
                <w:color w:val="000000" w:themeColor="text1"/>
                <w:szCs w:val="21"/>
              </w:rPr>
              <w:t>0.01%</w:t>
            </w:r>
          </w:p>
        </w:tc>
        <w:tc>
          <w:tcPr>
            <w:tcW w:w="1291" w:type="dxa"/>
            <w:vAlign w:val="center"/>
          </w:tcPr>
          <w:p w:rsidR="00BD4C32" w:rsidRDefault="00627DB7">
            <w:pPr>
              <w:jc w:val="right"/>
            </w:pPr>
            <w:r>
              <w:rPr>
                <w:rFonts w:eastAsiaTheme="minorEastAsia"/>
                <w:color w:val="000000" w:themeColor="text1"/>
                <w:szCs w:val="21"/>
              </w:rPr>
              <w:t>3.51%</w:t>
            </w:r>
          </w:p>
        </w:tc>
        <w:tc>
          <w:tcPr>
            <w:tcW w:w="1291" w:type="dxa"/>
            <w:vAlign w:val="center"/>
          </w:tcPr>
          <w:p w:rsidR="00BD4C32" w:rsidRDefault="00627DB7">
            <w:pPr>
              <w:jc w:val="right"/>
            </w:pPr>
            <w:r>
              <w:rPr>
                <w:rFonts w:eastAsiaTheme="minorEastAsia"/>
                <w:color w:val="000000" w:themeColor="text1"/>
                <w:szCs w:val="21"/>
              </w:rPr>
              <w:t>0.32%</w:t>
            </w:r>
          </w:p>
        </w:tc>
      </w:tr>
      <w:tr w:rsidR="00BD4C32">
        <w:tc>
          <w:tcPr>
            <w:tcW w:w="1290" w:type="dxa"/>
            <w:vAlign w:val="center"/>
          </w:tcPr>
          <w:p w:rsidR="00BD4C32" w:rsidRDefault="00627DB7">
            <w:pPr>
              <w:jc w:val="left"/>
            </w:pPr>
            <w:r>
              <w:rPr>
                <w:rFonts w:eastAsiaTheme="minorEastAsia"/>
                <w:color w:val="000000" w:themeColor="text1"/>
                <w:szCs w:val="21"/>
              </w:rPr>
              <w:t>过去三年</w:t>
            </w:r>
          </w:p>
        </w:tc>
        <w:tc>
          <w:tcPr>
            <w:tcW w:w="1291" w:type="dxa"/>
            <w:vAlign w:val="center"/>
          </w:tcPr>
          <w:p w:rsidR="00BD4C32" w:rsidRDefault="00627DB7">
            <w:pPr>
              <w:jc w:val="right"/>
            </w:pPr>
            <w:r>
              <w:rPr>
                <w:rFonts w:eastAsiaTheme="minorEastAsia"/>
                <w:color w:val="000000" w:themeColor="text1"/>
                <w:szCs w:val="21"/>
              </w:rPr>
              <w:t>14.78%</w:t>
            </w:r>
          </w:p>
        </w:tc>
        <w:tc>
          <w:tcPr>
            <w:tcW w:w="1291" w:type="dxa"/>
            <w:vAlign w:val="center"/>
          </w:tcPr>
          <w:p w:rsidR="00BD4C32" w:rsidRDefault="00627DB7">
            <w:pPr>
              <w:jc w:val="right"/>
            </w:pPr>
            <w:r>
              <w:rPr>
                <w:rFonts w:eastAsiaTheme="minorEastAsia"/>
                <w:color w:val="000000" w:themeColor="text1"/>
                <w:szCs w:val="21"/>
              </w:rPr>
              <w:t>0.27%</w:t>
            </w:r>
          </w:p>
        </w:tc>
        <w:tc>
          <w:tcPr>
            <w:tcW w:w="1291" w:type="dxa"/>
            <w:vAlign w:val="center"/>
          </w:tcPr>
          <w:p w:rsidR="00BD4C32" w:rsidRDefault="00627DB7">
            <w:pPr>
              <w:jc w:val="right"/>
            </w:pPr>
            <w:r>
              <w:rPr>
                <w:rFonts w:eastAsiaTheme="minorEastAsia"/>
                <w:color w:val="000000" w:themeColor="text1"/>
                <w:szCs w:val="21"/>
              </w:rPr>
              <w:t>7.37%</w:t>
            </w:r>
          </w:p>
        </w:tc>
        <w:tc>
          <w:tcPr>
            <w:tcW w:w="1291" w:type="dxa"/>
            <w:vAlign w:val="center"/>
          </w:tcPr>
          <w:p w:rsidR="00BD4C32" w:rsidRDefault="00627DB7">
            <w:pPr>
              <w:jc w:val="right"/>
            </w:pPr>
            <w:r>
              <w:rPr>
                <w:rFonts w:eastAsiaTheme="minorEastAsia"/>
                <w:color w:val="000000" w:themeColor="text1"/>
                <w:szCs w:val="21"/>
              </w:rPr>
              <w:t>0.01%</w:t>
            </w:r>
          </w:p>
        </w:tc>
        <w:tc>
          <w:tcPr>
            <w:tcW w:w="1291" w:type="dxa"/>
            <w:vAlign w:val="center"/>
          </w:tcPr>
          <w:p w:rsidR="00BD4C32" w:rsidRDefault="00627DB7">
            <w:pPr>
              <w:jc w:val="right"/>
            </w:pPr>
            <w:r>
              <w:rPr>
                <w:rFonts w:eastAsiaTheme="minorEastAsia"/>
                <w:color w:val="000000" w:themeColor="text1"/>
                <w:szCs w:val="21"/>
              </w:rPr>
              <w:t>7.41%</w:t>
            </w:r>
          </w:p>
        </w:tc>
        <w:tc>
          <w:tcPr>
            <w:tcW w:w="1291" w:type="dxa"/>
            <w:vAlign w:val="center"/>
          </w:tcPr>
          <w:p w:rsidR="00BD4C32" w:rsidRDefault="00627DB7">
            <w:pPr>
              <w:jc w:val="right"/>
            </w:pPr>
            <w:r>
              <w:rPr>
                <w:rFonts w:eastAsiaTheme="minorEastAsia"/>
                <w:color w:val="000000" w:themeColor="text1"/>
                <w:szCs w:val="21"/>
              </w:rPr>
              <w:t>0.26%</w:t>
            </w:r>
          </w:p>
        </w:tc>
      </w:tr>
      <w:tr w:rsidR="00BD4C32">
        <w:tc>
          <w:tcPr>
            <w:tcW w:w="1290" w:type="dxa"/>
            <w:vAlign w:val="center"/>
          </w:tcPr>
          <w:p w:rsidR="00BD4C32" w:rsidRDefault="00627DB7">
            <w:pPr>
              <w:jc w:val="left"/>
            </w:pPr>
            <w:r>
              <w:rPr>
                <w:rFonts w:eastAsiaTheme="minorEastAsia"/>
                <w:color w:val="000000" w:themeColor="text1"/>
                <w:szCs w:val="21"/>
              </w:rPr>
              <w:t>过去五年</w:t>
            </w:r>
          </w:p>
        </w:tc>
        <w:tc>
          <w:tcPr>
            <w:tcW w:w="1291" w:type="dxa"/>
            <w:vAlign w:val="center"/>
          </w:tcPr>
          <w:p w:rsidR="00BD4C32" w:rsidRDefault="00627DB7">
            <w:pPr>
              <w:jc w:val="right"/>
            </w:pPr>
            <w:r>
              <w:rPr>
                <w:rFonts w:eastAsiaTheme="minorEastAsia"/>
                <w:color w:val="000000" w:themeColor="text1"/>
                <w:szCs w:val="21"/>
              </w:rPr>
              <w:t>17.93%</w:t>
            </w:r>
          </w:p>
        </w:tc>
        <w:tc>
          <w:tcPr>
            <w:tcW w:w="1291" w:type="dxa"/>
            <w:vAlign w:val="center"/>
          </w:tcPr>
          <w:p w:rsidR="00BD4C32" w:rsidRDefault="00627DB7">
            <w:pPr>
              <w:jc w:val="right"/>
            </w:pPr>
            <w:r>
              <w:rPr>
                <w:rFonts w:eastAsiaTheme="minorEastAsia"/>
                <w:color w:val="000000" w:themeColor="text1"/>
                <w:szCs w:val="21"/>
              </w:rPr>
              <w:t>0.22%</w:t>
            </w:r>
          </w:p>
        </w:tc>
        <w:tc>
          <w:tcPr>
            <w:tcW w:w="1291" w:type="dxa"/>
            <w:vAlign w:val="center"/>
          </w:tcPr>
          <w:p w:rsidR="00BD4C32" w:rsidRDefault="00627DB7">
            <w:pPr>
              <w:jc w:val="right"/>
            </w:pPr>
            <w:r>
              <w:rPr>
                <w:rFonts w:eastAsiaTheme="minorEastAsia"/>
                <w:color w:val="000000" w:themeColor="text1"/>
                <w:szCs w:val="21"/>
              </w:rPr>
              <w:t>12.44%</w:t>
            </w:r>
          </w:p>
        </w:tc>
        <w:tc>
          <w:tcPr>
            <w:tcW w:w="1291" w:type="dxa"/>
            <w:vAlign w:val="center"/>
          </w:tcPr>
          <w:p w:rsidR="00BD4C32" w:rsidRDefault="00627DB7">
            <w:pPr>
              <w:jc w:val="right"/>
            </w:pPr>
            <w:r>
              <w:rPr>
                <w:rFonts w:eastAsiaTheme="minorEastAsia"/>
                <w:color w:val="000000" w:themeColor="text1"/>
                <w:szCs w:val="21"/>
              </w:rPr>
              <w:t>0.01%</w:t>
            </w:r>
          </w:p>
        </w:tc>
        <w:tc>
          <w:tcPr>
            <w:tcW w:w="1291" w:type="dxa"/>
            <w:vAlign w:val="center"/>
          </w:tcPr>
          <w:p w:rsidR="00BD4C32" w:rsidRDefault="00627DB7">
            <w:pPr>
              <w:jc w:val="right"/>
            </w:pPr>
            <w:r>
              <w:rPr>
                <w:rFonts w:eastAsiaTheme="minorEastAsia"/>
                <w:color w:val="000000" w:themeColor="text1"/>
                <w:szCs w:val="21"/>
              </w:rPr>
              <w:t>5.49%</w:t>
            </w:r>
          </w:p>
        </w:tc>
        <w:tc>
          <w:tcPr>
            <w:tcW w:w="1291" w:type="dxa"/>
            <w:vAlign w:val="center"/>
          </w:tcPr>
          <w:p w:rsidR="00BD4C32" w:rsidRDefault="00627DB7">
            <w:pPr>
              <w:jc w:val="right"/>
            </w:pPr>
            <w:r>
              <w:rPr>
                <w:rFonts w:eastAsiaTheme="minorEastAsia"/>
                <w:color w:val="000000" w:themeColor="text1"/>
                <w:szCs w:val="21"/>
              </w:rPr>
              <w:t>0.21%</w:t>
            </w:r>
          </w:p>
        </w:tc>
      </w:tr>
      <w:tr w:rsidR="00BD4C32">
        <w:tc>
          <w:tcPr>
            <w:tcW w:w="1290" w:type="dxa"/>
            <w:vAlign w:val="center"/>
          </w:tcPr>
          <w:p w:rsidR="00BD4C32" w:rsidRDefault="00627DB7">
            <w:pPr>
              <w:jc w:val="left"/>
            </w:pPr>
            <w:r>
              <w:rPr>
                <w:rFonts w:eastAsiaTheme="minorEastAsia"/>
                <w:color w:val="000000" w:themeColor="text1"/>
                <w:szCs w:val="21"/>
              </w:rPr>
              <w:t>自基金合同生效起至今</w:t>
            </w:r>
          </w:p>
        </w:tc>
        <w:tc>
          <w:tcPr>
            <w:tcW w:w="1291" w:type="dxa"/>
            <w:vAlign w:val="center"/>
          </w:tcPr>
          <w:p w:rsidR="00BD4C32" w:rsidRDefault="00627DB7">
            <w:pPr>
              <w:jc w:val="right"/>
            </w:pPr>
            <w:r>
              <w:rPr>
                <w:rFonts w:eastAsiaTheme="minorEastAsia"/>
                <w:color w:val="000000" w:themeColor="text1"/>
                <w:szCs w:val="21"/>
              </w:rPr>
              <w:t>18.05%</w:t>
            </w:r>
          </w:p>
        </w:tc>
        <w:tc>
          <w:tcPr>
            <w:tcW w:w="1291" w:type="dxa"/>
            <w:vAlign w:val="center"/>
          </w:tcPr>
          <w:p w:rsidR="00BD4C32" w:rsidRDefault="00627DB7">
            <w:pPr>
              <w:jc w:val="right"/>
            </w:pPr>
            <w:r>
              <w:rPr>
                <w:rFonts w:eastAsiaTheme="minorEastAsia"/>
                <w:color w:val="000000" w:themeColor="text1"/>
                <w:szCs w:val="21"/>
              </w:rPr>
              <w:t>0.22%</w:t>
            </w:r>
          </w:p>
        </w:tc>
        <w:tc>
          <w:tcPr>
            <w:tcW w:w="1291" w:type="dxa"/>
            <w:vAlign w:val="center"/>
          </w:tcPr>
          <w:p w:rsidR="00BD4C32" w:rsidRDefault="00627DB7">
            <w:pPr>
              <w:jc w:val="right"/>
            </w:pPr>
            <w:r>
              <w:rPr>
                <w:rFonts w:eastAsiaTheme="minorEastAsia"/>
                <w:color w:val="000000" w:themeColor="text1"/>
                <w:szCs w:val="21"/>
              </w:rPr>
              <w:t>12.83%</w:t>
            </w:r>
          </w:p>
        </w:tc>
        <w:tc>
          <w:tcPr>
            <w:tcW w:w="1291" w:type="dxa"/>
            <w:vAlign w:val="center"/>
          </w:tcPr>
          <w:p w:rsidR="00BD4C32" w:rsidRDefault="00627DB7">
            <w:pPr>
              <w:jc w:val="right"/>
            </w:pPr>
            <w:r>
              <w:rPr>
                <w:rFonts w:eastAsiaTheme="minorEastAsia"/>
                <w:color w:val="000000" w:themeColor="text1"/>
                <w:szCs w:val="21"/>
              </w:rPr>
              <w:t>0.01%</w:t>
            </w:r>
          </w:p>
        </w:tc>
        <w:tc>
          <w:tcPr>
            <w:tcW w:w="1291" w:type="dxa"/>
            <w:vAlign w:val="center"/>
          </w:tcPr>
          <w:p w:rsidR="00BD4C32" w:rsidRDefault="00627DB7">
            <w:pPr>
              <w:jc w:val="right"/>
            </w:pPr>
            <w:r>
              <w:rPr>
                <w:rFonts w:eastAsiaTheme="minorEastAsia"/>
                <w:color w:val="000000" w:themeColor="text1"/>
                <w:szCs w:val="21"/>
              </w:rPr>
              <w:t>5.22%</w:t>
            </w:r>
          </w:p>
        </w:tc>
        <w:tc>
          <w:tcPr>
            <w:tcW w:w="1291" w:type="dxa"/>
            <w:vAlign w:val="center"/>
          </w:tcPr>
          <w:p w:rsidR="00BD4C32" w:rsidRDefault="00627DB7">
            <w:pPr>
              <w:jc w:val="right"/>
            </w:pPr>
            <w:r>
              <w:rPr>
                <w:rFonts w:eastAsiaTheme="minorEastAsia"/>
                <w:color w:val="000000" w:themeColor="text1"/>
                <w:szCs w:val="21"/>
              </w:rPr>
              <w:t>0.21%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w:t>
      </w:r>
      <w:r w:rsidRPr="00B27A29">
        <w:rPr>
          <w:rFonts w:eastAsiaTheme="minorEastAsia"/>
          <w:b/>
          <w:color w:val="000000" w:themeColor="text1"/>
          <w:szCs w:val="21"/>
        </w:rPr>
        <w:lastRenderedPageBreak/>
        <w:t>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上投摩根安鑫回报混合型证券投资基金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(2016</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．上投摩根安鑫回报混合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日，本基金运作终止日为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日，图示的时间段为合同生效日至本基金运作终止日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．上投摩根安鑫回报混合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日，本基金运作终止日为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日，图示的时间段为合同生效日至本基金运作终止日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D4C32">
        <w:tc>
          <w:tcPr>
            <w:tcW w:w="952" w:type="dxa"/>
            <w:vAlign w:val="center"/>
          </w:tcPr>
          <w:p w:rsidR="00BD4C32" w:rsidRDefault="00627DB7">
            <w:pPr>
              <w:jc w:val="center"/>
            </w:pPr>
            <w:r>
              <w:rPr>
                <w:rFonts w:eastAsiaTheme="minorEastAsia"/>
                <w:color w:val="000000" w:themeColor="text1"/>
                <w:szCs w:val="21"/>
              </w:rPr>
              <w:t>杨鑫</w:t>
            </w:r>
          </w:p>
        </w:tc>
        <w:tc>
          <w:tcPr>
            <w:tcW w:w="930" w:type="dxa"/>
            <w:vAlign w:val="center"/>
          </w:tcPr>
          <w:p w:rsidR="00BD4C32" w:rsidRDefault="00627DB7">
            <w:pPr>
              <w:jc w:val="center"/>
            </w:pPr>
            <w:r>
              <w:rPr>
                <w:rFonts w:eastAsiaTheme="minorEastAsia"/>
                <w:color w:val="000000" w:themeColor="text1"/>
                <w:szCs w:val="21"/>
              </w:rPr>
              <w:t>本基金基金经理</w:t>
            </w:r>
          </w:p>
        </w:tc>
        <w:tc>
          <w:tcPr>
            <w:tcW w:w="1210" w:type="dxa"/>
            <w:vAlign w:val="center"/>
          </w:tcPr>
          <w:p w:rsidR="00BD4C32" w:rsidRDefault="00627DB7">
            <w:pPr>
              <w:jc w:val="center"/>
            </w:pPr>
            <w:r>
              <w:rPr>
                <w:rFonts w:eastAsiaTheme="minorEastAsia"/>
                <w:color w:val="000000" w:themeColor="text1"/>
                <w:szCs w:val="21"/>
              </w:rPr>
              <w:t>2020-07-24</w:t>
            </w:r>
          </w:p>
        </w:tc>
        <w:tc>
          <w:tcPr>
            <w:tcW w:w="1309" w:type="dxa"/>
            <w:vAlign w:val="center"/>
          </w:tcPr>
          <w:p w:rsidR="00BD4C32" w:rsidRDefault="00627DB7">
            <w:pPr>
              <w:jc w:val="center"/>
            </w:pPr>
            <w:r>
              <w:rPr>
                <w:rFonts w:eastAsiaTheme="minorEastAsia"/>
                <w:color w:val="000000" w:themeColor="text1"/>
                <w:szCs w:val="21"/>
              </w:rPr>
              <w:t>-</w:t>
            </w:r>
          </w:p>
        </w:tc>
        <w:tc>
          <w:tcPr>
            <w:tcW w:w="1254" w:type="dxa"/>
            <w:vAlign w:val="center"/>
          </w:tcPr>
          <w:p w:rsidR="00BD4C32" w:rsidRDefault="00627DB7">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BD4C32" w:rsidRDefault="00627DB7">
            <w:r>
              <w:rPr>
                <w:rFonts w:eastAsiaTheme="minorEastAsia"/>
                <w:color w:val="000000" w:themeColor="text1"/>
                <w:szCs w:val="21"/>
              </w:rPr>
              <w:t>杨鑫先生，上海交通大学硕士，现任债券投资部副总监兼资深基金经理。杨鑫先生自</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月，在东航财务公司任职；</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月，在银河基金管理有限公司历任债券研究员、固定收益部债券经理、固定收益部基金经理；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月，在富国基金管理有限公司拟任基金经理；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w:t>
            </w:r>
            <w:r>
              <w:rPr>
                <w:rFonts w:eastAsiaTheme="minorEastAsia"/>
                <w:color w:val="000000" w:themeColor="text1"/>
                <w:szCs w:val="21"/>
              </w:rPr>
              <w:lastRenderedPageBreak/>
              <w:t>有限公司，历任专户投资二部副总监兼资深投资经理，现任债券投资部副总监兼资深基金经理。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月担任上投摩根优信增利债券型证券投资基金基金经理，自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月担任上投摩根分红添利债券型证券投资基金基金经理，自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月担任上投摩根双债增利债券型证券投资基金，自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月起同时担任上投摩根安丰回报混合型证券投资基金基金经理，自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w:t>
            </w:r>
            <w:r>
              <w:rPr>
                <w:rFonts w:eastAsiaTheme="minorEastAsia"/>
                <w:color w:val="000000" w:themeColor="text1"/>
                <w:szCs w:val="21"/>
              </w:rPr>
              <w:t>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月起同时担任上投摩根安通回报混合型证券投资基金基金经理。</w:t>
            </w:r>
          </w:p>
        </w:tc>
      </w:tr>
    </w:tbl>
    <w:p w:rsidR="00BD4C32" w:rsidRDefault="00627DB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鑫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w:t>
      </w:r>
      <w:r>
        <w:rPr>
          <w:rFonts w:eastAsiaTheme="minorEastAsia"/>
          <w:color w:val="000000" w:themeColor="text1"/>
          <w:szCs w:val="21"/>
        </w:rPr>
        <w:t>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年第三季度，上半年以来的经济复苏的势头有所放缓，经济数据掉头向下。工业增加值低于预期，地产销售面积同比、新开工面积同比继续走弱。社零数据方面，受</w:t>
      </w:r>
      <w:r>
        <w:rPr>
          <w:rFonts w:eastAsiaTheme="minorEastAsia"/>
          <w:color w:val="000000" w:themeColor="text1"/>
          <w:szCs w:val="21"/>
        </w:rPr>
        <w:t>7</w:t>
      </w:r>
      <w:r>
        <w:rPr>
          <w:rFonts w:eastAsiaTheme="minorEastAsia"/>
          <w:color w:val="000000" w:themeColor="text1"/>
          <w:szCs w:val="21"/>
        </w:rPr>
        <w:t>月下旬以来的疫情冲击，餐饮消费拖累明显，商品零售除部分可选品以外，大部分商品的同比增速均下行。</w:t>
      </w:r>
      <w:r>
        <w:rPr>
          <w:rFonts w:eastAsiaTheme="minorEastAsia"/>
          <w:color w:val="000000" w:themeColor="text1"/>
          <w:szCs w:val="21"/>
        </w:rPr>
        <w:t>PPI</w:t>
      </w:r>
      <w:r>
        <w:rPr>
          <w:rFonts w:eastAsiaTheme="minorEastAsia"/>
          <w:color w:val="000000" w:themeColor="text1"/>
          <w:szCs w:val="21"/>
        </w:rPr>
        <w:t>继续上行，中下游行业的利润继续受到挤压。</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海外市场方面，美联储逐渐进入宽松政策退出期。美国</w:t>
      </w:r>
      <w:r>
        <w:rPr>
          <w:rFonts w:eastAsiaTheme="minorEastAsia"/>
          <w:color w:val="000000" w:themeColor="text1"/>
          <w:szCs w:val="21"/>
        </w:rPr>
        <w:t>10</w:t>
      </w:r>
      <w:r>
        <w:rPr>
          <w:rFonts w:eastAsiaTheme="minorEastAsia"/>
          <w:color w:val="000000" w:themeColor="text1"/>
          <w:szCs w:val="21"/>
        </w:rPr>
        <w:t>年期国债收益率从</w:t>
      </w:r>
      <w:r>
        <w:rPr>
          <w:rFonts w:eastAsiaTheme="minorEastAsia"/>
          <w:color w:val="000000" w:themeColor="text1"/>
          <w:szCs w:val="21"/>
        </w:rPr>
        <w:t>1.2%</w:t>
      </w:r>
      <w:r>
        <w:rPr>
          <w:rFonts w:eastAsiaTheme="minorEastAsia"/>
          <w:color w:val="000000" w:themeColor="text1"/>
          <w:szCs w:val="21"/>
        </w:rPr>
        <w:t>上行至</w:t>
      </w:r>
      <w:r>
        <w:rPr>
          <w:rFonts w:eastAsiaTheme="minorEastAsia"/>
          <w:color w:val="000000" w:themeColor="text1"/>
          <w:szCs w:val="21"/>
        </w:rPr>
        <w:t>1.6%</w:t>
      </w:r>
      <w:r>
        <w:rPr>
          <w:rFonts w:eastAsiaTheme="minorEastAsia"/>
          <w:color w:val="000000" w:themeColor="text1"/>
          <w:szCs w:val="21"/>
        </w:rPr>
        <w:t>。美股走势区间震荡，但从</w:t>
      </w:r>
      <w:r>
        <w:rPr>
          <w:rFonts w:eastAsiaTheme="minorEastAsia"/>
          <w:color w:val="000000" w:themeColor="text1"/>
          <w:szCs w:val="21"/>
        </w:rPr>
        <w:t>9</w:t>
      </w:r>
      <w:r>
        <w:rPr>
          <w:rFonts w:eastAsiaTheme="minorEastAsia"/>
          <w:color w:val="000000" w:themeColor="text1"/>
          <w:szCs w:val="21"/>
        </w:rPr>
        <w:t>月初开始均进入调整。</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货币政策方面，除</w:t>
      </w:r>
      <w:r>
        <w:rPr>
          <w:rFonts w:eastAsiaTheme="minorEastAsia"/>
          <w:color w:val="000000" w:themeColor="text1"/>
          <w:szCs w:val="21"/>
        </w:rPr>
        <w:t>7</w:t>
      </w:r>
      <w:r>
        <w:rPr>
          <w:rFonts w:eastAsiaTheme="minorEastAsia"/>
          <w:color w:val="000000" w:themeColor="text1"/>
          <w:szCs w:val="21"/>
        </w:rPr>
        <w:t>月份超预期对中小型机构降准</w:t>
      </w:r>
      <w:r>
        <w:rPr>
          <w:rFonts w:eastAsiaTheme="minorEastAsia"/>
          <w:color w:val="000000" w:themeColor="text1"/>
          <w:szCs w:val="21"/>
        </w:rPr>
        <w:t>50bp</w:t>
      </w:r>
      <w:r>
        <w:rPr>
          <w:rFonts w:eastAsiaTheme="minorEastAsia"/>
          <w:color w:val="000000" w:themeColor="text1"/>
          <w:szCs w:val="21"/>
        </w:rPr>
        <w:t>以外，总体上央行操作保持稳定。资金利率较前一季度小幅上行，季末资金紧张程度高于前两个季度。</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股票市场方面，各大指数分化较大，整体波动加大。</w:t>
      </w:r>
      <w:r>
        <w:rPr>
          <w:rFonts w:eastAsiaTheme="minorEastAsia"/>
          <w:color w:val="000000" w:themeColor="text1"/>
          <w:szCs w:val="21"/>
        </w:rPr>
        <w:t>7</w:t>
      </w:r>
      <w:r>
        <w:rPr>
          <w:rFonts w:eastAsiaTheme="minorEastAsia"/>
          <w:color w:val="000000" w:themeColor="text1"/>
          <w:szCs w:val="21"/>
        </w:rPr>
        <w:t>月份，以茅台为代表的大消费股票快速下跌，当月跌幅接近</w:t>
      </w:r>
      <w:r>
        <w:rPr>
          <w:rFonts w:eastAsiaTheme="minorEastAsia"/>
          <w:color w:val="000000" w:themeColor="text1"/>
          <w:szCs w:val="21"/>
        </w:rPr>
        <w:t>30%</w:t>
      </w:r>
      <w:r>
        <w:rPr>
          <w:rFonts w:eastAsiaTheme="minorEastAsia"/>
          <w:color w:val="000000" w:themeColor="text1"/>
          <w:szCs w:val="21"/>
        </w:rPr>
        <w:t>。背后原因除了海外中概股大跌外，半年报出炉后，新能源持仓的快速上升，导致了欠配新能源的机构不计成本地调仓。然而，锂电在基本面</w:t>
      </w:r>
      <w:r>
        <w:rPr>
          <w:rFonts w:eastAsiaTheme="minorEastAsia"/>
          <w:color w:val="000000" w:themeColor="text1"/>
          <w:szCs w:val="21"/>
        </w:rPr>
        <w:t>持续向好的情况下，并未能走出新一轮行情，反而进入了盘整。另一方面，大宗原材料的快速涨价，导致钢铁、煤炭、化工等传统周期股大涨，但</w:t>
      </w:r>
      <w:r>
        <w:rPr>
          <w:rFonts w:eastAsiaTheme="minorEastAsia"/>
          <w:color w:val="000000" w:themeColor="text1"/>
          <w:szCs w:val="21"/>
        </w:rPr>
        <w:t>9</w:t>
      </w:r>
      <w:r>
        <w:rPr>
          <w:rFonts w:eastAsiaTheme="minorEastAsia"/>
          <w:color w:val="000000" w:themeColor="text1"/>
          <w:szCs w:val="21"/>
        </w:rPr>
        <w:t>月初，</w:t>
      </w:r>
      <w:r>
        <w:rPr>
          <w:rFonts w:eastAsiaTheme="minorEastAsia"/>
          <w:color w:val="000000" w:themeColor="text1"/>
          <w:szCs w:val="21"/>
        </w:rPr>
        <w:t>“</w:t>
      </w:r>
      <w:r>
        <w:rPr>
          <w:rFonts w:eastAsiaTheme="minorEastAsia"/>
          <w:color w:val="000000" w:themeColor="text1"/>
          <w:szCs w:val="21"/>
        </w:rPr>
        <w:t>限电</w:t>
      </w:r>
      <w:r>
        <w:rPr>
          <w:rFonts w:eastAsiaTheme="minorEastAsia"/>
          <w:color w:val="000000" w:themeColor="text1"/>
          <w:szCs w:val="21"/>
        </w:rPr>
        <w:t>”</w:t>
      </w:r>
      <w:r>
        <w:rPr>
          <w:rFonts w:eastAsiaTheme="minorEastAsia"/>
          <w:color w:val="000000" w:themeColor="text1"/>
          <w:szCs w:val="21"/>
        </w:rPr>
        <w:t>导致的有价无量，使得周期股的涨价利好变利空，随即展开快速下跌，短时间跌幅达</w:t>
      </w:r>
      <w:r>
        <w:rPr>
          <w:rFonts w:eastAsiaTheme="minorEastAsia"/>
          <w:color w:val="000000" w:themeColor="text1"/>
          <w:szCs w:val="21"/>
        </w:rPr>
        <w:t>30%</w:t>
      </w:r>
      <w:r>
        <w:rPr>
          <w:rFonts w:eastAsiaTheme="minorEastAsia"/>
          <w:color w:val="000000" w:themeColor="text1"/>
          <w:szCs w:val="21"/>
        </w:rPr>
        <w:t>。部分资金流向消费行业。其间，以绿色电力为主题，公用事业板块中的电力股受到了资金的炒作。</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债券市场方面，国债和地方专项债发行明显加速，债券供给压力较大。债券收益率曲线基本保持牛陡态势，其中国开债收益率曲线的牛陡态势更为明确。</w:t>
      </w:r>
      <w:r>
        <w:rPr>
          <w:rFonts w:eastAsiaTheme="minorEastAsia"/>
          <w:color w:val="000000" w:themeColor="text1"/>
          <w:szCs w:val="21"/>
        </w:rPr>
        <w:t>10</w:t>
      </w:r>
      <w:r>
        <w:rPr>
          <w:rFonts w:eastAsiaTheme="minorEastAsia"/>
          <w:color w:val="000000" w:themeColor="text1"/>
          <w:szCs w:val="21"/>
        </w:rPr>
        <w:t>年期国债和</w:t>
      </w:r>
      <w:r>
        <w:rPr>
          <w:rFonts w:eastAsiaTheme="minorEastAsia"/>
          <w:color w:val="000000" w:themeColor="text1"/>
          <w:szCs w:val="21"/>
        </w:rPr>
        <w:t>10</w:t>
      </w:r>
      <w:r>
        <w:rPr>
          <w:rFonts w:eastAsiaTheme="minorEastAsia"/>
          <w:color w:val="000000" w:themeColor="text1"/>
          <w:szCs w:val="21"/>
        </w:rPr>
        <w:t>年期国开债收益率分别下行</w:t>
      </w:r>
      <w:r>
        <w:rPr>
          <w:rFonts w:eastAsiaTheme="minorEastAsia"/>
          <w:color w:val="000000" w:themeColor="text1"/>
          <w:szCs w:val="21"/>
        </w:rPr>
        <w:t>20bp</w:t>
      </w:r>
      <w:r>
        <w:rPr>
          <w:rFonts w:eastAsiaTheme="minorEastAsia"/>
          <w:color w:val="000000" w:themeColor="text1"/>
          <w:szCs w:val="21"/>
        </w:rPr>
        <w:t>和</w:t>
      </w:r>
      <w:r>
        <w:rPr>
          <w:rFonts w:eastAsiaTheme="minorEastAsia"/>
          <w:color w:val="000000" w:themeColor="text1"/>
          <w:szCs w:val="21"/>
        </w:rPr>
        <w:t>29bp</w:t>
      </w:r>
      <w:r>
        <w:rPr>
          <w:rFonts w:eastAsiaTheme="minorEastAsia"/>
          <w:color w:val="000000" w:themeColor="text1"/>
          <w:szCs w:val="21"/>
        </w:rPr>
        <w:t>至</w:t>
      </w:r>
      <w:r>
        <w:rPr>
          <w:rFonts w:eastAsiaTheme="minorEastAsia"/>
          <w:color w:val="000000" w:themeColor="text1"/>
          <w:szCs w:val="21"/>
        </w:rPr>
        <w:t>2</w:t>
      </w:r>
      <w:r>
        <w:rPr>
          <w:rFonts w:eastAsiaTheme="minorEastAsia"/>
          <w:color w:val="000000" w:themeColor="text1"/>
          <w:szCs w:val="21"/>
        </w:rPr>
        <w:t>.88%</w:t>
      </w:r>
      <w:r>
        <w:rPr>
          <w:rFonts w:eastAsiaTheme="minorEastAsia"/>
          <w:color w:val="000000" w:themeColor="text1"/>
          <w:szCs w:val="21"/>
        </w:rPr>
        <w:t>和</w:t>
      </w:r>
      <w:r>
        <w:rPr>
          <w:rFonts w:eastAsiaTheme="minorEastAsia"/>
          <w:color w:val="000000" w:themeColor="text1"/>
          <w:szCs w:val="21"/>
        </w:rPr>
        <w:t>3.2%</w:t>
      </w:r>
      <w:r>
        <w:rPr>
          <w:rFonts w:eastAsiaTheme="minorEastAsia"/>
          <w:color w:val="000000" w:themeColor="text1"/>
          <w:szCs w:val="21"/>
        </w:rPr>
        <w:t>。</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展望未来，美国缩减量化宽松在即，美国国债收益率的上行趋势较为确定，可能会给国内债市收益率短期带来一定的上行推力。国内流动性难以收紧，但</w:t>
      </w:r>
      <w:r>
        <w:rPr>
          <w:rFonts w:eastAsiaTheme="minorEastAsia"/>
          <w:color w:val="000000" w:themeColor="text1"/>
          <w:szCs w:val="21"/>
        </w:rPr>
        <w:t>PPI</w:t>
      </w:r>
      <w:r>
        <w:rPr>
          <w:rFonts w:eastAsiaTheme="minorEastAsia"/>
          <w:color w:val="000000" w:themeColor="text1"/>
          <w:szCs w:val="21"/>
        </w:rPr>
        <w:t>高位使得通胀压力短期难以化解。因此，债券投资将保持中性偏谨慎的策略，若收益率有明显调整，可能带来较好的配置机会。股市成交量有所萎缩，特别是量化高频资金的扰动，使得日内轮动和波动明显放大。拉长来看，以锂电为代表的高景气行业，有望通过高成长来化解估值的压力；同时，价值股也有望因防御性受到青睐。未来权益部位的行业配置均衡，个股合理分散。</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本基金将继续保持当前的组合配置，力争为组合提供稳健的超盈收益。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本报告期上投摩根安鑫回报混合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:-0.84%</w:t>
      </w:r>
      <w:r>
        <w:rPr>
          <w:rFonts w:eastAsiaTheme="minorEastAsia"/>
          <w:color w:val="000000" w:themeColor="text1"/>
          <w:szCs w:val="21"/>
        </w:rPr>
        <w:t>，同期业绩比较基准收益率为</w:t>
      </w:r>
      <w:r>
        <w:rPr>
          <w:rFonts w:eastAsiaTheme="minorEastAsia"/>
          <w:color w:val="000000" w:themeColor="text1"/>
          <w:szCs w:val="21"/>
        </w:rPr>
        <w:t>:0.40%,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:-0.93%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:0.40%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BD4C32" w:rsidRDefault="00627DB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本基金运作终止日</w:t>
      </w: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9,628,013.60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82.47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9,628,013.60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82.47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1,857,034.21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189,926.02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11,674,973.83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2,664,219.00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2,636,160.00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22.67</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2,636,160.00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4,327,634.60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37.21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9,628,013.60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82.79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BD4C32">
        <w:tc>
          <w:tcPr>
            <w:tcW w:w="1504" w:type="dxa"/>
            <w:vAlign w:val="center"/>
          </w:tcPr>
          <w:p w:rsidR="00BD4C32" w:rsidRDefault="00627DB7">
            <w:pPr>
              <w:jc w:val="center"/>
            </w:pPr>
            <w:r>
              <w:rPr>
                <w:rFonts w:eastAsiaTheme="minorEastAsia"/>
                <w:color w:val="000000" w:themeColor="text1"/>
                <w:szCs w:val="21"/>
              </w:rPr>
              <w:t>1</w:t>
            </w:r>
          </w:p>
        </w:tc>
        <w:tc>
          <w:tcPr>
            <w:tcW w:w="1504" w:type="dxa"/>
            <w:vAlign w:val="center"/>
          </w:tcPr>
          <w:p w:rsidR="00BD4C32" w:rsidRDefault="00627DB7">
            <w:pPr>
              <w:jc w:val="center"/>
            </w:pPr>
            <w:r>
              <w:rPr>
                <w:rFonts w:eastAsiaTheme="minorEastAsia"/>
                <w:color w:val="000000" w:themeColor="text1"/>
                <w:szCs w:val="21"/>
              </w:rPr>
              <w:t>010303</w:t>
            </w:r>
          </w:p>
        </w:tc>
        <w:tc>
          <w:tcPr>
            <w:tcW w:w="1504" w:type="dxa"/>
            <w:vAlign w:val="center"/>
          </w:tcPr>
          <w:p w:rsidR="00BD4C32" w:rsidRDefault="00627DB7">
            <w:pPr>
              <w:jc w:val="center"/>
            </w:pPr>
            <w:r>
              <w:rPr>
                <w:rFonts w:eastAsiaTheme="minorEastAsia"/>
                <w:color w:val="000000" w:themeColor="text1"/>
                <w:szCs w:val="21"/>
              </w:rPr>
              <w:t>03</w:t>
            </w:r>
            <w:r>
              <w:rPr>
                <w:rFonts w:eastAsiaTheme="minorEastAsia"/>
                <w:color w:val="000000" w:themeColor="text1"/>
                <w:szCs w:val="21"/>
              </w:rPr>
              <w:t>国债</w:t>
            </w:r>
            <w:r>
              <w:rPr>
                <w:rFonts w:eastAsiaTheme="minorEastAsia"/>
                <w:color w:val="000000" w:themeColor="text1"/>
                <w:szCs w:val="21"/>
              </w:rPr>
              <w:t>⑶</w:t>
            </w:r>
          </w:p>
        </w:tc>
        <w:tc>
          <w:tcPr>
            <w:tcW w:w="1503" w:type="dxa"/>
            <w:vAlign w:val="center"/>
          </w:tcPr>
          <w:p w:rsidR="00BD4C32" w:rsidRDefault="00627DB7">
            <w:pPr>
              <w:jc w:val="right"/>
            </w:pPr>
            <w:r>
              <w:rPr>
                <w:rFonts w:eastAsiaTheme="minorEastAsia"/>
                <w:color w:val="000000" w:themeColor="text1"/>
                <w:szCs w:val="21"/>
              </w:rPr>
              <w:t>20,000</w:t>
            </w:r>
          </w:p>
        </w:tc>
        <w:tc>
          <w:tcPr>
            <w:tcW w:w="1503" w:type="dxa"/>
            <w:vAlign w:val="center"/>
          </w:tcPr>
          <w:p w:rsidR="00BD4C32" w:rsidRDefault="00627DB7">
            <w:pPr>
              <w:jc w:val="right"/>
            </w:pPr>
            <w:r>
              <w:rPr>
                <w:rFonts w:eastAsiaTheme="minorEastAsia"/>
                <w:color w:val="000000" w:themeColor="text1"/>
                <w:szCs w:val="21"/>
              </w:rPr>
              <w:t>2,033,400.00</w:t>
            </w:r>
          </w:p>
        </w:tc>
        <w:tc>
          <w:tcPr>
            <w:tcW w:w="1503" w:type="dxa"/>
            <w:vAlign w:val="center"/>
          </w:tcPr>
          <w:p w:rsidR="00BD4C32" w:rsidRDefault="00627DB7">
            <w:pPr>
              <w:jc w:val="right"/>
            </w:pPr>
            <w:r>
              <w:rPr>
                <w:rFonts w:eastAsiaTheme="minorEastAsia"/>
                <w:color w:val="000000" w:themeColor="text1"/>
                <w:szCs w:val="21"/>
              </w:rPr>
              <w:t>17.49</w:t>
            </w:r>
          </w:p>
        </w:tc>
      </w:tr>
      <w:tr w:rsidR="00BD4C32">
        <w:tc>
          <w:tcPr>
            <w:tcW w:w="1504" w:type="dxa"/>
            <w:vAlign w:val="center"/>
          </w:tcPr>
          <w:p w:rsidR="00BD4C32" w:rsidRDefault="00627DB7">
            <w:pPr>
              <w:jc w:val="center"/>
            </w:pPr>
            <w:r>
              <w:rPr>
                <w:rFonts w:eastAsiaTheme="minorEastAsia"/>
                <w:color w:val="000000" w:themeColor="text1"/>
                <w:szCs w:val="21"/>
              </w:rPr>
              <w:t>2</w:t>
            </w:r>
          </w:p>
        </w:tc>
        <w:tc>
          <w:tcPr>
            <w:tcW w:w="1504" w:type="dxa"/>
            <w:vAlign w:val="center"/>
          </w:tcPr>
          <w:p w:rsidR="00BD4C32" w:rsidRDefault="00627DB7">
            <w:pPr>
              <w:jc w:val="center"/>
            </w:pPr>
            <w:r>
              <w:rPr>
                <w:rFonts w:eastAsiaTheme="minorEastAsia"/>
                <w:color w:val="000000" w:themeColor="text1"/>
                <w:szCs w:val="21"/>
              </w:rPr>
              <w:t>018006</w:t>
            </w:r>
          </w:p>
        </w:tc>
        <w:tc>
          <w:tcPr>
            <w:tcW w:w="1504" w:type="dxa"/>
            <w:vAlign w:val="center"/>
          </w:tcPr>
          <w:p w:rsidR="00BD4C32" w:rsidRDefault="00627DB7">
            <w:pPr>
              <w:jc w:val="center"/>
            </w:pPr>
            <w:r>
              <w:rPr>
                <w:rFonts w:eastAsiaTheme="minorEastAsia"/>
                <w:color w:val="000000" w:themeColor="text1"/>
                <w:szCs w:val="21"/>
              </w:rPr>
              <w:t>国开</w:t>
            </w:r>
            <w:r>
              <w:rPr>
                <w:rFonts w:eastAsiaTheme="minorEastAsia"/>
                <w:color w:val="000000" w:themeColor="text1"/>
                <w:szCs w:val="21"/>
              </w:rPr>
              <w:t>1702</w:t>
            </w:r>
          </w:p>
        </w:tc>
        <w:tc>
          <w:tcPr>
            <w:tcW w:w="1503" w:type="dxa"/>
            <w:vAlign w:val="center"/>
          </w:tcPr>
          <w:p w:rsidR="00BD4C32" w:rsidRDefault="00627DB7">
            <w:pPr>
              <w:jc w:val="right"/>
            </w:pPr>
            <w:r>
              <w:rPr>
                <w:rFonts w:eastAsiaTheme="minorEastAsia"/>
                <w:color w:val="000000" w:themeColor="text1"/>
                <w:szCs w:val="21"/>
              </w:rPr>
              <w:t>20,000</w:t>
            </w:r>
          </w:p>
        </w:tc>
        <w:tc>
          <w:tcPr>
            <w:tcW w:w="1503" w:type="dxa"/>
            <w:vAlign w:val="center"/>
          </w:tcPr>
          <w:p w:rsidR="00BD4C32" w:rsidRDefault="00627DB7">
            <w:pPr>
              <w:jc w:val="right"/>
            </w:pPr>
            <w:r>
              <w:rPr>
                <w:rFonts w:eastAsiaTheme="minorEastAsia"/>
                <w:color w:val="000000" w:themeColor="text1"/>
                <w:szCs w:val="21"/>
              </w:rPr>
              <w:t>2,019,600.00</w:t>
            </w:r>
          </w:p>
        </w:tc>
        <w:tc>
          <w:tcPr>
            <w:tcW w:w="1503" w:type="dxa"/>
            <w:vAlign w:val="center"/>
          </w:tcPr>
          <w:p w:rsidR="00BD4C32" w:rsidRDefault="00627DB7">
            <w:pPr>
              <w:jc w:val="right"/>
            </w:pPr>
            <w:r>
              <w:rPr>
                <w:rFonts w:eastAsiaTheme="minorEastAsia"/>
                <w:color w:val="000000" w:themeColor="text1"/>
                <w:szCs w:val="21"/>
              </w:rPr>
              <w:t>17.37</w:t>
            </w:r>
          </w:p>
        </w:tc>
      </w:tr>
      <w:tr w:rsidR="00BD4C32">
        <w:tc>
          <w:tcPr>
            <w:tcW w:w="1504" w:type="dxa"/>
            <w:vAlign w:val="center"/>
          </w:tcPr>
          <w:p w:rsidR="00BD4C32" w:rsidRDefault="00627DB7">
            <w:pPr>
              <w:jc w:val="center"/>
            </w:pPr>
            <w:r>
              <w:rPr>
                <w:rFonts w:eastAsiaTheme="minorEastAsia"/>
                <w:color w:val="000000" w:themeColor="text1"/>
                <w:szCs w:val="21"/>
              </w:rPr>
              <w:t>3</w:t>
            </w:r>
          </w:p>
        </w:tc>
        <w:tc>
          <w:tcPr>
            <w:tcW w:w="1504" w:type="dxa"/>
            <w:vAlign w:val="center"/>
          </w:tcPr>
          <w:p w:rsidR="00BD4C32" w:rsidRDefault="00627DB7">
            <w:pPr>
              <w:jc w:val="center"/>
            </w:pPr>
            <w:r>
              <w:rPr>
                <w:rFonts w:eastAsiaTheme="minorEastAsia"/>
                <w:color w:val="000000" w:themeColor="text1"/>
                <w:szCs w:val="21"/>
              </w:rPr>
              <w:t>136762</w:t>
            </w:r>
          </w:p>
        </w:tc>
        <w:tc>
          <w:tcPr>
            <w:tcW w:w="1504" w:type="dxa"/>
            <w:vAlign w:val="center"/>
          </w:tcPr>
          <w:p w:rsidR="00BD4C32" w:rsidRDefault="00627DB7">
            <w:pPr>
              <w:jc w:val="center"/>
            </w:pPr>
            <w:r>
              <w:rPr>
                <w:rFonts w:eastAsiaTheme="minorEastAsia"/>
                <w:color w:val="000000" w:themeColor="text1"/>
                <w:szCs w:val="21"/>
              </w:rPr>
              <w:t>16</w:t>
            </w:r>
            <w:r>
              <w:rPr>
                <w:rFonts w:eastAsiaTheme="minorEastAsia"/>
                <w:color w:val="000000" w:themeColor="text1"/>
                <w:szCs w:val="21"/>
              </w:rPr>
              <w:t>长电</w:t>
            </w:r>
            <w:r>
              <w:rPr>
                <w:rFonts w:eastAsiaTheme="minorEastAsia"/>
                <w:color w:val="000000" w:themeColor="text1"/>
                <w:szCs w:val="21"/>
              </w:rPr>
              <w:t>01</w:t>
            </w:r>
          </w:p>
        </w:tc>
        <w:tc>
          <w:tcPr>
            <w:tcW w:w="1503" w:type="dxa"/>
            <w:vAlign w:val="center"/>
          </w:tcPr>
          <w:p w:rsidR="00BD4C32" w:rsidRDefault="00627DB7">
            <w:pPr>
              <w:jc w:val="right"/>
            </w:pPr>
            <w:r>
              <w:rPr>
                <w:rFonts w:eastAsiaTheme="minorEastAsia"/>
                <w:color w:val="000000" w:themeColor="text1"/>
                <w:szCs w:val="21"/>
              </w:rPr>
              <w:t>10,000</w:t>
            </w:r>
          </w:p>
        </w:tc>
        <w:tc>
          <w:tcPr>
            <w:tcW w:w="1503" w:type="dxa"/>
            <w:vAlign w:val="center"/>
          </w:tcPr>
          <w:p w:rsidR="00BD4C32" w:rsidRDefault="00627DB7">
            <w:pPr>
              <w:jc w:val="right"/>
            </w:pPr>
            <w:r>
              <w:rPr>
                <w:rFonts w:eastAsiaTheme="minorEastAsia"/>
                <w:color w:val="000000" w:themeColor="text1"/>
                <w:szCs w:val="21"/>
              </w:rPr>
              <w:t>1,003,100.00</w:t>
            </w:r>
          </w:p>
        </w:tc>
        <w:tc>
          <w:tcPr>
            <w:tcW w:w="1503" w:type="dxa"/>
            <w:vAlign w:val="center"/>
          </w:tcPr>
          <w:p w:rsidR="00BD4C32" w:rsidRDefault="00627DB7">
            <w:pPr>
              <w:jc w:val="right"/>
            </w:pPr>
            <w:r>
              <w:rPr>
                <w:rFonts w:eastAsiaTheme="minorEastAsia"/>
                <w:color w:val="000000" w:themeColor="text1"/>
                <w:szCs w:val="21"/>
              </w:rPr>
              <w:t>8.63</w:t>
            </w:r>
          </w:p>
        </w:tc>
      </w:tr>
      <w:tr w:rsidR="00BD4C32">
        <w:tc>
          <w:tcPr>
            <w:tcW w:w="1504" w:type="dxa"/>
            <w:vAlign w:val="center"/>
          </w:tcPr>
          <w:p w:rsidR="00BD4C32" w:rsidRDefault="00627DB7">
            <w:pPr>
              <w:jc w:val="center"/>
            </w:pPr>
            <w:r>
              <w:rPr>
                <w:rFonts w:eastAsiaTheme="minorEastAsia"/>
                <w:color w:val="000000" w:themeColor="text1"/>
                <w:szCs w:val="21"/>
              </w:rPr>
              <w:t>4</w:t>
            </w:r>
          </w:p>
        </w:tc>
        <w:tc>
          <w:tcPr>
            <w:tcW w:w="1504" w:type="dxa"/>
            <w:vAlign w:val="center"/>
          </w:tcPr>
          <w:p w:rsidR="00BD4C32" w:rsidRDefault="00627DB7">
            <w:pPr>
              <w:jc w:val="center"/>
            </w:pPr>
            <w:r>
              <w:rPr>
                <w:rFonts w:eastAsiaTheme="minorEastAsia"/>
                <w:color w:val="000000" w:themeColor="text1"/>
                <w:szCs w:val="21"/>
              </w:rPr>
              <w:t>136789</w:t>
            </w:r>
          </w:p>
        </w:tc>
        <w:tc>
          <w:tcPr>
            <w:tcW w:w="1504" w:type="dxa"/>
            <w:vAlign w:val="center"/>
          </w:tcPr>
          <w:p w:rsidR="00BD4C32" w:rsidRDefault="00627DB7">
            <w:pPr>
              <w:jc w:val="center"/>
            </w:pPr>
            <w:r>
              <w:rPr>
                <w:rFonts w:eastAsiaTheme="minorEastAsia"/>
                <w:color w:val="000000" w:themeColor="text1"/>
                <w:szCs w:val="21"/>
              </w:rPr>
              <w:t>16</w:t>
            </w:r>
            <w:r>
              <w:rPr>
                <w:rFonts w:eastAsiaTheme="minorEastAsia"/>
                <w:color w:val="000000" w:themeColor="text1"/>
                <w:szCs w:val="21"/>
              </w:rPr>
              <w:t>东航</w:t>
            </w:r>
            <w:r>
              <w:rPr>
                <w:rFonts w:eastAsiaTheme="minorEastAsia"/>
                <w:color w:val="000000" w:themeColor="text1"/>
                <w:szCs w:val="21"/>
              </w:rPr>
              <w:t>01</w:t>
            </w:r>
          </w:p>
        </w:tc>
        <w:tc>
          <w:tcPr>
            <w:tcW w:w="1503" w:type="dxa"/>
            <w:vAlign w:val="center"/>
          </w:tcPr>
          <w:p w:rsidR="00BD4C32" w:rsidRDefault="00627DB7">
            <w:pPr>
              <w:jc w:val="right"/>
            </w:pPr>
            <w:r>
              <w:rPr>
                <w:rFonts w:eastAsiaTheme="minorEastAsia"/>
                <w:color w:val="000000" w:themeColor="text1"/>
                <w:szCs w:val="21"/>
              </w:rPr>
              <w:t>9,990</w:t>
            </w:r>
          </w:p>
        </w:tc>
        <w:tc>
          <w:tcPr>
            <w:tcW w:w="1503" w:type="dxa"/>
            <w:vAlign w:val="center"/>
          </w:tcPr>
          <w:p w:rsidR="00BD4C32" w:rsidRDefault="00627DB7">
            <w:pPr>
              <w:jc w:val="right"/>
            </w:pPr>
            <w:r>
              <w:rPr>
                <w:rFonts w:eastAsiaTheme="minorEastAsia"/>
                <w:color w:val="000000" w:themeColor="text1"/>
                <w:szCs w:val="21"/>
              </w:rPr>
              <w:t>999,699.30</w:t>
            </w:r>
          </w:p>
        </w:tc>
        <w:tc>
          <w:tcPr>
            <w:tcW w:w="1503" w:type="dxa"/>
            <w:vAlign w:val="center"/>
          </w:tcPr>
          <w:p w:rsidR="00BD4C32" w:rsidRDefault="00627DB7">
            <w:pPr>
              <w:jc w:val="right"/>
            </w:pPr>
            <w:r>
              <w:rPr>
                <w:rFonts w:eastAsiaTheme="minorEastAsia"/>
                <w:color w:val="000000" w:themeColor="text1"/>
                <w:szCs w:val="21"/>
              </w:rPr>
              <w:t>8.60</w:t>
            </w:r>
          </w:p>
        </w:tc>
      </w:tr>
      <w:tr w:rsidR="00BD4C32">
        <w:tc>
          <w:tcPr>
            <w:tcW w:w="1504" w:type="dxa"/>
            <w:vAlign w:val="center"/>
          </w:tcPr>
          <w:p w:rsidR="00BD4C32" w:rsidRDefault="00627DB7">
            <w:pPr>
              <w:jc w:val="center"/>
            </w:pPr>
            <w:r>
              <w:rPr>
                <w:rFonts w:eastAsiaTheme="minorEastAsia"/>
                <w:color w:val="000000" w:themeColor="text1"/>
                <w:szCs w:val="21"/>
              </w:rPr>
              <w:t>5</w:t>
            </w:r>
          </w:p>
        </w:tc>
        <w:tc>
          <w:tcPr>
            <w:tcW w:w="1504" w:type="dxa"/>
            <w:vAlign w:val="center"/>
          </w:tcPr>
          <w:p w:rsidR="00BD4C32" w:rsidRDefault="00627DB7">
            <w:pPr>
              <w:jc w:val="center"/>
            </w:pPr>
            <w:r>
              <w:rPr>
                <w:rFonts w:eastAsiaTheme="minorEastAsia"/>
                <w:color w:val="000000" w:themeColor="text1"/>
                <w:szCs w:val="21"/>
              </w:rPr>
              <w:t>143354</w:t>
            </w:r>
          </w:p>
        </w:tc>
        <w:tc>
          <w:tcPr>
            <w:tcW w:w="1504" w:type="dxa"/>
            <w:vAlign w:val="center"/>
          </w:tcPr>
          <w:p w:rsidR="00BD4C32" w:rsidRDefault="00627DB7">
            <w:pPr>
              <w:jc w:val="center"/>
            </w:pPr>
            <w:r>
              <w:rPr>
                <w:rFonts w:eastAsiaTheme="minorEastAsia"/>
                <w:color w:val="000000" w:themeColor="text1"/>
                <w:szCs w:val="21"/>
              </w:rPr>
              <w:t>17</w:t>
            </w:r>
            <w:r>
              <w:rPr>
                <w:rFonts w:eastAsiaTheme="minorEastAsia"/>
                <w:color w:val="000000" w:themeColor="text1"/>
                <w:szCs w:val="21"/>
              </w:rPr>
              <w:t>中车</w:t>
            </w:r>
            <w:r>
              <w:rPr>
                <w:rFonts w:eastAsiaTheme="minorEastAsia"/>
                <w:color w:val="000000" w:themeColor="text1"/>
                <w:szCs w:val="21"/>
              </w:rPr>
              <w:t>G2</w:t>
            </w:r>
          </w:p>
        </w:tc>
        <w:tc>
          <w:tcPr>
            <w:tcW w:w="1503" w:type="dxa"/>
            <w:vAlign w:val="center"/>
          </w:tcPr>
          <w:p w:rsidR="00BD4C32" w:rsidRDefault="00627DB7">
            <w:pPr>
              <w:jc w:val="right"/>
            </w:pPr>
            <w:r>
              <w:rPr>
                <w:rFonts w:eastAsiaTheme="minorEastAsia"/>
                <w:color w:val="000000" w:themeColor="text1"/>
                <w:szCs w:val="21"/>
              </w:rPr>
              <w:t>8,800</w:t>
            </w:r>
          </w:p>
        </w:tc>
        <w:tc>
          <w:tcPr>
            <w:tcW w:w="1503" w:type="dxa"/>
            <w:vAlign w:val="center"/>
          </w:tcPr>
          <w:p w:rsidR="00BD4C32" w:rsidRDefault="00627DB7">
            <w:pPr>
              <w:jc w:val="right"/>
            </w:pPr>
            <w:r>
              <w:rPr>
                <w:rFonts w:eastAsiaTheme="minorEastAsia"/>
                <w:color w:val="000000" w:themeColor="text1"/>
                <w:szCs w:val="21"/>
              </w:rPr>
              <w:t>902,440.00</w:t>
            </w:r>
          </w:p>
        </w:tc>
        <w:tc>
          <w:tcPr>
            <w:tcW w:w="1503" w:type="dxa"/>
            <w:vAlign w:val="center"/>
          </w:tcPr>
          <w:p w:rsidR="00BD4C32" w:rsidRDefault="00627DB7">
            <w:pPr>
              <w:jc w:val="right"/>
            </w:pPr>
            <w:r>
              <w:rPr>
                <w:rFonts w:eastAsiaTheme="minorEastAsia"/>
                <w:color w:val="000000" w:themeColor="text1"/>
                <w:szCs w:val="21"/>
              </w:rPr>
              <w:t>7.76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lastRenderedPageBreak/>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2,310.62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184,078.09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3,537.31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189,926.02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上投摩根安鑫回报混合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8,969,407.36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2,856,073.79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325,671.28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11,939,434.81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843,334.72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11,943,535.21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8,451,743.92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2,851,973.39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BD4C32">
        <w:tc>
          <w:tcPr>
            <w:tcW w:w="993" w:type="dxa"/>
            <w:vMerge w:val="restart"/>
            <w:vAlign w:val="center"/>
          </w:tcPr>
          <w:p w:rsidR="00BD4C32" w:rsidRDefault="00627DB7">
            <w:r>
              <w:rPr>
                <w:bCs/>
                <w:color w:val="000000"/>
                <w:kern w:val="0"/>
                <w:szCs w:val="21"/>
              </w:rPr>
              <w:t>机构</w:t>
            </w:r>
          </w:p>
        </w:tc>
        <w:tc>
          <w:tcPr>
            <w:tcW w:w="992" w:type="dxa"/>
            <w:vAlign w:val="center"/>
          </w:tcPr>
          <w:p w:rsidR="00BD4C32" w:rsidRDefault="00627DB7">
            <w:pPr>
              <w:jc w:val="center"/>
            </w:pPr>
            <w:r>
              <w:rPr>
                <w:color w:val="000000"/>
                <w:kern w:val="0"/>
                <w:szCs w:val="21"/>
              </w:rPr>
              <w:t>1</w:t>
            </w:r>
          </w:p>
        </w:tc>
        <w:tc>
          <w:tcPr>
            <w:tcW w:w="1843" w:type="dxa"/>
            <w:vAlign w:val="center"/>
          </w:tcPr>
          <w:p w:rsidR="00BD4C32" w:rsidRDefault="00627DB7">
            <w:pPr>
              <w:jc w:val="center"/>
            </w:pPr>
            <w:r>
              <w:rPr>
                <w:color w:val="000000"/>
                <w:kern w:val="0"/>
                <w:szCs w:val="21"/>
              </w:rPr>
              <w:t>20210721-20210822</w:t>
            </w:r>
          </w:p>
        </w:tc>
        <w:tc>
          <w:tcPr>
            <w:tcW w:w="851" w:type="dxa"/>
            <w:vAlign w:val="center"/>
          </w:tcPr>
          <w:p w:rsidR="00BD4C32" w:rsidRDefault="00627DB7">
            <w:pPr>
              <w:jc w:val="center"/>
            </w:pPr>
            <w:r>
              <w:rPr>
                <w:color w:val="000000"/>
                <w:kern w:val="0"/>
                <w:szCs w:val="21"/>
              </w:rPr>
              <w:t>0.00</w:t>
            </w:r>
          </w:p>
        </w:tc>
        <w:tc>
          <w:tcPr>
            <w:tcW w:w="850" w:type="dxa"/>
            <w:vAlign w:val="center"/>
          </w:tcPr>
          <w:p w:rsidR="00BD4C32" w:rsidRDefault="00627DB7">
            <w:pPr>
              <w:jc w:val="center"/>
            </w:pPr>
            <w:r>
              <w:rPr>
                <w:color w:val="000000"/>
                <w:kern w:val="0"/>
                <w:szCs w:val="21"/>
              </w:rPr>
              <w:t>11,748,102.01</w:t>
            </w:r>
          </w:p>
        </w:tc>
        <w:tc>
          <w:tcPr>
            <w:tcW w:w="1134" w:type="dxa"/>
            <w:vAlign w:val="center"/>
          </w:tcPr>
          <w:p w:rsidR="00BD4C32" w:rsidRDefault="00627DB7">
            <w:pPr>
              <w:jc w:val="center"/>
            </w:pPr>
            <w:r>
              <w:rPr>
                <w:color w:val="000000"/>
                <w:kern w:val="0"/>
                <w:szCs w:val="21"/>
              </w:rPr>
              <w:t>11,748,102.01</w:t>
            </w:r>
          </w:p>
        </w:tc>
        <w:tc>
          <w:tcPr>
            <w:tcW w:w="1419" w:type="dxa"/>
            <w:vAlign w:val="center"/>
          </w:tcPr>
          <w:p w:rsidR="00BD4C32" w:rsidRDefault="00627DB7">
            <w:pPr>
              <w:jc w:val="center"/>
            </w:pPr>
            <w:r>
              <w:rPr>
                <w:color w:val="000000"/>
                <w:kern w:val="0"/>
                <w:szCs w:val="21"/>
              </w:rPr>
              <w:t>0.00</w:t>
            </w:r>
          </w:p>
        </w:tc>
        <w:tc>
          <w:tcPr>
            <w:tcW w:w="1130" w:type="dxa"/>
            <w:vAlign w:val="center"/>
          </w:tcPr>
          <w:p w:rsidR="00BD4C32" w:rsidRDefault="00627DB7">
            <w:pPr>
              <w:jc w:val="center"/>
            </w:pPr>
            <w:r>
              <w:rPr>
                <w:color w:val="000000"/>
                <w:kern w:val="0"/>
                <w:szCs w:val="21"/>
              </w:rPr>
              <w:t>0.00%</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rsidR="00BD4C32" w:rsidRDefault="00627DB7">
      <w:pPr>
        <w:spacing w:line="360" w:lineRule="auto"/>
        <w:ind w:firstLineChars="200" w:firstLine="420"/>
        <w:rPr>
          <w:color w:val="000000"/>
          <w:szCs w:val="21"/>
        </w:rPr>
      </w:pPr>
      <w:r>
        <w:rPr>
          <w:color w:val="000000"/>
          <w:szCs w:val="21"/>
        </w:rPr>
        <w:t>根据基金管理人于</w:t>
      </w:r>
      <w:r>
        <w:rPr>
          <w:color w:val="000000"/>
          <w:szCs w:val="21"/>
        </w:rPr>
        <w:t>2021</w:t>
      </w:r>
      <w:r>
        <w:rPr>
          <w:color w:val="000000"/>
          <w:szCs w:val="21"/>
        </w:rPr>
        <w:t>年</w:t>
      </w:r>
      <w:r>
        <w:rPr>
          <w:color w:val="000000"/>
          <w:szCs w:val="21"/>
        </w:rPr>
        <w:t>8</w:t>
      </w:r>
      <w:r>
        <w:rPr>
          <w:color w:val="000000"/>
          <w:szCs w:val="21"/>
        </w:rPr>
        <w:t>月</w:t>
      </w:r>
      <w:r>
        <w:rPr>
          <w:color w:val="000000"/>
          <w:szCs w:val="21"/>
        </w:rPr>
        <w:t>26</w:t>
      </w:r>
      <w:r>
        <w:rPr>
          <w:color w:val="000000"/>
          <w:szCs w:val="21"/>
        </w:rPr>
        <w:t>日发布的《关于上投摩根安鑫回报混合型证券投资基金基金份额持有人大会表决结果暨决议生效的公告》，本次基金份额持有人大会于</w:t>
      </w:r>
      <w:r>
        <w:rPr>
          <w:color w:val="000000"/>
          <w:szCs w:val="21"/>
        </w:rPr>
        <w:t>2021</w:t>
      </w:r>
      <w:r>
        <w:rPr>
          <w:color w:val="000000"/>
          <w:szCs w:val="21"/>
        </w:rPr>
        <w:t>年</w:t>
      </w:r>
      <w:r>
        <w:rPr>
          <w:color w:val="000000"/>
          <w:szCs w:val="21"/>
        </w:rPr>
        <w:t>8</w:t>
      </w:r>
      <w:r>
        <w:rPr>
          <w:color w:val="000000"/>
          <w:szCs w:val="21"/>
        </w:rPr>
        <w:t>月</w:t>
      </w:r>
      <w:r>
        <w:rPr>
          <w:color w:val="000000"/>
          <w:szCs w:val="21"/>
        </w:rPr>
        <w:t>24</w:t>
      </w:r>
      <w:r>
        <w:rPr>
          <w:color w:val="000000"/>
          <w:szCs w:val="21"/>
        </w:rPr>
        <w:t>日表决通过了《关于上投摩根安鑫回报混合型证券投资基金终止基金合同有关事项的议案》，决议自该日起生效。该基金份额持有人大会决议生效后，根据基金份额持有人大会通过的议案及方案说明，本基金从公告的次日起，即</w:t>
      </w:r>
      <w:r>
        <w:rPr>
          <w:color w:val="000000"/>
          <w:szCs w:val="21"/>
        </w:rPr>
        <w:t>2021</w:t>
      </w:r>
      <w:r>
        <w:rPr>
          <w:color w:val="000000"/>
          <w:szCs w:val="21"/>
        </w:rPr>
        <w:t>年</w:t>
      </w:r>
      <w:r>
        <w:rPr>
          <w:color w:val="000000"/>
          <w:szCs w:val="21"/>
        </w:rPr>
        <w:t>8</w:t>
      </w:r>
      <w:r>
        <w:rPr>
          <w:color w:val="000000"/>
          <w:szCs w:val="21"/>
        </w:rPr>
        <w:t>月</w:t>
      </w:r>
      <w:r>
        <w:rPr>
          <w:color w:val="000000"/>
          <w:szCs w:val="21"/>
        </w:rPr>
        <w:t>27</w:t>
      </w:r>
      <w:r>
        <w:rPr>
          <w:color w:val="000000"/>
          <w:szCs w:val="21"/>
        </w:rPr>
        <w:t>日起进入基金财产清算期。本基金进入清算程序后，即自</w:t>
      </w:r>
      <w:r>
        <w:rPr>
          <w:color w:val="000000"/>
          <w:szCs w:val="21"/>
        </w:rPr>
        <w:t>2021</w:t>
      </w:r>
      <w:r>
        <w:rPr>
          <w:color w:val="000000"/>
          <w:szCs w:val="21"/>
        </w:rPr>
        <w:t>年</w:t>
      </w:r>
      <w:r>
        <w:rPr>
          <w:color w:val="000000"/>
          <w:szCs w:val="21"/>
        </w:rPr>
        <w:t>8</w:t>
      </w:r>
      <w:r>
        <w:rPr>
          <w:color w:val="000000"/>
          <w:szCs w:val="21"/>
        </w:rPr>
        <w:t>月</w:t>
      </w:r>
      <w:r>
        <w:rPr>
          <w:color w:val="000000"/>
          <w:szCs w:val="21"/>
        </w:rPr>
        <w:t>27</w:t>
      </w:r>
      <w:r>
        <w:rPr>
          <w:color w:val="000000"/>
          <w:szCs w:val="21"/>
        </w:rPr>
        <w:t>日起，不再接受投资者提出的申购、赎回、转换及定期定额投资</w:t>
      </w:r>
      <w:r>
        <w:rPr>
          <w:color w:val="000000"/>
          <w:szCs w:val="21"/>
        </w:rPr>
        <w:t>等业务的申请，且不再计提管理费、托管费及销售服务费。</w:t>
      </w:r>
    </w:p>
    <w:p w:rsidR="005E6DF3" w:rsidRPr="00B27A29" w:rsidRDefault="005C671B">
      <w:pPr>
        <w:spacing w:line="360" w:lineRule="auto"/>
        <w:ind w:firstLineChars="200" w:firstLine="420"/>
        <w:rPr>
          <w:color w:val="000000"/>
          <w:szCs w:val="21"/>
        </w:rPr>
      </w:pPr>
      <w:r w:rsidRPr="00B27A29">
        <w:rPr>
          <w:color w:val="000000"/>
          <w:szCs w:val="21"/>
        </w:rPr>
        <w:t>本基金管理人已于</w:t>
      </w:r>
      <w:r w:rsidRPr="00B27A29">
        <w:rPr>
          <w:color w:val="000000"/>
          <w:szCs w:val="21"/>
        </w:rPr>
        <w:t>2021</w:t>
      </w:r>
      <w:r w:rsidRPr="00B27A29">
        <w:rPr>
          <w:color w:val="000000"/>
          <w:szCs w:val="21"/>
        </w:rPr>
        <w:t>年</w:t>
      </w:r>
      <w:r w:rsidRPr="00B27A29">
        <w:rPr>
          <w:color w:val="000000"/>
          <w:szCs w:val="21"/>
        </w:rPr>
        <w:t>10</w:t>
      </w:r>
      <w:r w:rsidRPr="00B27A29">
        <w:rPr>
          <w:color w:val="000000"/>
          <w:szCs w:val="21"/>
        </w:rPr>
        <w:t>月</w:t>
      </w:r>
      <w:r w:rsidRPr="00B27A29">
        <w:rPr>
          <w:color w:val="000000"/>
          <w:szCs w:val="21"/>
        </w:rPr>
        <w:t>20</w:t>
      </w:r>
      <w:r w:rsidRPr="00B27A29">
        <w:rPr>
          <w:color w:val="000000"/>
          <w:szCs w:val="21"/>
        </w:rPr>
        <w:t>日公告《上投摩根安鑫回报混合型证券投资基金清算报告》。</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中国证监会批准上投摩根安鑫回报混合型证券投资基金设立的文件；</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《上投摩根安鑫回报混合型证券投资基金基金合同》；</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《上投摩根安鑫回报混合型证券投资基金托管协议》；</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4. </w:t>
      </w:r>
      <w:r>
        <w:rPr>
          <w:rFonts w:eastAsiaTheme="minorEastAsia"/>
          <w:color w:val="000000" w:themeColor="text1"/>
          <w:szCs w:val="21"/>
        </w:rPr>
        <w:t>《上投摩根开放式基金业务规则》；</w:t>
      </w:r>
    </w:p>
    <w:p w:rsidR="00BD4C32" w:rsidRDefault="00627DB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二〇二一年十月二十七日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27DB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27DB7">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27DB7">
      <w:rPr>
        <w:rStyle w:val="af6"/>
        <w:noProof/>
      </w:rPr>
      <w:t>5</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上投摩根安鑫回报混合型证券投资基金</w:t>
    </w:r>
    <w:r>
      <w:t>2021</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27DB7"/>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4C32"/>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B7569-922C-4554-AC5C-1500ADD9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15</Pages>
  <Words>1302</Words>
  <Characters>7425</Characters>
  <Application>Microsoft Office Word</Application>
  <DocSecurity>0</DocSecurity>
  <Lines>61</Lines>
  <Paragraphs>17</Paragraphs>
  <ScaleCrop>false</ScaleCrop>
  <Company>TRT. Ltd. Co.</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218</cp:revision>
  <cp:lastPrinted>2007-07-19T00:46:00Z</cp:lastPrinted>
  <dcterms:created xsi:type="dcterms:W3CDTF">2013-06-21T06:56:00Z</dcterms:created>
  <dcterms:modified xsi:type="dcterms:W3CDTF">2021-10-26T02:40:00Z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