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上投摩根文体休闲灵活配置混合型证券投资基金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22</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报告送出日期：二〇二三年一月二十日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2023</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22</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上投摩根文体休闲混合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001795</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001795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2015</w:t>
            </w:r>
            <w:r w:rsidRPr="00FF6B9A">
              <w:rPr>
                <w:rFonts w:eastAsiaTheme="minorEastAsia"/>
                <w:color w:val="000000" w:themeColor="text1"/>
                <w:kern w:val="0"/>
              </w:rPr>
              <w:t>年</w:t>
            </w:r>
            <w:r w:rsidRPr="00FF6B9A">
              <w:rPr>
                <w:rFonts w:eastAsiaTheme="minorEastAsia"/>
                <w:color w:val="000000" w:themeColor="text1"/>
                <w:kern w:val="0"/>
              </w:rPr>
              <w:t>12</w:t>
            </w:r>
            <w:r w:rsidRPr="00FF6B9A">
              <w:rPr>
                <w:rFonts w:eastAsiaTheme="minorEastAsia"/>
                <w:color w:val="000000" w:themeColor="text1"/>
                <w:kern w:val="0"/>
              </w:rPr>
              <w:t>月</w:t>
            </w:r>
            <w:r w:rsidRPr="00FF6B9A">
              <w:rPr>
                <w:rFonts w:eastAsiaTheme="minorEastAsia"/>
                <w:color w:val="000000" w:themeColor="text1"/>
                <w:kern w:val="0"/>
              </w:rPr>
              <w:t>23</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17,637,727.88</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采用定量及定性研究方法，自上而下进行宏观产业分析，自下而上优选文体休闲主题上市公司，通过严格的风险控制，力争实现基金资产的长期增值。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964986" w:rsidRDefault="00612E85">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964986" w:rsidRDefault="00612E85">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本基金将综合分析和持续跟踪基本面、政策面、市场面等多方面因素，对宏观经济、国家政策、资金面和市场情绪等影响证券市场的重要因素进行深入分析，确定合适的资</w:t>
            </w:r>
            <w:r>
              <w:rPr>
                <w:rFonts w:eastAsiaTheme="minorEastAsia"/>
                <w:color w:val="000000" w:themeColor="text1"/>
                <w:kern w:val="0"/>
              </w:rPr>
              <w:lastRenderedPageBreak/>
              <w:t>产配置比例。</w:t>
            </w:r>
          </w:p>
          <w:p w:rsidR="00964986" w:rsidRDefault="00612E85">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964986" w:rsidRDefault="00612E85">
            <w:pPr>
              <w:adjustRightInd w:val="0"/>
              <w:spacing w:before="29" w:line="360" w:lineRule="auto"/>
              <w:ind w:left="17"/>
              <w:rPr>
                <w:rFonts w:eastAsiaTheme="minorEastAsia"/>
                <w:color w:val="000000" w:themeColor="text1"/>
              </w:rPr>
            </w:pPr>
            <w:r>
              <w:rPr>
                <w:rFonts w:eastAsiaTheme="minorEastAsia"/>
                <w:color w:val="000000" w:themeColor="text1"/>
                <w:kern w:val="0"/>
              </w:rPr>
              <w:t>根据本基金投资理念及投资目标，本基金在申银万国一级行业分类中选取了以下与文体休闲主题相关的行业，分别是：传媒、计算机、电子、休闲服务、房地产、纺织服装、轻工制造、商业贸易、通信、家用电器、交通运输、汽车、食品饮料、综合。我们将遵循自上而下的宏观产业分析逻辑，从行业生命周期、行业景气度、行业竞争格局等多角度，综合评估各个行业的投资价值，对基金资产在行业间分配进行安排。本基金将通过系统和深入的基本面研究，密切关注受益于国家文化体育产业政策扶持、满足城镇居民生活水平提高和消费升级需求的行业和公司，同时重点投资于创</w:t>
            </w:r>
            <w:r>
              <w:rPr>
                <w:rFonts w:eastAsiaTheme="minorEastAsia"/>
                <w:color w:val="000000" w:themeColor="text1"/>
                <w:kern w:val="0"/>
              </w:rPr>
              <w:t>新商业模式、引领新的生活方式和消费习惯的相关行业及公司。</w:t>
            </w:r>
          </w:p>
          <w:p w:rsidR="00964986" w:rsidRDefault="00612E85">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、固定收益类投资策略</w:t>
            </w:r>
          </w:p>
          <w:p w:rsidR="00964986" w:rsidRDefault="00612E85">
            <w:pPr>
              <w:adjustRightInd w:val="0"/>
              <w:spacing w:before="29" w:line="360" w:lineRule="auto"/>
              <w:ind w:left="17"/>
              <w:rPr>
                <w:rFonts w:eastAsiaTheme="minorEastAsia"/>
                <w:color w:val="000000" w:themeColor="text1"/>
              </w:rPr>
            </w:pPr>
            <w:r>
              <w:rPr>
                <w:rFonts w:eastAsiaTheme="minorEastAsia"/>
                <w:color w:val="000000" w:themeColor="text1"/>
                <w:kern w:val="0"/>
              </w:rPr>
              <w:t>对于固定收益类资产的选择，本基金将以价值分析为主线，在综合研究的基础上实施积极主动的组合管理，自上而下进行组合构建，自下而上进行个券选择。</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w:t>
            </w:r>
            <w:r w:rsidRPr="00FF6B9A">
              <w:rPr>
                <w:rFonts w:eastAsiaTheme="minorEastAsia"/>
                <w:color w:val="000000" w:themeColor="text1"/>
                <w:kern w:val="0"/>
              </w:rPr>
              <w:t>、其他投资策略：包括可转换债券投资策略、中小企业私募债投资策略、股指期货投资策略、股票期权投资策略、资产支持证券投资策略、存托凭证投资策略。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*60%+</w:t>
            </w:r>
            <w:r w:rsidRPr="00FF6B9A">
              <w:rPr>
                <w:rFonts w:eastAsiaTheme="minorEastAsia"/>
                <w:color w:val="000000" w:themeColor="text1"/>
                <w:kern w:val="0"/>
              </w:rPr>
              <w:t>中债总指数收益率</w:t>
            </w:r>
            <w:r w:rsidRPr="00FF6B9A">
              <w:rPr>
                <w:rFonts w:eastAsiaTheme="minorEastAsia"/>
                <w:color w:val="000000" w:themeColor="text1"/>
                <w:kern w:val="0"/>
              </w:rPr>
              <w:t>*40%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964986" w:rsidRDefault="00612E85">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本基金属于混合型基金产品，预期风险和收益水平高于债券型基金和货币市场基金，低于股票型基金，属于较高风险收益水平的基金产品。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w:t>
            </w:r>
            <w:r w:rsidRPr="00FF6B9A">
              <w:rPr>
                <w:rFonts w:eastAsiaTheme="minorEastAsia"/>
                <w:color w:val="000000" w:themeColor="text1"/>
                <w:kern w:val="0"/>
              </w:rPr>
              <w:lastRenderedPageBreak/>
              <w:t>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612E85" w:rsidRPr="00FF6B9A" w:rsidTr="00612E85">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22</w:t>
            </w:r>
            <w:r w:rsidRPr="00FF6B9A">
              <w:rPr>
                <w:rFonts w:eastAsiaTheme="minorEastAsia"/>
                <w:color w:val="000000" w:themeColor="text1"/>
              </w:rPr>
              <w:t>日</w:t>
            </w:r>
            <w:r w:rsidRPr="00FF6B9A">
              <w:rPr>
                <w:rFonts w:eastAsiaTheme="minorEastAsia"/>
                <w:color w:val="000000" w:themeColor="text1"/>
              </w:rPr>
              <w:t>)</w:t>
            </w:r>
          </w:p>
        </w:tc>
      </w:tr>
      <w:tr w:rsidR="00612E85" w:rsidRPr="00FF6B9A" w:rsidTr="00612E8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-332,452.47</w:t>
            </w:r>
          </w:p>
        </w:tc>
      </w:tr>
      <w:tr w:rsidR="00612E85" w:rsidRPr="00FF6B9A" w:rsidTr="00612E8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-249,301.94</w:t>
            </w:r>
          </w:p>
        </w:tc>
      </w:tr>
      <w:tr w:rsidR="00612E85" w:rsidRPr="00FF6B9A" w:rsidTr="00612E8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-0.0121</w:t>
            </w:r>
          </w:p>
        </w:tc>
      </w:tr>
      <w:tr w:rsidR="00612E85" w:rsidRPr="00FF6B9A" w:rsidTr="00612E8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15,308,878.54</w:t>
            </w:r>
          </w:p>
        </w:tc>
      </w:tr>
      <w:tr w:rsidR="00612E85" w:rsidRPr="00FF6B9A" w:rsidTr="00612E85">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0.8680</w:t>
            </w:r>
          </w:p>
        </w:tc>
      </w:tr>
    </w:tbl>
    <w:p w:rsidR="00964986" w:rsidRDefault="00612E8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964986">
        <w:tc>
          <w:tcPr>
            <w:tcW w:w="1395" w:type="dxa"/>
            <w:vAlign w:val="center"/>
          </w:tcPr>
          <w:p w:rsidR="00964986" w:rsidRDefault="00612E85">
            <w:pPr>
              <w:jc w:val="left"/>
            </w:pPr>
            <w:r>
              <w:rPr>
                <w:rFonts w:eastAsiaTheme="minorEastAsia"/>
                <w:color w:val="000000" w:themeColor="text1"/>
                <w:kern w:val="0"/>
              </w:rPr>
              <w:t>过去三个月</w:t>
            </w:r>
          </w:p>
        </w:tc>
        <w:tc>
          <w:tcPr>
            <w:tcW w:w="1092" w:type="dxa"/>
            <w:vAlign w:val="center"/>
          </w:tcPr>
          <w:p w:rsidR="00964986" w:rsidRDefault="00612E85">
            <w:pPr>
              <w:jc w:val="center"/>
            </w:pPr>
            <w:r>
              <w:rPr>
                <w:rFonts w:eastAsiaTheme="minorEastAsia"/>
                <w:color w:val="000000" w:themeColor="text1"/>
                <w:kern w:val="0"/>
              </w:rPr>
              <w:t>-6.86%</w:t>
            </w:r>
          </w:p>
        </w:tc>
        <w:tc>
          <w:tcPr>
            <w:tcW w:w="1161" w:type="dxa"/>
            <w:vAlign w:val="center"/>
          </w:tcPr>
          <w:p w:rsidR="00964986" w:rsidRDefault="00612E85">
            <w:pPr>
              <w:jc w:val="center"/>
            </w:pPr>
            <w:r>
              <w:rPr>
                <w:rFonts w:eastAsiaTheme="minorEastAsia"/>
                <w:color w:val="000000" w:themeColor="text1"/>
                <w:kern w:val="0"/>
              </w:rPr>
              <w:t>1.95%</w:t>
            </w:r>
          </w:p>
        </w:tc>
        <w:tc>
          <w:tcPr>
            <w:tcW w:w="1181" w:type="dxa"/>
            <w:vAlign w:val="center"/>
          </w:tcPr>
          <w:p w:rsidR="00964986" w:rsidRDefault="00612E85">
            <w:pPr>
              <w:jc w:val="center"/>
            </w:pPr>
            <w:r>
              <w:rPr>
                <w:rFonts w:eastAsiaTheme="minorEastAsia"/>
                <w:color w:val="000000" w:themeColor="text1"/>
                <w:kern w:val="0"/>
              </w:rPr>
              <w:t>0.30%</w:t>
            </w:r>
          </w:p>
        </w:tc>
        <w:tc>
          <w:tcPr>
            <w:tcW w:w="1188" w:type="dxa"/>
            <w:vAlign w:val="center"/>
          </w:tcPr>
          <w:p w:rsidR="00964986" w:rsidRDefault="00612E85">
            <w:pPr>
              <w:jc w:val="center"/>
            </w:pPr>
            <w:r>
              <w:rPr>
                <w:rFonts w:eastAsiaTheme="minorEastAsia"/>
                <w:color w:val="000000" w:themeColor="text1"/>
                <w:kern w:val="0"/>
              </w:rPr>
              <w:t>0.74%</w:t>
            </w:r>
          </w:p>
        </w:tc>
        <w:tc>
          <w:tcPr>
            <w:tcW w:w="1199" w:type="dxa"/>
            <w:vAlign w:val="center"/>
          </w:tcPr>
          <w:p w:rsidR="00964986" w:rsidRDefault="00612E85">
            <w:pPr>
              <w:jc w:val="center"/>
            </w:pPr>
            <w:r>
              <w:rPr>
                <w:rFonts w:eastAsiaTheme="minorEastAsia"/>
                <w:color w:val="000000" w:themeColor="text1"/>
                <w:kern w:val="0"/>
              </w:rPr>
              <w:t>-7.16%</w:t>
            </w:r>
          </w:p>
        </w:tc>
        <w:tc>
          <w:tcPr>
            <w:tcW w:w="1204" w:type="dxa"/>
            <w:vAlign w:val="center"/>
          </w:tcPr>
          <w:p w:rsidR="00964986" w:rsidRDefault="00612E85">
            <w:pPr>
              <w:jc w:val="center"/>
            </w:pPr>
            <w:r>
              <w:rPr>
                <w:rFonts w:eastAsiaTheme="minorEastAsia"/>
                <w:color w:val="000000" w:themeColor="text1"/>
                <w:kern w:val="0"/>
              </w:rPr>
              <w:t>1.21%</w:t>
            </w:r>
          </w:p>
        </w:tc>
      </w:tr>
      <w:tr w:rsidR="00964986">
        <w:tc>
          <w:tcPr>
            <w:tcW w:w="1395" w:type="dxa"/>
            <w:vAlign w:val="center"/>
          </w:tcPr>
          <w:p w:rsidR="00964986" w:rsidRDefault="00612E85">
            <w:pPr>
              <w:jc w:val="left"/>
            </w:pPr>
            <w:r>
              <w:rPr>
                <w:rFonts w:eastAsiaTheme="minorEastAsia"/>
                <w:color w:val="000000" w:themeColor="text1"/>
                <w:kern w:val="0"/>
              </w:rPr>
              <w:t>过去六个月</w:t>
            </w:r>
          </w:p>
        </w:tc>
        <w:tc>
          <w:tcPr>
            <w:tcW w:w="1092" w:type="dxa"/>
            <w:vAlign w:val="center"/>
          </w:tcPr>
          <w:p w:rsidR="00964986" w:rsidRDefault="00612E85">
            <w:pPr>
              <w:jc w:val="center"/>
            </w:pPr>
            <w:r>
              <w:rPr>
                <w:rFonts w:eastAsiaTheme="minorEastAsia"/>
                <w:color w:val="000000" w:themeColor="text1"/>
                <w:kern w:val="0"/>
              </w:rPr>
              <w:t>-14.86%</w:t>
            </w:r>
          </w:p>
        </w:tc>
        <w:tc>
          <w:tcPr>
            <w:tcW w:w="1161" w:type="dxa"/>
            <w:vAlign w:val="center"/>
          </w:tcPr>
          <w:p w:rsidR="00964986" w:rsidRDefault="00612E85">
            <w:pPr>
              <w:jc w:val="center"/>
            </w:pPr>
            <w:r>
              <w:rPr>
                <w:rFonts w:eastAsiaTheme="minorEastAsia"/>
                <w:color w:val="000000" w:themeColor="text1"/>
                <w:kern w:val="0"/>
              </w:rPr>
              <w:t>1.75%</w:t>
            </w:r>
          </w:p>
        </w:tc>
        <w:tc>
          <w:tcPr>
            <w:tcW w:w="1181" w:type="dxa"/>
            <w:vAlign w:val="center"/>
          </w:tcPr>
          <w:p w:rsidR="00964986" w:rsidRDefault="00612E85">
            <w:pPr>
              <w:jc w:val="center"/>
            </w:pPr>
            <w:r>
              <w:rPr>
                <w:rFonts w:eastAsiaTheme="minorEastAsia"/>
                <w:color w:val="000000" w:themeColor="text1"/>
                <w:kern w:val="0"/>
              </w:rPr>
              <w:t>-8.00%</w:t>
            </w:r>
          </w:p>
        </w:tc>
        <w:tc>
          <w:tcPr>
            <w:tcW w:w="1188" w:type="dxa"/>
            <w:vAlign w:val="center"/>
          </w:tcPr>
          <w:p w:rsidR="00964986" w:rsidRDefault="00612E85">
            <w:pPr>
              <w:jc w:val="center"/>
            </w:pPr>
            <w:r>
              <w:rPr>
                <w:rFonts w:eastAsiaTheme="minorEastAsia"/>
                <w:color w:val="000000" w:themeColor="text1"/>
                <w:kern w:val="0"/>
              </w:rPr>
              <w:t>0.64%</w:t>
            </w:r>
          </w:p>
        </w:tc>
        <w:tc>
          <w:tcPr>
            <w:tcW w:w="1199" w:type="dxa"/>
            <w:vAlign w:val="center"/>
          </w:tcPr>
          <w:p w:rsidR="00964986" w:rsidRDefault="00612E85">
            <w:pPr>
              <w:jc w:val="center"/>
            </w:pPr>
            <w:r>
              <w:rPr>
                <w:rFonts w:eastAsiaTheme="minorEastAsia"/>
                <w:color w:val="000000" w:themeColor="text1"/>
                <w:kern w:val="0"/>
              </w:rPr>
              <w:t>-6.86%</w:t>
            </w:r>
          </w:p>
        </w:tc>
        <w:tc>
          <w:tcPr>
            <w:tcW w:w="1204" w:type="dxa"/>
            <w:vAlign w:val="center"/>
          </w:tcPr>
          <w:p w:rsidR="00964986" w:rsidRDefault="00612E85">
            <w:pPr>
              <w:jc w:val="center"/>
            </w:pPr>
            <w:r>
              <w:rPr>
                <w:rFonts w:eastAsiaTheme="minorEastAsia"/>
                <w:color w:val="000000" w:themeColor="text1"/>
                <w:kern w:val="0"/>
              </w:rPr>
              <w:t>1.11%</w:t>
            </w:r>
          </w:p>
        </w:tc>
      </w:tr>
      <w:tr w:rsidR="00964986">
        <w:tc>
          <w:tcPr>
            <w:tcW w:w="1395" w:type="dxa"/>
            <w:vAlign w:val="center"/>
          </w:tcPr>
          <w:p w:rsidR="00964986" w:rsidRDefault="00612E85">
            <w:pPr>
              <w:jc w:val="left"/>
            </w:pPr>
            <w:r>
              <w:rPr>
                <w:rFonts w:eastAsiaTheme="minorEastAsia"/>
                <w:color w:val="000000" w:themeColor="text1"/>
                <w:kern w:val="0"/>
              </w:rPr>
              <w:t>过去一年</w:t>
            </w:r>
          </w:p>
        </w:tc>
        <w:tc>
          <w:tcPr>
            <w:tcW w:w="1092" w:type="dxa"/>
            <w:vAlign w:val="center"/>
          </w:tcPr>
          <w:p w:rsidR="00964986" w:rsidRDefault="00612E85">
            <w:pPr>
              <w:jc w:val="center"/>
            </w:pPr>
            <w:r>
              <w:rPr>
                <w:rFonts w:eastAsiaTheme="minorEastAsia"/>
                <w:color w:val="000000" w:themeColor="text1"/>
                <w:kern w:val="0"/>
              </w:rPr>
              <w:t>-32.15%</w:t>
            </w:r>
          </w:p>
        </w:tc>
        <w:tc>
          <w:tcPr>
            <w:tcW w:w="1161" w:type="dxa"/>
            <w:vAlign w:val="center"/>
          </w:tcPr>
          <w:p w:rsidR="00964986" w:rsidRDefault="00612E85">
            <w:pPr>
              <w:jc w:val="center"/>
            </w:pPr>
            <w:r>
              <w:rPr>
                <w:rFonts w:eastAsiaTheme="minorEastAsia"/>
                <w:color w:val="000000" w:themeColor="text1"/>
                <w:kern w:val="0"/>
              </w:rPr>
              <w:t>1.73%</w:t>
            </w:r>
          </w:p>
        </w:tc>
        <w:tc>
          <w:tcPr>
            <w:tcW w:w="1181" w:type="dxa"/>
            <w:vAlign w:val="center"/>
          </w:tcPr>
          <w:p w:rsidR="00964986" w:rsidRDefault="00612E85">
            <w:pPr>
              <w:jc w:val="center"/>
            </w:pPr>
            <w:r>
              <w:rPr>
                <w:rFonts w:eastAsiaTheme="minorEastAsia"/>
                <w:color w:val="000000" w:themeColor="text1"/>
                <w:kern w:val="0"/>
              </w:rPr>
              <w:t>-13.29%</w:t>
            </w:r>
          </w:p>
        </w:tc>
        <w:tc>
          <w:tcPr>
            <w:tcW w:w="1188" w:type="dxa"/>
            <w:vAlign w:val="center"/>
          </w:tcPr>
          <w:p w:rsidR="00964986" w:rsidRDefault="00612E85">
            <w:pPr>
              <w:jc w:val="center"/>
            </w:pPr>
            <w:r>
              <w:rPr>
                <w:rFonts w:eastAsiaTheme="minorEastAsia"/>
                <w:color w:val="000000" w:themeColor="text1"/>
                <w:kern w:val="0"/>
              </w:rPr>
              <w:t>0.77%</w:t>
            </w:r>
          </w:p>
        </w:tc>
        <w:tc>
          <w:tcPr>
            <w:tcW w:w="1199" w:type="dxa"/>
            <w:vAlign w:val="center"/>
          </w:tcPr>
          <w:p w:rsidR="00964986" w:rsidRDefault="00612E85">
            <w:pPr>
              <w:jc w:val="center"/>
            </w:pPr>
            <w:r>
              <w:rPr>
                <w:rFonts w:eastAsiaTheme="minorEastAsia"/>
                <w:color w:val="000000" w:themeColor="text1"/>
                <w:kern w:val="0"/>
              </w:rPr>
              <w:t>-18.86%</w:t>
            </w:r>
          </w:p>
        </w:tc>
        <w:tc>
          <w:tcPr>
            <w:tcW w:w="1204" w:type="dxa"/>
            <w:vAlign w:val="center"/>
          </w:tcPr>
          <w:p w:rsidR="00964986" w:rsidRDefault="00612E85">
            <w:pPr>
              <w:jc w:val="center"/>
            </w:pPr>
            <w:r>
              <w:rPr>
                <w:rFonts w:eastAsiaTheme="minorEastAsia"/>
                <w:color w:val="000000" w:themeColor="text1"/>
                <w:kern w:val="0"/>
              </w:rPr>
              <w:t>0.96%</w:t>
            </w:r>
          </w:p>
        </w:tc>
      </w:tr>
      <w:tr w:rsidR="00964986">
        <w:tc>
          <w:tcPr>
            <w:tcW w:w="1395" w:type="dxa"/>
            <w:vAlign w:val="center"/>
          </w:tcPr>
          <w:p w:rsidR="00964986" w:rsidRDefault="00612E85">
            <w:pPr>
              <w:jc w:val="left"/>
            </w:pPr>
            <w:r>
              <w:rPr>
                <w:rFonts w:eastAsiaTheme="minorEastAsia"/>
                <w:color w:val="000000" w:themeColor="text1"/>
                <w:kern w:val="0"/>
              </w:rPr>
              <w:lastRenderedPageBreak/>
              <w:t>过去三年</w:t>
            </w:r>
          </w:p>
        </w:tc>
        <w:tc>
          <w:tcPr>
            <w:tcW w:w="1092" w:type="dxa"/>
            <w:vAlign w:val="center"/>
          </w:tcPr>
          <w:p w:rsidR="00964986" w:rsidRDefault="00612E85">
            <w:pPr>
              <w:jc w:val="center"/>
            </w:pPr>
            <w:r>
              <w:rPr>
                <w:rFonts w:eastAsiaTheme="minorEastAsia"/>
                <w:color w:val="000000" w:themeColor="text1"/>
                <w:kern w:val="0"/>
              </w:rPr>
              <w:t>-33.23%</w:t>
            </w:r>
          </w:p>
        </w:tc>
        <w:tc>
          <w:tcPr>
            <w:tcW w:w="1161" w:type="dxa"/>
            <w:vAlign w:val="center"/>
          </w:tcPr>
          <w:p w:rsidR="00964986" w:rsidRDefault="00612E85">
            <w:pPr>
              <w:jc w:val="center"/>
            </w:pPr>
            <w:r>
              <w:rPr>
                <w:rFonts w:eastAsiaTheme="minorEastAsia"/>
                <w:color w:val="000000" w:themeColor="text1"/>
                <w:kern w:val="0"/>
              </w:rPr>
              <w:t>1.66%</w:t>
            </w:r>
          </w:p>
        </w:tc>
        <w:tc>
          <w:tcPr>
            <w:tcW w:w="1181" w:type="dxa"/>
            <w:vAlign w:val="center"/>
          </w:tcPr>
          <w:p w:rsidR="00964986" w:rsidRDefault="00612E85">
            <w:pPr>
              <w:jc w:val="center"/>
            </w:pPr>
            <w:r>
              <w:rPr>
                <w:rFonts w:eastAsiaTheme="minorEastAsia"/>
                <w:color w:val="000000" w:themeColor="text1"/>
                <w:kern w:val="0"/>
              </w:rPr>
              <w:t>-12.73%</w:t>
            </w:r>
          </w:p>
        </w:tc>
        <w:tc>
          <w:tcPr>
            <w:tcW w:w="1188" w:type="dxa"/>
            <w:vAlign w:val="center"/>
          </w:tcPr>
          <w:p w:rsidR="00964986" w:rsidRDefault="00612E85">
            <w:pPr>
              <w:jc w:val="center"/>
            </w:pPr>
            <w:r>
              <w:rPr>
                <w:rFonts w:eastAsiaTheme="minorEastAsia"/>
                <w:color w:val="000000" w:themeColor="text1"/>
                <w:kern w:val="0"/>
              </w:rPr>
              <w:t>0.71%</w:t>
            </w:r>
          </w:p>
        </w:tc>
        <w:tc>
          <w:tcPr>
            <w:tcW w:w="1199" w:type="dxa"/>
            <w:vAlign w:val="center"/>
          </w:tcPr>
          <w:p w:rsidR="00964986" w:rsidRDefault="00612E85">
            <w:pPr>
              <w:jc w:val="center"/>
            </w:pPr>
            <w:r>
              <w:rPr>
                <w:rFonts w:eastAsiaTheme="minorEastAsia"/>
                <w:color w:val="000000" w:themeColor="text1"/>
                <w:kern w:val="0"/>
              </w:rPr>
              <w:t>-20.50%</w:t>
            </w:r>
          </w:p>
        </w:tc>
        <w:tc>
          <w:tcPr>
            <w:tcW w:w="1204" w:type="dxa"/>
            <w:vAlign w:val="center"/>
          </w:tcPr>
          <w:p w:rsidR="00964986" w:rsidRDefault="00612E85">
            <w:pPr>
              <w:jc w:val="center"/>
            </w:pPr>
            <w:r>
              <w:rPr>
                <w:rFonts w:eastAsiaTheme="minorEastAsia"/>
                <w:color w:val="000000" w:themeColor="text1"/>
                <w:kern w:val="0"/>
              </w:rPr>
              <w:t>0.95%</w:t>
            </w:r>
          </w:p>
        </w:tc>
      </w:tr>
      <w:tr w:rsidR="00964986">
        <w:tc>
          <w:tcPr>
            <w:tcW w:w="1395" w:type="dxa"/>
            <w:vAlign w:val="center"/>
          </w:tcPr>
          <w:p w:rsidR="00964986" w:rsidRDefault="00612E85">
            <w:pPr>
              <w:jc w:val="left"/>
            </w:pPr>
            <w:r>
              <w:rPr>
                <w:rFonts w:eastAsiaTheme="minorEastAsia"/>
                <w:color w:val="000000" w:themeColor="text1"/>
                <w:kern w:val="0"/>
              </w:rPr>
              <w:t>过去五年</w:t>
            </w:r>
          </w:p>
        </w:tc>
        <w:tc>
          <w:tcPr>
            <w:tcW w:w="1092" w:type="dxa"/>
            <w:vAlign w:val="center"/>
          </w:tcPr>
          <w:p w:rsidR="00964986" w:rsidRDefault="00612E85">
            <w:pPr>
              <w:jc w:val="center"/>
            </w:pPr>
            <w:r>
              <w:rPr>
                <w:rFonts w:eastAsiaTheme="minorEastAsia"/>
                <w:color w:val="000000" w:themeColor="text1"/>
                <w:kern w:val="0"/>
              </w:rPr>
              <w:t>-21.09%</w:t>
            </w:r>
          </w:p>
        </w:tc>
        <w:tc>
          <w:tcPr>
            <w:tcW w:w="1161" w:type="dxa"/>
            <w:vAlign w:val="center"/>
          </w:tcPr>
          <w:p w:rsidR="00964986" w:rsidRDefault="00612E85">
            <w:pPr>
              <w:jc w:val="center"/>
            </w:pPr>
            <w:r>
              <w:rPr>
                <w:rFonts w:eastAsiaTheme="minorEastAsia"/>
                <w:color w:val="000000" w:themeColor="text1"/>
                <w:kern w:val="0"/>
              </w:rPr>
              <w:t>1.79%</w:t>
            </w:r>
          </w:p>
        </w:tc>
        <w:tc>
          <w:tcPr>
            <w:tcW w:w="1181" w:type="dxa"/>
            <w:vAlign w:val="center"/>
          </w:tcPr>
          <w:p w:rsidR="00964986" w:rsidRDefault="00612E85">
            <w:pPr>
              <w:jc w:val="center"/>
            </w:pPr>
            <w:r>
              <w:rPr>
                <w:rFonts w:eastAsiaTheme="minorEastAsia"/>
                <w:color w:val="000000" w:themeColor="text1"/>
                <w:kern w:val="0"/>
              </w:rPr>
              <w:t>0.46%</w:t>
            </w:r>
          </w:p>
        </w:tc>
        <w:tc>
          <w:tcPr>
            <w:tcW w:w="1188" w:type="dxa"/>
            <w:vAlign w:val="center"/>
          </w:tcPr>
          <w:p w:rsidR="00964986" w:rsidRDefault="00612E85">
            <w:pPr>
              <w:jc w:val="center"/>
            </w:pPr>
            <w:r>
              <w:rPr>
                <w:rFonts w:eastAsiaTheme="minorEastAsia"/>
                <w:color w:val="000000" w:themeColor="text1"/>
                <w:kern w:val="0"/>
              </w:rPr>
              <w:t>0.77%</w:t>
            </w:r>
          </w:p>
        </w:tc>
        <w:tc>
          <w:tcPr>
            <w:tcW w:w="1199" w:type="dxa"/>
            <w:vAlign w:val="center"/>
          </w:tcPr>
          <w:p w:rsidR="00964986" w:rsidRDefault="00612E85">
            <w:pPr>
              <w:jc w:val="center"/>
            </w:pPr>
            <w:r>
              <w:rPr>
                <w:rFonts w:eastAsiaTheme="minorEastAsia"/>
                <w:color w:val="000000" w:themeColor="text1"/>
                <w:kern w:val="0"/>
              </w:rPr>
              <w:t>-21.55%</w:t>
            </w:r>
          </w:p>
        </w:tc>
        <w:tc>
          <w:tcPr>
            <w:tcW w:w="1204" w:type="dxa"/>
            <w:vAlign w:val="center"/>
          </w:tcPr>
          <w:p w:rsidR="00964986" w:rsidRDefault="00612E85">
            <w:pPr>
              <w:jc w:val="center"/>
            </w:pPr>
            <w:r>
              <w:rPr>
                <w:rFonts w:eastAsiaTheme="minorEastAsia"/>
                <w:color w:val="000000" w:themeColor="text1"/>
                <w:kern w:val="0"/>
              </w:rPr>
              <w:t>1.02%</w:t>
            </w:r>
          </w:p>
        </w:tc>
      </w:tr>
      <w:tr w:rsidR="00964986">
        <w:tc>
          <w:tcPr>
            <w:tcW w:w="1395" w:type="dxa"/>
            <w:vAlign w:val="center"/>
          </w:tcPr>
          <w:p w:rsidR="00964986" w:rsidRDefault="00612E85">
            <w:pPr>
              <w:jc w:val="left"/>
            </w:pPr>
            <w:r>
              <w:rPr>
                <w:rFonts w:eastAsiaTheme="minorEastAsia"/>
                <w:color w:val="000000" w:themeColor="text1"/>
                <w:kern w:val="0"/>
              </w:rPr>
              <w:t>自基金合同生效起至今</w:t>
            </w:r>
          </w:p>
        </w:tc>
        <w:tc>
          <w:tcPr>
            <w:tcW w:w="1092" w:type="dxa"/>
            <w:vAlign w:val="center"/>
          </w:tcPr>
          <w:p w:rsidR="00964986" w:rsidRDefault="00612E85">
            <w:pPr>
              <w:jc w:val="center"/>
            </w:pPr>
            <w:r>
              <w:rPr>
                <w:rFonts w:eastAsiaTheme="minorEastAsia"/>
                <w:color w:val="000000" w:themeColor="text1"/>
                <w:kern w:val="0"/>
              </w:rPr>
              <w:t>-13.20%</w:t>
            </w:r>
          </w:p>
        </w:tc>
        <w:tc>
          <w:tcPr>
            <w:tcW w:w="1161" w:type="dxa"/>
            <w:vAlign w:val="center"/>
          </w:tcPr>
          <w:p w:rsidR="00964986" w:rsidRDefault="00612E85">
            <w:pPr>
              <w:jc w:val="center"/>
            </w:pPr>
            <w:r>
              <w:rPr>
                <w:rFonts w:eastAsiaTheme="minorEastAsia"/>
                <w:color w:val="000000" w:themeColor="text1"/>
                <w:kern w:val="0"/>
              </w:rPr>
              <w:t>1.64%</w:t>
            </w:r>
          </w:p>
        </w:tc>
        <w:tc>
          <w:tcPr>
            <w:tcW w:w="1181" w:type="dxa"/>
            <w:vAlign w:val="center"/>
          </w:tcPr>
          <w:p w:rsidR="00964986" w:rsidRDefault="00612E85">
            <w:pPr>
              <w:jc w:val="center"/>
            </w:pPr>
            <w:r>
              <w:rPr>
                <w:rFonts w:eastAsiaTheme="minorEastAsia"/>
                <w:color w:val="000000" w:themeColor="text1"/>
                <w:kern w:val="0"/>
              </w:rPr>
              <w:t>-4.08%</w:t>
            </w:r>
          </w:p>
        </w:tc>
        <w:tc>
          <w:tcPr>
            <w:tcW w:w="1188" w:type="dxa"/>
            <w:vAlign w:val="center"/>
          </w:tcPr>
          <w:p w:rsidR="00964986" w:rsidRDefault="00612E85">
            <w:pPr>
              <w:jc w:val="center"/>
            </w:pPr>
            <w:r>
              <w:rPr>
                <w:rFonts w:eastAsiaTheme="minorEastAsia"/>
                <w:color w:val="000000" w:themeColor="text1"/>
                <w:kern w:val="0"/>
              </w:rPr>
              <w:t>0.75%</w:t>
            </w:r>
          </w:p>
        </w:tc>
        <w:tc>
          <w:tcPr>
            <w:tcW w:w="1199" w:type="dxa"/>
            <w:vAlign w:val="center"/>
          </w:tcPr>
          <w:p w:rsidR="00964986" w:rsidRDefault="00612E85">
            <w:pPr>
              <w:jc w:val="center"/>
            </w:pPr>
            <w:r>
              <w:rPr>
                <w:rFonts w:eastAsiaTheme="minorEastAsia"/>
                <w:color w:val="000000" w:themeColor="text1"/>
                <w:kern w:val="0"/>
              </w:rPr>
              <w:t>-9.12%</w:t>
            </w:r>
          </w:p>
        </w:tc>
        <w:tc>
          <w:tcPr>
            <w:tcW w:w="1204" w:type="dxa"/>
            <w:vAlign w:val="center"/>
          </w:tcPr>
          <w:p w:rsidR="00964986" w:rsidRDefault="00612E85">
            <w:pPr>
              <w:jc w:val="center"/>
            </w:pPr>
            <w:r>
              <w:rPr>
                <w:rFonts w:eastAsiaTheme="minorEastAsia"/>
                <w:color w:val="000000" w:themeColor="text1"/>
                <w:kern w:val="0"/>
              </w:rPr>
              <w:t>0.89%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上投摩根文体休闲灵活配置混合型证券投资基金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(2015</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23</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22</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964986" w:rsidRDefault="00612E8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w:t>
      </w:r>
      <w:r>
        <w:rPr>
          <w:rFonts w:eastAsiaTheme="minorEastAsia"/>
          <w:color w:val="000000" w:themeColor="text1"/>
        </w:rPr>
        <w:t>23</w:t>
      </w:r>
      <w:r>
        <w:rPr>
          <w:rFonts w:eastAsiaTheme="minorEastAsia"/>
          <w:color w:val="000000" w:themeColor="text1"/>
        </w:rPr>
        <w:t>日，本基金运作终止日为</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w:t>
      </w:r>
      <w:r>
        <w:rPr>
          <w:rFonts w:eastAsiaTheme="minorEastAsia"/>
          <w:color w:val="000000" w:themeColor="text1"/>
        </w:rPr>
        <w:t>22</w:t>
      </w:r>
      <w:r>
        <w:rPr>
          <w:rFonts w:eastAsiaTheme="minorEastAsia"/>
          <w:color w:val="000000" w:themeColor="text1"/>
        </w:rPr>
        <w:t>日，图示的时间段为合同生效日至本基金运作终止日</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w:t>
      </w:r>
      <w:r>
        <w:rPr>
          <w:rFonts w:eastAsiaTheme="minorEastAsia"/>
          <w:color w:val="000000" w:themeColor="text1"/>
        </w:rPr>
        <w:t>22</w:t>
      </w:r>
      <w:r>
        <w:rPr>
          <w:rFonts w:eastAsiaTheme="minorEastAsia"/>
          <w:color w:val="000000" w:themeColor="text1"/>
        </w:rPr>
        <w:t>日。</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w:t>
            </w:r>
            <w:r w:rsidRPr="00FF6B9A">
              <w:rPr>
                <w:rFonts w:eastAsiaTheme="minorEastAsia"/>
                <w:color w:val="000000" w:themeColor="text1"/>
                <w:kern w:val="0"/>
              </w:rPr>
              <w:lastRenderedPageBreak/>
              <w:t>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964986">
        <w:tc>
          <w:tcPr>
            <w:tcW w:w="851" w:type="dxa"/>
            <w:vAlign w:val="center"/>
          </w:tcPr>
          <w:p w:rsidR="00964986" w:rsidRDefault="00612E85">
            <w:pPr>
              <w:jc w:val="center"/>
            </w:pPr>
            <w:r>
              <w:rPr>
                <w:rFonts w:eastAsiaTheme="minorEastAsia"/>
                <w:color w:val="000000" w:themeColor="text1"/>
              </w:rPr>
              <w:t>周战海</w:t>
            </w:r>
          </w:p>
        </w:tc>
        <w:tc>
          <w:tcPr>
            <w:tcW w:w="850" w:type="dxa"/>
            <w:vAlign w:val="center"/>
          </w:tcPr>
          <w:p w:rsidR="00964986" w:rsidRDefault="00612E85">
            <w:pPr>
              <w:jc w:val="center"/>
            </w:pPr>
            <w:r>
              <w:rPr>
                <w:rFonts w:eastAsiaTheme="minorEastAsia"/>
                <w:color w:val="000000" w:themeColor="text1"/>
              </w:rPr>
              <w:t>本基金基金经理</w:t>
            </w:r>
          </w:p>
        </w:tc>
        <w:tc>
          <w:tcPr>
            <w:tcW w:w="1560" w:type="dxa"/>
            <w:vAlign w:val="center"/>
          </w:tcPr>
          <w:p w:rsidR="00964986" w:rsidRDefault="00612E85">
            <w:pPr>
              <w:jc w:val="center"/>
            </w:pPr>
            <w:r>
              <w:rPr>
                <w:rFonts w:eastAsiaTheme="minorEastAsia"/>
                <w:color w:val="000000" w:themeColor="text1"/>
              </w:rPr>
              <w:t>2015-12-23</w:t>
            </w:r>
          </w:p>
        </w:tc>
        <w:tc>
          <w:tcPr>
            <w:tcW w:w="1559" w:type="dxa"/>
            <w:vAlign w:val="center"/>
          </w:tcPr>
          <w:p w:rsidR="00964986" w:rsidRDefault="00612E85">
            <w:pPr>
              <w:jc w:val="center"/>
            </w:pPr>
            <w:r>
              <w:rPr>
                <w:rFonts w:eastAsiaTheme="minorEastAsia"/>
                <w:color w:val="000000" w:themeColor="text1"/>
              </w:rPr>
              <w:t>-</w:t>
            </w:r>
          </w:p>
        </w:tc>
        <w:tc>
          <w:tcPr>
            <w:tcW w:w="1417" w:type="dxa"/>
            <w:vAlign w:val="center"/>
          </w:tcPr>
          <w:p w:rsidR="00964986" w:rsidRDefault="00612E85">
            <w:pPr>
              <w:jc w:val="center"/>
            </w:pPr>
            <w:r>
              <w:rPr>
                <w:rFonts w:eastAsiaTheme="minorEastAsia"/>
                <w:color w:val="000000" w:themeColor="text1"/>
              </w:rPr>
              <w:t>16</w:t>
            </w:r>
            <w:r>
              <w:rPr>
                <w:rFonts w:eastAsiaTheme="minorEastAsia"/>
                <w:color w:val="000000" w:themeColor="text1"/>
              </w:rPr>
              <w:t>年</w:t>
            </w:r>
          </w:p>
        </w:tc>
        <w:tc>
          <w:tcPr>
            <w:tcW w:w="2694" w:type="dxa"/>
            <w:vAlign w:val="center"/>
          </w:tcPr>
          <w:p w:rsidR="00964986" w:rsidRDefault="00612E85">
            <w:r>
              <w:rPr>
                <w:rFonts w:eastAsiaTheme="minorEastAsia"/>
                <w:color w:val="000000" w:themeColor="text1"/>
              </w:rPr>
              <w:t>周战海先生，</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月在国金证券股份有限公司担任分析师，</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月至</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月在太平洋资产管理有限公司担任研究员。</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月起加入上投摩根基金管理有限公司，历任行业专家、基金经理助理、基金经理、高级基金经理。自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月至</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月担任上投摩根文体休闲灵活配置混合型证券投资基金基金经理，自</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月起同时担任上投摩根健康品质生活混合型证券投资基金基金经理，自</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月起同时担任上投摩根整合驱动灵活配置混合型证券投资基金基金经理。</w:t>
            </w:r>
          </w:p>
        </w:tc>
      </w:tr>
    </w:tbl>
    <w:p w:rsidR="00964986" w:rsidRDefault="00612E8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964986" w:rsidRDefault="00612E8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周战海先生为本基金首任基金经理，其任职日期指本基金基金合同生效之日。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文体休闲灵活配置混合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w:t>
      </w:r>
      <w:r>
        <w:rPr>
          <w:rFonts w:eastAsiaTheme="minorEastAsia"/>
          <w:color w:val="000000" w:themeColor="text1"/>
        </w:rPr>
        <w:lastRenderedPageBreak/>
        <w:t>理活动相关的环节均得到公平对待。</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t>2022</w:t>
      </w:r>
      <w:r>
        <w:rPr>
          <w:rFonts w:eastAsiaTheme="minorEastAsia"/>
          <w:color w:val="000000" w:themeColor="text1"/>
        </w:rPr>
        <w:t>年四季度，</w:t>
      </w:r>
      <w:r>
        <w:rPr>
          <w:rFonts w:eastAsiaTheme="minorEastAsia"/>
          <w:color w:val="000000" w:themeColor="text1"/>
        </w:rPr>
        <w:t>A</w:t>
      </w:r>
      <w:r>
        <w:rPr>
          <w:rFonts w:eastAsiaTheme="minorEastAsia"/>
          <w:color w:val="000000" w:themeColor="text1"/>
        </w:rPr>
        <w:t>股整体呈现震荡走势，上证综指上涨</w:t>
      </w:r>
      <w:r>
        <w:rPr>
          <w:rFonts w:eastAsiaTheme="minorEastAsia"/>
          <w:color w:val="000000" w:themeColor="text1"/>
        </w:rPr>
        <w:t>2.14%</w:t>
      </w:r>
      <w:r>
        <w:rPr>
          <w:rFonts w:eastAsiaTheme="minorEastAsia"/>
          <w:color w:val="000000" w:themeColor="text1"/>
        </w:rPr>
        <w:t>，深圳成指上涨</w:t>
      </w:r>
      <w:r>
        <w:rPr>
          <w:rFonts w:eastAsiaTheme="minorEastAsia"/>
          <w:color w:val="000000" w:themeColor="text1"/>
        </w:rPr>
        <w:t>2.2%</w:t>
      </w:r>
      <w:r>
        <w:rPr>
          <w:rFonts w:eastAsiaTheme="minorEastAsia"/>
          <w:color w:val="000000" w:themeColor="text1"/>
        </w:rPr>
        <w:t>，创业板指上涨</w:t>
      </w:r>
      <w:r>
        <w:rPr>
          <w:rFonts w:eastAsiaTheme="minorEastAsia"/>
          <w:color w:val="000000" w:themeColor="text1"/>
        </w:rPr>
        <w:t>2.53%</w:t>
      </w:r>
      <w:r>
        <w:rPr>
          <w:rFonts w:eastAsiaTheme="minorEastAsia"/>
          <w:color w:val="000000" w:themeColor="text1"/>
        </w:rPr>
        <w:t>。行业结构上，以申万行业分类统计来看，社会服务、计算机、传媒、综合、医药生物表现相对靠前，房地产、有色金属、电力设备、石油石化、煤炭表现相对落后。报告期内，本基金按照契约要求，以科技成长股为主要投资方向，投资重点依然集中在半导体、计算机、通信、传媒、元宇宙为主的</w:t>
      </w:r>
      <w:r>
        <w:rPr>
          <w:rFonts w:eastAsiaTheme="minorEastAsia"/>
          <w:color w:val="000000" w:themeColor="text1"/>
        </w:rPr>
        <w:t>TMT</w:t>
      </w:r>
      <w:r>
        <w:rPr>
          <w:rFonts w:eastAsiaTheme="minorEastAsia"/>
          <w:color w:val="000000" w:themeColor="text1"/>
        </w:rPr>
        <w:t>行业。报告期内，受所投资行业整体弱势影响，基金净值表现较差。</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w:t>
      </w:r>
      <w:r w:rsidRPr="00FF6B9A">
        <w:rPr>
          <w:rFonts w:eastAsiaTheme="minorEastAsia"/>
          <w:color w:val="000000" w:themeColor="text1"/>
        </w:rPr>
        <w:t>2023</w:t>
      </w:r>
      <w:r w:rsidRPr="00FF6B9A">
        <w:rPr>
          <w:rFonts w:eastAsiaTheme="minorEastAsia"/>
          <w:color w:val="000000" w:themeColor="text1"/>
        </w:rPr>
        <w:t>年一季度</w:t>
      </w:r>
      <w:r w:rsidRPr="00FF6B9A">
        <w:rPr>
          <w:rFonts w:eastAsiaTheme="minorEastAsia"/>
          <w:color w:val="000000" w:themeColor="text1"/>
        </w:rPr>
        <w:t xml:space="preserve">, </w:t>
      </w:r>
      <w:r w:rsidRPr="00FF6B9A">
        <w:rPr>
          <w:rFonts w:eastAsiaTheme="minorEastAsia"/>
          <w:color w:val="000000" w:themeColor="text1"/>
        </w:rPr>
        <w:t>制约经济的疫情政策出现根本性变化，防疫政策不断优化，宏观不确定性大幅下行。人民币汇率企稳回升，内外金融条件改善，流动性有望继续宽松，对应资产的风险溢价相应回落，风险偏好有望得到提升，我们预计这将推动</w:t>
      </w:r>
      <w:r w:rsidRPr="00FF6B9A">
        <w:rPr>
          <w:rFonts w:eastAsiaTheme="minorEastAsia"/>
          <w:color w:val="000000" w:themeColor="text1"/>
        </w:rPr>
        <w:t>A</w:t>
      </w:r>
      <w:r w:rsidRPr="00FF6B9A">
        <w:rPr>
          <w:rFonts w:eastAsiaTheme="minorEastAsia"/>
          <w:color w:val="000000" w:themeColor="text1"/>
        </w:rPr>
        <w:t>股估值进一步修复。根据证监会的政策要求，本基金也将在一季度完成清算清盘。</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本报告期上投摩根文体休闲混合份额净值增长率为</w:t>
      </w:r>
      <w:r w:rsidRPr="00FF6B9A">
        <w:rPr>
          <w:rFonts w:eastAsiaTheme="minorEastAsia"/>
          <w:color w:val="000000" w:themeColor="text1"/>
        </w:rPr>
        <w:t>:-6.86%</w:t>
      </w:r>
      <w:r w:rsidRPr="00FF6B9A">
        <w:rPr>
          <w:rFonts w:eastAsiaTheme="minorEastAsia"/>
          <w:color w:val="000000" w:themeColor="text1"/>
        </w:rPr>
        <w:t>，同期业绩比较基准收益率为</w:t>
      </w:r>
      <w:r w:rsidRPr="00FF6B9A">
        <w:rPr>
          <w:rFonts w:eastAsiaTheme="minorEastAsia"/>
          <w:color w:val="000000" w:themeColor="text1"/>
        </w:rPr>
        <w:t>:0.30%</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lastRenderedPageBreak/>
        <w:t>4.5</w:t>
      </w:r>
      <w:r w:rsidRPr="00FF6B9A">
        <w:rPr>
          <w:rFonts w:eastAsiaTheme="minorEastAsia"/>
          <w:b/>
          <w:color w:val="000000" w:themeColor="text1"/>
          <w:kern w:val="0"/>
          <w:sz w:val="24"/>
          <w:szCs w:val="24"/>
        </w:rPr>
        <w:t>报告期内基金持有人数或基金资产净值预警说明</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kern w:val="0"/>
        </w:rPr>
        <w:t>报告期内，本基金存在连续六十个工作日基金资产净值低于五千万元的情况，出现该情况的时间范围为</w:t>
      </w:r>
      <w:r>
        <w:rPr>
          <w:rFonts w:eastAsiaTheme="minorEastAsia"/>
          <w:color w:val="000000" w:themeColor="text1"/>
          <w:kern w:val="0"/>
        </w:rPr>
        <w:t>2022</w:t>
      </w:r>
      <w:r>
        <w:rPr>
          <w:rFonts w:eastAsiaTheme="minorEastAsia"/>
          <w:color w:val="000000" w:themeColor="text1"/>
          <w:kern w:val="0"/>
        </w:rPr>
        <w:t>年</w:t>
      </w:r>
      <w:r>
        <w:rPr>
          <w:rFonts w:eastAsiaTheme="minorEastAsia"/>
          <w:color w:val="000000" w:themeColor="text1"/>
          <w:kern w:val="0"/>
        </w:rPr>
        <w:t>1</w:t>
      </w:r>
      <w:r>
        <w:rPr>
          <w:rFonts w:eastAsiaTheme="minorEastAsia"/>
          <w:color w:val="000000" w:themeColor="text1"/>
          <w:kern w:val="0"/>
        </w:rPr>
        <w:t>0</w:t>
      </w:r>
      <w:r>
        <w:rPr>
          <w:rFonts w:eastAsiaTheme="minorEastAsia"/>
          <w:color w:val="000000" w:themeColor="text1"/>
          <w:kern w:val="0"/>
        </w:rPr>
        <w:t>月</w:t>
      </w:r>
      <w:r>
        <w:rPr>
          <w:rFonts w:eastAsiaTheme="minorEastAsia"/>
          <w:color w:val="000000" w:themeColor="text1"/>
          <w:kern w:val="0"/>
        </w:rPr>
        <w:t>01</w:t>
      </w:r>
      <w:r>
        <w:rPr>
          <w:rFonts w:eastAsiaTheme="minorEastAsia"/>
          <w:color w:val="000000" w:themeColor="text1"/>
          <w:kern w:val="0"/>
        </w:rPr>
        <w:t>日至</w:t>
      </w:r>
      <w:r>
        <w:rPr>
          <w:rFonts w:eastAsiaTheme="minorEastAsia"/>
          <w:color w:val="000000" w:themeColor="text1"/>
          <w:kern w:val="0"/>
        </w:rPr>
        <w:t>2022</w:t>
      </w:r>
      <w:r>
        <w:rPr>
          <w:rFonts w:eastAsiaTheme="minorEastAsia"/>
          <w:color w:val="000000" w:themeColor="text1"/>
          <w:kern w:val="0"/>
        </w:rPr>
        <w:t>年</w:t>
      </w:r>
      <w:r>
        <w:rPr>
          <w:rFonts w:eastAsiaTheme="minorEastAsia"/>
          <w:color w:val="000000" w:themeColor="text1"/>
          <w:kern w:val="0"/>
        </w:rPr>
        <w:t>12</w:t>
      </w:r>
      <w:r>
        <w:rPr>
          <w:rFonts w:eastAsiaTheme="minorEastAsia"/>
          <w:color w:val="000000" w:themeColor="text1"/>
          <w:kern w:val="0"/>
        </w:rPr>
        <w:t>月</w:t>
      </w:r>
      <w:r>
        <w:rPr>
          <w:rFonts w:eastAsiaTheme="minorEastAsia"/>
          <w:color w:val="000000" w:themeColor="text1"/>
          <w:kern w:val="0"/>
        </w:rPr>
        <w:t>31</w:t>
      </w:r>
      <w:r>
        <w:rPr>
          <w:rFonts w:eastAsiaTheme="minorEastAsia"/>
          <w:color w:val="000000" w:themeColor="text1"/>
          <w:kern w:val="0"/>
        </w:rPr>
        <w:t>日。</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上投摩根文体休闲混合已进入清算期。</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958,900.55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6.21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14,481,330.73</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93.79</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15,440,231.28</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本基金本报告期末未持有股票。</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lastRenderedPageBreak/>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p w:rsidR="00FF6B9A" w:rsidRPr="00FF6B9A" w:rsidRDefault="00FF6B9A" w:rsidP="00FF6B9A">
      <w:pPr>
        <w:spacing w:line="360" w:lineRule="auto"/>
        <w:ind w:firstLineChars="200" w:firstLine="480"/>
        <w:rPr>
          <w:rFonts w:eastAsiaTheme="minorEastAsia"/>
          <w:sz w:val="24"/>
          <w:szCs w:val="24"/>
        </w:rPr>
      </w:pPr>
      <w:r w:rsidRPr="00FF6B9A">
        <w:rPr>
          <w:rFonts w:eastAsiaTheme="minorEastAsia"/>
          <w:sz w:val="24"/>
          <w:szCs w:val="24"/>
        </w:rPr>
        <w:t>本基金本报告期末未持有股票。</w:t>
      </w:r>
    </w:p>
    <w:bookmarkEnd w:id="1"/>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2,928.79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14,478,022.04</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379.90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14,481,330.73</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19,218,745.28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19,850,065.87</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21,431,083.27</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17,637,727.88</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lastRenderedPageBreak/>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964986">
        <w:tc>
          <w:tcPr>
            <w:tcW w:w="993" w:type="dxa"/>
            <w:vMerge w:val="restart"/>
            <w:vAlign w:val="center"/>
          </w:tcPr>
          <w:p w:rsidR="00964986" w:rsidRDefault="00612E85">
            <w:r>
              <w:rPr>
                <w:bCs/>
                <w:color w:val="000000"/>
                <w:kern w:val="0"/>
              </w:rPr>
              <w:t>机构</w:t>
            </w:r>
          </w:p>
        </w:tc>
        <w:tc>
          <w:tcPr>
            <w:tcW w:w="992" w:type="dxa"/>
            <w:vAlign w:val="center"/>
          </w:tcPr>
          <w:p w:rsidR="00964986" w:rsidRDefault="00612E85">
            <w:pPr>
              <w:jc w:val="center"/>
            </w:pPr>
            <w:r>
              <w:rPr>
                <w:color w:val="000000"/>
                <w:kern w:val="0"/>
              </w:rPr>
              <w:t>1</w:t>
            </w:r>
          </w:p>
        </w:tc>
        <w:tc>
          <w:tcPr>
            <w:tcW w:w="1843" w:type="dxa"/>
            <w:vAlign w:val="center"/>
          </w:tcPr>
          <w:p w:rsidR="00964986" w:rsidRDefault="00612E85">
            <w:pPr>
              <w:jc w:val="center"/>
            </w:pPr>
            <w:r>
              <w:rPr>
                <w:color w:val="000000"/>
                <w:kern w:val="0"/>
              </w:rPr>
              <w:t>20221116-20221122</w:t>
            </w:r>
          </w:p>
        </w:tc>
        <w:tc>
          <w:tcPr>
            <w:tcW w:w="851" w:type="dxa"/>
            <w:vAlign w:val="center"/>
          </w:tcPr>
          <w:p w:rsidR="00964986" w:rsidRDefault="00612E85">
            <w:pPr>
              <w:jc w:val="center"/>
            </w:pPr>
            <w:r>
              <w:rPr>
                <w:color w:val="000000"/>
                <w:kern w:val="0"/>
              </w:rPr>
              <w:t>0.00</w:t>
            </w:r>
          </w:p>
        </w:tc>
        <w:tc>
          <w:tcPr>
            <w:tcW w:w="850" w:type="dxa"/>
            <w:vAlign w:val="center"/>
          </w:tcPr>
          <w:p w:rsidR="00964986" w:rsidRDefault="00612E85">
            <w:pPr>
              <w:jc w:val="center"/>
            </w:pPr>
            <w:r>
              <w:rPr>
                <w:color w:val="000000"/>
                <w:kern w:val="0"/>
              </w:rPr>
              <w:t>19,294,871.79</w:t>
            </w:r>
          </w:p>
        </w:tc>
        <w:tc>
          <w:tcPr>
            <w:tcW w:w="1134" w:type="dxa"/>
            <w:vAlign w:val="center"/>
          </w:tcPr>
          <w:p w:rsidR="00964986" w:rsidRDefault="00612E85">
            <w:pPr>
              <w:jc w:val="center"/>
            </w:pPr>
            <w:r>
              <w:rPr>
                <w:color w:val="000000"/>
                <w:kern w:val="0"/>
              </w:rPr>
              <w:t>19,294,871.79</w:t>
            </w:r>
          </w:p>
        </w:tc>
        <w:tc>
          <w:tcPr>
            <w:tcW w:w="1419" w:type="dxa"/>
            <w:vAlign w:val="center"/>
          </w:tcPr>
          <w:p w:rsidR="00964986" w:rsidRDefault="00612E85">
            <w:pPr>
              <w:jc w:val="center"/>
            </w:pPr>
            <w:r>
              <w:rPr>
                <w:color w:val="000000"/>
                <w:kern w:val="0"/>
              </w:rPr>
              <w:t>0.00</w:t>
            </w:r>
          </w:p>
        </w:tc>
        <w:tc>
          <w:tcPr>
            <w:tcW w:w="1130" w:type="dxa"/>
            <w:vAlign w:val="center"/>
          </w:tcPr>
          <w:p w:rsidR="00964986" w:rsidRDefault="00612E85">
            <w:pPr>
              <w:jc w:val="center"/>
            </w:pPr>
            <w:r>
              <w:rPr>
                <w:color w:val="000000"/>
                <w:kern w:val="0"/>
              </w:rPr>
              <w:t>0.00%</w:t>
            </w:r>
          </w:p>
        </w:tc>
      </w:tr>
      <w:tr w:rsidR="00964986">
        <w:tc>
          <w:tcPr>
            <w:tcW w:w="993" w:type="dxa"/>
            <w:vMerge w:val="restart"/>
            <w:vAlign w:val="center"/>
          </w:tcPr>
          <w:p w:rsidR="00964986" w:rsidRDefault="00612E85">
            <w:r>
              <w:rPr>
                <w:bCs/>
                <w:color w:val="000000"/>
                <w:kern w:val="0"/>
              </w:rPr>
              <w:t>个人</w:t>
            </w:r>
          </w:p>
        </w:tc>
        <w:tc>
          <w:tcPr>
            <w:tcW w:w="992" w:type="dxa"/>
            <w:vAlign w:val="center"/>
          </w:tcPr>
          <w:p w:rsidR="00964986" w:rsidRDefault="00612E85">
            <w:pPr>
              <w:jc w:val="center"/>
            </w:pPr>
            <w:r>
              <w:rPr>
                <w:kern w:val="0"/>
              </w:rPr>
              <w:t>1</w:t>
            </w:r>
          </w:p>
        </w:tc>
        <w:tc>
          <w:tcPr>
            <w:tcW w:w="1843" w:type="dxa"/>
            <w:vAlign w:val="center"/>
          </w:tcPr>
          <w:p w:rsidR="00964986" w:rsidRDefault="00612E85">
            <w:pPr>
              <w:jc w:val="center"/>
            </w:pPr>
            <w:r>
              <w:rPr>
                <w:kern w:val="0"/>
              </w:rPr>
              <w:t>20221001-20221115</w:t>
            </w:r>
          </w:p>
        </w:tc>
        <w:tc>
          <w:tcPr>
            <w:tcW w:w="851" w:type="dxa"/>
            <w:vAlign w:val="center"/>
          </w:tcPr>
          <w:p w:rsidR="00964986" w:rsidRDefault="00612E85">
            <w:pPr>
              <w:jc w:val="center"/>
            </w:pPr>
            <w:r>
              <w:rPr>
                <w:kern w:val="0"/>
              </w:rPr>
              <w:t>3,983,827.49</w:t>
            </w:r>
          </w:p>
        </w:tc>
        <w:tc>
          <w:tcPr>
            <w:tcW w:w="850" w:type="dxa"/>
            <w:vAlign w:val="center"/>
          </w:tcPr>
          <w:p w:rsidR="00964986" w:rsidRDefault="00612E85">
            <w:pPr>
              <w:jc w:val="center"/>
            </w:pPr>
            <w:r>
              <w:rPr>
                <w:kern w:val="0"/>
              </w:rPr>
              <w:t>0.00</w:t>
            </w:r>
          </w:p>
        </w:tc>
        <w:tc>
          <w:tcPr>
            <w:tcW w:w="1134" w:type="dxa"/>
            <w:vAlign w:val="center"/>
          </w:tcPr>
          <w:p w:rsidR="00964986" w:rsidRDefault="00612E85">
            <w:pPr>
              <w:jc w:val="center"/>
            </w:pPr>
            <w:r>
              <w:rPr>
                <w:kern w:val="0"/>
              </w:rPr>
              <w:t>0.00</w:t>
            </w:r>
          </w:p>
        </w:tc>
        <w:tc>
          <w:tcPr>
            <w:tcW w:w="1419" w:type="dxa"/>
            <w:vAlign w:val="center"/>
          </w:tcPr>
          <w:p w:rsidR="00964986" w:rsidRDefault="00612E85">
            <w:pPr>
              <w:jc w:val="center"/>
            </w:pPr>
            <w:r>
              <w:rPr>
                <w:kern w:val="0"/>
              </w:rPr>
              <w:t>3,983,827.49</w:t>
            </w:r>
          </w:p>
        </w:tc>
        <w:tc>
          <w:tcPr>
            <w:tcW w:w="1130" w:type="dxa"/>
            <w:vAlign w:val="center"/>
          </w:tcPr>
          <w:p w:rsidR="00964986" w:rsidRDefault="00612E85">
            <w:pPr>
              <w:jc w:val="center"/>
            </w:pPr>
            <w:r>
              <w:rPr>
                <w:kern w:val="0"/>
              </w:rPr>
              <w:t>22.59%</w:t>
            </w:r>
          </w:p>
        </w:tc>
      </w:tr>
      <w:tr w:rsidR="00964986">
        <w:tc>
          <w:tcPr>
            <w:tcW w:w="993" w:type="dxa"/>
            <w:vMerge/>
          </w:tcPr>
          <w:p w:rsidR="00964986" w:rsidRDefault="00964986"/>
        </w:tc>
        <w:tc>
          <w:tcPr>
            <w:tcW w:w="992" w:type="dxa"/>
            <w:vAlign w:val="center"/>
          </w:tcPr>
          <w:p w:rsidR="00964986" w:rsidRDefault="00612E85">
            <w:pPr>
              <w:jc w:val="center"/>
            </w:pPr>
            <w:r>
              <w:rPr>
                <w:kern w:val="0"/>
              </w:rPr>
              <w:t>2</w:t>
            </w:r>
          </w:p>
        </w:tc>
        <w:tc>
          <w:tcPr>
            <w:tcW w:w="1843" w:type="dxa"/>
            <w:vAlign w:val="center"/>
          </w:tcPr>
          <w:p w:rsidR="00964986" w:rsidRDefault="00612E85">
            <w:pPr>
              <w:jc w:val="center"/>
            </w:pPr>
            <w:r>
              <w:rPr>
                <w:kern w:val="0"/>
              </w:rPr>
              <w:t>20221123-20221222</w:t>
            </w:r>
          </w:p>
        </w:tc>
        <w:tc>
          <w:tcPr>
            <w:tcW w:w="851" w:type="dxa"/>
            <w:vAlign w:val="center"/>
          </w:tcPr>
          <w:p w:rsidR="00964986" w:rsidRDefault="00612E85">
            <w:pPr>
              <w:jc w:val="center"/>
            </w:pPr>
            <w:r>
              <w:rPr>
                <w:kern w:val="0"/>
              </w:rPr>
              <w:t>3,983,827.49</w:t>
            </w:r>
          </w:p>
        </w:tc>
        <w:tc>
          <w:tcPr>
            <w:tcW w:w="850" w:type="dxa"/>
            <w:vAlign w:val="center"/>
          </w:tcPr>
          <w:p w:rsidR="00964986" w:rsidRDefault="00612E85">
            <w:pPr>
              <w:jc w:val="center"/>
            </w:pPr>
            <w:r>
              <w:rPr>
                <w:kern w:val="0"/>
              </w:rPr>
              <w:t>0.00</w:t>
            </w:r>
          </w:p>
        </w:tc>
        <w:tc>
          <w:tcPr>
            <w:tcW w:w="1134" w:type="dxa"/>
            <w:vAlign w:val="center"/>
          </w:tcPr>
          <w:p w:rsidR="00964986" w:rsidRDefault="00612E85">
            <w:pPr>
              <w:jc w:val="center"/>
            </w:pPr>
            <w:r>
              <w:rPr>
                <w:kern w:val="0"/>
              </w:rPr>
              <w:t>0.00</w:t>
            </w:r>
          </w:p>
        </w:tc>
        <w:tc>
          <w:tcPr>
            <w:tcW w:w="1419" w:type="dxa"/>
            <w:vAlign w:val="center"/>
          </w:tcPr>
          <w:p w:rsidR="00964986" w:rsidRDefault="00612E85">
            <w:pPr>
              <w:jc w:val="center"/>
            </w:pPr>
            <w:r>
              <w:rPr>
                <w:kern w:val="0"/>
              </w:rPr>
              <w:t>3,983,827.49</w:t>
            </w:r>
          </w:p>
        </w:tc>
        <w:tc>
          <w:tcPr>
            <w:tcW w:w="1130" w:type="dxa"/>
            <w:vAlign w:val="center"/>
          </w:tcPr>
          <w:p w:rsidR="00964986" w:rsidRDefault="00612E85">
            <w:pPr>
              <w:jc w:val="center"/>
            </w:pPr>
            <w:r>
              <w:rPr>
                <w:kern w:val="0"/>
              </w:rPr>
              <w:t>22.59%</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8.2 </w:t>
      </w:r>
      <w:r w:rsidRPr="00FF6B9A">
        <w:rPr>
          <w:b/>
          <w:bCs/>
          <w:color w:val="000000"/>
          <w:kern w:val="0"/>
          <w:sz w:val="24"/>
          <w:szCs w:val="24"/>
        </w:rPr>
        <w:t>影响投资者决策的其他重要信息</w:t>
      </w:r>
    </w:p>
    <w:p w:rsidR="00D06738" w:rsidRPr="00FF6B9A" w:rsidRDefault="00454D20">
      <w:pPr>
        <w:spacing w:line="360" w:lineRule="auto"/>
        <w:ind w:firstLineChars="200" w:firstLine="420"/>
        <w:rPr>
          <w:color w:val="000000"/>
        </w:rPr>
      </w:pPr>
      <w:r w:rsidRPr="00FF6B9A">
        <w:rPr>
          <w:color w:val="000000"/>
        </w:rPr>
        <w:t>根据基金管理人于</w:t>
      </w:r>
      <w:r w:rsidRPr="00FF6B9A">
        <w:rPr>
          <w:color w:val="000000"/>
        </w:rPr>
        <w:t>2022</w:t>
      </w:r>
      <w:r w:rsidRPr="00FF6B9A">
        <w:rPr>
          <w:color w:val="000000"/>
        </w:rPr>
        <w:t>年</w:t>
      </w:r>
      <w:r w:rsidRPr="00FF6B9A">
        <w:rPr>
          <w:color w:val="000000"/>
        </w:rPr>
        <w:t>12</w:t>
      </w:r>
      <w:r w:rsidRPr="00FF6B9A">
        <w:rPr>
          <w:color w:val="000000"/>
        </w:rPr>
        <w:t>月</w:t>
      </w:r>
      <w:r w:rsidRPr="00FF6B9A">
        <w:rPr>
          <w:color w:val="000000"/>
        </w:rPr>
        <w:t>22</w:t>
      </w:r>
      <w:r w:rsidRPr="00FF6B9A">
        <w:rPr>
          <w:color w:val="000000"/>
        </w:rPr>
        <w:t>日发布的《关于上投摩根文体休闲灵活配置混合型证券投资基金基金份额持有人大会表决结果暨决议生效的公告》，本次基金份额持有人大会于</w:t>
      </w:r>
      <w:r w:rsidRPr="00FF6B9A">
        <w:rPr>
          <w:color w:val="000000"/>
        </w:rPr>
        <w:t>2022</w:t>
      </w:r>
      <w:r w:rsidRPr="00FF6B9A">
        <w:rPr>
          <w:color w:val="000000"/>
        </w:rPr>
        <w:t>年</w:t>
      </w:r>
      <w:r w:rsidRPr="00FF6B9A">
        <w:rPr>
          <w:color w:val="000000"/>
        </w:rPr>
        <w:t>12</w:t>
      </w:r>
      <w:r w:rsidRPr="00FF6B9A">
        <w:rPr>
          <w:color w:val="000000"/>
        </w:rPr>
        <w:t>月</w:t>
      </w:r>
      <w:r w:rsidRPr="00FF6B9A">
        <w:rPr>
          <w:color w:val="000000"/>
        </w:rPr>
        <w:t>20</w:t>
      </w:r>
      <w:r w:rsidRPr="00FF6B9A">
        <w:rPr>
          <w:color w:val="000000"/>
        </w:rPr>
        <w:t>日表决通过了《关于上投摩根文体休闲灵活配置混合型证券投资基金终止基金合同有关事项的议案》，决议自该日起生效。该基金份额持有人大会决议生效后，根据基金份额持有人大会通过的议案及方案说明，本基金将从本公告的下一日，即</w:t>
      </w:r>
      <w:r w:rsidRPr="00FF6B9A">
        <w:rPr>
          <w:color w:val="000000"/>
        </w:rPr>
        <w:t>2022</w:t>
      </w:r>
      <w:r w:rsidRPr="00FF6B9A">
        <w:rPr>
          <w:color w:val="000000"/>
        </w:rPr>
        <w:t>年</w:t>
      </w:r>
      <w:r w:rsidRPr="00FF6B9A">
        <w:rPr>
          <w:color w:val="000000"/>
        </w:rPr>
        <w:t>12</w:t>
      </w:r>
      <w:r w:rsidRPr="00FF6B9A">
        <w:rPr>
          <w:color w:val="000000"/>
        </w:rPr>
        <w:t>月</w:t>
      </w:r>
      <w:r w:rsidRPr="00FF6B9A">
        <w:rPr>
          <w:color w:val="000000"/>
        </w:rPr>
        <w:t>23</w:t>
      </w:r>
      <w:r w:rsidRPr="00FF6B9A">
        <w:rPr>
          <w:color w:val="000000"/>
        </w:rPr>
        <w:t>日起进入基金财产清算期。本基金进入清算程序后，即自</w:t>
      </w:r>
      <w:r w:rsidRPr="00FF6B9A">
        <w:rPr>
          <w:color w:val="000000"/>
        </w:rPr>
        <w:t>2022</w:t>
      </w:r>
      <w:r w:rsidRPr="00FF6B9A">
        <w:rPr>
          <w:color w:val="000000"/>
        </w:rPr>
        <w:t>年</w:t>
      </w:r>
      <w:r w:rsidRPr="00FF6B9A">
        <w:rPr>
          <w:color w:val="000000"/>
        </w:rPr>
        <w:t>12</w:t>
      </w:r>
      <w:r w:rsidRPr="00FF6B9A">
        <w:rPr>
          <w:color w:val="000000"/>
        </w:rPr>
        <w:t>月</w:t>
      </w:r>
      <w:r w:rsidRPr="00FF6B9A">
        <w:rPr>
          <w:color w:val="000000"/>
        </w:rPr>
        <w:t>23</w:t>
      </w:r>
      <w:r w:rsidRPr="00FF6B9A">
        <w:rPr>
          <w:color w:val="000000"/>
        </w:rPr>
        <w:t>日起，不再接受投资者提出的申购、赎回、转换及定期定额投资等业务的申请，且不再计提管理费、托管费。</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lastRenderedPageBreak/>
        <w:t>1</w:t>
      </w:r>
      <w:r>
        <w:rPr>
          <w:rFonts w:eastAsiaTheme="minorEastAsia"/>
          <w:color w:val="000000" w:themeColor="text1"/>
        </w:rPr>
        <w:t>、中国证监会准予上投摩根文体休闲灵活配置混合型证券投资基金募集注册的文件</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、《上投摩根文体休闲灵活配置混合型证券投资基金基金合同》</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、《上投摩根文体休闲灵活配置混合型证券投资基金托管协议》</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、《上投摩根基金管理有限公司开放式基金业务规则》</w:t>
      </w:r>
    </w:p>
    <w:p w:rsidR="00964986" w:rsidRDefault="00612E85">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6</w:t>
      </w:r>
      <w:r w:rsidRPr="00FF6B9A">
        <w:rPr>
          <w:rFonts w:eastAsiaTheme="minorEastAsia"/>
          <w:color w:val="000000" w:themeColor="text1"/>
        </w:rPr>
        <w:t>、基金托管人业务资格批件、营业执照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二〇二三年一月二十日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59" w:rsidRDefault="00EB2159">
      <w:r>
        <w:separator/>
      </w:r>
    </w:p>
  </w:endnote>
  <w:endnote w:type="continuationSeparator" w:id="0">
    <w:p w:rsidR="00EB2159" w:rsidRDefault="00EB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612E85" w:rsidRPr="00612E85">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612E85">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59" w:rsidRDefault="00EB2159">
      <w:r>
        <w:separator/>
      </w:r>
    </w:p>
  </w:footnote>
  <w:footnote w:type="continuationSeparator" w:id="0">
    <w:p w:rsidR="00EB2159" w:rsidRDefault="00EB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上投摩根文体休闲灵活配置混合型证券投资基金</w:t>
    </w:r>
    <w:r>
      <w:rPr>
        <w:rFonts w:hint="eastAsia"/>
      </w:rPr>
      <w:t>2022</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2E85"/>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64986"/>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ADCDF-D8B7-46A7-974F-CC3EA002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269</cp:revision>
  <dcterms:created xsi:type="dcterms:W3CDTF">2012-10-16T06:07:00Z</dcterms:created>
  <dcterms:modified xsi:type="dcterms:W3CDTF">2023-01-19T06:38:00Z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