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44C15BA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E65E7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C3405E"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05892C05"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7A6A756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1281750"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上投摩根文体休闲灵活配置混合型证券投资基金</w:t>
      </w:r>
    </w:p>
    <w:p w14:paraId="5A1338CB"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2021年第3季度报告</w:t>
      </w:r>
    </w:p>
    <w:p w14:paraId="2E76B0B1"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2021年9月30日</w:t>
      </w:r>
    </w:p>
    <w:p w14:paraId="1A655430" w14:textId="77777777" w:rsidR="00D06738" w:rsidRDefault="00D06738" w:rsidRPr="00FF6B9A">
      <w:pPr>
        <w:spacing w:line="360" w:lineRule="auto"/>
        <w:jc w:val="center"/>
        <w:rPr>
          <w:rFonts w:eastAsiaTheme="minorEastAsia"/>
          <w:b/>
          <w:bCs/>
          <w:color w:themeColor="text1" w:val="000000"/>
          <w:sz w:val="24"/>
          <w:szCs w:val="24"/>
        </w:rPr>
      </w:pPr>
    </w:p>
    <w:p w14:paraId="3C5B7FC4" w14:textId="77777777" w:rsidR="00D06738" w:rsidRDefault="00D06738" w:rsidRPr="00FF6B9A">
      <w:pPr>
        <w:spacing w:line="360" w:lineRule="auto"/>
        <w:jc w:val="center"/>
        <w:rPr>
          <w:rFonts w:eastAsiaTheme="minorEastAsia"/>
          <w:b/>
          <w:bCs/>
          <w:color w:themeColor="text1" w:val="000000"/>
          <w:sz w:val="24"/>
          <w:szCs w:val="24"/>
        </w:rPr>
      </w:pPr>
    </w:p>
    <w:p w14:paraId="1D41633D" w14:textId="77777777" w:rsidR="00D06738" w:rsidRDefault="00D06738" w:rsidRPr="00FF6B9A">
      <w:pPr>
        <w:spacing w:line="360" w:lineRule="auto"/>
        <w:jc w:val="center"/>
        <w:rPr>
          <w:rFonts w:eastAsiaTheme="minorEastAsia"/>
          <w:b/>
          <w:bCs/>
          <w:color w:themeColor="text1" w:val="000000"/>
          <w:sz w:val="24"/>
          <w:szCs w:val="24"/>
        </w:rPr>
      </w:pPr>
    </w:p>
    <w:p w14:paraId="7088D740" w14:textId="77777777" w:rsidR="00D06738" w:rsidRDefault="00D06738" w:rsidRPr="00FF6B9A">
      <w:pPr>
        <w:spacing w:line="360" w:lineRule="auto"/>
        <w:jc w:val="center"/>
        <w:rPr>
          <w:rFonts w:eastAsiaTheme="minorEastAsia"/>
          <w:b/>
          <w:bCs/>
          <w:color w:themeColor="text1" w:val="000000"/>
          <w:sz w:val="24"/>
          <w:szCs w:val="24"/>
        </w:rPr>
      </w:pPr>
    </w:p>
    <w:p w14:paraId="4CB6A604" w14:textId="77777777" w:rsidR="00D06738" w:rsidRDefault="00D06738" w:rsidRPr="00FF6B9A">
      <w:pPr>
        <w:spacing w:line="360" w:lineRule="auto"/>
        <w:jc w:val="center"/>
        <w:rPr>
          <w:rFonts w:eastAsiaTheme="minorEastAsia"/>
          <w:b/>
          <w:bCs/>
          <w:color w:themeColor="text1" w:val="000000"/>
          <w:sz w:val="24"/>
          <w:szCs w:val="24"/>
        </w:rPr>
      </w:pPr>
    </w:p>
    <w:p w14:paraId="160BB35C" w14:textId="77777777" w:rsidR="00D06738" w:rsidRDefault="00D06738" w:rsidRPr="00FF6B9A">
      <w:pPr>
        <w:spacing w:line="360" w:lineRule="auto"/>
        <w:jc w:val="center"/>
        <w:rPr>
          <w:rFonts w:eastAsiaTheme="minorEastAsia"/>
          <w:b/>
          <w:bCs/>
          <w:color w:themeColor="text1" w:val="000000"/>
          <w:sz w:val="24"/>
          <w:szCs w:val="24"/>
        </w:rPr>
      </w:pPr>
    </w:p>
    <w:p w14:paraId="59EC83F9" w14:textId="77777777" w:rsidR="00D06738" w:rsidRDefault="00D06738" w:rsidRPr="00FF6B9A">
      <w:pPr>
        <w:spacing w:line="360" w:lineRule="auto"/>
        <w:jc w:val="center"/>
        <w:rPr>
          <w:rFonts w:eastAsiaTheme="minorEastAsia"/>
          <w:b/>
          <w:bCs/>
          <w:color w:themeColor="text1" w:val="000000"/>
          <w:sz w:val="24"/>
          <w:szCs w:val="24"/>
        </w:rPr>
      </w:pPr>
    </w:p>
    <w:p w14:paraId="618FC018" w14:textId="77777777" w:rsidR="00D06738" w:rsidRDefault="00D06738" w:rsidRPr="00FF6B9A">
      <w:pPr>
        <w:spacing w:line="360" w:lineRule="auto"/>
        <w:jc w:val="center"/>
        <w:rPr>
          <w:rFonts w:eastAsiaTheme="minorEastAsia"/>
          <w:b/>
          <w:bCs/>
          <w:color w:themeColor="text1" w:val="000000"/>
          <w:sz w:val="24"/>
          <w:szCs w:val="24"/>
        </w:rPr>
      </w:pPr>
    </w:p>
    <w:p w14:paraId="62C95459" w14:textId="77777777" w:rsidR="00D06738" w:rsidRDefault="00D06738" w:rsidRPr="00FF6B9A">
      <w:pPr>
        <w:spacing w:line="360" w:lineRule="auto"/>
        <w:jc w:val="center"/>
        <w:rPr>
          <w:rFonts w:eastAsiaTheme="minorEastAsia"/>
          <w:b/>
          <w:bCs/>
          <w:color w:themeColor="text1" w:val="000000"/>
          <w:sz w:val="24"/>
          <w:szCs w:val="24"/>
        </w:rPr>
      </w:pPr>
    </w:p>
    <w:p w14:paraId="60B5CF4B" w14:textId="77777777" w:rsidR="00D06738" w:rsidRDefault="00D06738" w:rsidRPr="00FF6B9A">
      <w:pPr>
        <w:spacing w:line="360" w:lineRule="auto"/>
        <w:jc w:val="center"/>
        <w:rPr>
          <w:rFonts w:eastAsiaTheme="minorEastAsia"/>
          <w:b/>
          <w:bCs/>
          <w:color w:themeColor="text1" w:val="000000"/>
          <w:sz w:val="24"/>
          <w:szCs w:val="24"/>
        </w:rPr>
      </w:pPr>
    </w:p>
    <w:p w14:paraId="39DE5ED7" w14:textId="77777777" w:rsidR="00D06738" w:rsidRDefault="00D06738" w:rsidRPr="00FF6B9A">
      <w:pPr>
        <w:spacing w:line="360" w:lineRule="auto"/>
        <w:jc w:val="center"/>
        <w:rPr>
          <w:rFonts w:eastAsiaTheme="minorEastAsia"/>
          <w:b/>
          <w:bCs/>
          <w:color w:themeColor="text1" w:val="000000"/>
          <w:sz w:val="24"/>
          <w:szCs w:val="24"/>
        </w:rPr>
      </w:pPr>
    </w:p>
    <w:p w14:paraId="22E93BD8" w14:textId="77777777" w:rsidR="00D06738" w:rsidRDefault="00D06738" w:rsidRPr="00FF6B9A">
      <w:pPr>
        <w:spacing w:line="360" w:lineRule="auto"/>
        <w:jc w:val="center"/>
        <w:rPr>
          <w:rFonts w:eastAsiaTheme="minorEastAsia"/>
          <w:b/>
          <w:bCs/>
          <w:color w:themeColor="text1" w:val="000000"/>
          <w:sz w:val="24"/>
          <w:szCs w:val="24"/>
        </w:rPr>
      </w:pPr>
    </w:p>
    <w:p w14:paraId="68A989DC" w14:textId="77777777" w:rsidR="00D06738" w:rsidRDefault="00D06738" w:rsidRPr="00FF6B9A">
      <w:pPr>
        <w:spacing w:line="360" w:lineRule="auto"/>
        <w:jc w:val="center"/>
        <w:rPr>
          <w:rFonts w:eastAsiaTheme="minorEastAsia"/>
          <w:b/>
          <w:bCs/>
          <w:color w:themeColor="text1" w:val="000000"/>
          <w:sz w:val="24"/>
          <w:szCs w:val="24"/>
        </w:rPr>
      </w:pPr>
    </w:p>
    <w:p w14:paraId="4B1AA632" w14:textId="77777777" w:rsidR="00D06738" w:rsidRDefault="00D06738" w:rsidRPr="00FF6B9A">
      <w:pPr>
        <w:spacing w:line="360" w:lineRule="auto"/>
        <w:rPr>
          <w:rFonts w:eastAsiaTheme="minorEastAsia"/>
          <w:b/>
          <w:bCs/>
          <w:color w:themeColor="text1" w:val="000000"/>
          <w:sz w:val="24"/>
          <w:szCs w:val="24"/>
        </w:rPr>
      </w:pPr>
    </w:p>
    <w:p w14:paraId="5866ADDF"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基金管理人：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上投摩根基金管理有限公司</w:t>
      </w:r>
    </w:p>
    <w:p w14:paraId="76291874"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基金托管人：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中国银行股份有限公司</w:t>
      </w:r>
    </w:p>
    <w:p w14:paraId="219C0F2E" w14:textId="77777777" w:rsidR="00D06738" w:rsidRDefault="00454D20" w:rsidRPr="00FF6B9A">
      <w:pPr>
        <w:spacing w:line="360" w:lineRule="auto"/>
        <w:ind w:firstLine="2168" w:firstLineChars="900"/>
        <w:rPr>
          <w:rFonts w:eastAsiaTheme="minorEastAsia"/>
          <w:b/>
          <w:color w:themeColor="text1" w:val="000000"/>
          <w:sz w:val="24"/>
          <w:szCs w:val="24"/>
        </w:rPr>
        <w:sectPr w:rsidR="00D06738" w:rsidRPr="00FF6B9A">
          <w:headerReference r:id="rId8" w:type="default"/>
          <w:footerReference r:id="rId9" w:type="default"/>
          <w:pgSz w:h="15840" w:w="11926"/>
          <w:pgMar w:bottom="851" w:footer="992" w:gutter="0" w:header="851" w:left="1418" w:right="1418" w:top="1418"/>
          <w:cols w:space="720"/>
        </w:sectPr>
      </w:pPr>
      <w:r w:rsidRPr="00FF6B9A">
        <w:rPr>
          <w:rFonts w:eastAsiaTheme="minorEastAsia"/>
          <w:b/>
          <w:color w:themeColor="text1" w:val="000000"/>
          <w:sz w:val="24"/>
          <w:szCs w:val="24"/>
        </w:rPr>
        <w:t>报告送出日期：</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二〇二一年十月二十七日</w:t>
      </w:r>
    </w:p>
    <w:p w14:paraId="7AFF270F" w14:textId="77777777" w:rsidR="00D06738" w:rsidRDefault="00454D20" w:rsidRPr="00FF6B9A">
      <w:pPr>
        <w:pStyle w:val="1"/>
        <w:spacing w:after="312" w:afterLines="100" w:before="312" w:beforeLines="100" w:line="360" w:lineRule="auto"/>
        <w:jc w:val="center"/>
        <w:rPr>
          <w:rFonts w:eastAsiaTheme="minorEastAsia"/>
          <w:b w:val="0"/>
          <w:bCs w:val="0"/>
          <w:color w:themeColor="text1" w:val="000000"/>
          <w:kern w:val="0"/>
          <w:sz w:val="24"/>
          <w:szCs w:val="24"/>
        </w:rPr>
      </w:pPr>
      <w:r w:rsidRPr="00FF6B9A">
        <w:rPr>
          <w:rFonts w:eastAsiaTheme="minorEastAsia"/>
          <w:color w:themeColor="text1" w:val="000000"/>
          <w:kern w:val="0"/>
          <w:sz w:val="24"/>
          <w:szCs w:val="24"/>
        </w:rPr>
        <w:lastRenderedPageBreak/>
        <w:t xml:space="preserve">§1  </w:t>
      </w:r>
      <w:r w:rsidRPr="00FF6B9A">
        <w:rPr>
          <w:rFonts w:eastAsiaTheme="minorEastAsia"/>
          <w:color w:themeColor="text1" w:val="000000"/>
          <w:kern w:val="0"/>
          <w:sz w:val="24"/>
          <w:szCs w:val="24"/>
        </w:rPr>
        <w:t>重要提示</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基金托管人中国银行股份有限公司根据本基金合同规定，于2021年10月26日复核了本报告中的财务指标、净值表现和投资组合报告等内容，保证复核内容不存在虚假记载、误导性陈述或者重大遗漏。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rPr>
      </w:pPr>
      <w:r>
        <w:rPr>
          <w:rFonts w:eastAsiaTheme="minorEastAsia"/>
          <w:color w:themeColor="text1" w:val="000000"/>
        </w:rPr>
        <w:t>本报告中财务资料未经审计。</w:t>
      </w:r>
    </w:p>
    <w:p w14:paraId="298A5200"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本报告期自2021年7月1日起至9月30日止。</w:t>
      </w:r>
    </w:p>
    <w:p w14:paraId="3A78A50A"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§2  </w:t>
      </w:r>
      <w:r w:rsidRPr="00FF6B9A">
        <w:rPr>
          <w:rFonts w:eastAsiaTheme="minor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rsidRPr="00FF6B9A">
        <w:tc>
          <w:tcPr>
            <w:tcW w:type="dxa" w:w="2835"/>
            <w:vAlign w:val="center"/>
          </w:tcPr>
          <w:p w14:paraId="41603EB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基金简称</w:t>
            </w:r>
          </w:p>
        </w:tc>
        <w:tc>
          <w:tcPr>
            <w:tcW w:type="dxa" w:w="5479"/>
            <w:gridSpan w:val="2"/>
            <w:vAlign w:val="center"/>
          </w:tcPr>
          <w:p w14:paraId="245289E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上投摩根文体休闲混合</w:t>
            </w:r>
          </w:p>
        </w:tc>
      </w:tr>
      <w:tr w14:paraId="6487C456"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001795</w:t>
            </w:r>
          </w:p>
        </w:tc>
      </w:tr>
      <w:tr w14:paraId="2443AB88"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001795</w:t>
            </w:r>
          </w:p>
        </w:tc>
      </w:tr>
      <w:tr w14:paraId="7AF1FD7C" w14:textId="77777777" w:rsidR="00D06738" w:rsidRPr="00FF6B9A">
        <w:tc>
          <w:tcPr>
            <w:tcW w:type="dxa" w:w="2835"/>
            <w:vAlign w:val="center"/>
          </w:tcPr>
          <w:p w14:paraId="042D4F2C"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基金运作方式</w:t>
            </w:r>
          </w:p>
        </w:tc>
        <w:tc>
          <w:tcPr>
            <w:tcW w:type="dxa" w:w="5479"/>
            <w:gridSpan w:val="2"/>
            <w:vAlign w:val="center"/>
          </w:tcPr>
          <w:p w14:paraId="594303B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契约型开放式</w:t>
            </w:r>
          </w:p>
        </w:tc>
      </w:tr>
      <w:tr w14:paraId="5E254ABC" w14:textId="77777777" w:rsidR="00D06738" w:rsidRPr="00FF6B9A">
        <w:tc>
          <w:tcPr>
            <w:tcW w:type="dxa" w:w="2835"/>
            <w:vAlign w:val="center"/>
          </w:tcPr>
          <w:p w14:paraId="309669DF"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基金合同生效日</w:t>
            </w:r>
          </w:p>
        </w:tc>
        <w:tc>
          <w:tcPr>
            <w:tcW w:type="dxa" w:w="5479"/>
            <w:gridSpan w:val="2"/>
            <w:vAlign w:val="center"/>
          </w:tcPr>
          <w:p w14:paraId="1568522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2015年12月23日</w:t>
            </w:r>
          </w:p>
        </w:tc>
      </w:tr>
      <w:tr w14:paraId="06DF9713" w14:textId="77777777" w:rsidR="00D06738" w:rsidRPr="00FF6B9A">
        <w:tc>
          <w:tcPr>
            <w:tcW w:type="dxa" w:w="2835"/>
            <w:vAlign w:val="center"/>
          </w:tcPr>
          <w:p w14:paraId="57B0E59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报告期末基金份额总额</w:t>
            </w:r>
          </w:p>
        </w:tc>
        <w:tc>
          <w:tcPr>
            <w:tcW w:type="dxa" w:w="5479"/>
            <w:gridSpan w:val="2"/>
            <w:vAlign w:val="center"/>
          </w:tcPr>
          <w:p w14:paraId="38649CC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20,670,911.80</w:t>
            </w:r>
            <w:r w:rsidRPr="00FF6B9A">
              <w:rPr>
                <w:rFonts w:eastAsiaTheme="minorEastAsia"/>
                <w:color w:themeColor="text1" w:val="000000"/>
                <w:kern w:val="0"/>
              </w:rPr>
              <w:t>份</w:t>
            </w:r>
          </w:p>
        </w:tc>
      </w:tr>
      <w:tr w14:paraId="03D1AE98" w14:textId="77777777" w:rsidR="00D06738" w:rsidRPr="00FF6B9A">
        <w:tc>
          <w:tcPr>
            <w:tcW w:type="dxa" w:w="2835"/>
            <w:vAlign w:val="center"/>
          </w:tcPr>
          <w:p w14:paraId="4AB3756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投资目标</w:t>
            </w:r>
          </w:p>
        </w:tc>
        <w:tc>
          <w:tcPr>
            <w:tcW w:type="dxa" w:w="5479"/>
            <w:gridSpan w:val="2"/>
            <w:vAlign w:val="center"/>
          </w:tcPr>
          <w:p w14:paraId="61AB4DB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采用定量及定性研究方法，自上而下进行宏观产业分析，自下而上优选文体休闲主题上市公司，通过严格的风险控制，力争实现基金资产的长期增值。</w:t>
            </w:r>
          </w:p>
        </w:tc>
      </w:tr>
      <w:tr w14:paraId="0CFEC550" w14:textId="77777777" w:rsidR="00D06738" w:rsidRPr="00FF6B9A">
        <w:tc>
          <w:tcPr>
            <w:tcW w:type="dxa" w:w="2835"/>
            <w:vAlign w:val="center"/>
          </w:tcPr>
          <w:p w14:paraId="1E239E6A"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投资策略</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1、资产配置策略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本基金将综合分析和持续跟踪基本面、政策面、市场面等多方面因素，对宏观经济、国家政策、资金面和市场情绪等影响证券市场的重要因素进行深入分析，确定合适的资产配置比例。</w:t>
            </w:r>
          </w:p>
          <w:p>
            <w:pPr>
              <w:adjustRightInd w:val="0"/>
              <w:spacing w:before="29" w:line="360" w:lineRule="auto"/>
              <w:ind w:left="17"/>
              <w:rPr>
                <w:rFonts w:eastAsiaTheme="minorEastAsia"/>
                <w:color w:themeColor="text1" w:val="000000"/>
              </w:rPr>
            </w:pPr>
            <w:r>
              <w:rPr>
                <w:rFonts w:eastAsiaTheme="minorEastAsia"/>
                <w:color w:themeColor="text1" w:val="000000"/>
                <w:kern w:val="0"/>
              </w:rPr>
              <w:t>2、股票投资策略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根据本基金投资理念及投资目标，本基金在申银万国一级行业分类中选取了以下与文体休闲主题相关的行业，分别是：传媒、计算机、电子、休闲服务、房地产、纺织服装、轻工制造、商业贸易、通信、家用电器、交通运输、汽车、食品饮料、综合。我们将遵循自上而下的宏观产业分析逻辑，从行业生命周期、行业景气度、行业竞争格局等多角度，综合评估各个行业的投资价值，对基金资产在行业间分配进行安排。本基金将通过系统和深入的基本面研究，密切关注受益于国家文化体育产业政策扶持、满足城镇居民生活水平提高和消费升级需求的行业和公司，同时重点投资于创新商业模式、引领新的生活方式和消费习惯的相关行业及公司。</w:t>
            </w:r>
          </w:p>
          <w:p>
            <w:pPr>
              <w:adjustRightInd w:val="0"/>
              <w:spacing w:before="29" w:line="360" w:lineRule="auto"/>
              <w:ind w:left="17"/>
              <w:rPr>
                <w:rFonts w:eastAsiaTheme="minorEastAsia"/>
                <w:color w:themeColor="text1" w:val="000000"/>
              </w:rPr>
            </w:pPr>
            <w:r>
              <w:rPr>
                <w:rFonts w:eastAsiaTheme="minorEastAsia"/>
                <w:color w:themeColor="text1" w:val="000000"/>
                <w:kern w:val="0"/>
              </w:rPr>
              <w:t>3、固定收益类投资策略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对于固定收益类资产的选择，本基金将以价值分析为主线，在综合研究的基础上实施积极主动的组合管理，自上而下进行组合构建，自下而上进行个券选择。</w:t>
            </w:r>
          </w:p>
          <w:p w14:paraId="57810DE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4、其他投资策略：包括可转换债券投资策略、中小企业私募债投资策略、股指期货投资策略、股票期权投资策略、资产支持证券投资策略、存托凭证投资策略。</w:t>
            </w:r>
          </w:p>
        </w:tc>
      </w:tr>
      <w:tr w14:paraId="43AD7C9F" w14:textId="77777777" w:rsidR="00D06738" w:rsidRPr="00FF6B9A">
        <w:tc>
          <w:tcPr>
            <w:tcW w:type="dxa" w:w="2835"/>
            <w:vAlign w:val="center"/>
          </w:tcPr>
          <w:p w14:paraId="24E44D9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业绩比较基准</w:t>
            </w:r>
          </w:p>
        </w:tc>
        <w:tc>
          <w:tcPr>
            <w:tcW w:type="dxa" w:w="5479"/>
            <w:gridSpan w:val="2"/>
            <w:vAlign w:val="center"/>
          </w:tcPr>
          <w:p w14:paraId="6581E7F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中证800指数收益率*60%+中债总指数收益率*40%</w:t>
            </w:r>
          </w:p>
        </w:tc>
      </w:tr>
      <w:tr w14:paraId="42EA0DB3" w14:textId="77777777" w:rsidR="00D06738" w:rsidRPr="00FF6B9A">
        <w:tc>
          <w:tcPr>
            <w:tcW w:type="dxa" w:w="2835"/>
            <w:vAlign w:val="center"/>
          </w:tcPr>
          <w:p w14:paraId="7192C3F0"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风险收益特征</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本基金属于混合型基金产品，预期风险和收益水平高于债券型基金和货币市场基金，低于股票型基金，属于较高风险收益水平的基金产品。</w:t>
            </w:r>
          </w:p>
          <w:p w14:paraId="2673C8C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rsidRPr="00FF6B9A">
        <w:tc>
          <w:tcPr>
            <w:tcW w:type="dxa" w:w="2835"/>
            <w:vAlign w:val="center"/>
          </w:tcPr>
          <w:p w14:paraId="281C6797"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基金管理人</w:t>
            </w:r>
          </w:p>
        </w:tc>
        <w:tc>
          <w:tcPr>
            <w:tcW w:type="dxa" w:w="5479"/>
            <w:gridSpan w:val="2"/>
            <w:vAlign w:val="center"/>
          </w:tcPr>
          <w:p w14:paraId="64BEE458"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上投摩根基金管理有限公司</w:t>
            </w:r>
          </w:p>
        </w:tc>
      </w:tr>
      <w:tr w14:paraId="76894E86" w14:textId="77777777" w:rsidR="00D06738" w:rsidRPr="00FF6B9A">
        <w:tc>
          <w:tcPr>
            <w:tcW w:type="dxa" w:w="2835"/>
            <w:vAlign w:val="center"/>
          </w:tcPr>
          <w:p w14:paraId="7825DD9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基金托管人</w:t>
            </w:r>
          </w:p>
        </w:tc>
        <w:tc>
          <w:tcPr>
            <w:tcW w:type="dxa" w:w="5479"/>
            <w:gridSpan w:val="2"/>
            <w:vAlign w:val="center"/>
          </w:tcPr>
          <w:p w14:paraId="5FB3246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中国银行股份有限公司</w:t>
            </w:r>
          </w:p>
        </w:tc>
      </w:tr>
    </w:tbl>
    <w:p w14:paraId="0FD2B1FF"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§3  </w:t>
      </w:r>
      <w:r w:rsidRPr="00FF6B9A">
        <w:rPr>
          <w:rFonts w:eastAsiaTheme="minorEastAsia"/>
          <w:color w:themeColor="text1" w:val="000000"/>
          <w:kern w:val="0"/>
          <w:sz w:val="24"/>
          <w:szCs w:val="24"/>
        </w:rPr>
        <w:t>主要财务指标和基金净值表现</w:t>
      </w:r>
    </w:p>
    <w:p w14:paraId="210337B7"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3.1 </w:t>
      </w:r>
      <w:r w:rsidRPr="00FF6B9A">
        <w:rPr>
          <w:rFonts w:eastAsiaTheme="minorEastAsia"/>
          <w:b/>
          <w:bCs/>
          <w:color w:themeColor="text1" w:val="000000"/>
          <w:kern w:val="0"/>
          <w:sz w:val="24"/>
          <w:szCs w:val="24"/>
        </w:rPr>
        <w:t>主要财务指标</w:t>
      </w:r>
    </w:p>
    <w:p w14:paraId="137D242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rsidRPr="00FF6B9A">
        <w:tc>
          <w:tcPr>
            <w:tcW w:type="dxa" w:w="3402"/>
            <w:vAlign w:val="center"/>
          </w:tcPr>
          <w:p w14:paraId="42E18AC5" w14:textId="77777777" w:rsidR="00D06738" w:rsidRDefault="00454D20" w:rsidRPr="00FF6B9A">
            <w:pPr>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主要财务指标</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4962"/>
            <w:hMerge w:val="restart"/>
            <w:vAlign w:val="center"/>
          </w:tcPr>
          <w:p w14:paraId="619578C9"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报告期</w:t>
            </w:r>
          </w:p>
          <w:p w14:paraId="3E47B353"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w:t>
            </w:r>
            <w:proofErr w:type="spellStart"/>
            <w:r w:rsidRPr="00FF6B9A">
              <w:rPr>
                <w:rFonts w:eastAsiaTheme="minorEastAsia"/>
                <w:color w:themeColor="text1" w:val="000000"/>
              </w:rPr>
              <w:t/>
            </w:r>
            <w:proofErr w:type="spellEnd"/>
            <w:r w:rsidRPr="00FF6B9A">
              <w:rPr>
                <w:rFonts w:eastAsiaTheme="minorEastAsia"/>
                <w:color w:themeColor="text1" w:val="000000"/>
              </w:rPr>
              <w:t>2021年7月1日-</w:t>
            </w:r>
            <w:proofErr w:type="spellStart"/>
            <w:r w:rsidRPr="00FF6B9A">
              <w:rPr>
                <w:rFonts w:eastAsiaTheme="minorEastAsia"/>
                <w:color w:themeColor="text1" w:val="000000"/>
              </w:rPr>
              <w:t/>
            </w:r>
            <w:proofErr w:type="spellEnd"/>
            <w:r w:rsidRPr="00FF6B9A">
              <w:rPr>
                <w:rFonts w:eastAsiaTheme="minorEastAsia"/>
                <w:color w:themeColor="text1" w:val="000000"/>
              </w:rPr>
              <w:t>2021年9月30日)</w:t>
            </w:r>
          </w:p>
        </w:tc>
        <w:tc>
          <w:tcPr>
            <w:tcW w:type="dxa" w:w="2410"/>
            <w:hMerge/>
            <w:vAlign w:val="center"/>
          </w:tcPr>
          <w:p w14:paraId="5FB75E1A"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上期金额</w:t>
            </w: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
            </w:r>
          </w:p>
        </w:tc>
      </w:tr>
      <w:tr w14:paraId="221834C8" w14:textId="77777777" w:rsidR="00D06738" w:rsidRPr="00FF6B9A">
        <w:tc>
          <w:tcPr>
            <w:tcW w:type="dxa" w:w="3402"/>
            <w:vAlign w:val="center"/>
          </w:tcPr>
          <w:p w14:paraId="19330D2C"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1.</w:t>
            </w:r>
            <w:r w:rsidRPr="00FF6B9A">
              <w:rPr>
                <w:rFonts w:eastAsiaTheme="minorEastAsia"/>
                <w:color w:themeColor="text1" w:val="000000"/>
                <w:kern w:val="0"/>
              </w:rPr>
              <w:t>本期已实现收益</w:t>
            </w:r>
          </w:p>
        </w:tc>
        <w:tc>
          <w:tcPr>
            <w:tcW w:type="dxa" w:w="4962"/>
            <w:hMerge w:val="restart"/>
            <w:vAlign w:val="center"/>
          </w:tcPr>
          <w:p w14:paraId="568D140B"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2,072,610.17</w:t>
            </w:r>
          </w:p>
        </w:tc>
        <w:tc>
          <w:tcPr>
            <w:tcW w:type="dxa" w:w="2410"/>
            <w:hMerge/>
            <w:vAlign w:val="center"/>
          </w:tcPr>
          <w:p w14:paraId="7D46D9A3"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0AEC81A" w14:textId="77777777" w:rsidR="00D06738" w:rsidRPr="00FF6B9A">
        <w:tc>
          <w:tcPr>
            <w:tcW w:type="dxa" w:w="3402"/>
            <w:vAlign w:val="center"/>
          </w:tcPr>
          <w:p w14:paraId="15ADAC28"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2.</w:t>
            </w:r>
            <w:r w:rsidRPr="00FF6B9A">
              <w:rPr>
                <w:rFonts w:eastAsiaTheme="minorEastAsia"/>
                <w:color w:themeColor="text1" w:val="000000"/>
                <w:kern w:val="0"/>
              </w:rPr>
              <w:t>本期利润</w:t>
            </w:r>
          </w:p>
        </w:tc>
        <w:tc>
          <w:tcPr>
            <w:tcW w:type="dxa" w:w="4962"/>
            <w:hMerge w:val="restart"/>
            <w:vAlign w:val="center"/>
          </w:tcPr>
          <w:p w14:paraId="42B249A8"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-2,563,093.02</w:t>
            </w:r>
          </w:p>
        </w:tc>
        <w:tc>
          <w:tcPr>
            <w:tcW w:type="dxa" w:w="2410"/>
            <w:hMerge/>
            <w:vAlign w:val="center"/>
          </w:tcPr>
          <w:p w14:paraId="4CC084A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C8E1F6F" w14:textId="77777777" w:rsidR="00D06738" w:rsidRPr="00FF6B9A">
        <w:tc>
          <w:tcPr>
            <w:tcW w:type="dxa" w:w="3402"/>
            <w:vAlign w:val="center"/>
          </w:tcPr>
          <w:p w14:paraId="1C3F4C7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3.</w:t>
            </w:r>
            <w:r w:rsidRPr="00FF6B9A">
              <w:rPr>
                <w:rFonts w:eastAsiaTheme="minorEastAsia"/>
                <w:color w:themeColor="text1" w:val="000000"/>
                <w:kern w:val="0"/>
              </w:rPr>
              <w:t>加权平均基金份额本期利润</w:t>
            </w:r>
          </w:p>
        </w:tc>
        <w:tc>
          <w:tcPr>
            <w:tcW w:type="dxa" w:w="4962"/>
            <w:hMerge w:val="restart"/>
            <w:vAlign w:val="center"/>
          </w:tcPr>
          <w:p w14:paraId="43651B7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-0.1169</w:t>
            </w:r>
          </w:p>
        </w:tc>
        <w:tc>
          <w:tcPr>
            <w:tcW w:type="dxa" w:w="2410"/>
            <w:hMerge/>
            <w:vAlign w:val="center"/>
          </w:tcPr>
          <w:p w14:paraId="18DC755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9975AED" w14:textId="77777777" w:rsidR="00D06738" w:rsidRPr="00FF6B9A">
        <w:tc>
          <w:tcPr>
            <w:tcW w:type="dxa" w:w="3402"/>
            <w:vAlign w:val="center"/>
          </w:tcPr>
          <w:p w14:paraId="5358D232"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4.</w:t>
            </w:r>
            <w:r w:rsidRPr="00FF6B9A">
              <w:rPr>
                <w:rFonts w:eastAsiaTheme="minorEastAsia"/>
                <w:color w:themeColor="text1" w:val="000000"/>
                <w:kern w:val="0"/>
              </w:rPr>
              <w:t>期末基金资产净值</w:t>
            </w:r>
          </w:p>
        </w:tc>
        <w:tc>
          <w:tcPr>
            <w:tcW w:type="dxa" w:w="4962"/>
            <w:hMerge w:val="restart"/>
            <w:vAlign w:val="center"/>
          </w:tcPr>
          <w:p w14:paraId="11849F1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27,295,946.75</w:t>
            </w:r>
          </w:p>
        </w:tc>
        <w:tc>
          <w:tcPr>
            <w:tcW w:type="dxa" w:w="2410"/>
            <w:hMerge/>
            <w:vAlign w:val="center"/>
          </w:tcPr>
          <w:p w14:paraId="27D7B715"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BC36451" w14:textId="77777777" w:rsidR="00D06738" w:rsidRPr="00FF6B9A">
        <w:trPr>
          <w:trHeight w:val="158"/>
        </w:trPr>
        <w:tc>
          <w:tcPr>
            <w:tcW w:type="dxa" w:w="3402"/>
            <w:vAlign w:val="center"/>
          </w:tcPr>
          <w:p w14:paraId="5E87F5B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5.</w:t>
            </w:r>
            <w:r w:rsidRPr="00FF6B9A">
              <w:rPr>
                <w:rFonts w:eastAsiaTheme="minorEastAsia"/>
                <w:color w:themeColor="text1" w:val="000000"/>
                <w:kern w:val="0"/>
              </w:rPr>
              <w:t>期末基金份额净值</w:t>
            </w:r>
          </w:p>
        </w:tc>
        <w:tc>
          <w:tcPr>
            <w:tcW w:type="dxa" w:w="4962"/>
            <w:hMerge w:val="restart"/>
            <w:vAlign w:val="center"/>
          </w:tcPr>
          <w:p w14:paraId="20EA2920"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1.3205</w:t>
            </w:r>
          </w:p>
        </w:tc>
        <w:tc>
          <w:tcPr>
            <w:tcW w:type="dxa" w:w="2410"/>
            <w:hMerge/>
            <w:vAlign w:val="center"/>
          </w:tcPr>
          <w:p w14:paraId="52387A94"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560E0A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 </w:t>
      </w:r>
      <w:r w:rsidRPr="00FF6B9A">
        <w:rPr>
          <w:rFonts w:eastAsiaTheme="minorEastAsia"/>
          <w:b/>
          <w:bCs/>
          <w:color w:themeColor="text1" w:val="000000"/>
          <w:kern w:val="0"/>
          <w:sz w:val="24"/>
          <w:szCs w:val="24"/>
        </w:rPr>
        <w:t>基金净值表现</w:t>
      </w:r>
    </w:p>
    <w:p w14:paraId="6096210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3.2.1 </w:t>
      </w:r>
      <w:r w:rsidRPr="00FF6B9A">
        <w:rPr>
          <w:rFonts w:eastAsiaTheme="minorEastAsia"/>
          <w:b/>
          <w:bCs/>
          <w:color w:themeColor="text1" w:val="000000"/>
          <w:kern w:val="0"/>
          <w:sz w:val="24"/>
          <w:szCs w:val="24"/>
        </w:rPr>
        <w:t>本报告</w:t>
      </w:r>
      <w:proofErr w:type="gramStart"/>
      <w:r w:rsidRPr="00FF6B9A">
        <w:rPr>
          <w:rFonts w:eastAsiaTheme="minorEastAsia"/>
          <w:b/>
          <w:bCs/>
          <w:color w:themeColor="text1" w:val="000000"/>
          <w:kern w:val="0"/>
          <w:sz w:val="24"/>
          <w:szCs w:val="24"/>
        </w:rPr>
        <w:t>期基金</w:t>
      </w:r>
      <w:proofErr w:type="gramEnd"/>
      <w:r w:rsidRPr="00FF6B9A">
        <w:rPr>
          <w:rFonts w:eastAsiaTheme="minor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rsidRPr="00FF6B9A">
        <w:tc>
          <w:tcPr>
            <w:tcW w:type="dxa" w:w="1395"/>
            <w:vAlign w:val="center"/>
          </w:tcPr>
          <w:p w14:paraId="7A7D1D1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阶段</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1092"/>
            <w:vAlign w:val="center"/>
          </w:tcPr>
          <w:p w14:paraId="2CD30E7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w:t>
            </w:r>
            <w:r w:rsidRPr="00FF6B9A">
              <w:rPr>
                <w:rFonts w:ascii="宋体" w:cs="宋体" w:hAnsi="宋体" w:hint="eastAsia"/>
                <w:color w:themeColor="text1" w:val="000000"/>
                <w:kern w:val="0"/>
              </w:rPr>
              <w:t>①</w:t>
            </w:r>
          </w:p>
        </w:tc>
        <w:tc>
          <w:tcPr>
            <w:tcW w:type="dxa" w:w="1161"/>
            <w:vAlign w:val="center"/>
          </w:tcPr>
          <w:p w14:paraId="37DEF420"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净值增长率标准差</w:t>
            </w:r>
            <w:r w:rsidRPr="00FF6B9A">
              <w:rPr>
                <w:rFonts w:ascii="宋体" w:cs="宋体" w:hAnsi="宋体" w:hint="eastAsia"/>
                <w:color w:themeColor="text1" w:val="000000"/>
                <w:kern w:val="0"/>
              </w:rPr>
              <w:t>②</w:t>
            </w:r>
          </w:p>
        </w:tc>
        <w:tc>
          <w:tcPr>
            <w:tcW w:type="dxa" w:w="1181"/>
            <w:vAlign w:val="center"/>
          </w:tcPr>
          <w:p w14:paraId="7F4843F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w:t>
            </w:r>
            <w:r w:rsidRPr="00FF6B9A">
              <w:rPr>
                <w:rFonts w:ascii="宋体" w:cs="宋体" w:hAnsi="宋体" w:hint="eastAsia"/>
                <w:color w:themeColor="text1" w:val="000000"/>
                <w:kern w:val="0"/>
              </w:rPr>
              <w:t>③</w:t>
            </w:r>
          </w:p>
        </w:tc>
        <w:tc>
          <w:tcPr>
            <w:tcW w:type="dxa" w:w="1188"/>
            <w:vAlign w:val="center"/>
          </w:tcPr>
          <w:p w14:paraId="1265555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业绩比较基准收益率标准差</w:t>
            </w:r>
            <w:r w:rsidRPr="00FF6B9A">
              <w:rPr>
                <w:rFonts w:ascii="宋体" w:cs="宋体" w:hAnsi="宋体" w:hint="eastAsia"/>
                <w:color w:themeColor="text1" w:val="000000"/>
                <w:kern w:val="0"/>
              </w:rPr>
              <w:t>④</w:t>
            </w:r>
          </w:p>
        </w:tc>
        <w:tc>
          <w:tcPr>
            <w:tcW w:type="dxa" w:w="1199"/>
            <w:vAlign w:val="center"/>
          </w:tcPr>
          <w:p w14:paraId="5487E45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①</w:t>
            </w:r>
            <w:r w:rsidRPr="00FF6B9A">
              <w:rPr>
                <w:rFonts w:eastAsiaTheme="minorEastAsia"/>
                <w:color w:themeColor="text1" w:val="000000"/>
                <w:kern w:val="0"/>
              </w:rPr>
              <w:t>-</w:t>
            </w:r>
            <w:r w:rsidRPr="00FF6B9A">
              <w:rPr>
                <w:rFonts w:ascii="宋体" w:cs="宋体" w:hAnsi="宋体" w:hint="eastAsia"/>
                <w:color w:themeColor="text1" w:val="000000"/>
                <w:kern w:val="0"/>
              </w:rPr>
              <w:t>③</w:t>
            </w:r>
          </w:p>
        </w:tc>
        <w:tc>
          <w:tcPr>
            <w:tcW w:type="dxa" w:w="1204"/>
            <w:vAlign w:val="center"/>
          </w:tcPr>
          <w:p w14:paraId="7C50A3F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②</w:t>
            </w:r>
            <w:r w:rsidRPr="00FF6B9A">
              <w:rPr>
                <w:rFonts w:eastAsiaTheme="minorEastAsia"/>
                <w:color w:themeColor="text1" w:val="000000"/>
                <w:kern w:val="0"/>
              </w:rPr>
              <w:t>-</w:t>
            </w:r>
            <w:r w:rsidRPr="00FF6B9A">
              <w:rPr>
                <w:rFonts w:ascii="宋体" w:cs="宋体" w:hAnsi="宋体" w:hint="eastAsia"/>
                <w:color w:themeColor="text1" w:val="000000"/>
                <w:kern w:val="0"/>
              </w:rPr>
              <w:t>④</w:t>
            </w:r>
          </w:p>
        </w:tc>
      </w:tr>
      <w:tr>
        <w:tc>
          <w:tcPr>
            <w:vAlign w:val="center"/>
          </w:tcPr>
          <w:p>
            <w:pPr>
              <w:jc w:val="left"/>
            </w:pPr>
            <w:r>
              <w:rPr>
                <w:rFonts w:eastAsiaTheme="minorEastAsia"/>
                <w:color w:themeColor="text1" w:val="000000"/>
                <w:kern w:val="0"/>
              </w:rPr>
              <w:t>过去三个月</w:t>
            </w:r>
          </w:p>
        </w:tc>
        <w:tc>
          <w:tcPr>
            <w:vAlign w:val="center"/>
          </w:tcPr>
          <w:p>
            <w:pPr>
              <w:jc w:val="center"/>
            </w:pPr>
            <w:r>
              <w:rPr>
                <w:rFonts w:eastAsiaTheme="minorEastAsia"/>
                <w:color w:themeColor="text1" w:val="000000"/>
                <w:kern w:val="0"/>
              </w:rPr>
              <w:t>-9.24%</w:t>
            </w:r>
          </w:p>
        </w:tc>
        <w:tc>
          <w:tcPr>
            <w:vAlign w:val="center"/>
          </w:tcPr>
          <w:p>
            <w:pPr>
              <w:jc w:val="center"/>
            </w:pPr>
            <w:r>
              <w:rPr>
                <w:rFonts w:eastAsiaTheme="minorEastAsia"/>
                <w:color w:themeColor="text1" w:val="000000"/>
                <w:kern w:val="0"/>
              </w:rPr>
              <w:t>1.74%</w:t>
            </w:r>
          </w:p>
        </w:tc>
        <w:tc>
          <w:tcPr>
            <w:vAlign w:val="center"/>
          </w:tcPr>
          <w:p>
            <w:pPr>
              <w:jc w:val="center"/>
            </w:pPr>
            <w:r>
              <w:rPr>
                <w:rFonts w:eastAsiaTheme="minorEastAsia"/>
                <w:color w:themeColor="text1" w:val="000000"/>
                <w:kern w:val="0"/>
              </w:rPr>
              <w:t>-2.11%</w:t>
            </w:r>
          </w:p>
        </w:tc>
        <w:tc>
          <w:tcPr>
            <w:vAlign w:val="center"/>
          </w:tcPr>
          <w:p>
            <w:pPr>
              <w:jc w:val="center"/>
            </w:pPr>
            <w:r>
              <w:rPr>
                <w:rFonts w:eastAsiaTheme="minorEastAsia"/>
                <w:color w:themeColor="text1" w:val="000000"/>
                <w:kern w:val="0"/>
              </w:rPr>
              <w:t>0.66%</w:t>
            </w:r>
          </w:p>
        </w:tc>
        <w:tc>
          <w:tcPr>
            <w:vAlign w:val="center"/>
          </w:tcPr>
          <w:p>
            <w:pPr>
              <w:jc w:val="center"/>
            </w:pPr>
            <w:r>
              <w:rPr>
                <w:rFonts w:eastAsiaTheme="minorEastAsia"/>
                <w:color w:themeColor="text1" w:val="000000"/>
                <w:kern w:val="0"/>
              </w:rPr>
              <w:t>-7.13%</w:t>
            </w:r>
          </w:p>
        </w:tc>
        <w:tc>
          <w:tcPr>
            <w:vAlign w:val="center"/>
          </w:tcPr>
          <w:p>
            <w:pPr>
              <w:jc w:val="center"/>
            </w:pPr>
            <w:r>
              <w:rPr>
                <w:rFonts w:eastAsiaTheme="minorEastAsia"/>
                <w:color w:themeColor="text1" w:val="000000"/>
                <w:kern w:val="0"/>
              </w:rPr>
              <w:t>1.08%</w:t>
            </w:r>
          </w:p>
        </w:tc>
      </w:tr>
      <w:tr>
        <w:tc>
          <w:tcPr>
            <w:vAlign w:val="center"/>
          </w:tcPr>
          <w:p>
            <w:pPr>
              <w:jc w:val="left"/>
            </w:pPr>
            <w:r>
              <w:rPr>
                <w:rFonts w:eastAsiaTheme="minorEastAsia"/>
                <w:color w:themeColor="text1" w:val="000000"/>
                <w:kern w:val="0"/>
              </w:rPr>
              <w:t>过去六个月</w:t>
            </w:r>
          </w:p>
        </w:tc>
        <w:tc>
          <w:tcPr>
            <w:vAlign w:val="center"/>
          </w:tcPr>
          <w:p>
            <w:pPr>
              <w:jc w:val="center"/>
            </w:pPr>
            <w:r>
              <w:rPr>
                <w:rFonts w:eastAsiaTheme="minorEastAsia"/>
                <w:color w:themeColor="text1" w:val="000000"/>
                <w:kern w:val="0"/>
              </w:rPr>
              <w:t>6.10%</w:t>
            </w:r>
          </w:p>
        </w:tc>
        <w:tc>
          <w:tcPr>
            <w:vAlign w:val="center"/>
          </w:tcPr>
          <w:p>
            <w:pPr>
              <w:jc w:val="center"/>
            </w:pPr>
            <w:r>
              <w:rPr>
                <w:rFonts w:eastAsiaTheme="minorEastAsia"/>
                <w:color w:themeColor="text1" w:val="000000"/>
                <w:kern w:val="0"/>
              </w:rPr>
              <w:t>1.53%</w:t>
            </w:r>
          </w:p>
        </w:tc>
        <w:tc>
          <w:tcPr>
            <w:vAlign w:val="center"/>
          </w:tcPr>
          <w:p>
            <w:pPr>
              <w:jc w:val="center"/>
            </w:pPr>
            <w:r>
              <w:rPr>
                <w:rFonts w:eastAsiaTheme="minorEastAsia"/>
                <w:color w:themeColor="text1" w:val="000000"/>
                <w:kern w:val="0"/>
              </w:rPr>
              <w:t>0.76%</w:t>
            </w:r>
          </w:p>
        </w:tc>
        <w:tc>
          <w:tcPr>
            <w:vAlign w:val="center"/>
          </w:tcPr>
          <w:p>
            <w:pPr>
              <w:jc w:val="center"/>
            </w:pPr>
            <w:r>
              <w:rPr>
                <w:rFonts w:eastAsiaTheme="minorEastAsia"/>
                <w:color w:themeColor="text1" w:val="000000"/>
                <w:kern w:val="0"/>
              </w:rPr>
              <w:t>0.60%</w:t>
            </w:r>
          </w:p>
        </w:tc>
        <w:tc>
          <w:tcPr>
            <w:vAlign w:val="center"/>
          </w:tcPr>
          <w:p>
            <w:pPr>
              <w:jc w:val="center"/>
            </w:pPr>
            <w:r>
              <w:rPr>
                <w:rFonts w:eastAsiaTheme="minorEastAsia"/>
                <w:color w:themeColor="text1" w:val="000000"/>
                <w:kern w:val="0"/>
              </w:rPr>
              <w:t>5.34%</w:t>
            </w:r>
          </w:p>
        </w:tc>
        <w:tc>
          <w:tcPr>
            <w:vAlign w:val="center"/>
          </w:tcPr>
          <w:p>
            <w:pPr>
              <w:jc w:val="center"/>
            </w:pPr>
            <w:r>
              <w:rPr>
                <w:rFonts w:eastAsiaTheme="minorEastAsia"/>
                <w:color w:themeColor="text1" w:val="000000"/>
                <w:kern w:val="0"/>
              </w:rPr>
              <w:t>0.93%</w:t>
            </w:r>
          </w:p>
        </w:tc>
      </w:tr>
      <w:tr>
        <w:tc>
          <w:tcPr>
            <w:vAlign w:val="center"/>
          </w:tcPr>
          <w:p>
            <w:pPr>
              <w:jc w:val="left"/>
            </w:pPr>
            <w:r>
              <w:rPr>
                <w:rFonts w:eastAsiaTheme="minorEastAsia"/>
                <w:color w:themeColor="text1" w:val="000000"/>
                <w:kern w:val="0"/>
              </w:rPr>
              <w:t>过去一年</w:t>
            </w:r>
          </w:p>
        </w:tc>
        <w:tc>
          <w:tcPr>
            <w:vAlign w:val="center"/>
          </w:tcPr>
          <w:p>
            <w:pPr>
              <w:jc w:val="center"/>
            </w:pPr>
            <w:r>
              <w:rPr>
                <w:rFonts w:eastAsiaTheme="minorEastAsia"/>
                <w:color w:themeColor="text1" w:val="000000"/>
                <w:kern w:val="0"/>
              </w:rPr>
              <w:t>4.25%</w:t>
            </w:r>
          </w:p>
        </w:tc>
        <w:tc>
          <w:tcPr>
            <w:vAlign w:val="center"/>
          </w:tcPr>
          <w:p>
            <w:pPr>
              <w:jc w:val="center"/>
            </w:pPr>
            <w:r>
              <w:rPr>
                <w:rFonts w:eastAsiaTheme="minorEastAsia"/>
                <w:color w:themeColor="text1" w:val="000000"/>
                <w:kern w:val="0"/>
              </w:rPr>
              <w:t>1.60%</w:t>
            </w:r>
          </w:p>
        </w:tc>
        <w:tc>
          <w:tcPr>
            <w:vAlign w:val="center"/>
          </w:tcPr>
          <w:p>
            <w:pPr>
              <w:jc w:val="center"/>
            </w:pPr>
            <w:r>
              <w:rPr>
                <w:rFonts w:eastAsiaTheme="minorEastAsia"/>
                <w:color w:themeColor="text1" w:val="000000"/>
                <w:kern w:val="0"/>
              </w:rPr>
              <w:t>5.81%</w:t>
            </w:r>
          </w:p>
        </w:tc>
        <w:tc>
          <w:tcPr>
            <w:vAlign w:val="center"/>
          </w:tcPr>
          <w:p>
            <w:pPr>
              <w:jc w:val="center"/>
            </w:pPr>
            <w:r>
              <w:rPr>
                <w:rFonts w:eastAsiaTheme="minorEastAsia"/>
                <w:color w:themeColor="text1" w:val="000000"/>
                <w:kern w:val="0"/>
              </w:rPr>
              <w:t>0.68%</w:t>
            </w:r>
          </w:p>
        </w:tc>
        <w:tc>
          <w:tcPr>
            <w:vAlign w:val="center"/>
          </w:tcPr>
          <w:p>
            <w:pPr>
              <w:jc w:val="center"/>
            </w:pPr>
            <w:r>
              <w:rPr>
                <w:rFonts w:eastAsiaTheme="minorEastAsia"/>
                <w:color w:themeColor="text1" w:val="000000"/>
                <w:kern w:val="0"/>
              </w:rPr>
              <w:t>-1.56%</w:t>
            </w:r>
          </w:p>
        </w:tc>
        <w:tc>
          <w:tcPr>
            <w:vAlign w:val="center"/>
          </w:tcPr>
          <w:p>
            <w:pPr>
              <w:jc w:val="center"/>
            </w:pPr>
            <w:r>
              <w:rPr>
                <w:rFonts w:eastAsiaTheme="minorEastAsia"/>
                <w:color w:themeColor="text1" w:val="000000"/>
                <w:kern w:val="0"/>
              </w:rPr>
              <w:t>0.92%</w:t>
            </w:r>
          </w:p>
        </w:tc>
      </w:tr>
      <w:tr>
        <w:tc>
          <w:tcPr>
            <w:vAlign w:val="center"/>
          </w:tcPr>
          <w:p>
            <w:pPr>
              <w:jc w:val="left"/>
            </w:pPr>
            <w:r>
              <w:rPr>
                <w:rFonts w:eastAsiaTheme="minorEastAsia"/>
                <w:color w:themeColor="text1" w:val="000000"/>
                <w:kern w:val="0"/>
              </w:rPr>
              <w:t>过去三年</w:t>
            </w:r>
          </w:p>
        </w:tc>
        <w:tc>
          <w:tcPr>
            <w:vAlign w:val="center"/>
          </w:tcPr>
          <w:p>
            <w:pPr>
              <w:jc w:val="center"/>
            </w:pPr>
            <w:r>
              <w:rPr>
                <w:rFonts w:eastAsiaTheme="minorEastAsia"/>
                <w:color w:themeColor="text1" w:val="000000"/>
                <w:kern w:val="0"/>
              </w:rPr>
              <w:t>61.04%</w:t>
            </w:r>
          </w:p>
        </w:tc>
        <w:tc>
          <w:tcPr>
            <w:vAlign w:val="center"/>
          </w:tcPr>
          <w:p>
            <w:pPr>
              <w:jc w:val="center"/>
            </w:pPr>
            <w:r>
              <w:rPr>
                <w:rFonts w:eastAsiaTheme="minorEastAsia"/>
                <w:color w:themeColor="text1" w:val="000000"/>
                <w:kern w:val="0"/>
              </w:rPr>
              <w:t>1.80%</w:t>
            </w:r>
          </w:p>
        </w:tc>
        <w:tc>
          <w:tcPr>
            <w:vAlign w:val="center"/>
          </w:tcPr>
          <w:p>
            <w:pPr>
              <w:jc w:val="center"/>
            </w:pPr>
            <w:r>
              <w:rPr>
                <w:rFonts w:eastAsiaTheme="minorEastAsia"/>
                <w:color w:themeColor="text1" w:val="000000"/>
                <w:kern w:val="0"/>
              </w:rPr>
              <w:t>27.96%</w:t>
            </w:r>
          </w:p>
        </w:tc>
        <w:tc>
          <w:tcPr>
            <w:vAlign w:val="center"/>
          </w:tcPr>
          <w:p>
            <w:pPr>
              <w:jc w:val="center"/>
            </w:pPr>
            <w:r>
              <w:rPr>
                <w:rFonts w:eastAsiaTheme="minorEastAsia"/>
                <w:color w:themeColor="text1" w:val="000000"/>
                <w:kern w:val="0"/>
              </w:rPr>
              <w:t>0.80%</w:t>
            </w:r>
          </w:p>
        </w:tc>
        <w:tc>
          <w:tcPr>
            <w:vAlign w:val="center"/>
          </w:tcPr>
          <w:p>
            <w:pPr>
              <w:jc w:val="center"/>
            </w:pPr>
            <w:r>
              <w:rPr>
                <w:rFonts w:eastAsiaTheme="minorEastAsia"/>
                <w:color w:themeColor="text1" w:val="000000"/>
                <w:kern w:val="0"/>
              </w:rPr>
              <w:t>33.08%</w:t>
            </w:r>
          </w:p>
        </w:tc>
        <w:tc>
          <w:tcPr>
            <w:vAlign w:val="center"/>
          </w:tcPr>
          <w:p>
            <w:pPr>
              <w:jc w:val="center"/>
            </w:pPr>
            <w:r>
              <w:rPr>
                <w:rFonts w:eastAsiaTheme="minorEastAsia"/>
                <w:color w:themeColor="text1" w:val="000000"/>
                <w:kern w:val="0"/>
              </w:rPr>
              <w:t>1.00%</w:t>
            </w:r>
          </w:p>
        </w:tc>
      </w:tr>
      <w:tr>
        <w:tc>
          <w:tcPr>
            <w:vAlign w:val="center"/>
          </w:tcPr>
          <w:p>
            <w:pPr>
              <w:jc w:val="left"/>
            </w:pPr>
            <w:r>
              <w:rPr>
                <w:rFonts w:eastAsiaTheme="minorEastAsia"/>
                <w:color w:themeColor="text1" w:val="000000"/>
                <w:kern w:val="0"/>
              </w:rPr>
              <w:t>过去五年</w:t>
            </w:r>
          </w:p>
        </w:tc>
        <w:tc>
          <w:tcPr>
            <w:vAlign w:val="center"/>
          </w:tcPr>
          <w:p>
            <w:pPr>
              <w:jc w:val="center"/>
            </w:pPr>
            <w:r>
              <w:rPr>
                <w:rFonts w:eastAsiaTheme="minorEastAsia"/>
                <w:color w:themeColor="text1" w:val="000000"/>
                <w:kern w:val="0"/>
              </w:rPr>
              <w:t>45.11%</w:t>
            </w:r>
          </w:p>
        </w:tc>
        <w:tc>
          <w:tcPr>
            <w:vAlign w:val="center"/>
          </w:tcPr>
          <w:p>
            <w:pPr>
              <w:jc w:val="center"/>
            </w:pPr>
            <w:r>
              <w:rPr>
                <w:rFonts w:eastAsiaTheme="minorEastAsia"/>
                <w:color w:themeColor="text1" w:val="000000"/>
                <w:kern w:val="0"/>
              </w:rPr>
              <w:t>1.68%</w:t>
            </w:r>
          </w:p>
        </w:tc>
        <w:tc>
          <w:tcPr>
            <w:vAlign w:val="center"/>
          </w:tcPr>
          <w:p>
            <w:pPr>
              <w:jc w:val="center"/>
            </w:pPr>
            <w:r>
              <w:rPr>
                <w:rFonts w:eastAsiaTheme="minorEastAsia"/>
                <w:color w:themeColor="text1" w:val="000000"/>
                <w:kern w:val="0"/>
              </w:rPr>
              <w:t>23.43%</w:t>
            </w:r>
          </w:p>
        </w:tc>
        <w:tc>
          <w:tcPr>
            <w:vAlign w:val="center"/>
          </w:tcPr>
          <w:p>
            <w:pPr>
              <w:jc w:val="center"/>
            </w:pPr>
            <w:r>
              <w:rPr>
                <w:rFonts w:eastAsiaTheme="minorEastAsia"/>
                <w:color w:themeColor="text1" w:val="000000"/>
                <w:kern w:val="0"/>
              </w:rPr>
              <w:t>0.71%</w:t>
            </w:r>
          </w:p>
        </w:tc>
        <w:tc>
          <w:tcPr>
            <w:vAlign w:val="center"/>
          </w:tcPr>
          <w:p>
            <w:pPr>
              <w:jc w:val="center"/>
            </w:pPr>
            <w:r>
              <w:rPr>
                <w:rFonts w:eastAsiaTheme="minorEastAsia"/>
                <w:color w:themeColor="text1" w:val="000000"/>
                <w:kern w:val="0"/>
              </w:rPr>
              <w:t>21.68%</w:t>
            </w:r>
          </w:p>
        </w:tc>
        <w:tc>
          <w:tcPr>
            <w:vAlign w:val="center"/>
          </w:tcPr>
          <w:p>
            <w:pPr>
              <w:jc w:val="center"/>
            </w:pPr>
            <w:r>
              <w:rPr>
                <w:rFonts w:eastAsiaTheme="minorEastAsia"/>
                <w:color w:themeColor="text1" w:val="000000"/>
                <w:kern w:val="0"/>
              </w:rPr>
              <w:t>0.97%</w:t>
            </w:r>
          </w:p>
        </w:tc>
      </w:tr>
      <w:tr>
        <w:tc>
          <w:tcPr>
            <w:vAlign w:val="center"/>
          </w:tcPr>
          <w:p>
            <w:pPr>
              <w:jc w:val="left"/>
            </w:pPr>
            <w:r>
              <w:rPr>
                <w:rFonts w:eastAsiaTheme="minorEastAsia"/>
                <w:color w:themeColor="text1" w:val="000000"/>
                <w:kern w:val="0"/>
              </w:rPr>
              <w:t>自基金合同生效起至今</w:t>
            </w:r>
          </w:p>
        </w:tc>
        <w:tc>
          <w:tcPr>
            <w:vAlign w:val="center"/>
          </w:tcPr>
          <w:p>
            <w:pPr>
              <w:jc w:val="center"/>
            </w:pPr>
            <w:r>
              <w:rPr>
                <w:rFonts w:eastAsiaTheme="minorEastAsia"/>
                <w:color w:themeColor="text1" w:val="000000"/>
                <w:kern w:val="0"/>
              </w:rPr>
              <w:t>32.05%</w:t>
            </w:r>
          </w:p>
        </w:tc>
        <w:tc>
          <w:tcPr>
            <w:vAlign w:val="center"/>
          </w:tcPr>
          <w:p>
            <w:pPr>
              <w:jc w:val="center"/>
            </w:pPr>
            <w:r>
              <w:rPr>
                <w:rFonts w:eastAsiaTheme="minorEastAsia"/>
                <w:color w:themeColor="text1" w:val="000000"/>
                <w:kern w:val="0"/>
              </w:rPr>
              <w:t>1.64%</w:t>
            </w:r>
          </w:p>
        </w:tc>
        <w:tc>
          <w:tcPr>
            <w:vAlign w:val="center"/>
          </w:tcPr>
          <w:p>
            <w:pPr>
              <w:jc w:val="center"/>
            </w:pPr>
            <w:r>
              <w:rPr>
                <w:rFonts w:eastAsiaTheme="minorEastAsia"/>
                <w:color w:themeColor="text1" w:val="000000"/>
                <w:kern w:val="0"/>
              </w:rPr>
              <w:t>9.74%</w:t>
            </w:r>
          </w:p>
        </w:tc>
        <w:tc>
          <w:tcPr>
            <w:vAlign w:val="center"/>
          </w:tcPr>
          <w:p>
            <w:pPr>
              <w:jc w:val="center"/>
            </w:pPr>
            <w:r>
              <w:rPr>
                <w:rFonts w:eastAsiaTheme="minorEastAsia"/>
                <w:color w:themeColor="text1" w:val="000000"/>
                <w:kern w:val="0"/>
              </w:rPr>
              <w:t>0.76%</w:t>
            </w:r>
          </w:p>
        </w:tc>
        <w:tc>
          <w:tcPr>
            <w:vAlign w:val="center"/>
          </w:tcPr>
          <w:p>
            <w:pPr>
              <w:jc w:val="center"/>
            </w:pPr>
            <w:r>
              <w:rPr>
                <w:rFonts w:eastAsiaTheme="minorEastAsia"/>
                <w:color w:themeColor="text1" w:val="000000"/>
                <w:kern w:val="0"/>
              </w:rPr>
              <w:t>22.31%</w:t>
            </w:r>
          </w:p>
        </w:tc>
        <w:tc>
          <w:tcPr>
            <w:vAlign w:val="center"/>
          </w:tcPr>
          <w:p>
            <w:pPr>
              <w:jc w:val="center"/>
            </w:pPr>
            <w:r>
              <w:rPr>
                <w:rFonts w:eastAsiaTheme="minorEastAsia"/>
                <w:color w:themeColor="text1" w:val="000000"/>
                <w:kern w:val="0"/>
              </w:rPr>
              <w:t>0.88%</w:t>
            </w:r>
          </w:p>
        </w:tc>
      </w:tr>
    </w:tbl>
    <w:p w14:paraId="11CC28FB"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04CD2E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3.2.2</w:t>
      </w:r>
      <w:r w:rsidRPr="00FF6B9A">
        <w:rPr>
          <w:rStyle w:val="afe"/>
          <w:color w:themeColor="text1" w:val="000000"/>
          <w:sz w:val="24"/>
          <w:szCs w:val="24"/>
          <w:shd w:color="auto" w:fill="FFFFFF" w:val="clear"/>
        </w:rPr>
        <w:t/>
      </w:r>
      <w:proofErr w:type="spellStart"/>
      <w:r w:rsidRPr="00FF6B9A">
        <w:rPr>
          <w:rStyle w:val="afe"/>
          <w:color w:themeColor="text1" w:val="000000"/>
          <w:sz w:val="24"/>
          <w:szCs w:val="24"/>
          <w:shd w:color="auto" w:fill="FFFFFF" w:val="clear"/>
        </w:rPr>
        <w:t/>
      </w:r>
      <w:proofErr w:type="spellEnd"/>
      <w:r w:rsidRPr="00FF6B9A">
        <w:rPr>
          <w:rStyle w:val="afe"/>
          <w:color w:themeColor="text1" w:val="000000"/>
          <w:sz w:val="24"/>
          <w:szCs w:val="24"/>
          <w:shd w:color="auto" w:fill="FFFFFF" w:val="clear"/>
        </w:rPr>
        <w:t>自基金合同生效以来</w:t>
      </w:r>
      <w:r w:rsidRPr="00FF6B9A">
        <w:rPr>
          <w:rFonts w:eastAsiaTheme="minorEastAsia"/>
          <w:b/>
          <w:bCs/>
          <w:color w:themeColor="text1" w:val="000000"/>
          <w:kern w:val="0"/>
          <w:sz w:val="24"/>
          <w:szCs w:val="24"/>
        </w:rPr>
        <w:t>基金累计净值增长率变动及其与同期业绩比较基准收益率变动的比较</w:t>
      </w:r>
    </w:p>
    <w:p w14:paraId="7E434705" w14:textId="77777777" w:rsidR="00D06738" w:rsidRDefault="00454D20" w:rsidRPr="00FF6B9A">
      <w:pPr>
        <w:spacing w:line="360" w:lineRule="auto"/>
        <w:jc w:val="center"/>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上投摩根文体休闲灵活配置混合型证券投资基金</w:t>
      </w:r>
    </w:p>
    <w:p w14:paraId="760894FB" w14:textId="77777777" w:rsidR="00D06738" w:rsidRDefault="00454D20" w:rsidRPr="00FF6B9A">
      <w:pPr>
        <w:pStyle w:val="ae"/>
        <w:snapToGrid w:val="0"/>
        <w:spacing w:line="360" w:lineRule="auto"/>
        <w:jc w:val="center"/>
        <w:rPr>
          <w:rFonts w:ascii="Times New Roman" w:cs="Times New Roman" w:eastAsiaTheme="minorEastAsia" w:hAnsi="Times New Roman"/>
          <w:color w:themeColor="text1" w:val="000000"/>
        </w:rPr>
      </w:pPr>
      <w:r w:rsidRPr="00FF6B9A">
        <w:rPr>
          <w:rFonts w:ascii="Times New Roman" w:cs="Times New Roman" w:eastAsiaTheme="minorEastAsia" w:hAnsi="Times New Roman"/>
          <w:color w:themeColor="text1" w:val="000000"/>
        </w:rPr>
        <w:t>累计净值增长率与业绩比较基准收益率历史走势对比图</w:t>
      </w:r>
    </w:p>
    <w:p w14:paraId="42485F4A" w14:textId="77777777" w:rsidR="00D06738" w:rsidRDefault="00454D20" w:rsidRPr="00FF6B9A">
      <w:pPr>
        <w:pStyle w:val="ae"/>
        <w:snapToGrid w:val="0"/>
        <w:spacing w:line="360" w:lineRule="auto"/>
        <w:ind w:firstLine="480"/>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color w:themeColor="text1" w:val="000000"/>
        </w:rPr>
        <w:t>(</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2015年12月23日</w:t>
      </w:r>
      <w:r w:rsidRPr="00FF6B9A">
        <w:rPr>
          <w:rFonts w:ascii="Times New Roman" w:cs="Times New Roman" w:eastAsiaTheme="minorEastAsia" w:hAnsi="Times New Roman"/>
          <w:color w:themeColor="text1" w:val="000000"/>
        </w:rPr>
        <w:t>至</w:t>
      </w:r>
      <w:r w:rsidRPr="00FF6B9A">
        <w:rPr>
          <w:rFonts w:ascii="Times New Roman" w:cs="Times New Roman" w:eastAsiaTheme="minorEastAsia" w:hAnsi="Times New Roman"/>
          <w:color w:themeColor="text1" w:val="000000"/>
        </w:rPr>
        <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2021年9月30日)</w:t>
      </w:r>
    </w:p>
    <w:p w14:paraId="6D7C6855" w14:textId="77777777" w:rsidR="00D06738" w:rsidRDefault="00454D20" w:rsidRPr="00FF6B9A">
      <w:pPr>
        <w:pStyle w:val="ae"/>
        <w:snapToGrid w:val="0"/>
        <w:spacing w:before="120" w:line="360" w:lineRule="auto"/>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注：本基金合同生效日为2015年12月23日，图示的时间段为合同生效日至本报告期末。</w:t>
      </w:r>
    </w:p>
    <w:p w14:paraId="58BB658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本基金建仓期为本基金合同生效日起6个月，建仓期结束时资产配置比例符合本基金基金合同规定。</w:t>
      </w:r>
    </w:p>
    <w:p w14:paraId="28331EE6" w14:textId="77777777" w:rsidR="00D06738" w:rsidRDefault="00D06738" w:rsidRPr="00FF6B9A">
      <w:pPr>
        <w:tabs>
          <w:tab w:pos="1800" w:val="left"/>
        </w:tabs>
        <w:spacing w:line="360" w:lineRule="auto"/>
        <w:rPr>
          <w:rFonts w:eastAsiaTheme="minorEastAsia"/>
          <w:color w:themeColor="text1" w:val="000000"/>
          <w:sz w:val="24"/>
          <w:szCs w:val="24"/>
        </w:rPr>
      </w:pPr>
    </w:p>
    <w:p w14:paraId="6B938858" w14:textId="77777777" w:rsidR="00D06738" w:rsidRDefault="00D06738" w:rsidRPr="00FF6B9A">
      <w:pPr>
        <w:tabs>
          <w:tab w:pos="1800" w:val="left"/>
        </w:tabs>
        <w:spacing w:line="288" w:lineRule="auto"/>
        <w:rPr>
          <w:rFonts w:eastAsiaTheme="minorEastAsia"/>
          <w:color w:themeColor="text1" w:val="000000"/>
          <w:sz w:val="24"/>
          <w:szCs w:val="24"/>
        </w:rPr>
      </w:pPr>
    </w:p>
    <w:p w14:paraId="0B771B4D"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§4  </w:t>
      </w:r>
      <w:r w:rsidRPr="00FF6B9A">
        <w:rPr>
          <w:rFonts w:eastAsiaTheme="minorEastAsia"/>
          <w:color w:themeColor="text1" w:val="000000"/>
          <w:kern w:val="0"/>
          <w:sz w:val="24"/>
          <w:szCs w:val="24"/>
        </w:rPr>
        <w:t>管理人报告</w:t>
      </w:r>
    </w:p>
    <w:p w14:paraId="735F051A"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4.1 </w:t>
      </w:r>
      <w:r w:rsidRPr="00FF6B9A">
        <w:rPr>
          <w:rFonts w:eastAsiaTheme="minorEastAsia"/>
          <w:b/>
          <w:bCs/>
          <w:color w:themeColor="text1" w:val="000000"/>
          <w:kern w:val="0"/>
          <w:sz w:val="24"/>
          <w:szCs w:val="24"/>
        </w:rPr>
        <w:t>基金经理</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或基金经理小组</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rsidRPr="00FF6B9A">
        <w:trPr>
          <w:cantSplit/>
          <w:trHeight w:val="292"/>
        </w:trPr>
        <w:tc>
          <w:tcPr>
            <w:tcW w:type="dxa" w:w="851"/>
            <w:vMerge w:val="restart"/>
            <w:vAlign w:val="center"/>
          </w:tcPr>
          <w:p w14:paraId="1F53B620"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姓名</w:t>
            </w:r>
          </w:p>
        </w:tc>
        <w:tc>
          <w:tcPr>
            <w:tcW w:type="dxa" w:w="850"/>
            <w:vMerge w:val="restart"/>
            <w:vAlign w:val="center"/>
          </w:tcPr>
          <w:p w14:paraId="697EB0E1"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职务</w:t>
            </w:r>
          </w:p>
        </w:tc>
        <w:tc>
          <w:tcPr>
            <w:tcW w:type="dxa" w:w="3119"/>
            <w:gridSpan w:val="2"/>
            <w:vAlign w:val="center"/>
          </w:tcPr>
          <w:p w14:paraId="3C549DFA"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proofErr w:type="gramStart"/>
            <w:r w:rsidRPr="00FF6B9A">
              <w:rPr>
                <w:rFonts w:eastAsiaTheme="minorEastAsia"/>
                <w:color w:themeColor="text1" w:val="000000"/>
                <w:kern w:val="0"/>
              </w:rPr>
              <w:t>任本基金</w:t>
            </w:r>
            <w:proofErr w:type="gramEnd"/>
            <w:r w:rsidRPr="00FF6B9A">
              <w:rPr>
                <w:rFonts w:eastAsiaTheme="minorEastAsia"/>
                <w:color w:themeColor="text1" w:val="000000"/>
                <w:kern w:val="0"/>
              </w:rPr>
              <w:t>的基金经理期限</w:t>
            </w:r>
          </w:p>
        </w:tc>
        <w:tc>
          <w:tcPr>
            <w:tcW w:type="dxa" w:w="1417"/>
            <w:vMerge w:val="restart"/>
            <w:vAlign w:val="center"/>
          </w:tcPr>
          <w:p w14:paraId="153D4B6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证券从业年限</w:t>
            </w:r>
          </w:p>
        </w:tc>
        <w:tc>
          <w:tcPr>
            <w:tcW w:type="dxa" w:w="2694"/>
            <w:vMerge w:val="restart"/>
            <w:vAlign w:val="center"/>
          </w:tcPr>
          <w:p w14:paraId="6B8352A3"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说明</w:t>
            </w:r>
          </w:p>
        </w:tc>
      </w:tr>
      <w:tr w14:paraId="12458907" w14:textId="77777777" w:rsidR="00D06738" w:rsidRPr="00FF6B9A">
        <w:trPr>
          <w:cantSplit/>
        </w:trPr>
        <w:tc>
          <w:tcPr>
            <w:tcW w:type="dxa" w:w="851"/>
            <w:vMerge/>
            <w:vAlign w:val="center"/>
          </w:tcPr>
          <w:p w14:paraId="0E137D74" w14:textId="77777777" w:rsidR="00D06738" w:rsidRDefault="00D06738" w:rsidRPr="00FF6B9A">
            <w:pPr>
              <w:widowControl/>
              <w:spacing w:line="360" w:lineRule="auto"/>
              <w:jc w:val="left"/>
              <w:rPr>
                <w:rFonts w:eastAsiaTheme="minorEastAsia"/>
                <w:color w:themeColor="text1" w:val="000000"/>
                <w:kern w:val="0"/>
              </w:rPr>
            </w:pPr>
          </w:p>
        </w:tc>
        <w:tc>
          <w:tcPr>
            <w:tcW w:type="dxa" w:w="850"/>
            <w:vMerge/>
            <w:vAlign w:val="center"/>
          </w:tcPr>
          <w:p w14:paraId="1CC0886F" w14:textId="77777777" w:rsidR="00D06738" w:rsidRDefault="00D06738" w:rsidRPr="00FF6B9A">
            <w:pPr>
              <w:widowControl/>
              <w:spacing w:line="360" w:lineRule="auto"/>
              <w:jc w:val="left"/>
              <w:rPr>
                <w:rFonts w:eastAsiaTheme="minorEastAsia"/>
                <w:color w:themeColor="text1" w:val="000000"/>
                <w:kern w:val="0"/>
              </w:rPr>
            </w:pPr>
          </w:p>
        </w:tc>
        <w:tc>
          <w:tcPr>
            <w:tcW w:type="dxa" w:w="1560"/>
            <w:vAlign w:val="center"/>
          </w:tcPr>
          <w:p w14:paraId="213ED421"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任职日期</w:t>
            </w:r>
          </w:p>
        </w:tc>
        <w:tc>
          <w:tcPr>
            <w:tcW w:type="dxa" w:w="1559"/>
            <w:vAlign w:val="center"/>
          </w:tcPr>
          <w:p w14:paraId="025CCC9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离任日期</w:t>
            </w:r>
          </w:p>
        </w:tc>
        <w:tc>
          <w:tcPr>
            <w:tcW w:type="dxa" w:w="1417"/>
            <w:vMerge/>
            <w:vAlign w:val="center"/>
          </w:tcPr>
          <w:p w14:paraId="3D222F40" w14:textId="77777777" w:rsidR="00D06738" w:rsidRDefault="00D06738" w:rsidRPr="00FF6B9A">
            <w:pPr>
              <w:widowControl/>
              <w:spacing w:line="360" w:lineRule="auto"/>
              <w:jc w:val="left"/>
              <w:rPr>
                <w:rFonts w:eastAsiaTheme="minorEastAsia"/>
                <w:color w:themeColor="text1" w:val="000000"/>
                <w:kern w:val="0"/>
              </w:rPr>
            </w:pPr>
          </w:p>
        </w:tc>
        <w:tc>
          <w:tcPr>
            <w:tcW w:type="dxa" w:w="2694"/>
            <w:vMerge/>
            <w:vAlign w:val="center"/>
          </w:tcPr>
          <w:p w14:paraId="637B7507" w14:textId="77777777" w:rsidR="00D06738" w:rsidRDefault="00D06738" w:rsidRPr="00FF6B9A">
            <w:pPr>
              <w:widowControl/>
              <w:spacing w:line="360" w:lineRule="auto"/>
              <w:jc w:val="left"/>
              <w:rPr>
                <w:rFonts w:eastAsiaTheme="minorEastAsia"/>
                <w:color w:themeColor="text1" w:val="000000"/>
                <w:kern w:val="0"/>
              </w:rPr>
            </w:pPr>
          </w:p>
        </w:tc>
      </w:tr>
      <w:tr>
        <w:tc>
          <w:tcPr>
            <w:vAlign w:val="center"/>
          </w:tcPr>
          <w:p>
            <w:pPr>
              <w:jc w:val="center"/>
            </w:pPr>
            <w:r>
              <w:rPr>
                <w:rFonts w:eastAsiaTheme="minorEastAsia"/>
                <w:color w:themeColor="text1" w:val="000000"/>
              </w:rPr>
              <w:t>周战海</w:t>
            </w:r>
          </w:p>
        </w:tc>
        <w:tc>
          <w:tcPr>
            <w:vAlign w:val="center"/>
          </w:tcPr>
          <w:p>
            <w:pPr>
              <w:jc w:val="center"/>
            </w:pPr>
            <w:r>
              <w:rPr>
                <w:rFonts w:eastAsiaTheme="minorEastAsia"/>
                <w:color w:themeColor="text1" w:val="000000"/>
              </w:rPr>
              <w:t>本基金基金经理</w:t>
            </w:r>
          </w:p>
        </w:tc>
        <w:tc>
          <w:tcPr>
            <w:vAlign w:val="center"/>
          </w:tcPr>
          <w:p>
            <w:pPr>
              <w:jc w:val="center"/>
            </w:pPr>
            <w:r>
              <w:rPr>
                <w:rFonts w:eastAsiaTheme="minorEastAsia"/>
                <w:color w:themeColor="text1" w:val="000000"/>
              </w:rPr>
              <w:t>2015-12-23</w:t>
            </w:r>
          </w:p>
        </w:tc>
        <w:tc>
          <w:tcPr>
            <w:vAlign w:val="center"/>
          </w:tcPr>
          <w:p>
            <w:pPr>
              <w:jc w:val="center"/>
            </w:pPr>
            <w:r>
              <w:rPr>
                <w:rFonts w:eastAsiaTheme="minorEastAsia"/>
                <w:color w:themeColor="text1" w:val="000000"/>
              </w:rPr>
              <w:t>-</w:t>
            </w:r>
          </w:p>
        </w:tc>
        <w:tc>
          <w:tcPr>
            <w:vAlign w:val="center"/>
          </w:tcPr>
          <w:p>
            <w:pPr>
              <w:jc w:val="center"/>
            </w:pPr>
            <w:r>
              <w:rPr>
                <w:rFonts w:eastAsiaTheme="minorEastAsia"/>
                <w:color w:themeColor="text1" w:val="000000"/>
              </w:rPr>
              <w:t>15年</w:t>
            </w:r>
          </w:p>
        </w:tc>
        <w:tc>
          <w:tcPr>
            <w:vAlign w:val="center"/>
          </w:tcPr>
          <w:p>
            <w:pPr>
              <w:jc w:val="both"/>
            </w:pPr>
            <w:r>
              <w:rPr>
                <w:rFonts w:eastAsiaTheme="minorEastAsia"/>
                <w:color w:themeColor="text1" w:val="000000"/>
              </w:rPr>
              <w:t>周战海先生2007年1月至2009年3月在国金证券股份有限公司担任分析师，2009年4月至2010年7月在太平洋资产管理有限公司担任研究员。2010年8月起加入上投摩根基金管理有限公司，历任行业专家、基金经理助理、基金经理、高级基金经理。自2015年12月起担任上投摩根文体休闲灵活配置混合型证券投资基金基金经理，自2018年2月起同时担任上投摩根健康品质生活混合型证券投资基金基金经理。</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 xml:space="preserve">2.周战海先生为本基金首任基金经理，其任职日期指本基金基金合同生效之日。 </w:t>
      </w:r>
    </w:p>
    <w:p w14:paraId="617FFBB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3.证券从业的含义遵从行业协会《证券业从业人员资格管理办法》的相关规定。</w:t>
      </w:r>
    </w:p>
    <w:p w14:paraId="4FBEFD2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4.2 </w:t>
      </w:r>
      <w:r w:rsidRPr="00FF6B9A">
        <w:rPr>
          <w:rFonts w:eastAsiaTheme="minorEastAsia"/>
          <w:b/>
          <w:bCs/>
          <w:color w:themeColor="text1" w:val="000000"/>
          <w:kern w:val="0"/>
          <w:sz w:val="24"/>
          <w:szCs w:val="24"/>
        </w:rPr>
        <w:t>管理人对报告期内本基金运作遵规守信情况的说明</w:t>
      </w:r>
    </w:p>
    <w:p w14:paraId="6D01CD8D"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文体休闲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7937900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39C8B3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4.3 </w:t>
      </w:r>
      <w:r w:rsidRPr="00FF6B9A">
        <w:rPr>
          <w:rFonts w:eastAsiaTheme="minorEastAsia"/>
          <w:b/>
          <w:bCs/>
          <w:color w:themeColor="text1" w:val="000000"/>
          <w:kern w:val="0"/>
          <w:sz w:val="24"/>
          <w:szCs w:val="24"/>
        </w:rPr>
        <w:t>公平交易专项说明</w:t>
      </w:r>
    </w:p>
    <w:p w14:paraId="0796C6B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4.3.1 </w:t>
      </w:r>
      <w:r w:rsidRPr="00FF6B9A">
        <w:rPr>
          <w:rFonts w:eastAsiaTheme="minorEastAsia"/>
          <w:color w:themeColor="text1" w:val="000000"/>
          <w:sz w:val="24"/>
          <w:szCs w:val="24"/>
        </w:rPr>
        <w:t>公平交易制度的执行情况</w:t>
      </w:r>
    </w:p>
    <w:p>
      <w:pPr>
        <w:spacing w:line="360" w:lineRule="auto"/>
        <w:ind w:firstLine="420" w:firstLineChars="200"/>
        <w:rPr>
          <w:rFonts w:eastAsiaTheme="minorEastAsia"/>
          <w:color w:themeColor="text1" w:val="000000"/>
        </w:rPr>
      </w:pPr>
      <w:r>
        <w:rPr>
          <w:rFonts w:eastAsia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rPr>
      </w:pPr>
      <w:r>
        <w:rPr>
          <w:rFonts w:eastAsia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4.3.2 </w:t>
      </w:r>
      <w:r w:rsidRPr="00FF6B9A">
        <w:rPr>
          <w:rFonts w:eastAsiaTheme="minorEastAsia"/>
          <w:color w:themeColor="text1" w:val="000000"/>
          <w:sz w:val="24"/>
          <w:szCs w:val="24"/>
        </w:rPr>
        <w:t>异常交易行为的专项说明</w:t>
      </w:r>
    </w:p>
    <w:p>
      <w:pPr>
        <w:spacing w:line="360" w:lineRule="auto"/>
        <w:ind w:firstLine="420" w:firstLineChars="200"/>
        <w:rPr>
          <w:rFonts w:eastAsiaTheme="minorEastAsia"/>
          <w:color w:themeColor="text1" w:val="000000"/>
        </w:rPr>
      </w:pPr>
      <w:r>
        <w:rPr>
          <w:rFonts w:eastAsiaTheme="minor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所有投资组合参与的交易所公开竞价同日反向交易成交较少的单边交易量超过该证券当日成交量的5%的情形：无。</w:t>
      </w:r>
    </w:p>
    <w:p w14:paraId="78B72EC9" w14:textId="77777777" w:rsidR="00D06738" w:rsidRDefault="00D06738" w:rsidRPr="00FF6B9A">
      <w:pPr>
        <w:spacing w:line="360" w:lineRule="auto"/>
        <w:ind w:firstLine="480" w:firstLineChars="200"/>
        <w:rPr>
          <w:rFonts w:eastAsiaTheme="minorEastAsia"/>
          <w:color w:themeColor="text1" w:val="000000"/>
          <w:sz w:val="24"/>
          <w:szCs w:val="24"/>
        </w:rPr>
      </w:pPr>
    </w:p>
    <w:p w14:paraId="268AD9F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4.4 </w:t>
      </w:r>
      <w:r w:rsidRPr="00FF6B9A">
        <w:rPr>
          <w:rFonts w:eastAsiaTheme="minorEastAsia"/>
          <w:b/>
          <w:bCs/>
          <w:color w:themeColor="text1" w:val="000000"/>
          <w:kern w:val="0"/>
          <w:sz w:val="24"/>
          <w:szCs w:val="24"/>
        </w:rPr>
        <w:t>报告期内基金的投资策略和业绩表现说明</w:t>
      </w:r>
    </w:p>
    <w:p w14:paraId="37D7D562"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4.4.1</w:t>
      </w:r>
      <w:r w:rsidRPr="00FF6B9A">
        <w:rPr>
          <w:rFonts w:eastAsiaTheme="minorEastAsia"/>
          <w:color w:themeColor="text1" w:val="000000"/>
          <w:sz w:val="24"/>
          <w:szCs w:val="24"/>
        </w:rPr>
        <w:t>报告期内基金投资策略和运作分析</w:t>
      </w:r>
    </w:p>
    <w:p>
      <w:pPr>
        <w:spacing w:line="360" w:lineRule="auto"/>
        <w:ind w:firstLine="420" w:firstLineChars="200"/>
        <w:rPr>
          <w:rFonts w:eastAsiaTheme="minorEastAsia"/>
          <w:color w:themeColor="text1" w:val="000000"/>
        </w:rPr>
      </w:pPr>
      <w:r>
        <w:rPr>
          <w:rFonts w:eastAsiaTheme="minorEastAsia"/>
          <w:color w:themeColor="text1" w:val="000000"/>
        </w:rPr>
        <w:t xml:space="preserve">2021年三季度A股整体呈现震荡下跌走势，沪深300指数下跌6.85%，创业板指数下跌6.69%。从风格表现来看，中小市值整体表现占优；有色、采掘、公用事业、钢铁、化工等周期行业表现居前；休闲服务、食品饮料、医药生物、农林牧渔、通信表现相对落后。由于信用紧缩导致社融增速出现明显下降，货币政策偏向宽松，流动性条件有所改善，但宏观经济整体增长趋势在减弱，这直接导致市场内生上涨动能不足，指数表现不佳。本基金严格按照契约要求，始终坚持价值投资思路，投资策略未发生偏离，依然以基金契约规定的行业投资为主，重点投资方向集中在电子半导体、通信、计算机等行业龙头公司，受投资行业景气度和表现不佳影响，报告期内基金净值小幅下跌。 </w:t>
      </w:r>
    </w:p>
    <w:p w14:paraId="6E21DA7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展望2021年四季度, 我们持相对谨慎态度。宏观经济方面，国外复苏呈现趋缓，国内着力保持经济平稳运行。政策更多是预调微调，进攻性的政策并不多，总量政策很难有大的变化，结构性政策更多是体现底线思维，保就业，保民生，一方面保供稳价措施密集出台，自上而下政策纠偏“运动式”减碳；另一方面房地产部分领域与区域政策开始出现微调。货币政策方面，美联储货币政策趋势是边际收紧，国内大概率“定向宽松”，流动性可能呈现供需相对平衡状态。估值方面，整体估值上升空间不大，盈利决定分化的方向。我们继续坚定看好科技等文体休闲相关产业的投资机会。行业上，5G相关的科技股、信息安全、半导体、新能源汽车等行业的景气度依然长期看好。我们将聚焦具有竞争优势的高科技成长公司，按照基金契约的要求重点投资相关行业里面具有相对估值优势、增长前景确定的高成长龙头公司。我们将加强对上市公司基本面的研究力度，筛选出竞争力持续提升的优秀公司，力争为持有人创造较好回报。</w:t>
      </w:r>
    </w:p>
    <w:p w14:paraId="23C77E4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4.4.2</w:t>
      </w:r>
      <w:r w:rsidRPr="00FF6B9A">
        <w:rPr>
          <w:rFonts w:eastAsiaTheme="minorEastAsia"/>
          <w:color w:themeColor="text1" w:val="000000"/>
          <w:sz w:val="24"/>
          <w:szCs w:val="24"/>
        </w:rPr>
        <w:t>报告期内基金的业绩表现</w:t>
      </w:r>
    </w:p>
    <w:p w14:paraId="3743F1F6"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本报告期上投摩根文体休闲混合份额净值增长率为:-9.24%，同期业绩比较基准收益率为:-2.11%。</w:t>
      </w:r>
    </w:p>
    <w:p w14:paraId="44A63C7D" w14:textId="77777777" w:rsidR="00D06738" w:rsidRDefault="00D06738" w:rsidRPr="00FF6B9A">
      <w:pPr>
        <w:spacing w:line="360" w:lineRule="auto"/>
        <w:ind w:firstLine="480" w:firstLineChars="200"/>
        <w:rPr>
          <w:rFonts w:eastAsiaTheme="minorEastAsia"/>
          <w:color w:themeColor="text1" w:val="000000"/>
          <w:sz w:val="24"/>
          <w:szCs w:val="24"/>
        </w:rPr>
      </w:pPr>
    </w:p>
    <w:p w14:paraId="7FECA9F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b/>
          <w:color w:themeColor="text1" w:val="000000"/>
          <w:kern w:val="0"/>
          <w:sz w:val="24"/>
          <w:szCs w:val="24"/>
        </w:rPr>
        <w:t/>
      </w:r>
      <w:proofErr w:type="spellStart"/>
      <w:r w:rsidRPr="00FF6B9A">
        <w:rPr>
          <w:rFonts w:eastAsiaTheme="minorEastAsia"/>
          <w:b/>
          <w:color w:themeColor="text1" w:val="000000"/>
          <w:kern w:val="0"/>
          <w:sz w:val="24"/>
          <w:szCs w:val="24"/>
        </w:rPr>
        <w:t/>
      </w:r>
      <w:proofErr w:type="spellEnd"/>
      <w:r w:rsidRPr="00FF6B9A">
        <w:rPr>
          <w:rFonts w:eastAsiaTheme="minorEastAsia"/>
          <w:b/>
          <w:color w:themeColor="text1" w:val="000000"/>
          <w:kern w:val="0"/>
          <w:sz w:val="24"/>
          <w:szCs w:val="24"/>
        </w:rPr>
        <w:t>4.5</w:t>
      </w:r>
      <w:r w:rsidRPr="00FF6B9A">
        <w:rPr>
          <w:rFonts w:eastAsiaTheme="minorEastAsia"/>
          <w:b/>
          <w:color w:themeColor="text1" w:val="000000"/>
          <w:kern w:val="0"/>
          <w:sz w:val="24"/>
          <w:szCs w:val="24"/>
        </w:rPr>
        <w:t>报告期内基金持有人数或基金资产净值预警说明</w:t>
      </w:r>
    </w:p>
    <w:p>
      <w:pPr>
        <w:spacing w:line="360" w:lineRule="auto"/>
        <w:ind w:firstLine="420" w:firstLineChars="200"/>
        <w:rPr>
          <w:rFonts w:eastAsiaTheme="minorEastAsia"/>
          <w:color w:themeColor="text1" w:val="000000"/>
        </w:rPr>
      </w:pPr>
      <w:r>
        <w:rPr>
          <w:rFonts w:eastAsiaTheme="minorEastAsia"/>
          <w:color w:themeColor="text1" w:val="000000"/>
          <w:kern w:val="0"/>
        </w:rPr>
        <w:t>报告期内，本基金存在连续六十个工作日基金资产净值低于五千万元的情况，出现该情况的时间范围为2021年07月01日至2021年09月30日。</w:t>
      </w:r>
    </w:p>
    <w:p w14:paraId="35411AB5"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kern w:val="0"/>
        </w:rPr>
        <w:t/>
      </w:r>
      <w:r w:rsidRPr="00FF6B9A">
        <w:rPr>
          <w:rFonts w:eastAsiaTheme="minorEastAsia"/>
          <w:color w:themeColor="text1" w:val="000000"/>
        </w:rPr>
        <w:t/>
      </w:r>
      <w:r w:rsidRPr="00FF6B9A">
        <w:rPr>
          <w:rFonts w:eastAsiaTheme="minorEastAsia"/>
          <w:color w:themeColor="text1" w:val="000000"/>
          <w:kern w:val="0"/>
        </w:rPr>
        <w:t>基金管理人拟调整本基金运作方式，加大营销力度，提升基金规模，方案已报监管机关。</w:t>
      </w:r>
    </w:p>
    <w:p w14:paraId="1DAA7197"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§5  </w:t>
      </w:r>
      <w:r w:rsidRPr="00FF6B9A">
        <w:rPr>
          <w:rFonts w:eastAsiaTheme="minorEastAsia"/>
          <w:color w:themeColor="text1" w:val="000000"/>
          <w:kern w:val="0"/>
          <w:sz w:val="24"/>
          <w:szCs w:val="24"/>
        </w:rPr>
        <w:t>投资组合报告</w:t>
      </w:r>
    </w:p>
    <w:p w14:paraId="2ED46D8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5.1 </w:t>
      </w:r>
      <w:r w:rsidRPr="00FF6B9A">
        <w:rPr>
          <w:rFonts w:eastAsiaTheme="minor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rsidRPr="00FF6B9A">
        <w:trPr>
          <w:jc w:val="center"/>
        </w:trPr>
        <w:tc>
          <w:tcPr>
            <w:tcW w:type="dxa" w:w="720"/>
            <w:vAlign w:val="center"/>
          </w:tcPr>
          <w:p w14:paraId="267B567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3357"/>
            <w:vAlign w:val="center"/>
          </w:tcPr>
          <w:p w14:paraId="64B125CA"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项目</w:t>
            </w:r>
          </w:p>
        </w:tc>
        <w:tc>
          <w:tcPr>
            <w:tcW w:type="dxa" w:w="2977"/>
            <w:vAlign w:val="center"/>
          </w:tcPr>
          <w:p w14:paraId="7B039B4F"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c>
          <w:tcPr>
            <w:tcW w:type="dxa" w:w="1843"/>
            <w:vAlign w:val="center"/>
          </w:tcPr>
          <w:p w14:paraId="546A193D"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占基金总资产的比例</w:t>
            </w:r>
            <w:r w:rsidRPr="00FF6B9A">
              <w:rPr>
                <w:rFonts w:eastAsiaTheme="minorEastAsia"/>
                <w:color w:themeColor="text1" w:val="000000"/>
                <w:kern w:val="0"/>
              </w:rPr>
              <w:t>(%)</w:t>
            </w:r>
          </w:p>
        </w:tc>
      </w:tr>
      <w:tr w14:paraId="2C5F8168" w14:textId="77777777" w:rsidR="00D06738" w:rsidRPr="00FF6B9A">
        <w:trPr>
          <w:jc w:val="center"/>
        </w:trPr>
        <w:tc>
          <w:tcPr>
            <w:tcW w:type="dxa" w:w="720"/>
            <w:vAlign w:val="center"/>
          </w:tcPr>
          <w:p w14:paraId="790AB27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1</w:t>
            </w:r>
          </w:p>
        </w:tc>
        <w:tc>
          <w:tcPr>
            <w:tcW w:type="dxa" w:w="3357"/>
            <w:vAlign w:val="center"/>
          </w:tcPr>
          <w:p w14:paraId="2A6D52A1"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权益投资</w:t>
            </w:r>
          </w:p>
        </w:tc>
        <w:tc>
          <w:tcPr>
            <w:tcW w:type="dxa" w:w="2977"/>
            <w:vAlign w:val="center"/>
          </w:tcPr>
          <w:p w14:paraId="3F07A469"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22,396,130.19</w:t>
            </w:r>
          </w:p>
        </w:tc>
        <w:tc>
          <w:tcPr>
            <w:tcW w:type="dxa" w:w="1843"/>
            <w:vAlign w:val="center"/>
          </w:tcPr>
          <w:p w14:paraId="233B134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81.32</w:t>
            </w:r>
          </w:p>
        </w:tc>
      </w:tr>
      <w:tr w14:paraId="2113730F" w14:textId="77777777" w:rsidR="00D06738" w:rsidRPr="00FF6B9A">
        <w:trPr>
          <w:jc w:val="center"/>
        </w:trPr>
        <w:tc>
          <w:tcPr>
            <w:tcW w:type="dxa" w:w="720"/>
            <w:vAlign w:val="center"/>
          </w:tcPr>
          <w:p w14:paraId="66F43ADC"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283001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其中：股票</w:t>
            </w:r>
          </w:p>
        </w:tc>
        <w:tc>
          <w:tcPr>
            <w:tcW w:type="dxa" w:w="2977"/>
            <w:vAlign w:val="center"/>
          </w:tcPr>
          <w:p w14:paraId="36A710A1"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22,396,130.19</w:t>
            </w:r>
          </w:p>
        </w:tc>
        <w:tc>
          <w:tcPr>
            <w:tcW w:type="dxa" w:w="1843"/>
            <w:vAlign w:val="center"/>
          </w:tcPr>
          <w:p w14:paraId="4235B2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81.32</w:t>
            </w:r>
          </w:p>
        </w:tc>
      </w:tr>
      <w:tr w14:paraId="7AF15202" w14:textId="77777777" w:rsidR="00D06738" w:rsidRPr="00FF6B9A">
        <w:trPr>
          <w:jc w:val="center"/>
        </w:trPr>
        <w:tc>
          <w:tcPr>
            <w:tcW w:type="dxa" w:w="720"/>
            <w:vAlign w:val="center"/>
          </w:tcPr>
          <w:p w14:paraId="0231B762"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2</w:t>
            </w:r>
          </w:p>
        </w:tc>
        <w:tc>
          <w:tcPr>
            <w:tcW w:type="dxa" w:w="3357"/>
            <w:vAlign w:val="center"/>
          </w:tcPr>
          <w:p w14:paraId="4854CF2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固定收益投资</w:t>
            </w:r>
          </w:p>
        </w:tc>
        <w:tc>
          <w:tcPr>
            <w:tcW w:type="dxa" w:w="2977"/>
            <w:vAlign w:val="center"/>
          </w:tcPr>
          <w:p w14:paraId="789C70A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249B755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19D15F90" w14:textId="77777777" w:rsidR="00D06738" w:rsidRPr="00FF6B9A">
        <w:trPr>
          <w:jc w:val="center"/>
        </w:trPr>
        <w:tc>
          <w:tcPr>
            <w:tcW w:type="dxa" w:w="720"/>
            <w:vAlign w:val="center"/>
          </w:tcPr>
          <w:p w14:paraId="16E41AE7"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E8D347"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其中：债券</w:t>
            </w:r>
          </w:p>
        </w:tc>
        <w:tc>
          <w:tcPr>
            <w:tcW w:type="dxa" w:w="2977"/>
            <w:vAlign w:val="center"/>
          </w:tcPr>
          <w:p w14:paraId="49FE2FF2"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78238FF"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2562C15" w14:textId="77777777" w:rsidR="00D06738" w:rsidRPr="00FF6B9A">
        <w:trPr>
          <w:jc w:val="center"/>
        </w:trPr>
        <w:tc>
          <w:tcPr>
            <w:tcW w:type="dxa" w:w="720"/>
            <w:vAlign w:val="center"/>
          </w:tcPr>
          <w:p w14:paraId="104BD163"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AC6DAD" w14:textId="77777777" w:rsidR="00D06738" w:rsidRDefault="00454D20" w:rsidRPr="00FF6B9A">
            <w:pPr>
              <w:autoSpaceDE w:val="0"/>
              <w:autoSpaceDN w:val="0"/>
              <w:adjustRightInd w:val="0"/>
              <w:spacing w:before="29" w:line="360" w:lineRule="auto"/>
              <w:ind w:firstLine="525" w:firstLineChars="250" w:left="17"/>
              <w:jc w:val="left"/>
              <w:rPr>
                <w:rFonts w:eastAsiaTheme="minorEastAsia"/>
                <w:color w:themeColor="text1" w:val="000000"/>
                <w:kern w:val="0"/>
              </w:rPr>
            </w:pPr>
            <w:r w:rsidRPr="00FF6B9A">
              <w:rPr>
                <w:rFonts w:eastAsiaTheme="minorEastAsia"/>
                <w:color w:themeColor="text1" w:val="000000"/>
                <w:kern w:val="0"/>
              </w:rPr>
              <w:t>资产支持证券</w:t>
            </w:r>
          </w:p>
        </w:tc>
        <w:tc>
          <w:tcPr>
            <w:tcW w:type="dxa" w:w="2977"/>
            <w:vAlign w:val="center"/>
          </w:tcPr>
          <w:p w14:paraId="3CF84DD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CCF9364"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w:t>
            </w:r>
          </w:p>
        </w:tc>
      </w:tr>
      <w:tr w14:paraId="3F449325" w14:textId="77777777" w:rsidR="00D06738" w:rsidRPr="00FF6B9A">
        <w:trPr>
          <w:jc w:val="center"/>
        </w:trPr>
        <w:tc>
          <w:tcPr>
            <w:tcW w:type="dxa" w:w="720"/>
          </w:tcPr>
          <w:p w14:paraId="1EE609C8"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3</w:t>
            </w:r>
          </w:p>
        </w:tc>
        <w:tc>
          <w:tcPr>
            <w:tcW w:type="dxa" w:w="3357"/>
          </w:tcPr>
          <w:p w14:paraId="7A120390" w14:textId="77777777" w:rsidR="00D06738" w:rsidRDefault="00454D20" w:rsidRPr="00FF6B9A">
            <w:pPr>
              <w:spacing w:before="29" w:line="360" w:lineRule="auto"/>
              <w:ind w:left="105" w:leftChars="50"/>
              <w:rPr>
                <w:rFonts w:eastAsiaTheme="minorEastAsia"/>
                <w:color w:themeColor="text1" w:val="000000"/>
                <w:kern w:val="0"/>
              </w:rPr>
            </w:pPr>
            <w:r w:rsidRPr="00FF6B9A">
              <w:rPr>
                <w:rFonts w:eastAsiaTheme="minorEastAsia"/>
                <w:color w:themeColor="text1" w:val="000000"/>
                <w:kern w:val="0"/>
              </w:rPr>
              <w:t>贵金属投资</w:t>
            </w:r>
          </w:p>
        </w:tc>
        <w:tc>
          <w:tcPr>
            <w:tcW w:type="dxa" w:w="2977"/>
            <w:vAlign w:val="center"/>
          </w:tcPr>
          <w:p w14:paraId="201F973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76F8BBA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0209BD0" w14:textId="77777777" w:rsidR="00D06738" w:rsidRPr="00FF6B9A">
        <w:trPr>
          <w:jc w:val="center"/>
        </w:trPr>
        <w:tc>
          <w:tcPr>
            <w:tcW w:type="dxa" w:w="720"/>
            <w:vAlign w:val="center"/>
          </w:tcPr>
          <w:p w14:paraId="44CDCE6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4</w:t>
            </w:r>
          </w:p>
        </w:tc>
        <w:tc>
          <w:tcPr>
            <w:tcW w:type="dxa" w:w="3357"/>
            <w:vAlign w:val="center"/>
          </w:tcPr>
          <w:p w14:paraId="2673343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金融衍生</w:t>
            </w:r>
            <w:proofErr w:type="gramStart"/>
            <w:r w:rsidRPr="00FF6B9A">
              <w:rPr>
                <w:rFonts w:eastAsiaTheme="minorEastAsia"/>
                <w:color w:themeColor="text1" w:val="000000"/>
                <w:kern w:val="0"/>
              </w:rPr>
              <w:t>品投资</w:t>
            </w:r>
            <w:proofErr w:type="gramEnd"/>
          </w:p>
        </w:tc>
        <w:tc>
          <w:tcPr>
            <w:tcW w:type="dxa" w:w="2977"/>
            <w:vAlign w:val="center"/>
          </w:tcPr>
          <w:p w14:paraId="2CA6AE5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17B3EB0"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9083124" w14:textId="77777777" w:rsidR="00D06738" w:rsidRPr="00FF6B9A">
        <w:trPr>
          <w:jc w:val="center"/>
        </w:trPr>
        <w:tc>
          <w:tcPr>
            <w:tcW w:type="dxa" w:w="720"/>
            <w:vAlign w:val="center"/>
          </w:tcPr>
          <w:p w14:paraId="3E06450B"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5</w:t>
            </w:r>
          </w:p>
        </w:tc>
        <w:tc>
          <w:tcPr>
            <w:tcW w:type="dxa" w:w="3357"/>
            <w:vAlign w:val="center"/>
          </w:tcPr>
          <w:p w14:paraId="11937F9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买入返售金融资产</w:t>
            </w:r>
          </w:p>
        </w:tc>
        <w:tc>
          <w:tcPr>
            <w:tcW w:type="dxa" w:w="2977"/>
            <w:vAlign w:val="center"/>
          </w:tcPr>
          <w:p w14:paraId="6293112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F06200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5EFCF5A8" w14:textId="77777777" w:rsidR="00D06738" w:rsidRPr="00FF6B9A">
        <w:trPr>
          <w:jc w:val="center"/>
        </w:trPr>
        <w:tc>
          <w:tcPr>
            <w:tcW w:type="dxa" w:w="720"/>
            <w:vAlign w:val="center"/>
          </w:tcPr>
          <w:p w14:paraId="7A522889"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3CEA16A4"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其中：买断式回购的买入返售金融资产</w:t>
            </w:r>
          </w:p>
        </w:tc>
        <w:tc>
          <w:tcPr>
            <w:tcW w:type="dxa" w:w="2977"/>
            <w:vAlign w:val="center"/>
          </w:tcPr>
          <w:p w14:paraId="7B73699E"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c>
          <w:tcPr>
            <w:tcW w:type="dxa" w:w="1843"/>
            <w:vAlign w:val="center"/>
          </w:tcPr>
          <w:p w14:paraId="15A7BC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786251D7" w14:textId="77777777" w:rsidR="00D06738" w:rsidRPr="00FF6B9A">
        <w:trPr>
          <w:jc w:val="center"/>
        </w:trPr>
        <w:tc>
          <w:tcPr>
            <w:tcW w:type="dxa" w:w="720"/>
            <w:vAlign w:val="center"/>
          </w:tcPr>
          <w:p w14:paraId="2969279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6</w:t>
            </w:r>
          </w:p>
        </w:tc>
        <w:tc>
          <w:tcPr>
            <w:tcW w:type="dxa" w:w="3357"/>
            <w:vAlign w:val="center"/>
          </w:tcPr>
          <w:p w14:paraId="421FB0F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银行存款和结算备付金合计</w:t>
            </w:r>
          </w:p>
        </w:tc>
        <w:tc>
          <w:tcPr>
            <w:tcW w:type="dxa" w:w="2977"/>
            <w:vAlign w:val="center"/>
          </w:tcPr>
          <w:p w14:paraId="54D555B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4,610,199.86</w:t>
            </w:r>
          </w:p>
        </w:tc>
        <w:tc>
          <w:tcPr>
            <w:tcW w:type="dxa" w:w="1843"/>
            <w:vAlign w:val="center"/>
          </w:tcPr>
          <w:p w14:paraId="174620B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16.74</w:t>
            </w:r>
          </w:p>
        </w:tc>
      </w:tr>
      <w:tr w14:paraId="42ECF5E1" w14:textId="77777777" w:rsidR="00D06738" w:rsidRPr="00FF6B9A">
        <w:trPr>
          <w:jc w:val="center"/>
        </w:trPr>
        <w:tc>
          <w:tcPr>
            <w:tcW w:type="dxa" w:w="720"/>
            <w:vAlign w:val="center"/>
          </w:tcPr>
          <w:p w14:paraId="59AA2BC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7</w:t>
            </w:r>
          </w:p>
        </w:tc>
        <w:tc>
          <w:tcPr>
            <w:tcW w:type="dxa" w:w="3357"/>
            <w:vAlign w:val="center"/>
          </w:tcPr>
          <w:p w14:paraId="705D6B78"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其他各项资产</w:t>
            </w:r>
          </w:p>
        </w:tc>
        <w:tc>
          <w:tcPr>
            <w:tcW w:type="dxa" w:w="2977"/>
            <w:vAlign w:val="center"/>
          </w:tcPr>
          <w:p w14:paraId="4AF0CB10"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534,503.85</w:t>
            </w:r>
          </w:p>
        </w:tc>
        <w:tc>
          <w:tcPr>
            <w:tcW w:type="dxa" w:w="1843"/>
            <w:vAlign w:val="center"/>
          </w:tcPr>
          <w:p w14:paraId="12AAF10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1.94</w:t>
            </w:r>
          </w:p>
        </w:tc>
      </w:tr>
      <w:tr w14:paraId="4D6FFA71" w14:textId="77777777" w:rsidR="00D06738" w:rsidRPr="00FF6B9A">
        <w:trPr>
          <w:jc w:val="center"/>
        </w:trPr>
        <w:tc>
          <w:tcPr>
            <w:tcW w:type="dxa" w:w="720"/>
            <w:vAlign w:val="center"/>
          </w:tcPr>
          <w:p w14:paraId="17A180E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8</w:t>
            </w:r>
          </w:p>
        </w:tc>
        <w:tc>
          <w:tcPr>
            <w:tcW w:type="dxa" w:w="3357"/>
            <w:vAlign w:val="center"/>
          </w:tcPr>
          <w:p w14:paraId="29DAA7F6"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合计</w:t>
            </w:r>
          </w:p>
        </w:tc>
        <w:tc>
          <w:tcPr>
            <w:tcW w:type="dxa" w:w="2977"/>
            <w:vAlign w:val="center"/>
          </w:tcPr>
          <w:p w14:paraId="446A48E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27,540,833.90</w:t>
            </w:r>
          </w:p>
        </w:tc>
        <w:tc>
          <w:tcPr>
            <w:tcW w:type="dxa" w:w="1843"/>
            <w:vAlign w:val="center"/>
          </w:tcPr>
          <w:p w14:paraId="3C7AC8A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100.00</w:t>
            </w:r>
          </w:p>
        </w:tc>
      </w:tr>
    </w:tbl>
    <w:p w14:paraId="6175743F"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71F975B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5.2 </w:t>
      </w:r>
      <w:r w:rsidRPr="00FF6B9A">
        <w:rPr>
          <w:rFonts w:eastAsiaTheme="minorEastAsia"/>
          <w:b/>
          <w:bCs/>
          <w:color w:themeColor="text1" w:val="000000"/>
          <w:kern w:val="0"/>
          <w:sz w:val="24"/>
          <w:szCs w:val="24"/>
        </w:rPr>
        <w:t>报告期末按行业分类的股票投资组合</w:t>
      </w:r>
    </w:p>
    <w:p w14:paraId="0A24FB38" w14:textId="77777777" w:rsidR="00D06738" w:rsidRDefault="00454D20" w:rsidRPr="00FF6B9A">
      <w:pPr>
        <w:rPr>
          <w:b/>
        </w:rPr>
      </w:pPr>
      <w:r w:rsidRPr="00FF6B9A">
        <w:rPr>
          <w:b/>
          <w:color w:themeColor="text1" w:val="000000"/>
        </w:rPr>
        <w:t/>
      </w:r>
      <w:proofErr w:type="spellStart"/>
      <w:r w:rsidRPr="00FF6B9A">
        <w:rPr>
          <w:b/>
          <w:color w:themeColor="text1" w:val="000000"/>
        </w:rPr>
        <w:t/>
      </w:r>
      <w:proofErr w:type="spellEnd"/>
      <w:r w:rsidRPr="00FF6B9A">
        <w:rPr>
          <w:b/>
          <w:color w:themeColor="text1" w:val="000000"/>
        </w:rPr>
        <w:t/>
      </w:r>
      <w:r w:rsidRPr="00FF6B9A">
        <w:rPr>
          <w:rFonts w:eastAsiaTheme="minorEastAsia"/>
          <w:b/>
          <w:color w:themeColor="text1" w:val="000000"/>
          <w:kern w:val="0"/>
        </w:rPr>
        <w:t>5.2.1</w:t>
      </w:r>
      <w:r w:rsidRPr="00FF6B9A">
        <w:rPr>
          <w:rFonts w:eastAsiaTheme="minor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rsidRPr="00FF6B9A">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代码</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占基金资产净值比例（％）</w:t>
            </w:r>
          </w:p>
        </w:tc>
      </w:tr>
      <w:tr w14:paraId="651FF96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2B8EF369"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741,300.00</w:t>
            </w:r>
          </w:p>
          <w:p w14:paraId="72CB0322" w14:textId="77777777" w:rsidR="00D06738" w:rsidRDefault="00D06738" w:rsidRPr="00FF6B9A">
            <w:pPr>
              <w:jc w:val="right"/>
              <w:rPr>
                <w:rFonts w:eastAsia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2.72</w:t>
            </w:r>
          </w:p>
          <w:p w14:paraId="5DCD6455" w14:textId="77777777" w:rsidR="00D06738" w:rsidRDefault="00D06738" w:rsidRPr="00FF6B9A">
            <w:pPr>
              <w:jc w:val="right"/>
              <w:rPr>
                <w:rFonts w:eastAsiaTheme="minorEastAsia"/>
                <w:color w:themeColor="text1" w:val="000000"/>
                <w:kern w:val="0"/>
              </w:rPr>
            </w:pPr>
          </w:p>
        </w:tc>
      </w:tr>
      <w:tr w14:paraId="3470B292"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17,010,481.19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62.32</w:t>
            </w:r>
          </w:p>
        </w:tc>
      </w:tr>
      <w:tr w14:paraId="53F8CFE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r>
      <w:tr w14:paraId="1B8429A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25A56BDE"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8AD7C4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r>
      <w:tr w14:paraId="545862F1"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EB68E1B"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4,644,349.00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17.01</w:t>
            </w:r>
          </w:p>
        </w:tc>
      </w:tr>
      <w:tr w14:paraId="379675A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3FE1377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663031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07EC249A"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9D921F3"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r>
      <w:tr w14:paraId="090E46D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kern w:val="0"/>
              </w:rPr>
              <w:lastRenderedPageBreak/>
              <w:t/>
            </w:r>
            <w:proofErr w:type="spellEnd"/>
            <w:r w:rsidRPr="00FF6B9A">
              <w:rPr>
                <w:rFonts w:eastAsiaTheme="minorEastAsia"/>
                <w:color w:themeColor="text1" w:val="000000"/>
                <w:kern w:val="0"/>
              </w:rPr>
              <w:t>-</w:t>
            </w:r>
          </w:p>
        </w:tc>
      </w:tr>
      <w:tr w14:paraId="684B91C8"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8A809B6"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0C10CFD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78F4620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AD397B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rsidRPr="00FF6B9A">
            <w:pPr>
              <w:adjustRightInd w:val="0"/>
              <w:snapToGrid w:val="0"/>
              <w:spacing w:line="400" w:lineRule="exact"/>
              <w:jc w:val="center"/>
              <w:rPr>
                <w:rFonts w:eastAsia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22,396,130.19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82.05</w:t>
            </w:r>
          </w:p>
        </w:tc>
      </w:tr>
    </w:tbl>
    <w:p w14:paraId="0F45C82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0B00694" w14:textId="77777777" w:rsidP="00FF6B9A" w:rsidR="00FF6B9A" w:rsidRDefault="00FF6B9A" w:rsidRPr="00FF6B9A">
      <w:pPr>
        <w:spacing w:line="360" w:lineRule="auto"/>
        <w:rPr>
          <w:rFonts w:eastAsiaTheme="minorEastAsia"/>
          <w:sz w:val="24"/>
          <w:szCs w:val="24"/>
        </w:rPr>
      </w:pPr>
      <w:bookmarkStart w:id="3"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type="auto" w:w="0"/>
        <w:tblLayout w:type="fixed"/>
        <w:tblLook w:firstColumn="1" w:firstRow="1" w:lastColumn="0" w:lastRow="0" w:noHBand="0" w:noVBand="1" w:val="04A0"/>
      </w:tblPr>
      <w:tblGrid>
        <w:gridCol w:w="817"/>
        <w:gridCol w:w="1276"/>
        <w:gridCol w:w="1701"/>
        <w:gridCol w:w="1276"/>
        <w:gridCol w:w="1842"/>
        <w:gridCol w:w="1616"/>
      </w:tblGrid>
      <w:tr w14:paraId="6EFFF3EB" w14:textId="77777777" w:rsidR="00FF6B9A" w:rsidRPr="00FF6B9A" w:rsidTr="00D913A1">
        <w:tc>
          <w:tcPr>
            <w:tcW w:type="dxa" w:w="817"/>
            <w:vAlign w:val="center"/>
          </w:tcPr>
          <w:p w14:paraId="3BF93561"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type="dxa" w:w="1276"/>
            <w:vAlign w:val="center"/>
          </w:tcPr>
          <w:p w14:paraId="6281AD5E"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type="dxa" w:w="1701"/>
            <w:vAlign w:val="center"/>
          </w:tcPr>
          <w:p w14:paraId="23E4D4E7"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type="dxa" w:w="1276"/>
            <w:vAlign w:val="center"/>
          </w:tcPr>
          <w:p w14:paraId="1CC86F06"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type="dxa" w:w="1842"/>
            <w:vAlign w:val="center"/>
          </w:tcPr>
          <w:p w14:paraId="5057E922" w14:textId="77777777" w:rsidP="00D913A1" w:rsidR="00FF6B9A" w:rsidRDefault="00FF6B9A" w:rsidRPr="00FF6B9A">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type="dxa" w:w="1616"/>
            <w:vAlign w:val="center"/>
          </w:tcPr>
          <w:p w14:paraId="5797A0C8"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tc>
          <w:tcPr>
            <w:vAlign w:val="center"/>
          </w:tcPr>
          <w:p>
            <w:pPr>
              <w:jc w:val="center"/>
            </w:pPr>
            <w:r>
              <w:rPr>
                <w:rFonts w:eastAsiaTheme="minorEastAsia"/>
                <w:kern w:val="0"/>
                <w:sz w:val="24"/>
                <w:szCs w:val="24"/>
              </w:rPr>
              <w:t>1</w:t>
            </w:r>
          </w:p>
        </w:tc>
        <w:tc>
          <w:tcPr>
            <w:vAlign w:val="center"/>
          </w:tcPr>
          <w:p>
            <w:pPr>
              <w:jc w:val="center"/>
            </w:pPr>
            <w:r>
              <w:rPr>
                <w:rFonts w:eastAsiaTheme="minorEastAsia"/>
                <w:kern w:val="0"/>
                <w:sz w:val="24"/>
                <w:szCs w:val="24"/>
              </w:rPr>
              <w:t>002371</w:t>
            </w:r>
          </w:p>
        </w:tc>
        <w:tc>
          <w:tcPr>
            <w:vAlign w:val="center"/>
          </w:tcPr>
          <w:p>
            <w:pPr>
              <w:jc w:val="center"/>
            </w:pPr>
            <w:r>
              <w:rPr>
                <w:rFonts w:eastAsiaTheme="minorEastAsia"/>
                <w:kern w:val="0"/>
                <w:sz w:val="24"/>
                <w:szCs w:val="24"/>
              </w:rPr>
              <w:t>北方华创</w:t>
            </w:r>
          </w:p>
        </w:tc>
        <w:tc>
          <w:tcPr>
            <w:vAlign w:val="center"/>
          </w:tcPr>
          <w:p>
            <w:pPr>
              <w:jc w:val="right"/>
            </w:pPr>
            <w:r>
              <w:rPr>
                <w:rFonts w:eastAsiaTheme="minorEastAsia"/>
                <w:kern w:val="0"/>
                <w:sz w:val="24"/>
                <w:szCs w:val="24"/>
              </w:rPr>
              <w:t>4,200.00</w:t>
            </w:r>
          </w:p>
        </w:tc>
        <w:tc>
          <w:tcPr>
            <w:vAlign w:val="center"/>
          </w:tcPr>
          <w:p>
            <w:pPr>
              <w:jc w:val="right"/>
            </w:pPr>
            <w:r>
              <w:rPr>
                <w:rFonts w:eastAsiaTheme="minorEastAsia"/>
                <w:kern w:val="0"/>
                <w:sz w:val="24"/>
                <w:szCs w:val="24"/>
              </w:rPr>
              <w:t>1,535,898.00</w:t>
            </w:r>
          </w:p>
        </w:tc>
        <w:tc>
          <w:tcPr>
            <w:vAlign w:val="center"/>
          </w:tcPr>
          <w:p>
            <w:pPr>
              <w:jc w:val="right"/>
            </w:pPr>
            <w:r>
              <w:rPr>
                <w:rFonts w:eastAsiaTheme="minorEastAsia"/>
                <w:kern w:val="0"/>
                <w:sz w:val="24"/>
                <w:szCs w:val="24"/>
              </w:rPr>
              <w:t>5.63</w:t>
            </w:r>
          </w:p>
        </w:tc>
      </w:tr>
      <w:tr>
        <w:tc>
          <w:tcPr>
            <w:vAlign w:val="center"/>
          </w:tcPr>
          <w:p>
            <w:pPr>
              <w:jc w:val="center"/>
            </w:pPr>
            <w:r>
              <w:rPr>
                <w:rFonts w:eastAsiaTheme="minorEastAsia"/>
                <w:kern w:val="0"/>
                <w:sz w:val="24"/>
                <w:szCs w:val="24"/>
              </w:rPr>
              <w:t>2</w:t>
            </w:r>
          </w:p>
        </w:tc>
        <w:tc>
          <w:tcPr>
            <w:vAlign w:val="center"/>
          </w:tcPr>
          <w:p>
            <w:pPr>
              <w:jc w:val="center"/>
            </w:pPr>
            <w:r>
              <w:rPr>
                <w:rFonts w:eastAsiaTheme="minorEastAsia"/>
                <w:kern w:val="0"/>
                <w:sz w:val="24"/>
                <w:szCs w:val="24"/>
              </w:rPr>
              <w:t>603486</w:t>
            </w:r>
          </w:p>
        </w:tc>
        <w:tc>
          <w:tcPr>
            <w:vAlign w:val="center"/>
          </w:tcPr>
          <w:p>
            <w:pPr>
              <w:jc w:val="center"/>
            </w:pPr>
            <w:r>
              <w:rPr>
                <w:rFonts w:eastAsiaTheme="minorEastAsia"/>
                <w:kern w:val="0"/>
                <w:sz w:val="24"/>
                <w:szCs w:val="24"/>
              </w:rPr>
              <w:t>科沃斯</w:t>
            </w:r>
          </w:p>
        </w:tc>
        <w:tc>
          <w:tcPr>
            <w:vAlign w:val="center"/>
          </w:tcPr>
          <w:p>
            <w:pPr>
              <w:jc w:val="right"/>
            </w:pPr>
            <w:r>
              <w:rPr>
                <w:rFonts w:eastAsiaTheme="minorEastAsia"/>
                <w:kern w:val="0"/>
                <w:sz w:val="24"/>
                <w:szCs w:val="24"/>
              </w:rPr>
              <w:t>10,100.00</w:t>
            </w:r>
          </w:p>
        </w:tc>
        <w:tc>
          <w:tcPr>
            <w:vAlign w:val="center"/>
          </w:tcPr>
          <w:p>
            <w:pPr>
              <w:jc w:val="right"/>
            </w:pPr>
            <w:r>
              <w:rPr>
                <w:rFonts w:eastAsiaTheme="minorEastAsia"/>
                <w:kern w:val="0"/>
                <w:sz w:val="24"/>
                <w:szCs w:val="24"/>
              </w:rPr>
              <w:t>1,534,190.00</w:t>
            </w:r>
          </w:p>
        </w:tc>
        <w:tc>
          <w:tcPr>
            <w:vAlign w:val="center"/>
          </w:tcPr>
          <w:p>
            <w:pPr>
              <w:jc w:val="right"/>
            </w:pPr>
            <w:r>
              <w:rPr>
                <w:rFonts w:eastAsiaTheme="minorEastAsia"/>
                <w:kern w:val="0"/>
                <w:sz w:val="24"/>
                <w:szCs w:val="24"/>
              </w:rPr>
              <w:t>5.62</w:t>
            </w:r>
          </w:p>
        </w:tc>
      </w:tr>
      <w:tr>
        <w:tc>
          <w:tcPr>
            <w:vAlign w:val="center"/>
          </w:tcPr>
          <w:p>
            <w:pPr>
              <w:jc w:val="center"/>
            </w:pPr>
            <w:r>
              <w:rPr>
                <w:rFonts w:eastAsiaTheme="minorEastAsia"/>
                <w:kern w:val="0"/>
                <w:sz w:val="24"/>
                <w:szCs w:val="24"/>
              </w:rPr>
              <w:t>3</w:t>
            </w:r>
          </w:p>
        </w:tc>
        <w:tc>
          <w:tcPr>
            <w:vAlign w:val="center"/>
          </w:tcPr>
          <w:p>
            <w:pPr>
              <w:jc w:val="center"/>
            </w:pPr>
            <w:r>
              <w:rPr>
                <w:rFonts w:eastAsiaTheme="minorEastAsia"/>
                <w:kern w:val="0"/>
                <w:sz w:val="24"/>
                <w:szCs w:val="24"/>
              </w:rPr>
              <w:t>688023</w:t>
            </w:r>
          </w:p>
        </w:tc>
        <w:tc>
          <w:tcPr>
            <w:vAlign w:val="center"/>
          </w:tcPr>
          <w:p>
            <w:pPr>
              <w:jc w:val="center"/>
            </w:pPr>
            <w:r>
              <w:rPr>
                <w:rFonts w:eastAsiaTheme="minorEastAsia"/>
                <w:kern w:val="0"/>
                <w:sz w:val="24"/>
                <w:szCs w:val="24"/>
              </w:rPr>
              <w:t>安恒信息</w:t>
            </w:r>
          </w:p>
        </w:tc>
        <w:tc>
          <w:tcPr>
            <w:vAlign w:val="center"/>
          </w:tcPr>
          <w:p>
            <w:pPr>
              <w:jc w:val="right"/>
            </w:pPr>
            <w:r>
              <w:rPr>
                <w:rFonts w:eastAsiaTheme="minorEastAsia"/>
                <w:kern w:val="0"/>
                <w:sz w:val="24"/>
                <w:szCs w:val="24"/>
              </w:rPr>
              <w:t>3,100.00</w:t>
            </w:r>
          </w:p>
        </w:tc>
        <w:tc>
          <w:tcPr>
            <w:vAlign w:val="center"/>
          </w:tcPr>
          <w:p>
            <w:pPr>
              <w:jc w:val="right"/>
            </w:pPr>
            <w:r>
              <w:rPr>
                <w:rFonts w:eastAsiaTheme="minorEastAsia"/>
                <w:kern w:val="0"/>
                <w:sz w:val="24"/>
                <w:szCs w:val="24"/>
              </w:rPr>
              <w:t>1,094,300.00</w:t>
            </w:r>
          </w:p>
        </w:tc>
        <w:tc>
          <w:tcPr>
            <w:vAlign w:val="center"/>
          </w:tcPr>
          <w:p>
            <w:pPr>
              <w:jc w:val="right"/>
            </w:pPr>
            <w:r>
              <w:rPr>
                <w:rFonts w:eastAsiaTheme="minorEastAsia"/>
                <w:kern w:val="0"/>
                <w:sz w:val="24"/>
                <w:szCs w:val="24"/>
              </w:rPr>
              <w:t>4.01</w:t>
            </w:r>
          </w:p>
        </w:tc>
      </w:tr>
      <w:tr>
        <w:tc>
          <w:tcPr>
            <w:vAlign w:val="center"/>
          </w:tcPr>
          <w:p>
            <w:pPr>
              <w:jc w:val="center"/>
            </w:pPr>
            <w:r>
              <w:rPr>
                <w:rFonts w:eastAsiaTheme="minorEastAsia"/>
                <w:kern w:val="0"/>
                <w:sz w:val="24"/>
                <w:szCs w:val="24"/>
              </w:rPr>
              <w:t>4</w:t>
            </w:r>
          </w:p>
        </w:tc>
        <w:tc>
          <w:tcPr>
            <w:vAlign w:val="center"/>
          </w:tcPr>
          <w:p>
            <w:pPr>
              <w:jc w:val="center"/>
            </w:pPr>
            <w:r>
              <w:rPr>
                <w:rFonts w:eastAsiaTheme="minorEastAsia"/>
                <w:kern w:val="0"/>
                <w:sz w:val="24"/>
                <w:szCs w:val="24"/>
              </w:rPr>
              <w:t>688037</w:t>
            </w:r>
          </w:p>
        </w:tc>
        <w:tc>
          <w:tcPr>
            <w:vAlign w:val="center"/>
          </w:tcPr>
          <w:p>
            <w:pPr>
              <w:jc w:val="center"/>
            </w:pPr>
            <w:r>
              <w:rPr>
                <w:rFonts w:eastAsiaTheme="minorEastAsia"/>
                <w:kern w:val="0"/>
                <w:sz w:val="24"/>
                <w:szCs w:val="24"/>
              </w:rPr>
              <w:t>芯源微</w:t>
            </w:r>
          </w:p>
        </w:tc>
        <w:tc>
          <w:tcPr>
            <w:vAlign w:val="center"/>
          </w:tcPr>
          <w:p>
            <w:pPr>
              <w:jc w:val="right"/>
            </w:pPr>
            <w:r>
              <w:rPr>
                <w:rFonts w:eastAsiaTheme="minorEastAsia"/>
                <w:kern w:val="0"/>
                <w:sz w:val="24"/>
                <w:szCs w:val="24"/>
              </w:rPr>
              <w:t>4,000.00</w:t>
            </w:r>
          </w:p>
        </w:tc>
        <w:tc>
          <w:tcPr>
            <w:vAlign w:val="center"/>
          </w:tcPr>
          <w:p>
            <w:pPr>
              <w:jc w:val="right"/>
            </w:pPr>
            <w:r>
              <w:rPr>
                <w:rFonts w:eastAsiaTheme="minorEastAsia"/>
                <w:kern w:val="0"/>
                <w:sz w:val="24"/>
                <w:szCs w:val="24"/>
              </w:rPr>
              <w:t>976,400.00</w:t>
            </w:r>
          </w:p>
        </w:tc>
        <w:tc>
          <w:tcPr>
            <w:vAlign w:val="center"/>
          </w:tcPr>
          <w:p>
            <w:pPr>
              <w:jc w:val="right"/>
            </w:pPr>
            <w:r>
              <w:rPr>
                <w:rFonts w:eastAsiaTheme="minorEastAsia"/>
                <w:kern w:val="0"/>
                <w:sz w:val="24"/>
                <w:szCs w:val="24"/>
              </w:rPr>
              <w:t>3.58</w:t>
            </w:r>
          </w:p>
        </w:tc>
      </w:tr>
      <w:tr>
        <w:tc>
          <w:tcPr>
            <w:vAlign w:val="center"/>
          </w:tcPr>
          <w:p>
            <w:pPr>
              <w:jc w:val="center"/>
            </w:pPr>
            <w:r>
              <w:rPr>
                <w:rFonts w:eastAsiaTheme="minorEastAsia"/>
                <w:kern w:val="0"/>
                <w:sz w:val="24"/>
                <w:szCs w:val="24"/>
              </w:rPr>
              <w:t>5</w:t>
            </w:r>
          </w:p>
        </w:tc>
        <w:tc>
          <w:tcPr>
            <w:vAlign w:val="center"/>
          </w:tcPr>
          <w:p>
            <w:pPr>
              <w:jc w:val="center"/>
            </w:pPr>
            <w:r>
              <w:rPr>
                <w:rFonts w:eastAsiaTheme="minorEastAsia"/>
                <w:kern w:val="0"/>
                <w:sz w:val="24"/>
                <w:szCs w:val="24"/>
              </w:rPr>
              <w:t>605117</w:t>
            </w:r>
          </w:p>
        </w:tc>
        <w:tc>
          <w:tcPr>
            <w:vAlign w:val="center"/>
          </w:tcPr>
          <w:p>
            <w:pPr>
              <w:jc w:val="center"/>
            </w:pPr>
            <w:r>
              <w:rPr>
                <w:rFonts w:eastAsiaTheme="minorEastAsia"/>
                <w:kern w:val="0"/>
                <w:sz w:val="24"/>
                <w:szCs w:val="24"/>
              </w:rPr>
              <w:t>德业股份</w:t>
            </w:r>
          </w:p>
        </w:tc>
        <w:tc>
          <w:tcPr>
            <w:vAlign w:val="center"/>
          </w:tcPr>
          <w:p>
            <w:pPr>
              <w:jc w:val="right"/>
            </w:pPr>
            <w:r>
              <w:rPr>
                <w:rFonts w:eastAsiaTheme="minorEastAsia"/>
                <w:kern w:val="0"/>
                <w:sz w:val="24"/>
                <w:szCs w:val="24"/>
              </w:rPr>
              <w:t>4,300.00</w:t>
            </w:r>
          </w:p>
        </w:tc>
        <w:tc>
          <w:tcPr>
            <w:vAlign w:val="center"/>
          </w:tcPr>
          <w:p>
            <w:pPr>
              <w:jc w:val="right"/>
            </w:pPr>
            <w:r>
              <w:rPr>
                <w:rFonts w:eastAsiaTheme="minorEastAsia"/>
                <w:kern w:val="0"/>
                <w:sz w:val="24"/>
                <w:szCs w:val="24"/>
              </w:rPr>
              <w:t>966,640.00</w:t>
            </w:r>
          </w:p>
        </w:tc>
        <w:tc>
          <w:tcPr>
            <w:vAlign w:val="center"/>
          </w:tcPr>
          <w:p>
            <w:pPr>
              <w:jc w:val="right"/>
            </w:pPr>
            <w:r>
              <w:rPr>
                <w:rFonts w:eastAsiaTheme="minorEastAsia"/>
                <w:kern w:val="0"/>
                <w:sz w:val="24"/>
                <w:szCs w:val="24"/>
              </w:rPr>
              <w:t>3.54</w:t>
            </w:r>
          </w:p>
        </w:tc>
      </w:tr>
      <w:tr>
        <w:tc>
          <w:tcPr>
            <w:vAlign w:val="center"/>
          </w:tcPr>
          <w:p>
            <w:pPr>
              <w:jc w:val="center"/>
            </w:pPr>
            <w:r>
              <w:rPr>
                <w:rFonts w:eastAsiaTheme="minorEastAsia"/>
                <w:kern w:val="0"/>
                <w:sz w:val="24"/>
                <w:szCs w:val="24"/>
              </w:rPr>
              <w:t>6</w:t>
            </w:r>
          </w:p>
        </w:tc>
        <w:tc>
          <w:tcPr>
            <w:vAlign w:val="center"/>
          </w:tcPr>
          <w:p>
            <w:pPr>
              <w:jc w:val="center"/>
            </w:pPr>
            <w:r>
              <w:rPr>
                <w:rFonts w:eastAsiaTheme="minorEastAsia"/>
                <w:kern w:val="0"/>
                <w:sz w:val="24"/>
                <w:szCs w:val="24"/>
              </w:rPr>
              <w:t>600171</w:t>
            </w:r>
          </w:p>
        </w:tc>
        <w:tc>
          <w:tcPr>
            <w:vAlign w:val="center"/>
          </w:tcPr>
          <w:p>
            <w:pPr>
              <w:jc w:val="center"/>
            </w:pPr>
            <w:r>
              <w:rPr>
                <w:rFonts w:eastAsiaTheme="minorEastAsia"/>
                <w:kern w:val="0"/>
                <w:sz w:val="24"/>
                <w:szCs w:val="24"/>
              </w:rPr>
              <w:t>上海贝岭</w:t>
            </w:r>
          </w:p>
        </w:tc>
        <w:tc>
          <w:tcPr>
            <w:vAlign w:val="center"/>
          </w:tcPr>
          <w:p>
            <w:pPr>
              <w:jc w:val="right"/>
            </w:pPr>
            <w:r>
              <w:rPr>
                <w:rFonts w:eastAsiaTheme="minorEastAsia"/>
                <w:kern w:val="0"/>
                <w:sz w:val="24"/>
                <w:szCs w:val="24"/>
              </w:rPr>
              <w:t>26,257.00</w:t>
            </w:r>
          </w:p>
        </w:tc>
        <w:tc>
          <w:tcPr>
            <w:vAlign w:val="center"/>
          </w:tcPr>
          <w:p>
            <w:pPr>
              <w:jc w:val="right"/>
            </w:pPr>
            <w:r>
              <w:rPr>
                <w:rFonts w:eastAsiaTheme="minorEastAsia"/>
                <w:kern w:val="0"/>
                <w:sz w:val="24"/>
                <w:szCs w:val="24"/>
              </w:rPr>
              <w:t>939,475.46</w:t>
            </w:r>
          </w:p>
        </w:tc>
        <w:tc>
          <w:tcPr>
            <w:vAlign w:val="center"/>
          </w:tcPr>
          <w:p>
            <w:pPr>
              <w:jc w:val="right"/>
            </w:pPr>
            <w:r>
              <w:rPr>
                <w:rFonts w:eastAsiaTheme="minorEastAsia"/>
                <w:kern w:val="0"/>
                <w:sz w:val="24"/>
                <w:szCs w:val="24"/>
              </w:rPr>
              <w:t>3.44</w:t>
            </w:r>
          </w:p>
        </w:tc>
      </w:tr>
      <w:tr>
        <w:tc>
          <w:tcPr>
            <w:vAlign w:val="center"/>
          </w:tcPr>
          <w:p>
            <w:pPr>
              <w:jc w:val="center"/>
            </w:pPr>
            <w:r>
              <w:rPr>
                <w:rFonts w:eastAsiaTheme="minorEastAsia"/>
                <w:kern w:val="0"/>
                <w:sz w:val="24"/>
                <w:szCs w:val="24"/>
              </w:rPr>
              <w:t>7</w:t>
            </w:r>
          </w:p>
        </w:tc>
        <w:tc>
          <w:tcPr>
            <w:vAlign w:val="center"/>
          </w:tcPr>
          <w:p>
            <w:pPr>
              <w:jc w:val="center"/>
            </w:pPr>
            <w:r>
              <w:rPr>
                <w:rFonts w:eastAsiaTheme="minorEastAsia"/>
                <w:kern w:val="0"/>
                <w:sz w:val="24"/>
                <w:szCs w:val="24"/>
              </w:rPr>
              <w:t>600563</w:t>
            </w:r>
          </w:p>
        </w:tc>
        <w:tc>
          <w:tcPr>
            <w:vAlign w:val="center"/>
          </w:tcPr>
          <w:p>
            <w:pPr>
              <w:jc w:val="center"/>
            </w:pPr>
            <w:r>
              <w:rPr>
                <w:rFonts w:eastAsiaTheme="minorEastAsia"/>
                <w:kern w:val="0"/>
                <w:sz w:val="24"/>
                <w:szCs w:val="24"/>
              </w:rPr>
              <w:t>法拉电子</w:t>
            </w:r>
          </w:p>
        </w:tc>
        <w:tc>
          <w:tcPr>
            <w:vAlign w:val="center"/>
          </w:tcPr>
          <w:p>
            <w:pPr>
              <w:jc w:val="right"/>
            </w:pPr>
            <w:r>
              <w:rPr>
                <w:rFonts w:eastAsiaTheme="minorEastAsia"/>
                <w:kern w:val="0"/>
                <w:sz w:val="24"/>
                <w:szCs w:val="24"/>
              </w:rPr>
              <w:t>4,800.00</w:t>
            </w:r>
          </w:p>
        </w:tc>
        <w:tc>
          <w:tcPr>
            <w:vAlign w:val="center"/>
          </w:tcPr>
          <w:p>
            <w:pPr>
              <w:jc w:val="right"/>
            </w:pPr>
            <w:r>
              <w:rPr>
                <w:rFonts w:eastAsiaTheme="minorEastAsia"/>
                <w:kern w:val="0"/>
                <w:sz w:val="24"/>
                <w:szCs w:val="24"/>
              </w:rPr>
              <w:t>858,048.00</w:t>
            </w:r>
          </w:p>
        </w:tc>
        <w:tc>
          <w:tcPr>
            <w:vAlign w:val="center"/>
          </w:tcPr>
          <w:p>
            <w:pPr>
              <w:jc w:val="right"/>
            </w:pPr>
            <w:r>
              <w:rPr>
                <w:rFonts w:eastAsiaTheme="minorEastAsia"/>
                <w:kern w:val="0"/>
                <w:sz w:val="24"/>
                <w:szCs w:val="24"/>
              </w:rPr>
              <w:t>3.14</w:t>
            </w:r>
          </w:p>
        </w:tc>
      </w:tr>
      <w:tr>
        <w:tc>
          <w:tcPr>
            <w:vAlign w:val="center"/>
          </w:tcPr>
          <w:p>
            <w:pPr>
              <w:jc w:val="center"/>
            </w:pPr>
            <w:r>
              <w:rPr>
                <w:rFonts w:eastAsiaTheme="minorEastAsia"/>
                <w:kern w:val="0"/>
                <w:sz w:val="24"/>
                <w:szCs w:val="24"/>
              </w:rPr>
              <w:t>8</w:t>
            </w:r>
          </w:p>
        </w:tc>
        <w:tc>
          <w:tcPr>
            <w:vAlign w:val="center"/>
          </w:tcPr>
          <w:p>
            <w:pPr>
              <w:jc w:val="center"/>
            </w:pPr>
            <w:r>
              <w:rPr>
                <w:rFonts w:eastAsiaTheme="minorEastAsia"/>
                <w:kern w:val="0"/>
                <w:sz w:val="24"/>
                <w:szCs w:val="24"/>
              </w:rPr>
              <w:t>002049</w:t>
            </w:r>
          </w:p>
        </w:tc>
        <w:tc>
          <w:tcPr>
            <w:vAlign w:val="center"/>
          </w:tcPr>
          <w:p>
            <w:pPr>
              <w:jc w:val="center"/>
            </w:pPr>
            <w:r>
              <w:rPr>
                <w:rFonts w:eastAsiaTheme="minorEastAsia"/>
                <w:kern w:val="0"/>
                <w:sz w:val="24"/>
                <w:szCs w:val="24"/>
              </w:rPr>
              <w:t>紫光国微</w:t>
            </w:r>
          </w:p>
        </w:tc>
        <w:tc>
          <w:tcPr>
            <w:vAlign w:val="center"/>
          </w:tcPr>
          <w:p>
            <w:pPr>
              <w:jc w:val="right"/>
            </w:pPr>
            <w:r>
              <w:rPr>
                <w:rFonts w:eastAsiaTheme="minorEastAsia"/>
                <w:kern w:val="0"/>
                <w:sz w:val="24"/>
                <w:szCs w:val="24"/>
              </w:rPr>
              <w:t>4,100.00</w:t>
            </w:r>
          </w:p>
        </w:tc>
        <w:tc>
          <w:tcPr>
            <w:vAlign w:val="center"/>
          </w:tcPr>
          <w:p>
            <w:pPr>
              <w:jc w:val="right"/>
            </w:pPr>
            <w:r>
              <w:rPr>
                <w:rFonts w:eastAsiaTheme="minorEastAsia"/>
                <w:kern w:val="0"/>
                <w:sz w:val="24"/>
                <w:szCs w:val="24"/>
              </w:rPr>
              <w:t>847,880.00</w:t>
            </w:r>
          </w:p>
        </w:tc>
        <w:tc>
          <w:tcPr>
            <w:vAlign w:val="center"/>
          </w:tcPr>
          <w:p>
            <w:pPr>
              <w:jc w:val="right"/>
            </w:pPr>
            <w:r>
              <w:rPr>
                <w:rFonts w:eastAsiaTheme="minorEastAsia"/>
                <w:kern w:val="0"/>
                <w:sz w:val="24"/>
                <w:szCs w:val="24"/>
              </w:rPr>
              <w:t>3.11</w:t>
            </w:r>
          </w:p>
        </w:tc>
      </w:tr>
      <w:tr>
        <w:tc>
          <w:tcPr>
            <w:vAlign w:val="center"/>
          </w:tcPr>
          <w:p>
            <w:pPr>
              <w:jc w:val="center"/>
            </w:pPr>
            <w:r>
              <w:rPr>
                <w:rFonts w:eastAsiaTheme="minorEastAsia"/>
                <w:kern w:val="0"/>
                <w:sz w:val="24"/>
                <w:szCs w:val="24"/>
              </w:rPr>
              <w:t>9</w:t>
            </w:r>
          </w:p>
        </w:tc>
        <w:tc>
          <w:tcPr>
            <w:vAlign w:val="center"/>
          </w:tcPr>
          <w:p>
            <w:pPr>
              <w:jc w:val="center"/>
            </w:pPr>
            <w:r>
              <w:rPr>
                <w:rFonts w:eastAsiaTheme="minorEastAsia"/>
                <w:kern w:val="0"/>
                <w:sz w:val="24"/>
                <w:szCs w:val="24"/>
              </w:rPr>
              <w:t>688188</w:t>
            </w:r>
          </w:p>
        </w:tc>
        <w:tc>
          <w:tcPr>
            <w:vAlign w:val="center"/>
          </w:tcPr>
          <w:p>
            <w:pPr>
              <w:jc w:val="center"/>
            </w:pPr>
            <w:r>
              <w:rPr>
                <w:rFonts w:eastAsiaTheme="minorEastAsia"/>
                <w:kern w:val="0"/>
                <w:sz w:val="24"/>
                <w:szCs w:val="24"/>
              </w:rPr>
              <w:t>柏楚电子</w:t>
            </w:r>
          </w:p>
        </w:tc>
        <w:tc>
          <w:tcPr>
            <w:vAlign w:val="center"/>
          </w:tcPr>
          <w:p>
            <w:pPr>
              <w:jc w:val="right"/>
            </w:pPr>
            <w:r>
              <w:rPr>
                <w:rFonts w:eastAsiaTheme="minorEastAsia"/>
                <w:kern w:val="0"/>
                <w:sz w:val="24"/>
                <w:szCs w:val="24"/>
              </w:rPr>
              <w:t>1,900.00</w:t>
            </w:r>
          </w:p>
        </w:tc>
        <w:tc>
          <w:tcPr>
            <w:vAlign w:val="center"/>
          </w:tcPr>
          <w:p>
            <w:pPr>
              <w:jc w:val="right"/>
            </w:pPr>
            <w:r>
              <w:rPr>
                <w:rFonts w:eastAsiaTheme="minorEastAsia"/>
                <w:kern w:val="0"/>
                <w:sz w:val="24"/>
                <w:szCs w:val="24"/>
              </w:rPr>
              <w:t>833,492.00</w:t>
            </w:r>
          </w:p>
        </w:tc>
        <w:tc>
          <w:tcPr>
            <w:vAlign w:val="center"/>
          </w:tcPr>
          <w:p>
            <w:pPr>
              <w:jc w:val="right"/>
            </w:pPr>
            <w:r>
              <w:rPr>
                <w:rFonts w:eastAsiaTheme="minorEastAsia"/>
                <w:kern w:val="0"/>
                <w:sz w:val="24"/>
                <w:szCs w:val="24"/>
              </w:rPr>
              <w:t>3.05</w:t>
            </w:r>
          </w:p>
        </w:tc>
      </w:tr>
      <w:tr>
        <w:tc>
          <w:tcPr>
            <w:vAlign w:val="center"/>
          </w:tcPr>
          <w:p>
            <w:pPr>
              <w:jc w:val="center"/>
            </w:pPr>
            <w:r>
              <w:rPr>
                <w:rFonts w:eastAsiaTheme="minorEastAsia"/>
                <w:kern w:val="0"/>
                <w:sz w:val="24"/>
                <w:szCs w:val="24"/>
              </w:rPr>
              <w:t>10</w:t>
            </w:r>
          </w:p>
        </w:tc>
        <w:tc>
          <w:tcPr>
            <w:vAlign w:val="center"/>
          </w:tcPr>
          <w:p>
            <w:pPr>
              <w:jc w:val="center"/>
            </w:pPr>
            <w:r>
              <w:rPr>
                <w:rFonts w:eastAsiaTheme="minorEastAsia"/>
                <w:kern w:val="0"/>
                <w:sz w:val="24"/>
                <w:szCs w:val="24"/>
              </w:rPr>
              <w:t>688608</w:t>
            </w:r>
          </w:p>
        </w:tc>
        <w:tc>
          <w:tcPr>
            <w:vAlign w:val="center"/>
          </w:tcPr>
          <w:p>
            <w:pPr>
              <w:jc w:val="center"/>
            </w:pPr>
            <w:r>
              <w:rPr>
                <w:rFonts w:eastAsiaTheme="minorEastAsia"/>
                <w:kern w:val="0"/>
                <w:sz w:val="24"/>
                <w:szCs w:val="24"/>
              </w:rPr>
              <w:t>恒玄科技</w:t>
            </w:r>
          </w:p>
        </w:tc>
        <w:tc>
          <w:tcPr>
            <w:vAlign w:val="center"/>
          </w:tcPr>
          <w:p>
            <w:pPr>
              <w:jc w:val="right"/>
            </w:pPr>
            <w:r>
              <w:rPr>
                <w:rFonts w:eastAsiaTheme="minorEastAsia"/>
                <w:kern w:val="0"/>
                <w:sz w:val="24"/>
                <w:szCs w:val="24"/>
              </w:rPr>
              <w:t>3,081.00</w:t>
            </w:r>
          </w:p>
        </w:tc>
        <w:tc>
          <w:tcPr>
            <w:vAlign w:val="center"/>
          </w:tcPr>
          <w:p>
            <w:pPr>
              <w:jc w:val="right"/>
            </w:pPr>
            <w:r>
              <w:rPr>
                <w:rFonts w:eastAsiaTheme="minorEastAsia"/>
                <w:kern w:val="0"/>
                <w:sz w:val="24"/>
                <w:szCs w:val="24"/>
              </w:rPr>
              <w:t>789,044.10</w:t>
            </w:r>
          </w:p>
        </w:tc>
        <w:tc>
          <w:tcPr>
            <w:vAlign w:val="center"/>
          </w:tcPr>
          <w:p>
            <w:pPr>
              <w:jc w:val="right"/>
            </w:pPr>
            <w:r>
              <w:rPr>
                <w:rFonts w:eastAsiaTheme="minorEastAsia"/>
                <w:kern w:val="0"/>
                <w:sz w:val="24"/>
                <w:szCs w:val="24"/>
              </w:rPr>
              <w:t>2.89</w:t>
            </w:r>
          </w:p>
        </w:tc>
      </w:tr>
    </w:tbl>
    <w:bookmarkEnd w:id="3"/>
    <w:p w14:paraId="5DBD10B5"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3936D23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5.4 </w:t>
      </w:r>
      <w:r w:rsidRPr="00FF6B9A">
        <w:rPr>
          <w:rFonts w:eastAsiaTheme="minorEastAsia"/>
          <w:b/>
          <w:bCs/>
          <w:color w:themeColor="text1" w:val="000000"/>
          <w:kern w:val="0"/>
          <w:sz w:val="24"/>
          <w:szCs w:val="24"/>
        </w:rPr>
        <w:t>报告期末按债券品种分类的债券投资组合</w:t>
      </w:r>
    </w:p>
    <w:p w14:paraId="19B239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6542573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D1805F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5.5 </w:t>
      </w:r>
      <w:r w:rsidRPr="00FF6B9A">
        <w:rPr>
          <w:rFonts w:eastAsiaTheme="minorEastAsia"/>
          <w:b/>
          <w:bCs/>
          <w:color w:themeColor="text1" w:val="000000"/>
          <w:kern w:val="0"/>
          <w:sz w:val="24"/>
          <w:szCs w:val="24"/>
        </w:rPr>
        <w:t>报告期末按公允价值占基金资产净值比例大小排序的前五名债券投资明细</w:t>
      </w:r>
    </w:p>
    <w:p w14:paraId="06FBBA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021C2896"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0D4DC30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5.6 </w:t>
      </w:r>
      <w:r w:rsidRPr="00FF6B9A">
        <w:rPr>
          <w:rFonts w:eastAsiaTheme="minor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本基金本报告期末未持有资产支持证券。</w:t>
      </w:r>
    </w:p>
    <w:p w14:paraId="7641962C"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4D2AFCA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7 </w:t>
      </w:r>
      <w:r w:rsidRPr="00FF6B9A">
        <w:rPr>
          <w:rFonts w:eastAsiaTheme="minorEastAsia"/>
          <w:b/>
          <w:bCs/>
          <w:color w:themeColor="text1" w:val="000000"/>
          <w:kern w:val="0"/>
          <w:sz w:val="24"/>
          <w:szCs w:val="24"/>
        </w:rPr>
        <w:t>报告期末按公允价值占基金资产净值比例大小排序的前五名贵金属投资明细</w:t>
      </w:r>
    </w:p>
    <w:p w14:paraId="5072D892" w14:textId="77777777" w:rsidR="00D06738" w:rsidRDefault="00454D20" w:rsidRPr="00FF6B9A">
      <w:pPr>
        <w:widowControl/>
        <w:spacing w:line="360" w:lineRule="auto"/>
        <w:jc w:val="left"/>
        <w:rPr>
          <w:color w:themeColor="text1" w:val="000000"/>
        </w:rPr>
      </w:pPr>
      <w:r w:rsidRPr="00FF6B9A">
        <w:rPr>
          <w:color w:themeColor="text1" w:val="000000"/>
        </w:rPr>
        <w:t/>
      </w:r>
      <w:proofErr w:type="spellStart"/>
      <w:r w:rsidRPr="00FF6B9A">
        <w:rPr>
          <w:color w:themeColor="text1" w:val="000000"/>
        </w:rPr>
        <w:t/>
      </w:r>
      <w:proofErr w:type="gramStart"/>
      <w:r w:rsidRPr="00FF6B9A">
        <w:rPr>
          <w:color w:themeColor="text1" w:val="000000"/>
        </w:rPr>
        <w:t/>
      </w:r>
      <w:proofErr w:type="spellEnd"/>
      <w:r w:rsidRPr="00FF6B9A">
        <w:rPr>
          <w:color w:themeColor="text1" w:val="000000"/>
        </w:rPr>
        <w:t/>
      </w:r>
      <w:proofErr w:type="spellStart"/>
      <w:proofErr w:type="gramEnd"/>
      <w:r w:rsidRPr="00FF6B9A">
        <w:rPr>
          <w:color w:themeColor="text1" w:val="000000"/>
        </w:rPr>
        <w:t/>
      </w:r>
      <w:proofErr w:type="spellEnd"/>
      <w:r w:rsidRPr="00FF6B9A">
        <w:rPr>
          <w:color w:themeColor="text1" w:val="000000"/>
        </w:rPr>
        <w:t>本基金本报告期末未持有贵金属。</w:t>
      </w:r>
    </w:p>
    <w:p w14:paraId="60EB37E6"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ACC4ABF"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8 </w:t>
      </w:r>
      <w:r w:rsidRPr="00FF6B9A">
        <w:rPr>
          <w:rFonts w:eastAsiaTheme="minorEastAsia"/>
          <w:b/>
          <w:bCs/>
          <w:color w:themeColor="text1" w:val="000000"/>
          <w:kern w:val="0"/>
          <w:sz w:val="24"/>
          <w:szCs w:val="24"/>
        </w:rPr>
        <w:t>报告期末按公允价值占基金资产净值比例大小排序的前五名权证投资明细</w:t>
      </w:r>
    </w:p>
    <w:p w14:paraId="5CD73A7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本基金本报告期末未持有权证。</w:t>
      </w:r>
    </w:p>
    <w:p w14:paraId="47EB757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2F0769C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 xml:space="preserve">5.9 </w:t>
      </w:r>
      <w:r w:rsidRPr="00FF6B9A">
        <w:rPr>
          <w:rFonts w:eastAsiaTheme="minorEastAsia"/>
          <w:b/>
          <w:bCs/>
          <w:color w:themeColor="text1" w:val="000000"/>
          <w:kern w:val="0"/>
          <w:sz w:val="24"/>
          <w:szCs w:val="24"/>
        </w:rPr>
        <w:t>报告期末本基金投资的股指期货交易情况说明</w:t>
      </w:r>
    </w:p>
    <w:p w14:paraId="73A71E08"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本基金本报告期末未持有股指期货。</w:t>
      </w:r>
    </w:p>
    <w:p w14:paraId="6D381369" w14:textId="77777777" w:rsidR="00D06738" w:rsidRDefault="00D06738" w:rsidRPr="00FF6B9A">
      <w:pPr>
        <w:adjustRightInd w:val="0"/>
        <w:snapToGrid w:val="0"/>
        <w:spacing w:line="360" w:lineRule="exact"/>
        <w:rPr>
          <w:rFonts w:eastAsiaTheme="minorEastAsia"/>
          <w:color w:themeColor="text1" w:val="000000"/>
          <w:sz w:val="24"/>
          <w:szCs w:val="24"/>
        </w:rPr>
      </w:pPr>
    </w:p>
    <w:p w14:paraId="288DDC9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lastRenderedPageBreak/>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5.10</w:t>
      </w:r>
      <w:r w:rsidRPr="00FF6B9A">
        <w:rPr>
          <w:rFonts w:eastAsiaTheme="minorEastAsia"/>
          <w:b/>
          <w:bCs/>
          <w:color w:themeColor="text1" w:val="000000"/>
          <w:kern w:val="0"/>
          <w:sz w:val="24"/>
          <w:szCs w:val="24"/>
        </w:rPr>
        <w:t>报告期末本基金投资的国债期货交易情况说明</w:t>
      </w:r>
    </w:p>
    <w:p w14:paraId="5490A7F4" w14:textId="77777777" w:rsidR="00D06738" w:rsidRDefault="00454D20" w:rsidRPr="00FF6B9A">
      <w:pPr>
        <w:autoSpaceDE w:val="0"/>
        <w:autoSpaceDN w:val="0"/>
        <w:adjustRightInd w:val="0"/>
        <w:spacing w:line="360" w:lineRule="auto"/>
        <w:jc w:val="left"/>
        <w:rPr>
          <w:rFonts w:eastAsiaTheme="minorEastAsia"/>
          <w:color w:themeColor="text1" w:val="000000"/>
          <w:sz w:val="24"/>
          <w:szCs w:val="24"/>
        </w:rPr>
      </w:pPr>
      <w:r w:rsidRPr="00FF6B9A">
        <w:rPr>
          <w:rFonts w:eastAsiaTheme="minorEastAsia"/>
          <w:color w:themeColor="text1" w:val="000000"/>
          <w:sz w:val="24"/>
          <w:szCs w:val="24"/>
        </w:rPr>
        <w:t/>
      </w:r>
      <w:proofErr w:type="spellStart"/>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
      </w:r>
      <w:proofErr w:type="spellStart"/>
      <w:proofErr w:type="gramEnd"/>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本基金本报告期末未持有国债期货。</w:t>
      </w:r>
    </w:p>
    <w:p w14:paraId="0AD515B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 </w:t>
      </w:r>
      <w:r w:rsidRPr="00FF6B9A">
        <w:rPr>
          <w:rFonts w:eastAsiaTheme="minorEastAsia"/>
          <w:b/>
          <w:bCs/>
          <w:color w:themeColor="text1" w:val="000000"/>
          <w:kern w:val="0"/>
          <w:sz w:val="24"/>
          <w:szCs w:val="24"/>
        </w:rPr>
        <w:t>投资组合报告附注</w:t>
      </w:r>
    </w:p>
    <w:p w14:paraId="2BAE184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11.1报告期内本基金投资的前十名证券的发行主体本期没有出现被监管部门立案调查，或在报告编制日前一年内受到公开谴责、处罚的情形。</w:t>
      </w:r>
    </w:p>
    <w:p w14:paraId="50E6CBC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11.2报告期内本基金投资的前十名股票中没有在基金合同规定备选股票库之外的股票。</w:t>
      </w:r>
    </w:p>
    <w:p w14:paraId="4124D65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11.3 </w:t>
      </w:r>
      <w:r w:rsidRPr="00FF6B9A">
        <w:rPr>
          <w:rFonts w:eastAsiaTheme="minor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rsidRPr="00FF6B9A">
        <w:tc>
          <w:tcPr>
            <w:tcW w:type="dxa" w:w="1235"/>
            <w:vAlign w:val="center"/>
          </w:tcPr>
          <w:p w14:paraId="3D402FF5"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2470"/>
            <w:vAlign w:val="center"/>
          </w:tcPr>
          <w:p w14:paraId="627CAE1B"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名称</w:t>
            </w:r>
          </w:p>
        </w:tc>
        <w:tc>
          <w:tcPr>
            <w:tcW w:type="dxa" w:w="4808"/>
            <w:vAlign w:val="center"/>
          </w:tcPr>
          <w:p w14:paraId="6430356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r>
      <w:tr w14:paraId="2C715D80" w14:textId="77777777" w:rsidR="00D06738" w:rsidRPr="00FF6B9A">
        <w:tc>
          <w:tcPr>
            <w:tcW w:type="dxa" w:w="1235"/>
            <w:vAlign w:val="center"/>
          </w:tcPr>
          <w:p w14:paraId="117C1A9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1</w:t>
            </w:r>
          </w:p>
        </w:tc>
        <w:tc>
          <w:tcPr>
            <w:tcW w:type="dxa" w:w="2470"/>
            <w:vAlign w:val="center"/>
          </w:tcPr>
          <w:p w14:paraId="61153B9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存出保证金</w:t>
            </w:r>
          </w:p>
        </w:tc>
        <w:tc>
          <w:tcPr>
            <w:tcW w:type="dxa" w:w="4808"/>
            <w:vAlign w:val="center"/>
          </w:tcPr>
          <w:p w14:paraId="069C1229"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12,684.61</w:t>
            </w:r>
          </w:p>
        </w:tc>
      </w:tr>
      <w:tr w14:paraId="3C032846" w14:textId="77777777" w:rsidR="00D06738" w:rsidRPr="00FF6B9A">
        <w:tc>
          <w:tcPr>
            <w:tcW w:type="dxa" w:w="1235"/>
            <w:vAlign w:val="center"/>
          </w:tcPr>
          <w:p w14:paraId="141CD09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2</w:t>
            </w:r>
          </w:p>
        </w:tc>
        <w:tc>
          <w:tcPr>
            <w:tcW w:type="dxa" w:w="2470"/>
            <w:vAlign w:val="center"/>
          </w:tcPr>
          <w:p w14:paraId="307B0992"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应收证券清算款</w:t>
            </w:r>
          </w:p>
        </w:tc>
        <w:tc>
          <w:tcPr>
            <w:tcW w:type="dxa" w:w="4808"/>
            <w:vAlign w:val="center"/>
          </w:tcPr>
          <w:p w14:paraId="7B2B0246"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496,022.78</w:t>
            </w:r>
          </w:p>
        </w:tc>
      </w:tr>
      <w:tr w14:paraId="176311B8" w14:textId="77777777" w:rsidR="00D06738" w:rsidRPr="00FF6B9A">
        <w:tc>
          <w:tcPr>
            <w:tcW w:type="dxa" w:w="1235"/>
            <w:vAlign w:val="center"/>
          </w:tcPr>
          <w:p w14:paraId="602CCE2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3</w:t>
            </w:r>
          </w:p>
        </w:tc>
        <w:tc>
          <w:tcPr>
            <w:tcW w:type="dxa" w:w="2470"/>
            <w:vAlign w:val="center"/>
          </w:tcPr>
          <w:p w14:paraId="31EEC93A"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应收股利</w:t>
            </w:r>
          </w:p>
        </w:tc>
        <w:tc>
          <w:tcPr>
            <w:tcW w:type="dxa" w:w="4808"/>
            <w:vAlign w:val="center"/>
          </w:tcPr>
          <w:p w14:paraId="30AA7BF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C0EC699" w14:textId="77777777" w:rsidR="00D06738" w:rsidRPr="00FF6B9A">
        <w:tc>
          <w:tcPr>
            <w:tcW w:type="dxa" w:w="1235"/>
            <w:vAlign w:val="center"/>
          </w:tcPr>
          <w:p w14:paraId="4EAB88E6"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4</w:t>
            </w:r>
          </w:p>
        </w:tc>
        <w:tc>
          <w:tcPr>
            <w:tcW w:type="dxa" w:w="2470"/>
            <w:vAlign w:val="center"/>
          </w:tcPr>
          <w:p w14:paraId="25AFBD3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应收利息</w:t>
            </w:r>
          </w:p>
        </w:tc>
        <w:tc>
          <w:tcPr>
            <w:tcW w:type="dxa" w:w="4808"/>
            <w:vAlign w:val="center"/>
          </w:tcPr>
          <w:p w14:paraId="61FAC2C4"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1,607.81</w:t>
            </w:r>
          </w:p>
        </w:tc>
      </w:tr>
      <w:tr w14:paraId="617FE4E0" w14:textId="77777777" w:rsidR="00D06738" w:rsidRPr="00FF6B9A">
        <w:tc>
          <w:tcPr>
            <w:tcW w:type="dxa" w:w="1235"/>
            <w:vAlign w:val="center"/>
          </w:tcPr>
          <w:p w14:paraId="0DE5BCEB"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5</w:t>
            </w:r>
          </w:p>
        </w:tc>
        <w:tc>
          <w:tcPr>
            <w:tcW w:type="dxa" w:w="2470"/>
            <w:vAlign w:val="center"/>
          </w:tcPr>
          <w:p w14:paraId="418D350C"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应收申购款</w:t>
            </w:r>
          </w:p>
        </w:tc>
        <w:tc>
          <w:tcPr>
            <w:tcW w:type="dxa" w:w="4808"/>
            <w:vAlign w:val="center"/>
          </w:tcPr>
          <w:p w14:paraId="6138F79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24,188.65</w:t>
            </w:r>
          </w:p>
        </w:tc>
      </w:tr>
      <w:tr w14:paraId="2FF8C6CF" w14:textId="77777777" w:rsidR="00D06738" w:rsidRPr="00FF6B9A">
        <w:tc>
          <w:tcPr>
            <w:tcW w:type="dxa" w:w="1235"/>
            <w:vAlign w:val="center"/>
          </w:tcPr>
          <w:p w14:paraId="027C50F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6</w:t>
            </w:r>
          </w:p>
        </w:tc>
        <w:tc>
          <w:tcPr>
            <w:tcW w:type="dxa" w:w="2470"/>
            <w:vAlign w:val="center"/>
          </w:tcPr>
          <w:p w14:paraId="763B340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其他应收款</w:t>
            </w:r>
          </w:p>
        </w:tc>
        <w:tc>
          <w:tcPr>
            <w:tcW w:type="dxa" w:w="4808"/>
            <w:vAlign w:val="center"/>
          </w:tcPr>
          <w:p w14:paraId="5846D225"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72C6A37" w14:textId="77777777" w:rsidR="00D06738" w:rsidRPr="00FF6B9A">
        <w:tc>
          <w:tcPr>
            <w:tcW w:type="dxa" w:w="1235"/>
            <w:vAlign w:val="center"/>
          </w:tcPr>
          <w:p w14:paraId="75EFC63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7</w:t>
            </w:r>
          </w:p>
        </w:tc>
        <w:tc>
          <w:tcPr>
            <w:tcW w:type="dxa" w:w="2470"/>
            <w:vAlign w:val="center"/>
          </w:tcPr>
          <w:p w14:paraId="0A943614"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待摊费用</w:t>
            </w:r>
          </w:p>
        </w:tc>
        <w:tc>
          <w:tcPr>
            <w:tcW w:type="dxa" w:w="4808"/>
            <w:vAlign w:val="center"/>
          </w:tcPr>
          <w:p w14:paraId="72EB47B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1EB71240" w14:textId="77777777" w:rsidR="00D06738" w:rsidRPr="00FF6B9A">
        <w:tc>
          <w:tcPr>
            <w:tcW w:type="dxa" w:w="1235"/>
            <w:vAlign w:val="center"/>
          </w:tcPr>
          <w:p w14:paraId="4CA5E701"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lastRenderedPageBreak/>
              <w:t>8</w:t>
            </w:r>
          </w:p>
        </w:tc>
        <w:tc>
          <w:tcPr>
            <w:tcW w:type="dxa" w:w="2470"/>
            <w:vAlign w:val="center"/>
          </w:tcPr>
          <w:p w14:paraId="139BE609"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w:t>
            </w:r>
          </w:p>
        </w:tc>
        <w:tc>
          <w:tcPr>
            <w:tcW w:type="dxa" w:w="4808"/>
            <w:vAlign w:val="center"/>
          </w:tcPr>
          <w:p w14:paraId="5ED4A47C"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3A99357C" w14:textId="77777777" w:rsidR="00D06738" w:rsidRPr="00FF6B9A">
        <w:tc>
          <w:tcPr>
            <w:tcW w:type="dxa" w:w="1235"/>
            <w:vAlign w:val="center"/>
          </w:tcPr>
          <w:p w14:paraId="7043D59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9</w:t>
            </w:r>
          </w:p>
        </w:tc>
        <w:tc>
          <w:tcPr>
            <w:tcW w:type="dxa" w:w="2470"/>
            <w:vAlign w:val="center"/>
          </w:tcPr>
          <w:p w14:paraId="756733B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合计</w:t>
            </w:r>
          </w:p>
        </w:tc>
        <w:tc>
          <w:tcPr>
            <w:tcW w:type="dxa" w:w="4808"/>
            <w:vAlign w:val="center"/>
          </w:tcPr>
          <w:p w14:paraId="1336DBC1"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534,503.85</w:t>
            </w:r>
          </w:p>
        </w:tc>
      </w:tr>
    </w:tbl>
    <w:p w14:paraId="4676AA60"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5172EF34"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11.4</w:t>
      </w:r>
      <w:r w:rsidRPr="00FF6B9A">
        <w:rPr>
          <w:rFonts w:eastAsiaTheme="minorEastAsia"/>
          <w:b/>
          <w:bCs/>
          <w:color w:themeColor="text1" w:val="000000"/>
          <w:kern w:val="0"/>
          <w:sz w:val="24"/>
          <w:szCs w:val="24"/>
        </w:rPr>
        <w:t>报告期末持有的处于转股期的可转换债券明细</w:t>
      </w:r>
    </w:p>
    <w:p w14:paraId="0C2B484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本基金本报告期末未持有处于转股期的可转换债券。</w:t>
      </w:r>
    </w:p>
    <w:p w14:paraId="73809093"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26374DD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11.5</w:t>
      </w:r>
      <w:r w:rsidRPr="00FF6B9A">
        <w:rPr>
          <w:rFonts w:eastAsiaTheme="minorEastAsia"/>
          <w:b/>
          <w:bCs/>
          <w:color w:themeColor="text1" w:val="000000"/>
          <w:kern w:val="0"/>
          <w:sz w:val="24"/>
          <w:szCs w:val="24"/>
        </w:rPr>
        <w:t>报告期末前十名股票中存在流通受限情况的说明</w:t>
      </w:r>
    </w:p>
    <w:p w14:paraId="7A50238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本基金本报告期末前十名股票中不存在流通受限情况。</w:t>
      </w:r>
    </w:p>
    <w:p w14:paraId="6F6FE44E"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329684B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5.11.6</w:t>
      </w:r>
      <w:r w:rsidRPr="00FF6B9A">
        <w:rPr>
          <w:rFonts w:eastAsiaTheme="minorEastAsia"/>
          <w:b/>
          <w:bCs/>
          <w:color w:themeColor="text1" w:val="000000"/>
          <w:kern w:val="0"/>
          <w:sz w:val="24"/>
          <w:szCs w:val="24"/>
        </w:rPr>
        <w:t>投资组合报告附注的其他文字描述部分</w:t>
      </w:r>
    </w:p>
    <w:p w14:paraId="536D339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因四舍五入原因，投资组合报告中分项之和与合计可能存在尾差。</w:t>
      </w:r>
    </w:p>
    <w:p w14:paraId="1F6232E1"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§6  </w:t>
      </w:r>
      <w:r w:rsidRPr="00FF6B9A">
        <w:rPr>
          <w:rFonts w:eastAsiaTheme="minorEastAsia"/>
          <w:color w:themeColor="text1" w:val="000000"/>
          <w:kern w:val="0"/>
          <w:sz w:val="24"/>
          <w:szCs w:val="24"/>
        </w:rPr>
        <w:t>开放式基金份额变动</w:t>
      </w:r>
    </w:p>
    <w:p w14:paraId="1546AC98"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sz w:val="24"/>
          <w:szCs w:val="24"/>
        </w:rPr>
      </w:pPr>
      <w:r w:rsidRPr="00FF6B9A">
        <w:rPr>
          <w:rFonts w:eastAsiaTheme="minor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w:t>
            </w:r>
            <w:proofErr w:type="gramStart"/>
            <w:r w:rsidRPr="00FF6B9A">
              <w:rPr>
                <w:rFonts w:eastAsiaTheme="minorEastAsia"/>
                <w:color w:themeColor="text1" w:val="000000"/>
                <w:kern w:val="0"/>
              </w:rPr>
              <w:t>初基金</w:t>
            </w:r>
            <w:proofErr w:type="gramEnd"/>
            <w:r w:rsidRPr="00FF6B9A">
              <w:rPr>
                <w:rFonts w:eastAsiaTheme="minor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gramEnd"/>
            <w:r w:rsidRPr="00FF6B9A">
              <w:rPr>
                <w:rFonts w:eastAsiaTheme="minorEastAsia"/>
                <w:color w:themeColor="text1" w:val="000000"/>
              </w:rPr>
              <w:t>28,239,958.54</w:t>
            </w:r>
          </w:p>
        </w:tc>
      </w:tr>
      <w:tr w14:paraId="464FC419"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2,270,280.75</w:t>
            </w:r>
          </w:p>
        </w:tc>
      </w:tr>
      <w:tr w14:paraId="17EE7B1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减：</w:t>
            </w: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9,839,327.49</w:t>
            </w:r>
          </w:p>
        </w:tc>
      </w:tr>
      <w:tr w14:paraId="465F9B6E"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w:t>
            </w:r>
          </w:p>
        </w:tc>
      </w:tr>
      <w:tr w14:paraId="05E8419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20,670,911.80</w:t>
            </w:r>
          </w:p>
        </w:tc>
      </w:tr>
    </w:tbl>
    <w:p w14:paraId="3C94584F" w14:textId="77777777" w:rsidR="00D06738" w:rsidRDefault="00454D20" w:rsidRPr="00FF6B9A">
      <w:pPr>
        <w:pStyle w:val="1"/>
        <w:tabs>
          <w:tab w:pos="4156" w:val="center"/>
          <w:tab w:pos="8312" w:val="right"/>
        </w:tabs>
        <w:spacing w:after="312" w:afterLines="100" w:before="312" w:beforeLines="100" w:line="360" w:lineRule="auto"/>
        <w:jc w:val="center"/>
        <w:rPr>
          <w:color w:themeColor="text1" w:val="00000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§7  </w:t>
      </w:r>
      <w:r w:rsidRPr="00FF6B9A">
        <w:rPr>
          <w:color w:themeColor="text1" w:val="000000"/>
          <w:sz w:val="24"/>
          <w:szCs w:val="24"/>
        </w:rPr>
        <w:t>基金管理人运用</w:t>
      </w:r>
      <w:proofErr w:type="gramStart"/>
      <w:r w:rsidRPr="00FF6B9A">
        <w:rPr>
          <w:color w:themeColor="text1" w:val="000000"/>
          <w:sz w:val="24"/>
          <w:szCs w:val="24"/>
        </w:rPr>
        <w:t>固有资金</w:t>
      </w:r>
      <w:proofErr w:type="gramEnd"/>
      <w:r w:rsidRPr="00FF6B9A">
        <w:rPr>
          <w:color w:themeColor="text1" w:val="000000"/>
          <w:sz w:val="24"/>
          <w:szCs w:val="24"/>
        </w:rPr>
        <w:t>投资本基金情况</w:t>
      </w:r>
    </w:p>
    <w:p w14:paraId="220CB641" w14:textId="77777777" w:rsidR="00D06738" w:rsidRDefault="00454D20" w:rsidRPr="00FF6B9A">
      <w:pPr>
        <w:spacing w:line="360" w:lineRule="auto"/>
        <w:jc w:val="left"/>
        <w:rPr>
          <w:color w:themeColor="text1" w:val="000000"/>
          <w:sz w:val="24"/>
          <w:szCs w:val="24"/>
        </w:rPr>
      </w:pPr>
      <w:r w:rsidRPr="00FF6B9A">
        <w:rPr>
          <w:b/>
          <w:color w:themeColor="text1" w:val="000000"/>
          <w:sz w:val="24"/>
        </w:rPr>
        <w:t/>
      </w:r>
      <w:proofErr w:type="spellStart"/>
      <w:r w:rsidRPr="00FF6B9A">
        <w:rPr>
          <w:b/>
          <w:color w:themeColor="text1" w:val="000000"/>
          <w:sz w:val="24"/>
        </w:rPr>
        <w:t/>
      </w:r>
      <w:proofErr w:type="gramStart"/>
      <w:r w:rsidRPr="00FF6B9A">
        <w:rPr>
          <w:b/>
          <w:color w:themeColor="text1" w:val="000000"/>
          <w:sz w:val="24"/>
        </w:rPr>
        <w:t/>
      </w:r>
      <w:proofErr w:type="spellEnd"/>
      <w:r w:rsidRPr="00FF6B9A">
        <w:rPr>
          <w:b/>
          <w:color w:themeColor="text1" w:val="000000"/>
          <w:sz w:val="24"/>
        </w:rPr>
        <w:t/>
      </w:r>
      <w:proofErr w:type="gramEnd"/>
      <w:r w:rsidRPr="00FF6B9A">
        <w:rPr>
          <w:b/>
          <w:color w:themeColor="text1" w:val="000000"/>
          <w:sz w:val="24"/>
        </w:rPr>
        <w:t xml:space="preserve">7.1 </w:t>
      </w:r>
      <w:r w:rsidRPr="00FF6B9A">
        <w:rPr>
          <w:b/>
          <w:color w:themeColor="text1" w:val="000000"/>
          <w:sz w:val="24"/>
        </w:rPr>
        <w:t>基金管理人持有本基金份额变动情况</w:t>
      </w:r>
    </w:p>
    <w:p w14:paraId="3105CFED"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无。</w:t>
      </w:r>
    </w:p>
    <w:p w14:paraId="470676A3"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rPr>
      </w:pPr>
    </w:p>
    <w:p w14:paraId="33A50992"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§8  </w:t>
      </w:r>
      <w:r w:rsidRPr="00FF6B9A">
        <w:rPr>
          <w:rFonts w:eastAsiaTheme="minorEastAsia"/>
          <w:color w:themeColor="text1" w:val="000000"/>
          <w:kern w:val="0"/>
          <w:sz w:val="24"/>
          <w:szCs w:val="24"/>
        </w:rPr>
        <w:t>影响投资者决策的其他重要信息</w:t>
      </w:r>
    </w:p>
    <w:p w14:paraId="5D6D0054" w14:textId="77777777" w:rsidR="00D06738" w:rsidRDefault="00454D20" w:rsidRPr="00FF6B9A">
      <w:pPr>
        <w:autoSpaceDE w:val="0"/>
        <w:autoSpaceDN w:val="0"/>
        <w:adjustRightInd w:val="0"/>
        <w:spacing w:line="360" w:lineRule="auto"/>
        <w:jc w:val="left"/>
        <w:rPr>
          <w:b/>
          <w:bCs/>
          <w:color w:val="000000"/>
          <w:kern w:val="0"/>
          <w:sz w:val="24"/>
          <w:szCs w:val="24"/>
        </w:rPr>
      </w:pPr>
      <w:r w:rsidRPr="00FF6B9A">
        <w:rPr>
          <w:b/>
          <w:color w:val="000000"/>
          <w:kern w:val="0"/>
          <w:sz w:val="24"/>
          <w:szCs w:val="24"/>
        </w:rPr>
        <w:t/>
      </w:r>
      <w:proofErr w:type="spellStart"/>
      <w:r w:rsidRPr="00FF6B9A">
        <w:rPr>
          <w:b/>
          <w:color w:val="000000"/>
          <w:kern w:val="0"/>
          <w:sz w:val="24"/>
          <w:szCs w:val="24"/>
        </w:rPr>
        <w:t/>
      </w:r>
      <w:proofErr w:type="gramStart"/>
      <w:r w:rsidRPr="00FF6B9A">
        <w:rPr>
          <w:b/>
          <w:color w:val="000000"/>
          <w:kern w:val="0"/>
          <w:sz w:val="24"/>
          <w:szCs w:val="24"/>
        </w:rPr>
        <w:t/>
      </w:r>
      <w:proofErr w:type="spellEnd"/>
      <w:r w:rsidRPr="00FF6B9A">
        <w:rPr>
          <w:b/>
          <w:color w:val="000000"/>
          <w:kern w:val="0"/>
          <w:sz w:val="24"/>
          <w:szCs w:val="24"/>
        </w:rPr>
        <w:t/>
      </w:r>
      <w:r w:rsidRPr="00FF6B9A">
        <w:rPr>
          <w:b/>
          <w:bCs/>
          <w:color w:val="000000"/>
          <w:kern w:val="0"/>
          <w:sz w:val="24"/>
          <w:szCs w:val="24"/>
        </w:rPr>
        <w:t/>
      </w:r>
      <w:proofErr w:type="gramEnd"/>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6DA9C89A" w14:textId="77777777" w:rsidR="00D06738" w:rsidRPr="00FF6B9A">
        <w:tc>
          <w:tcPr>
            <w:tcW w:type="dxa" w:w="993"/>
            <w:vMerge w:val="restart"/>
            <w:vAlign w:val="center"/>
          </w:tcPr>
          <w:p w14:paraId="39B26BA3" w14:textId="77777777" w:rsidR="00D06738" w:rsidRDefault="00454D20" w:rsidRPr="00FF6B9A">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w:r>
            <w:proofErr w:type="spellStart"/>
            <w:r w:rsidRPr="00FF6B9A">
              <w:rPr>
                <w:color w:val="000000"/>
                <w:kern w:val="0"/>
              </w:rPr>
              <w:t/>
            </w:r>
            <w:proofErr w:type="spellEnd"/>
            <w:r w:rsidRPr="00FF6B9A">
              <w:rPr>
                <w:color w:val="000000"/>
                <w:kern w:val="0"/>
              </w:rPr>
              <w:t/>
            </w:r>
            <w:proofErr w:type="spellStart"/>
            <w:r w:rsidRPr="00FF6B9A">
              <w:rPr>
                <w:color w:val="000000"/>
                <w:kern w:val="0"/>
              </w:rPr>
              <w:t/>
            </w:r>
            <w:proofErr w:type="spellEnd"/>
            <w:r w:rsidRPr="00FF6B9A">
              <w:rPr>
                <w:color w:val="000000"/>
                <w:kern w:val="0"/>
              </w:rPr>
              <w:t xml:space="preserve">  </w:t>
            </w:r>
          </w:p>
        </w:tc>
        <w:tc>
          <w:tcPr>
            <w:tcW w:type="dxa" w:w="5670"/>
            <w:gridSpan w:val="5"/>
            <w:vAlign w:val="center"/>
          </w:tcPr>
          <w:p w14:paraId="0CD80CE2" w14:textId="77777777" w:rsidR="00D06738" w:rsidRDefault="00454D20" w:rsidRPr="00FF6B9A">
            <w:pPr>
              <w:autoSpaceDE w:val="0"/>
              <w:autoSpaceDN w:val="0"/>
              <w:adjustRightInd w:val="0"/>
              <w:jc w:val="center"/>
              <w:rPr>
                <w:b/>
                <w:bCs/>
                <w:color w:val="000000"/>
                <w:kern w:val="0"/>
              </w:rPr>
            </w:pPr>
            <w:r w:rsidRPr="00FF6B9A">
              <w:rPr>
                <w:color w:val="000000"/>
                <w:kern w:val="0"/>
              </w:rPr>
              <w:t>报告期内持有基金份额变化情况</w:t>
            </w:r>
          </w:p>
        </w:tc>
        <w:tc>
          <w:tcPr>
            <w:tcW w:type="dxa" w:w="2549"/>
            <w:gridSpan w:val="2"/>
            <w:vAlign w:val="center"/>
          </w:tcPr>
          <w:p w14:paraId="5772E436" w14:textId="77777777" w:rsidR="00D06738" w:rsidRDefault="00454D20" w:rsidRPr="00FF6B9A">
            <w:pPr>
              <w:autoSpaceDE w:val="0"/>
              <w:autoSpaceDN w:val="0"/>
              <w:adjustRightInd w:val="0"/>
              <w:jc w:val="center"/>
              <w:rPr>
                <w:b/>
                <w:bCs/>
                <w:color w:val="000000"/>
                <w:kern w:val="0"/>
              </w:rPr>
            </w:pPr>
            <w:r w:rsidRPr="00FF6B9A">
              <w:rPr>
                <w:color w:val="000000"/>
                <w:kern w:val="0"/>
              </w:rPr>
              <w:t>报告期末持有基金情况</w:t>
            </w:r>
          </w:p>
        </w:tc>
      </w:tr>
      <w:tr w14:paraId="217CE8FE" w14:textId="77777777" w:rsidR="00D06738" w:rsidRPr="00FF6B9A">
        <w:tc>
          <w:tcPr>
            <w:tcW w:type="dxa" w:w="993"/>
            <w:vMerge/>
            <w:vAlign w:val="center"/>
          </w:tcPr>
          <w:p w14:paraId="2581A5BF" w14:textId="77777777" w:rsidR="00D06738" w:rsidRDefault="00D06738" w:rsidRPr="00FF6B9A">
            <w:pPr>
              <w:autoSpaceDE w:val="0"/>
              <w:autoSpaceDN w:val="0"/>
              <w:adjustRightInd w:val="0"/>
              <w:jc w:val="center"/>
              <w:rPr>
                <w:b/>
                <w:bCs/>
                <w:color w:val="000000"/>
                <w:kern w:val="0"/>
              </w:rPr>
            </w:pPr>
          </w:p>
        </w:tc>
        <w:tc>
          <w:tcPr>
            <w:tcW w:type="dxa" w:w="992"/>
            <w:vAlign w:val="center"/>
          </w:tcPr>
          <w:p w14:paraId="79C05624" w14:textId="77777777" w:rsidR="00D06738" w:rsidRDefault="00454D20" w:rsidRPr="00FF6B9A">
            <w:pPr>
              <w:autoSpaceDE w:val="0"/>
              <w:autoSpaceDN w:val="0"/>
              <w:adjustRightInd w:val="0"/>
              <w:jc w:val="center"/>
              <w:rPr>
                <w:b/>
                <w:bCs/>
                <w:color w:val="000000"/>
                <w:kern w:val="0"/>
              </w:rPr>
            </w:pPr>
            <w:r w:rsidRPr="00FF6B9A">
              <w:rPr>
                <w:color w:val="000000"/>
                <w:kern w:val="0"/>
              </w:rPr>
              <w:t>序号</w:t>
            </w:r>
          </w:p>
        </w:tc>
        <w:tc>
          <w:tcPr>
            <w:tcW w:type="dxa" w:w="1843"/>
            <w:vAlign w:val="center"/>
          </w:tcPr>
          <w:p w14:paraId="62B5A766" w14:textId="77777777" w:rsidR="00D06738" w:rsidRDefault="00454D20" w:rsidRPr="00FF6B9A">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t>20%</w:t>
            </w:r>
            <w:r w:rsidRPr="00FF6B9A">
              <w:rPr>
                <w:color w:val="000000"/>
                <w:kern w:val="0"/>
              </w:rPr>
              <w:t>的时间区间</w:t>
            </w:r>
          </w:p>
        </w:tc>
        <w:tc>
          <w:tcPr>
            <w:tcW w:type="dxa" w:w="851"/>
            <w:vAlign w:val="center"/>
          </w:tcPr>
          <w:p w14:paraId="6DE3EBDD" w14:textId="77777777" w:rsidR="00D06738" w:rsidRDefault="00454D20" w:rsidRPr="00FF6B9A">
            <w:pPr>
              <w:widowControl/>
              <w:jc w:val="center"/>
              <w:rPr>
                <w:b/>
                <w:bCs/>
                <w:color w:val="000000"/>
                <w:kern w:val="0"/>
              </w:rPr>
            </w:pPr>
            <w:r w:rsidRPr="00FF6B9A">
              <w:rPr>
                <w:color w:val="000000"/>
                <w:kern w:val="0"/>
              </w:rPr>
              <w:t>期初份额</w:t>
            </w:r>
          </w:p>
        </w:tc>
        <w:tc>
          <w:tcPr>
            <w:tcW w:type="dxa" w:w="850"/>
            <w:vAlign w:val="center"/>
          </w:tcPr>
          <w:p w14:paraId="5BDC6822" w14:textId="77777777" w:rsidR="00D06738" w:rsidRDefault="00454D20" w:rsidRPr="00FF6B9A">
            <w:pPr>
              <w:widowControl/>
              <w:jc w:val="center"/>
              <w:rPr>
                <w:b/>
                <w:bCs/>
                <w:color w:val="000000"/>
                <w:kern w:val="0"/>
              </w:rPr>
            </w:pPr>
            <w:r w:rsidRPr="00FF6B9A">
              <w:rPr>
                <w:color w:val="000000"/>
                <w:kern w:val="0"/>
              </w:rPr>
              <w:t>申购份额</w:t>
            </w:r>
          </w:p>
        </w:tc>
        <w:tc>
          <w:tcPr>
            <w:tcW w:type="dxa" w:w="1134"/>
            <w:vAlign w:val="center"/>
          </w:tcPr>
          <w:p w14:paraId="3193BB17" w14:textId="77777777" w:rsidR="00D06738" w:rsidRDefault="00454D20" w:rsidRPr="00FF6B9A">
            <w:pPr>
              <w:widowControl/>
              <w:jc w:val="center"/>
              <w:rPr>
                <w:b/>
                <w:bCs/>
                <w:color w:val="000000"/>
                <w:kern w:val="0"/>
              </w:rPr>
            </w:pPr>
            <w:r w:rsidRPr="00FF6B9A">
              <w:rPr>
                <w:color w:val="000000"/>
                <w:kern w:val="0"/>
              </w:rPr>
              <w:t>赎回份额</w:t>
            </w:r>
          </w:p>
        </w:tc>
        <w:tc>
          <w:tcPr>
            <w:tcW w:type="dxa" w:w="1419"/>
            <w:vAlign w:val="center"/>
          </w:tcPr>
          <w:p w14:paraId="0B7D39ED" w14:textId="77777777" w:rsidR="00D06738" w:rsidRDefault="00454D20" w:rsidRPr="00FF6B9A">
            <w:pPr>
              <w:autoSpaceDE w:val="0"/>
              <w:autoSpaceDN w:val="0"/>
              <w:adjustRightInd w:val="0"/>
              <w:jc w:val="center"/>
              <w:rPr>
                <w:b/>
                <w:bCs/>
                <w:color w:val="000000"/>
                <w:kern w:val="0"/>
              </w:rPr>
            </w:pPr>
            <w:r w:rsidRPr="00FF6B9A">
              <w:rPr>
                <w:color w:val="000000"/>
                <w:kern w:val="0"/>
              </w:rPr>
              <w:t>持有份额</w:t>
            </w:r>
          </w:p>
        </w:tc>
        <w:tc>
          <w:tcPr>
            <w:tcW w:type="dxa" w:w="1130"/>
            <w:vAlign w:val="center"/>
          </w:tcPr>
          <w:p w14:paraId="5E23E108" w14:textId="77777777" w:rsidR="00D06738" w:rsidRDefault="00454D20" w:rsidRPr="00FF6B9A">
            <w:pPr>
              <w:autoSpaceDE w:val="0"/>
              <w:autoSpaceDN w:val="0"/>
              <w:adjustRightInd w:val="0"/>
              <w:jc w:val="center"/>
              <w:rPr>
                <w:b/>
                <w:bCs/>
                <w:color w:val="000000"/>
                <w:kern w:val="0"/>
              </w:rPr>
            </w:pPr>
            <w:r w:rsidRPr="00FF6B9A">
              <w:rPr>
                <w:color w:val="000000"/>
                <w:kern w:val="0"/>
              </w:rPr>
              <w:t>份额占比</w:t>
            </w:r>
          </w:p>
        </w:tc>
      </w:tr>
      <w:tr>
        <w:tc>
          <w:tcPr>
            <w:vMerge w:val="restart"/>
            <w:vAlign w:val="center"/>
          </w:tcPr>
          <w:p>
            <w:r>
              <w:rPr>
                <w:bCs/>
                <w:color w:val="000000"/>
                <w:kern w:val="0"/>
              </w:rPr>
              <w:t>个人</w:t>
            </w:r>
          </w:p>
        </w:tc>
        <w:tc>
          <w:tcPr>
            <w:vAlign w:val="center"/>
          </w:tcPr>
          <w:p>
            <w:pPr>
              <w:jc w:val="center"/>
            </w:pPr>
            <w:r>
              <w:rPr>
                <w:kern w:val="0"/>
              </w:rPr>
              <w:t>1</w:t>
            </w:r>
          </w:p>
        </w:tc>
        <w:tc>
          <w:tcPr>
            <w:vAlign w:val="center"/>
          </w:tcPr>
          <w:p>
            <w:pPr>
              <w:jc w:val="center"/>
            </w:pPr>
            <w:r>
              <w:rPr>
                <w:kern w:val="0"/>
              </w:rPr>
              <w:t>20210701-20210713</w:t>
            </w:r>
          </w:p>
        </w:tc>
        <w:tc>
          <w:tcPr>
            <w:vAlign w:val="center"/>
          </w:tcPr>
          <w:p>
            <w:pPr>
              <w:jc w:val="center"/>
            </w:pPr>
            <w:r>
              <w:rPr>
                <w:kern w:val="0"/>
              </w:rPr>
              <w:t>8,983,827.49</w:t>
            </w:r>
          </w:p>
        </w:tc>
        <w:tc>
          <w:tcPr>
            <w:vAlign w:val="center"/>
          </w:tcPr>
          <w:p>
            <w:pPr>
              <w:jc w:val="center"/>
            </w:pPr>
            <w:r>
              <w:rPr>
                <w:kern w:val="0"/>
              </w:rPr>
              <w:t>0.00</w:t>
            </w:r>
          </w:p>
        </w:tc>
        <w:tc>
          <w:tcPr>
            <w:vAlign w:val="center"/>
          </w:tcPr>
          <w:p>
            <w:pPr>
              <w:jc w:val="center"/>
            </w:pPr>
            <w:r>
              <w:rPr>
                <w:kern w:val="0"/>
              </w:rPr>
              <w:t>5,000,000.00</w:t>
            </w:r>
          </w:p>
        </w:tc>
        <w:tc>
          <w:tcPr>
            <w:vAlign w:val="center"/>
          </w:tcPr>
          <w:p>
            <w:pPr>
              <w:jc w:val="center"/>
            </w:pPr>
            <w:r>
              <w:rPr>
                <w:kern w:val="0"/>
              </w:rPr>
              <w:t>3,983,827.49</w:t>
            </w:r>
          </w:p>
        </w:tc>
        <w:tc>
          <w:tcPr>
            <w:vAlign w:val="center"/>
          </w:tcPr>
          <w:p>
            <w:pPr>
              <w:jc w:val="center"/>
            </w:pPr>
            <w:r>
              <w:rPr>
                <w:kern w:val="0"/>
              </w:rPr>
              <w:t>19.27%</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79C2CD83" w14:textId="77777777" w:rsidR="00D06738" w:rsidRPr="00FF6B9A">
        <w:tc>
          <w:tcPr>
            <w:tcW w:type="dxa" w:w="9212"/>
            <w:vAlign w:val="center"/>
          </w:tcPr>
          <w:p w14:paraId="3A2D5FD9" w14:textId="77777777" w:rsidR="00D06738" w:rsidRDefault="00454D20" w:rsidRPr="00FF6B9A">
            <w:pPr>
              <w:autoSpaceDE w:val="0"/>
              <w:autoSpaceDN w:val="0"/>
              <w:adjustRightInd w:val="0"/>
              <w:jc w:val="center"/>
              <w:rPr>
                <w:kern w:val="0"/>
              </w:rPr>
            </w:pPr>
            <w:r w:rsidRPr="00FF6B9A">
              <w:rPr>
                <w:color w:val="000000"/>
                <w:kern w:val="0"/>
              </w:rPr>
              <w:t>产品特有风险</w:t>
            </w:r>
            <w:r w:rsidRPr="00FF6B9A">
              <w:rPr>
                <w:kern w:val="0"/>
              </w:rPr>
              <w:t/>
            </w:r>
            <w:proofErr w:type="spellStart"/>
            <w:r w:rsidRPr="00FF6B9A">
              <w:rPr>
                <w:kern w:val="0"/>
              </w:rPr>
              <w:t/>
            </w:r>
            <w:proofErr w:type="spellEnd"/>
            <w:r w:rsidRPr="00FF6B9A">
              <w:rPr>
                <w:kern w:val="0"/>
              </w:rPr>
              <w:t/>
            </w:r>
          </w:p>
        </w:tc>
      </w:tr>
      <w:tr w14:paraId="2BCA7469" w14:textId="77777777" w:rsidR="00D06738" w:rsidRPr="00FF6B9A">
        <w:tc>
          <w:tcPr>
            <w:tcW w:type="dxa" w:w="9212"/>
            <w:vAlign w:val="center"/>
          </w:tcPr>
          <w:p w14:paraId="415317F2" w14:textId="77777777" w:rsidR="00D06738" w:rsidRDefault="00454D20" w:rsidRPr="00FF6B9A">
            <w:pPr>
              <w:autoSpaceDE w:val="0"/>
              <w:autoSpaceDN w:val="0"/>
              <w:adjustRightInd w:val="0"/>
              <w:jc w:val="left"/>
              <w:rPr>
                <w:kern w:val="0"/>
              </w:rPr>
            </w:pPr>
            <w:r w:rsidRPr="00FF6B9A">
              <w:rPr>
                <w:kern w:val="0"/>
              </w:rPr>
              <w:t/>
            </w:r>
            <w:proofErr w:type="gramStart"/>
            <w:r w:rsidRPr="00FF6B9A">
              <w:rPr>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roofErr w:type="gramEnd"/>
            <w:r w:rsidRPr="00FF6B9A">
              <w:rPr>
                <w:kern w:val="0"/>
              </w:rPr>
              <w:t/>
            </w:r>
          </w:p>
        </w:tc>
      </w:tr>
    </w:tbl>
    <w:p w14:paraId="6765BFDC"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§9  </w:t>
      </w:r>
      <w:r w:rsidRPr="00FF6B9A">
        <w:rPr>
          <w:rFonts w:eastAsiaTheme="minorEastAsia"/>
          <w:color w:themeColor="text1" w:val="000000"/>
          <w:kern w:val="0"/>
          <w:sz w:val="24"/>
          <w:szCs w:val="24"/>
        </w:rPr>
        <w:t>备查文件目录</w:t>
      </w:r>
    </w:p>
    <w:p w14:paraId="457E531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1 </w:t>
      </w:r>
      <w:r w:rsidRPr="00FF6B9A">
        <w:rPr>
          <w:rFonts w:eastAsiaTheme="minorEastAsia"/>
          <w:b/>
          <w:bCs/>
          <w:color w:themeColor="text1" w:val="000000"/>
          <w:kern w:val="0"/>
          <w:sz w:val="24"/>
          <w:szCs w:val="24"/>
        </w:rPr>
        <w:t>备查文件目录</w:t>
      </w:r>
    </w:p>
    <w:p>
      <w:pPr>
        <w:spacing w:line="360" w:lineRule="auto"/>
        <w:ind w:firstLine="420" w:firstLineChars="200"/>
        <w:rPr>
          <w:rFonts w:eastAsiaTheme="minorEastAsia"/>
          <w:color w:themeColor="text1" w:val="000000"/>
        </w:rPr>
      </w:pPr>
      <w:r>
        <w:rPr>
          <w:rFonts w:eastAsiaTheme="minorEastAsia"/>
          <w:color w:themeColor="text1" w:val="000000"/>
        </w:rPr>
        <w:t>1、中国证监会准予上投摩根文体休闲灵活配置混合型证券投资基金募集注册的文件</w:t>
      </w:r>
    </w:p>
    <w:p>
      <w:pPr>
        <w:spacing w:line="360" w:lineRule="auto"/>
        <w:ind w:firstLine="420" w:firstLineChars="200"/>
        <w:rPr>
          <w:rFonts w:eastAsiaTheme="minorEastAsia"/>
          <w:color w:themeColor="text1" w:val="000000"/>
        </w:rPr>
      </w:pPr>
      <w:r>
        <w:rPr>
          <w:rFonts w:eastAsiaTheme="minorEastAsia"/>
          <w:color w:themeColor="text1" w:val="000000"/>
        </w:rPr>
        <w:t>2、《上投摩根文体休闲灵活配置混合型证券投资基金基金合同》</w:t>
      </w:r>
    </w:p>
    <w:p>
      <w:pPr>
        <w:spacing w:line="360" w:lineRule="auto"/>
        <w:ind w:firstLine="420" w:firstLineChars="200"/>
        <w:rPr>
          <w:rFonts w:eastAsiaTheme="minorEastAsia"/>
          <w:color w:themeColor="text1" w:val="000000"/>
        </w:rPr>
      </w:pPr>
      <w:r>
        <w:rPr>
          <w:rFonts w:eastAsiaTheme="minorEastAsia"/>
          <w:color w:themeColor="text1" w:val="000000"/>
        </w:rPr>
        <w:t>3、《上投摩根文体休闲灵活配置混合型证券投资基金托管协议》</w:t>
      </w:r>
    </w:p>
    <w:p>
      <w:pPr>
        <w:spacing w:line="360" w:lineRule="auto"/>
        <w:ind w:firstLine="420" w:firstLineChars="200"/>
        <w:rPr>
          <w:rFonts w:eastAsiaTheme="minorEastAsia"/>
          <w:color w:themeColor="text1" w:val="000000"/>
        </w:rPr>
      </w:pPr>
      <w:r>
        <w:rPr>
          <w:rFonts w:eastAsiaTheme="minorEastAsia"/>
          <w:color w:themeColor="text1" w:val="000000"/>
        </w:rPr>
        <w:t>4、《上投摩根基金管理有限公司开放式基金业务规则》</w:t>
      </w:r>
    </w:p>
    <w:p>
      <w:pPr>
        <w:spacing w:line="360" w:lineRule="auto"/>
        <w:ind w:firstLine="420" w:firstLineChars="200"/>
        <w:rPr>
          <w:rFonts w:eastAsiaTheme="minorEastAsia"/>
          <w:color w:themeColor="text1" w:val="000000"/>
        </w:rPr>
      </w:pPr>
      <w:r>
        <w:rPr>
          <w:rFonts w:eastAsiaTheme="minorEastAsia"/>
          <w:color w:themeColor="text1" w:val="000000"/>
        </w:rPr>
        <w:t>5、基金管理人业务资格批件、营业执照</w:t>
      </w:r>
    </w:p>
    <w:p w14:paraId="1A471A23"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6、基金托管人业务资格批件、营业执照</w:t>
      </w:r>
    </w:p>
    <w:p w14:paraId="34C276B3" w14:textId="77777777" w:rsidR="00D06738" w:rsidRDefault="00D06738" w:rsidRPr="00FF6B9A">
      <w:pPr>
        <w:spacing w:line="360" w:lineRule="auto"/>
        <w:ind w:firstLine="480" w:firstLineChars="200"/>
        <w:rPr>
          <w:rFonts w:eastAsiaTheme="minorEastAsia"/>
          <w:color w:themeColor="text1" w:val="000000"/>
          <w:sz w:val="24"/>
          <w:szCs w:val="24"/>
        </w:rPr>
      </w:pPr>
    </w:p>
    <w:p w14:paraId="23507D88"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2 </w:t>
      </w:r>
      <w:r w:rsidRPr="00FF6B9A">
        <w:rPr>
          <w:rFonts w:eastAsiaTheme="minorEastAsia"/>
          <w:b/>
          <w:bCs/>
          <w:color w:themeColor="text1" w:val="000000"/>
          <w:kern w:val="0"/>
          <w:sz w:val="24"/>
          <w:szCs w:val="24"/>
        </w:rPr>
        <w:t>存放地点</w:t>
      </w:r>
    </w:p>
    <w:p w14:paraId="61EC8F57"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基金管理人或基金托管人住所。</w:t>
      </w:r>
    </w:p>
    <w:p w14:paraId="4B43DAA4" w14:textId="77777777" w:rsidR="00D06738" w:rsidRDefault="00D06738" w:rsidRPr="00FF6B9A">
      <w:pPr>
        <w:spacing w:line="360" w:lineRule="auto"/>
        <w:ind w:firstLine="480" w:firstLineChars="200"/>
        <w:rPr>
          <w:rFonts w:eastAsiaTheme="minorEastAsia"/>
          <w:color w:themeColor="text1" w:val="000000"/>
          <w:sz w:val="24"/>
          <w:szCs w:val="24"/>
        </w:rPr>
      </w:pPr>
    </w:p>
    <w:p w14:paraId="05279DD9"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3 </w:t>
      </w:r>
      <w:r w:rsidRPr="00FF6B9A">
        <w:rPr>
          <w:rFonts w:eastAsiaTheme="minorEastAsia"/>
          <w:b/>
          <w:bCs/>
          <w:color w:themeColor="text1" w:val="000000"/>
          <w:kern w:val="0"/>
          <w:sz w:val="24"/>
          <w:szCs w:val="24"/>
        </w:rPr>
        <w:t>查阅方式</w:t>
      </w:r>
    </w:p>
    <w:p w14:paraId="5BDF4042"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投资者可在营业时间免费查阅，也可按工本费购买复印件。</w:t>
      </w:r>
    </w:p>
    <w:p w14:paraId="1EB1072F" w14:textId="77777777" w:rsidR="00D06738" w:rsidRDefault="00D06738" w:rsidRPr="00FF6B9A">
      <w:pPr>
        <w:spacing w:line="360" w:lineRule="auto"/>
        <w:ind w:left="840"/>
        <w:jc w:val="right"/>
        <w:rPr>
          <w:rFonts w:eastAsiaTheme="minorEastAsia"/>
          <w:color w:themeColor="text1" w:val="000000"/>
          <w:sz w:val="24"/>
          <w:szCs w:val="24"/>
        </w:rPr>
      </w:pPr>
    </w:p>
    <w:p w14:paraId="086D5C70" w14:textId="77777777" w:rsidR="00D06738" w:rsidRDefault="00D06738" w:rsidRPr="00FF6B9A">
      <w:pPr>
        <w:spacing w:line="360" w:lineRule="auto"/>
        <w:ind w:left="840"/>
        <w:jc w:val="right"/>
        <w:rPr>
          <w:rFonts w:eastAsiaTheme="minorEastAsia"/>
          <w:color w:themeColor="text1" w:val="000000"/>
          <w:sz w:val="24"/>
          <w:szCs w:val="24"/>
        </w:rPr>
      </w:pPr>
    </w:p>
    <w:p w14:paraId="667FD74D" w14:textId="77777777" w:rsidR="00D06738" w:rsidRDefault="00D06738" w:rsidRPr="00FF6B9A">
      <w:pPr>
        <w:spacing w:line="360" w:lineRule="auto"/>
        <w:ind w:left="840"/>
        <w:jc w:val="right"/>
        <w:rPr>
          <w:rFonts w:eastAsiaTheme="minorEastAsia"/>
          <w:color w:themeColor="text1" w:val="000000"/>
          <w:sz w:val="24"/>
          <w:szCs w:val="24"/>
        </w:rPr>
      </w:pPr>
    </w:p>
    <w:p w14:paraId="5173A207" w14:textId="77777777" w:rsidR="00D06738" w:rsidRDefault="00D06738" w:rsidRPr="00FF6B9A">
      <w:pPr>
        <w:spacing w:line="360" w:lineRule="auto"/>
        <w:ind w:left="840"/>
        <w:jc w:val="right"/>
        <w:rPr>
          <w:rFonts w:eastAsiaTheme="minorEastAsia"/>
          <w:color w:themeColor="text1" w:val="000000"/>
          <w:sz w:val="24"/>
          <w:szCs w:val="24"/>
        </w:rPr>
      </w:pPr>
    </w:p>
    <w:p w14:paraId="5C1BC673" w14:textId="77777777" w:rsidR="00D06738" w:rsidRDefault="00D06738" w:rsidRPr="00FF6B9A">
      <w:pPr>
        <w:spacing w:line="360" w:lineRule="auto"/>
        <w:ind w:left="840"/>
        <w:jc w:val="right"/>
        <w:rPr>
          <w:rFonts w:eastAsiaTheme="minorEastAsia"/>
          <w:color w:themeColor="text1" w:val="000000"/>
          <w:sz w:val="24"/>
          <w:szCs w:val="24"/>
        </w:rPr>
      </w:pPr>
    </w:p>
    <w:p w14:paraId="309916CD" w14:textId="77777777" w:rsidR="00D06738" w:rsidRDefault="00D06738" w:rsidRPr="00FF6B9A">
      <w:pPr>
        <w:spacing w:line="360" w:lineRule="auto"/>
        <w:ind w:left="840"/>
        <w:jc w:val="right"/>
        <w:rPr>
          <w:rFonts w:eastAsiaTheme="minorEastAsia"/>
          <w:color w:themeColor="text1" w:val="000000"/>
          <w:sz w:val="24"/>
          <w:szCs w:val="24"/>
        </w:rPr>
      </w:pPr>
    </w:p>
    <w:p w14:paraId="7C0C74F6" w14:textId="77777777" w:rsidR="00D06738" w:rsidRDefault="00D06738" w:rsidRPr="00FF6B9A">
      <w:pPr>
        <w:spacing w:line="360" w:lineRule="auto"/>
        <w:ind w:left="840"/>
        <w:jc w:val="right"/>
        <w:rPr>
          <w:rFonts w:eastAsiaTheme="minorEastAsia"/>
          <w:color w:themeColor="text1" w:val="000000"/>
          <w:sz w:val="24"/>
          <w:szCs w:val="24"/>
        </w:rPr>
      </w:pPr>
    </w:p>
    <w:p w14:paraId="04EFEDF1" w14:textId="77777777" w:rsidR="00D06738" w:rsidRDefault="00D06738" w:rsidRPr="00FF6B9A">
      <w:pPr>
        <w:spacing w:line="360" w:lineRule="auto"/>
        <w:ind w:left="840"/>
        <w:jc w:val="right"/>
        <w:rPr>
          <w:rFonts w:eastAsiaTheme="minorEastAsia"/>
          <w:color w:themeColor="text1" w:val="000000"/>
          <w:sz w:val="24"/>
          <w:szCs w:val="24"/>
        </w:rPr>
      </w:pPr>
    </w:p>
    <w:p w14:paraId="0387F1AC"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上投摩根基金管理有限公司</w:t>
      </w:r>
    </w:p>
    <w:p w14:paraId="114F1307"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二〇二一年十月二十七日</w:t>
      </w:r>
    </w:p>
    <w:p w14:paraId="2199A838" w14:textId="77777777" w:rsidR="00D06738" w:rsidRDefault="00D06738" w:rsidRPr="00FF6B9A">
      <w:pPr>
        <w:spacing w:line="360" w:lineRule="auto"/>
        <w:ind w:left="840"/>
        <w:jc w:val="right"/>
        <w:rPr>
          <w:rFonts w:eastAsiaTheme="minorEastAsia"/>
          <w:b/>
          <w:bCs/>
          <w:color w:themeColor="text1" w:val="000000"/>
          <w:sz w:val="24"/>
          <w:szCs w:val="24"/>
        </w:rPr>
      </w:pPr>
    </w:p>
    <w:p w14:paraId="1ED73A6C" w14:textId="77777777" w:rsidR="00D06738" w:rsidRDefault="00D06738" w:rsidRPr="00FF6B9A">
      <w:pPr>
        <w:rPr>
          <w:rFonts w:eastAsiaTheme="minorEastAsia"/>
          <w:color w:themeColor="text1" w:val="000000"/>
          <w:sz w:val="24"/>
          <w:szCs w:val="24"/>
        </w:rPr>
      </w:pPr>
    </w:p>
    <w:sectPr w:rsidR="00D06738" w:rsidRPr="00FF6B9A">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A565" w14:textId="77777777" w:rsidR="007573EA" w:rsidRDefault="007573EA">
      <w:r>
        <w:separator/>
      </w:r>
    </w:p>
  </w:endnote>
  <w:endnote w:type="continuationSeparator" w:id="0">
    <w:p w14:paraId="487ADA0C" w14:textId="77777777"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78AE9C8" w14:textId="77777777" w:rsidR="007573EA" w:rsidRDefault="007573EA">
      <w:r>
        <w:separator/>
      </w:r>
    </w:p>
  </w:footnote>
  <w:footnote w:id="0" w:type="continuationSeparator">
    <w:p w14:paraId="43F62B92" w14:textId="77777777" w:rsidR="007573EA" w:rsidRDefault="007573E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上投摩根文体休闲灵活配置混合型证券投资基金</w:t>
    </w:r>
    <w:proofErr w:type="spellStart"/>
    <w:proofErr w:type="gramEnd"/>
    <w:r>
      <w:rPr>
        <w:rFonts w:hint="eastAsia"/>
      </w:rPr>
      <w:t/>
    </w:r>
    <w:proofErr w:type="spellEnd"/>
    <w:r>
      <w:rPr>
        <w:rFonts w:hint="eastAsia"/>
      </w:rPr>
      <w:t>2021年第3季度报告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qFormat/>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4167</Words>
  <Characters>23756</Characters>
  <Application>Microsoft Office Word</Application>
  <DocSecurity>0</DocSecurity>
  <Lines>197</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良 虢</cp:lastModifiedBy>
  <dcterms:modified xsi:type="dcterms:W3CDTF">2021-06-04T04:09:00Z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