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44C15BA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E65E7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C3405E"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5892C05"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7A6A756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1281750"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b/>
          <w:color w:themeColor="text1" w:val="000000"/>
          <w:sz w:val="36"/>
          <w:szCs w:val="36"/>
        </w:rPr>
        <w:t/>
      </w:r>
      <w:r>
        <w:rPr>
          <w:rFonts w:asciiTheme="minorEastAsia" w:eastAsiaTheme="minorEastAsia" w:hAnsiTheme="minorEastAsia" w:hint="eastAsia"/>
          <w:b/>
          <w:color w:themeColor="text1" w:val="000000"/>
          <w:sz w:val="36"/>
          <w:szCs w:val="36"/>
        </w:rPr>
        <w:t/>
      </w:r>
      <w:r>
        <w:rPr>
          <w:rFonts w:asciiTheme="minorEastAsia" w:eastAsiaTheme="minorEastAsia" w:hAnsiTheme="minor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上投摩根文体休闲灵活配置混合型证券投资基金</w:t>
      </w:r>
    </w:p>
    <w:p w14:paraId="5A1338CB"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hint="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2020年第4季度报告</w:t>
      </w:r>
    </w:p>
    <w:p w14:paraId="2E76B0B1" w14:textId="77777777" w:rsidR="00D06738" w:rsidRDefault="00454D20">
      <w:pPr>
        <w:spacing w:line="360" w:lineRule="auto"/>
        <w:jc w:val="center"/>
        <w:rPr>
          <w:rFonts w:asciiTheme="minorEastAsia" w:eastAsiaTheme="minorEastAsia" w:hAnsiTheme="minorEastAsia"/>
          <w:b/>
          <w:color w:themeColor="text1" w:val="000000"/>
          <w:sz w:val="24"/>
          <w:szCs w:val="24"/>
        </w:rPr>
      </w:pP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2020年12月31日</w:t>
      </w:r>
    </w:p>
    <w:p w14:paraId="1A65543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C5B7FC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D41633D"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7088D74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CB6A60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60BB35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59EC83F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18FC01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2C9545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0B5CF4B"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9DE5ED7"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22E93BD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8A989D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B1AA632" w14:textId="77777777" w:rsidR="00D06738" w:rsidRDefault="00D06738">
      <w:pPr>
        <w:spacing w:line="360" w:lineRule="auto"/>
        <w:rPr>
          <w:rFonts w:asciiTheme="minorEastAsia" w:eastAsiaTheme="minorEastAsia" w:hAnsiTheme="minorEastAsia"/>
          <w:b/>
          <w:bCs/>
          <w:color w:themeColor="text1" w:val="000000"/>
          <w:sz w:val="24"/>
          <w:szCs w:val="24"/>
        </w:rPr>
      </w:pPr>
    </w:p>
    <w:p w14:paraId="5866ADDF"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基金管理人：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上投摩根基金管理有限公司</w:t>
      </w:r>
    </w:p>
    <w:p w14:paraId="76291874"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基金托管人：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中国银行股份有限公司</w:t>
      </w:r>
    </w:p>
    <w:p w14:paraId="219C0F2E"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sectPr w:rsidR="00D06738">
          <w:headerReference r:id="rId8" w:type="default"/>
          <w:footerReference r:id="rId9" w:type="default"/>
          <w:pgSz w:h="15840" w:w="11926"/>
          <w:pgMar w:bottom="851" w:footer="992" w:gutter="0" w:header="851" w:left="1418" w:right="1418" w:top="1418"/>
          <w:cols w:space="720"/>
        </w:sectPr>
      </w:pPr>
      <w:r>
        <w:rPr>
          <w:rFonts w:asciiTheme="minorEastAsia" w:eastAsiaTheme="minorEastAsia" w:hAnsiTheme="minorEastAsia" w:hint="eastAsia"/>
          <w:b/>
          <w:color w:themeColor="text1" w:val="000000"/>
          <w:sz w:val="24"/>
          <w:szCs w:val="24"/>
        </w:rPr>
        <w:t>报告送出日期：</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hint="eastAsia"/>
          <w:b/>
          <w:color w:themeColor="text1" w:val="000000"/>
          <w:sz w:val="24"/>
          <w:szCs w:val="24"/>
        </w:rPr>
        <w:t/>
      </w:r>
      <w:proofErr w:type="spellEnd"/>
      <w:r>
        <w:rPr>
          <w:rFonts w:asciiTheme="minorEastAsia" w:eastAsiaTheme="minorEastAsia" w:hAnsiTheme="minorEastAsia"/>
          <w:b/>
          <w:color w:themeColor="text1" w:val="000000"/>
          <w:sz w:val="24"/>
          <w:szCs w:val="24"/>
        </w:rPr>
        <w:t>二〇二一年一月二十二日</w:t>
      </w:r>
    </w:p>
    <w:p w14:paraId="7AFF270F" w14:textId="77777777" w:rsidR="00D06738" w:rsidRDefault="00454D20">
      <w:pPr>
        <w:pStyle w:val="1"/>
        <w:spacing w:after="312" w:afterLines="100" w:before="312" w:beforeLines="100" w:line="360" w:lineRule="auto"/>
        <w:jc w:val="center"/>
        <w:rPr>
          <w:rFonts w:asciiTheme="minorEastAsia" w:eastAsiaTheme="minorEastAsia" w:hAnsiTheme="minorEastAsia"/>
          <w:b w:val="0"/>
          <w:bCs w:val="0"/>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w:t>
      </w:r>
      <w:r>
        <w:rPr>
          <w:rFonts w:asciiTheme="minorEastAsia" w:eastAsiaTheme="minorEastAsia" w:hAnsiTheme="minorEastAsia"/>
          <w:color w:themeColor="text1" w:val="000000"/>
          <w:kern w:val="0"/>
          <w:sz w:val="24"/>
          <w:szCs w:val="24"/>
        </w:rPr>
        <w:t xml:space="preserve">1  </w:t>
      </w:r>
      <w:r>
        <w:rPr>
          <w:rFonts w:asciiTheme="minorEastAsia" w:eastAsiaTheme="minorEastAsia" w:hAnsiTheme="minorEastAsia" w:hint="eastAsia"/>
          <w:color w:themeColor="text1" w:val="000000"/>
          <w:kern w:val="0"/>
          <w:sz w:val="24"/>
          <w:szCs w:val="24"/>
        </w:rPr>
        <w:t>重要提示</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基金托管人中国银行股份有限公司根据本基金合同规定，于2021年1月21日复核了本报告中的财务指标、净值表现和投资组合报告等内容，保证复核内容不存在虚假记载、误导性陈述或者重大遗漏。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基金管理人承诺以诚实信用、勤勉尽责的原则管理和运用基金资产，但不保证基金一定盈利。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基金的过往业绩并不代表其未来表现。投资有风险，投资者在作出投资决策前应仔细阅读本基金的招募说明书。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本报告中财务资料未经审计。</w:t>
      </w:r>
    </w:p>
    <w:p w14:paraId="298A5200"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本报告期自2020年10月1日起至12月31日止。</w:t>
      </w:r>
    </w:p>
    <w:p w14:paraId="3A78A50A"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2  </w:t>
      </w:r>
      <w:r>
        <w:rPr>
          <w:rFonts w:asciiTheme="minorEastAsia" w:eastAsiaTheme="minorEastAsia" w:hAnsiTheme="minorEastAsia" w:hint="eastAsia"/>
          <w:color w:themeColor="text1" w:val="000000"/>
          <w:kern w:val="0"/>
          <w:sz w:val="24"/>
          <w:szCs w:val="24"/>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0D826A0C" w14:textId="77777777" w:rsidR="00D06738">
        <w:tc>
          <w:tcPr>
            <w:tcW w:type="dxa" w:w="2835"/>
            <w:vAlign w:val="center"/>
          </w:tcPr>
          <w:p w14:paraId="41603EB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基金简称</w:t>
            </w:r>
          </w:p>
        </w:tc>
        <w:tc>
          <w:tcPr>
            <w:tcW w:type="dxa" w:w="5479"/>
            <w:gridSpan w:val="2"/>
            <w:vAlign w:val="center"/>
          </w:tcPr>
          <w:p w14:paraId="245289EF"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上投摩根文体休闲混合</w:t>
            </w:r>
          </w:p>
        </w:tc>
      </w:tr>
      <w:tr w14:paraId="6487C456"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6BDFC5CF"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基金主代码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02B49369"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hint="eastAsia"/>
                <w:color w:themeColor="text1" w:val="000000"/>
                <w:kern w:val="0"/>
              </w:rPr>
              <w:t/>
            </w:r>
            <w:proofErr w:type="spellEnd"/>
            <w:r>
              <w:rPr>
                <w:rFonts w:asciiTheme="minorEastAsia" w:eastAsiaTheme="minorEastAsia" w:hAnsiTheme="minorEastAsia" w:hint="eastAsia"/>
                <w:color w:themeColor="text1" w:val="000000"/>
                <w:kern w:val="0"/>
              </w:rPr>
              <w:t>001795</w:t>
            </w:r>
          </w:p>
        </w:tc>
      </w:tr>
      <w:tr w14:paraId="2443AB88"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478402FE"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交易代码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2E739C6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gram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proofErr w:type="gramEnd"/>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001795</w:t>
            </w:r>
          </w:p>
        </w:tc>
      </w:tr>
      <w:tr w14:paraId="7AF1FD7C" w14:textId="77777777" w:rsidR="00D06738">
        <w:tc>
          <w:tcPr>
            <w:tcW w:type="dxa" w:w="2835"/>
            <w:vAlign w:val="center"/>
          </w:tcPr>
          <w:p w14:paraId="042D4F2C"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基金运作方式</w:t>
            </w:r>
          </w:p>
        </w:tc>
        <w:tc>
          <w:tcPr>
            <w:tcW w:type="dxa" w:w="5479"/>
            <w:gridSpan w:val="2"/>
            <w:vAlign w:val="center"/>
          </w:tcPr>
          <w:p w14:paraId="594303B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契约型开放式</w:t>
            </w:r>
          </w:p>
        </w:tc>
      </w:tr>
      <w:tr w14:paraId="5E254ABC" w14:textId="77777777" w:rsidR="00D06738">
        <w:tc>
          <w:tcPr>
            <w:tcW w:type="dxa" w:w="2835"/>
            <w:vAlign w:val="center"/>
          </w:tcPr>
          <w:p w14:paraId="309669DF"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基金合同生效日</w:t>
            </w:r>
          </w:p>
        </w:tc>
        <w:tc>
          <w:tcPr>
            <w:tcW w:type="dxa" w:w="5479"/>
            <w:gridSpan w:val="2"/>
            <w:vAlign w:val="center"/>
          </w:tcPr>
          <w:p w14:paraId="1568522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2015年12月23日</w:t>
            </w:r>
          </w:p>
        </w:tc>
      </w:tr>
      <w:tr w14:paraId="06DF9713" w14:textId="77777777" w:rsidR="00D06738">
        <w:tc>
          <w:tcPr>
            <w:tcW w:type="dxa" w:w="2835"/>
            <w:vAlign w:val="center"/>
          </w:tcPr>
          <w:p w14:paraId="57B0E59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报告期末基金份额总额</w:t>
            </w:r>
          </w:p>
        </w:tc>
        <w:tc>
          <w:tcPr>
            <w:tcW w:type="dxa" w:w="5479"/>
            <w:gridSpan w:val="2"/>
            <w:vAlign w:val="center"/>
          </w:tcPr>
          <w:p w14:paraId="38649CC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40,624,503.64</w:t>
            </w:r>
            <w:r>
              <w:rPr>
                <w:rFonts w:asciiTheme="minorEastAsia" w:eastAsiaTheme="minorEastAsia" w:hAnsiTheme="minorEastAsia" w:hint="eastAsia"/>
                <w:color w:themeColor="text1" w:val="000000"/>
                <w:kern w:val="0"/>
              </w:rPr>
              <w:t>份</w:t>
            </w:r>
          </w:p>
        </w:tc>
      </w:tr>
      <w:tr w14:paraId="03D1AE98" w14:textId="77777777" w:rsidR="00D06738">
        <w:tc>
          <w:tcPr>
            <w:tcW w:type="dxa" w:w="2835"/>
            <w:vAlign w:val="center"/>
          </w:tcPr>
          <w:p w14:paraId="4AB3756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投资目标</w:t>
            </w:r>
          </w:p>
        </w:tc>
        <w:tc>
          <w:tcPr>
            <w:tcW w:type="dxa" w:w="5479"/>
            <w:gridSpan w:val="2"/>
            <w:vAlign w:val="center"/>
          </w:tcPr>
          <w:p w14:paraId="61AB4DB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采用定量及定性研究方法，自上而下进行宏观产业分析，自下而上优选文体休闲主题上市公司，通过严格的风险控制，力争实现基金资产的长期增值。</w:t>
            </w:r>
          </w:p>
        </w:tc>
      </w:tr>
      <w:tr w14:paraId="0CFEC550" w14:textId="77777777" w:rsidR="00D06738">
        <w:tc>
          <w:tcPr>
            <w:tcW w:type="dxa" w:w="2835"/>
            <w:vAlign w:val="center"/>
          </w:tcPr>
          <w:p w14:paraId="1E239E6A"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投资策略</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1、资产配置策略</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本基金将综合分析和持续跟踪基本面、政策面、市场面等多方面因素，对宏观经济、国家政策、资金面和市场情绪等影响证券市场的重要因素进行深入分析，确定合适的资产配置比例。</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2、股票投资策略</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根据本基金投资理念及投资目标，本基金在申银万国一级行业分类中选取了以下与文体休闲主题相关的行业，分别是：传媒、计算机、电子、休闲服务、房地产、纺织服装、轻工制造、商业贸易、通信、家用电器、交通运输、汽车、食品饮料、综合。我们将遵循自上而下的宏观产业分析逻辑，从行业生命周期、行业景气度、行业竞争格局等多角度，综合评估各个行业的投资价值，对基金资产在行业间分配进行安排。本基金将通过系统和深入的基本面研究，密切关注受益于国家文化体育产业政策扶持、满足城镇居民生活水平提高和消费升级需求的行业和公司，同时重点投资于创新商业模式、引领新的生活方式和消费习惯的相关行业及公司。</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3、固定收益类投资策略</w:t>
            </w:r>
          </w:p>
          <w:p w14:paraId="57810DE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对于固定收益类资产的选择，本基金将以价值分析为主线，在综合研究的基础上实施积极主动的组合管理，自上而下进行组合构建，自下而上进行个券选择。</w:t>
            </w:r>
          </w:p>
        </w:tc>
      </w:tr>
      <w:tr w14:paraId="43AD7C9F" w14:textId="77777777" w:rsidR="00D06738">
        <w:tc>
          <w:tcPr>
            <w:tcW w:type="dxa" w:w="2835"/>
            <w:vAlign w:val="center"/>
          </w:tcPr>
          <w:p w14:paraId="24E44D9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业绩比较基准</w:t>
            </w:r>
          </w:p>
        </w:tc>
        <w:tc>
          <w:tcPr>
            <w:tcW w:type="dxa" w:w="5479"/>
            <w:gridSpan w:val="2"/>
            <w:vAlign w:val="center"/>
          </w:tcPr>
          <w:p w14:paraId="6581E7F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中证800指数收益率*60%+中债总指数收益率*40%</w:t>
            </w:r>
          </w:p>
        </w:tc>
      </w:tr>
      <w:tr w14:paraId="42EA0DB3" w14:textId="77777777" w:rsidR="00D06738">
        <w:tc>
          <w:tcPr>
            <w:tcW w:type="dxa" w:w="2835"/>
            <w:vAlign w:val="center"/>
          </w:tcPr>
          <w:p w14:paraId="7192C3F0"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风险收益特征</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本基金属于混合型基金产品，预期风险和收益水平高于债券型基金和货币市场基金，低于股票型基金，属于较高风险收益水平的基金产品。</w:t>
            </w:r>
          </w:p>
          <w:p w14:paraId="2673C8C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14:paraId="0A4AF1AB" w14:textId="77777777" w:rsidR="00D06738">
        <w:tc>
          <w:tcPr>
            <w:tcW w:type="dxa" w:w="2835"/>
            <w:vAlign w:val="center"/>
          </w:tcPr>
          <w:p w14:paraId="281C6797"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基金管理人</w:t>
            </w:r>
          </w:p>
        </w:tc>
        <w:tc>
          <w:tcPr>
            <w:tcW w:type="dxa" w:w="5479"/>
            <w:gridSpan w:val="2"/>
            <w:vAlign w:val="center"/>
          </w:tcPr>
          <w:p w14:paraId="64BEE458"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上投摩根基金管理有限公司</w:t>
            </w:r>
          </w:p>
        </w:tc>
      </w:tr>
      <w:tr w14:paraId="76894E86" w14:textId="77777777" w:rsidR="00D06738">
        <w:tc>
          <w:tcPr>
            <w:tcW w:type="dxa" w:w="2835"/>
            <w:vAlign w:val="center"/>
          </w:tcPr>
          <w:p w14:paraId="7825DD9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基金托管人</w:t>
            </w:r>
          </w:p>
        </w:tc>
        <w:tc>
          <w:tcPr>
            <w:tcW w:type="dxa" w:w="5479"/>
            <w:gridSpan w:val="2"/>
            <w:vAlign w:val="center"/>
          </w:tcPr>
          <w:p w14:paraId="5FB3246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中国银行股份有限公司</w:t>
            </w:r>
          </w:p>
        </w:tc>
      </w:tr>
    </w:tbl>
    <w:p w14:paraId="0FD2B1FF"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3  </w:t>
      </w:r>
      <w:r>
        <w:rPr>
          <w:rFonts w:asciiTheme="minorEastAsia" w:eastAsiaTheme="minorEastAsia" w:hAnsiTheme="minorEastAsia" w:hint="eastAsia"/>
          <w:color w:themeColor="text1" w:val="000000"/>
          <w:kern w:val="0"/>
          <w:sz w:val="24"/>
          <w:szCs w:val="24"/>
        </w:rPr>
        <w:t>主要财务指标和基金净值表现</w:t>
      </w:r>
    </w:p>
    <w:p w14:paraId="210337B7"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3.1 </w:t>
      </w:r>
      <w:r>
        <w:rPr>
          <w:rFonts w:asciiTheme="minorEastAsia" w:eastAsiaTheme="minorEastAsia" w:hAnsiTheme="minorEastAsia" w:hint="eastAsia"/>
          <w:b/>
          <w:bCs/>
          <w:color w:themeColor="text1" w:val="000000"/>
          <w:kern w:val="0"/>
          <w:sz w:val="24"/>
          <w:szCs w:val="24"/>
        </w:rPr>
        <w:t>主要财务指标</w:t>
      </w:r>
    </w:p>
    <w:p w14:paraId="137D242D"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552"/>
        <w:gridCol w:w="2410"/>
      </w:tblGrid>
      <w:tr w14:paraId="18A1FB51" w14:textId="77777777" w:rsidR="00D06738">
        <w:tc>
          <w:tcPr>
            <w:tcW w:type="dxa" w:w="3402"/>
            <w:vAlign w:val="center"/>
          </w:tcPr>
          <w:p w14:paraId="42E18AC5"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主要财务指标</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4962"/>
            <w:hMerge w:val="restart"/>
            <w:vAlign w:val="center"/>
          </w:tcPr>
          <w:p w14:paraId="619578C9"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报告期</w:t>
            </w:r>
          </w:p>
          <w:p w14:paraId="3E47B353"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2020年10月1日-</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2020年12月31日</w:t>
            </w:r>
            <w:r>
              <w:rPr>
                <w:rFonts w:asciiTheme="minorEastAsia" w:cs="宋体" w:eastAsiaTheme="minorEastAsia" w:hAnsiTheme="minorEastAsia" w:hint="eastAsia"/>
                <w:color w:themeColor="text1" w:val="000000"/>
              </w:rPr>
              <w:t>)</w:t>
            </w:r>
          </w:p>
        </w:tc>
        <w:tc>
          <w:tcPr>
            <w:tcW w:type="dxa" w:w="2410"/>
            <w:hMerge/>
            <w:vAlign w:val="center"/>
          </w:tcPr>
          <w:p w14:paraId="5FB75E1A"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上期金额</w:t>
            </w: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p>
        </w:tc>
      </w:tr>
      <w:tr w14:paraId="221834C8" w14:textId="77777777" w:rsidR="00D06738">
        <w:tc>
          <w:tcPr>
            <w:tcW w:type="dxa" w:w="3402"/>
            <w:vAlign w:val="center"/>
          </w:tcPr>
          <w:p w14:paraId="19330D2C"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1.</w:t>
            </w:r>
            <w:r>
              <w:rPr>
                <w:rFonts w:asciiTheme="minorEastAsia" w:cs="宋体" w:eastAsiaTheme="minorEastAsia" w:hAnsiTheme="minorEastAsia" w:hint="eastAsia"/>
                <w:color w:themeColor="text1" w:val="000000"/>
                <w:kern w:val="0"/>
              </w:rPr>
              <w:t>本期已实现收益</w:t>
            </w:r>
          </w:p>
        </w:tc>
        <w:tc>
          <w:tcPr>
            <w:tcW w:type="dxa" w:w="4962"/>
            <w:hMerge w:val="restart"/>
            <w:vAlign w:val="center"/>
          </w:tcPr>
          <w:p w14:paraId="568D140B"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83,064.76</w:t>
            </w:r>
          </w:p>
        </w:tc>
        <w:tc>
          <w:tcPr>
            <w:tcW w:type="dxa" w:w="2410"/>
            <w:hMerge/>
            <w:vAlign w:val="center"/>
          </w:tcPr>
          <w:p w14:paraId="7D46D9A3"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0AEC81A" w14:textId="77777777" w:rsidR="00D06738">
        <w:tc>
          <w:tcPr>
            <w:tcW w:type="dxa" w:w="3402"/>
            <w:vAlign w:val="center"/>
          </w:tcPr>
          <w:p w14:paraId="15ADAC28"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2.</w:t>
            </w:r>
            <w:r>
              <w:rPr>
                <w:rFonts w:asciiTheme="minorEastAsia" w:cs="宋体" w:eastAsiaTheme="minorEastAsia" w:hAnsiTheme="minorEastAsia" w:hint="eastAsia"/>
                <w:color w:themeColor="text1" w:val="000000"/>
                <w:kern w:val="0"/>
              </w:rPr>
              <w:t>本期利润</w:t>
            </w:r>
          </w:p>
        </w:tc>
        <w:tc>
          <w:tcPr>
            <w:tcW w:type="dxa" w:w="4962"/>
            <w:hMerge w:val="restart"/>
            <w:vAlign w:val="center"/>
          </w:tcPr>
          <w:p w14:paraId="42B249A8"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1,678,551.45</w:t>
            </w:r>
          </w:p>
        </w:tc>
        <w:tc>
          <w:tcPr>
            <w:tcW w:type="dxa" w:w="2410"/>
            <w:hMerge/>
            <w:vAlign w:val="center"/>
          </w:tcPr>
          <w:p w14:paraId="4CC084A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C8E1F6F" w14:textId="77777777" w:rsidR="00D06738">
        <w:tc>
          <w:tcPr>
            <w:tcW w:type="dxa" w:w="3402"/>
            <w:vAlign w:val="center"/>
          </w:tcPr>
          <w:p w14:paraId="1C3F4C7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3.</w:t>
            </w:r>
            <w:r>
              <w:rPr>
                <w:rFonts w:asciiTheme="minorEastAsia" w:cs="宋体" w:eastAsiaTheme="minorEastAsia" w:hAnsiTheme="minorEastAsia" w:hint="eastAsia"/>
                <w:color w:themeColor="text1" w:val="000000"/>
                <w:kern w:val="0"/>
              </w:rPr>
              <w:t>加权平均基金份额本期利润</w:t>
            </w:r>
          </w:p>
        </w:tc>
        <w:tc>
          <w:tcPr>
            <w:tcW w:type="dxa" w:w="4962"/>
            <w:hMerge w:val="restart"/>
            <w:vAlign w:val="center"/>
          </w:tcPr>
          <w:p w14:paraId="43651B7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0.0422</w:t>
            </w:r>
          </w:p>
        </w:tc>
        <w:tc>
          <w:tcPr>
            <w:tcW w:type="dxa" w:w="2410"/>
            <w:hMerge/>
            <w:vAlign w:val="center"/>
          </w:tcPr>
          <w:p w14:paraId="18DC755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9975AED" w14:textId="77777777" w:rsidR="00D06738">
        <w:tc>
          <w:tcPr>
            <w:tcW w:type="dxa" w:w="3402"/>
            <w:vAlign w:val="center"/>
          </w:tcPr>
          <w:p w14:paraId="5358D232"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4.</w:t>
            </w:r>
            <w:r>
              <w:rPr>
                <w:rFonts w:asciiTheme="minorEastAsia" w:cs="宋体" w:eastAsiaTheme="minorEastAsia" w:hAnsiTheme="minorEastAsia" w:hint="eastAsia"/>
                <w:color w:themeColor="text1" w:val="000000"/>
                <w:kern w:val="0"/>
              </w:rPr>
              <w:t>期末基金资产净值</w:t>
            </w:r>
          </w:p>
        </w:tc>
        <w:tc>
          <w:tcPr>
            <w:tcW w:type="dxa" w:w="4962"/>
            <w:hMerge w:val="restart"/>
            <w:vAlign w:val="center"/>
          </w:tcPr>
          <w:p w14:paraId="11849F1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52,807,755.56</w:t>
            </w:r>
          </w:p>
        </w:tc>
        <w:tc>
          <w:tcPr>
            <w:tcW w:type="dxa" w:w="2410"/>
            <w:hMerge/>
            <w:vAlign w:val="center"/>
          </w:tcPr>
          <w:p w14:paraId="27D7B715"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BC36451" w14:textId="77777777" w:rsidR="00D06738">
        <w:trPr>
          <w:trHeight w:val="158"/>
        </w:trPr>
        <w:tc>
          <w:tcPr>
            <w:tcW w:type="dxa" w:w="3402"/>
            <w:vAlign w:val="center"/>
          </w:tcPr>
          <w:p w14:paraId="5E87F5B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5.</w:t>
            </w:r>
            <w:r>
              <w:rPr>
                <w:rFonts w:asciiTheme="minorEastAsia" w:cs="宋体" w:eastAsiaTheme="minorEastAsia" w:hAnsiTheme="minorEastAsia" w:hint="eastAsia"/>
                <w:color w:themeColor="text1" w:val="000000"/>
                <w:kern w:val="0"/>
              </w:rPr>
              <w:t>期末基金份额净值</w:t>
            </w:r>
          </w:p>
        </w:tc>
        <w:tc>
          <w:tcPr>
            <w:tcW w:type="dxa" w:w="4962"/>
            <w:hMerge w:val="restart"/>
            <w:vAlign w:val="center"/>
          </w:tcPr>
          <w:p w14:paraId="20EA2920"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1.2999</w:t>
            </w:r>
          </w:p>
        </w:tc>
        <w:tc>
          <w:tcPr>
            <w:tcW w:type="dxa" w:w="2410"/>
            <w:hMerge/>
            <w:vAlign w:val="center"/>
          </w:tcPr>
          <w:p w14:paraId="52387A94"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注：本期已实现收益指基金本期利息收入、投资收益、其他收入(不含公允价值变动收益)扣除相关费用后的余额，本期利润为本期已实现收益加上本期公允价值变动收益。 </w:t>
      </w:r>
    </w:p>
    <w:p w14:paraId="71EC6E7C"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上述基金业绩指标不包括持有人认购或交易基金的各项费用（例如，开放式基金的申购赎回费、红利再投资费、基金转换费等），计入费用后实际收益水平要低于所列数字。</w:t>
      </w:r>
    </w:p>
    <w:p w14:paraId="16577CF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560E0A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 </w:t>
      </w:r>
      <w:r>
        <w:rPr>
          <w:rFonts w:asciiTheme="minorEastAsia" w:eastAsiaTheme="minorEastAsia" w:hAnsiTheme="minorEastAsia" w:hint="eastAsia"/>
          <w:b/>
          <w:bCs/>
          <w:color w:themeColor="text1" w:val="000000"/>
          <w:kern w:val="0"/>
          <w:sz w:val="24"/>
          <w:szCs w:val="24"/>
        </w:rPr>
        <w:t>基金净值表现</w:t>
      </w:r>
    </w:p>
    <w:p w14:paraId="60962101" w14:textId="77777777" w:rsidR="00D06738" w:rsidRDefault="00454D20">
      <w:pPr>
        <w:autoSpaceDE w:val="0"/>
        <w:autoSpaceDN w:val="0"/>
        <w:adjustRightInd w:val="0"/>
        <w:spacing w:line="360" w:lineRule="auto"/>
        <w:jc w:val="left"/>
        <w:rPr>
          <w:rFonts w:asciiTheme="minorEastAsia" w:cs="宋体"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3.2.1 </w:t>
      </w:r>
      <w:r>
        <w:rPr>
          <w:rFonts w:asciiTheme="minorEastAsia" w:cs="宋体" w:eastAsiaTheme="minorEastAsia" w:hAnsiTheme="minorEastAsia" w:hint="eastAsia"/>
          <w:b/>
          <w:bCs/>
          <w:color w:themeColor="text1" w:val="000000"/>
          <w:kern w:val="0"/>
          <w:sz w:val="24"/>
          <w:szCs w:val="24"/>
        </w:rPr>
        <w:t>本报告</w:t>
      </w:r>
      <w:proofErr w:type="gramStart"/>
      <w:r>
        <w:rPr>
          <w:rFonts w:asciiTheme="minorEastAsia" w:cs="宋体" w:eastAsiaTheme="minorEastAsia" w:hAnsiTheme="minorEastAsia" w:hint="eastAsia"/>
          <w:b/>
          <w:bCs/>
          <w:color w:themeColor="text1" w:val="000000"/>
          <w:kern w:val="0"/>
          <w:sz w:val="24"/>
          <w:szCs w:val="24"/>
        </w:rPr>
        <w:t>期基金</w:t>
      </w:r>
      <w:proofErr w:type="gramEnd"/>
      <w:r>
        <w:rPr>
          <w:rFonts w:asciiTheme="minorEastAsia" w:cs="宋体" w:eastAsiaTheme="minorEastAsia" w:hAnsiTheme="minorEastAsia" w:hint="eastAsia"/>
          <w:b/>
          <w:bCs/>
          <w:color w:themeColor="text1" w:val="000000"/>
          <w:kern w:val="0"/>
          <w:sz w:val="24"/>
          <w:szCs w:val="24"/>
        </w:rPr>
        <w:t>份额净值增长率及其与同期业绩比较基准收益率的比较</w:t>
      </w:r>
    </w:p>
    <w:tbl>
      <w:tblPr>
        <w:tblStyle w:val="aff4"/>
        <w:tblW w:type="dxa" w:w="8420"/>
        <w:tblInd w:type="dxa" w:w="108"/>
        <w:tblLayout w:type="fixed"/>
        <w:tblLook w:firstColumn="1" w:firstRow="1" w:lastColumn="0" w:lastRow="0" w:noHBand="0" w:noVBand="1" w:val="04A0"/>
      </w:tblPr>
      <w:tblGrid>
        <w:gridCol w:w="1395"/>
        <w:gridCol w:w="1092"/>
        <w:gridCol w:w="1161"/>
        <w:gridCol w:w="1181"/>
        <w:gridCol w:w="1188"/>
        <w:gridCol w:w="1199"/>
        <w:gridCol w:w="1204"/>
      </w:tblGrid>
      <w:tr w14:paraId="3CB029CE" w14:textId="77777777" w:rsidR="00D06738">
        <w:tc>
          <w:tcPr>
            <w:tcW w:type="dxa" w:w="1395"/>
            <w:vAlign w:val="center"/>
          </w:tcPr>
          <w:p w14:paraId="7A7D1D1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阶段</w:t>
            </w:r>
            <w:proofErr w:type="spellStart"/>
            <w:r>
              <w:rPr>
                <w:rFonts w:asciiTheme="minorEastAsia" w:cs="Arial" w:eastAsiaTheme="minorEastAsia" w:hAnsiTheme="minorEastAsia" w:hint="eastAsia"/>
                <w:color w:themeColor="text1" w:val="000000"/>
                <w:kern w:val="0"/>
              </w:rPr>
              <w:t/>
            </w:r>
            <w:proofErr w:type="spellEnd"/>
            <w:r>
              <w:rPr>
                <w:rFonts w:asciiTheme="minorEastAsia" w:cs="Arial" w:eastAsiaTheme="minorEastAsia" w:hAnsiTheme="minorEastAsia" w:hint="eastAsia"/>
                <w:color w:themeColor="text1" w:val="000000"/>
                <w:kern w:val="0"/>
              </w:rPr>
              <w:t/>
            </w:r>
          </w:p>
        </w:tc>
        <w:tc>
          <w:tcPr>
            <w:tcW w:type="dxa" w:w="1092"/>
            <w:vAlign w:val="center"/>
          </w:tcPr>
          <w:p w14:paraId="2CD30E7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净值增长率①</w:t>
            </w:r>
          </w:p>
        </w:tc>
        <w:tc>
          <w:tcPr>
            <w:tcW w:type="dxa" w:w="1161"/>
            <w:vAlign w:val="center"/>
          </w:tcPr>
          <w:p w14:paraId="37DEF420"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净值增长率标准差②</w:t>
            </w:r>
          </w:p>
        </w:tc>
        <w:tc>
          <w:tcPr>
            <w:tcW w:type="dxa" w:w="1181"/>
            <w:vAlign w:val="center"/>
          </w:tcPr>
          <w:p w14:paraId="7F4843F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业绩比较基准收益率③</w:t>
            </w:r>
          </w:p>
        </w:tc>
        <w:tc>
          <w:tcPr>
            <w:tcW w:type="dxa" w:w="1188"/>
            <w:vAlign w:val="center"/>
          </w:tcPr>
          <w:p w14:paraId="1265555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业绩比较基准收益率标准差④</w:t>
            </w:r>
          </w:p>
        </w:tc>
        <w:tc>
          <w:tcPr>
            <w:tcW w:type="dxa" w:w="1199"/>
            <w:vAlign w:val="center"/>
          </w:tcPr>
          <w:p w14:paraId="5487E45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①</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③</w:t>
            </w:r>
          </w:p>
        </w:tc>
        <w:tc>
          <w:tcPr>
            <w:tcW w:type="dxa" w:w="1204"/>
            <w:vAlign w:val="center"/>
          </w:tcPr>
          <w:p w14:paraId="7C50A3F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②</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④</w:t>
            </w:r>
          </w:p>
        </w:tc>
      </w:tr>
      <w:tr>
        <w:tc>
          <w:tcPr>
            <w:vAlign w:val="center"/>
          </w:tcPr>
          <w:p>
            <w:pPr>
              <w:jc w:val="left"/>
            </w:pPr>
            <w:r>
              <w:rPr>
                <w:rFonts w:asciiTheme="minorEastAsia" w:eastAsiaTheme="minorEastAsia" w:hAnsiTheme="minorEastAsia"/>
                <w:color w:themeColor="text1" w:val="000000"/>
                <w:kern w:val="0"/>
              </w:rPr>
              <w:t>过去三个月</w:t>
            </w:r>
          </w:p>
        </w:tc>
        <w:tc>
          <w:tcPr>
            <w:vAlign w:val="center"/>
          </w:tcPr>
          <w:p>
            <w:pPr>
              <w:jc w:val="center"/>
            </w:pPr>
            <w:r>
              <w:rPr>
                <w:rFonts w:asciiTheme="minorEastAsia" w:eastAsiaTheme="minorEastAsia" w:hAnsiTheme="minorEastAsia"/>
                <w:color w:themeColor="text1" w:val="000000"/>
                <w:kern w:val="0"/>
              </w:rPr>
              <w:t>2.62%</w:t>
            </w:r>
          </w:p>
        </w:tc>
        <w:tc>
          <w:tcPr>
            <w:vAlign w:val="center"/>
          </w:tcPr>
          <w:p>
            <w:pPr>
              <w:jc w:val="center"/>
            </w:pPr>
            <w:r>
              <w:rPr>
                <w:rFonts w:asciiTheme="minorEastAsia" w:eastAsiaTheme="minorEastAsia" w:hAnsiTheme="minorEastAsia"/>
                <w:color w:themeColor="text1" w:val="000000"/>
                <w:kern w:val="0"/>
              </w:rPr>
              <w:t>1.30%</w:t>
            </w:r>
          </w:p>
        </w:tc>
        <w:tc>
          <w:tcPr>
            <w:vAlign w:val="center"/>
          </w:tcPr>
          <w:p>
            <w:pPr>
              <w:jc w:val="center"/>
            </w:pPr>
            <w:r>
              <w:rPr>
                <w:rFonts w:asciiTheme="minorEastAsia" w:eastAsiaTheme="minorEastAsia" w:hAnsiTheme="minorEastAsia"/>
                <w:color w:themeColor="text1" w:val="000000"/>
                <w:kern w:val="0"/>
              </w:rPr>
              <w:t>7.01%</w:t>
            </w:r>
          </w:p>
        </w:tc>
        <w:tc>
          <w:tcPr>
            <w:vAlign w:val="center"/>
          </w:tcPr>
          <w:p>
            <w:pPr>
              <w:jc w:val="center"/>
            </w:pPr>
            <w:r>
              <w:rPr>
                <w:rFonts w:asciiTheme="minorEastAsia" w:eastAsiaTheme="minorEastAsia" w:hAnsiTheme="minorEastAsia"/>
                <w:color w:themeColor="text1" w:val="000000"/>
                <w:kern w:val="0"/>
              </w:rPr>
              <w:t>0.61%</w:t>
            </w:r>
          </w:p>
        </w:tc>
        <w:tc>
          <w:tcPr>
            <w:vAlign w:val="center"/>
          </w:tcPr>
          <w:p>
            <w:pPr>
              <w:jc w:val="center"/>
            </w:pPr>
            <w:r>
              <w:rPr>
                <w:rFonts w:asciiTheme="minorEastAsia" w:eastAsiaTheme="minorEastAsia" w:hAnsiTheme="minorEastAsia"/>
                <w:color w:themeColor="text1" w:val="000000"/>
                <w:kern w:val="0"/>
              </w:rPr>
              <w:t>-4.39%</w:t>
            </w:r>
          </w:p>
        </w:tc>
        <w:tc>
          <w:tcPr>
            <w:vAlign w:val="center"/>
          </w:tcPr>
          <w:p>
            <w:pPr>
              <w:jc w:val="center"/>
            </w:pPr>
            <w:r>
              <w:rPr>
                <w:rFonts w:asciiTheme="minorEastAsia" w:eastAsiaTheme="minorEastAsia" w:hAnsiTheme="minorEastAsia"/>
                <w:color w:themeColor="text1" w:val="000000"/>
                <w:kern w:val="0"/>
              </w:rPr>
              <w:t>0.69%</w:t>
            </w:r>
          </w:p>
        </w:tc>
      </w:tr>
      <w:tr>
        <w:tc>
          <w:tcPr>
            <w:vAlign w:val="center"/>
          </w:tcPr>
          <w:p>
            <w:pPr>
              <w:jc w:val="left"/>
            </w:pPr>
            <w:r>
              <w:rPr>
                <w:rFonts w:asciiTheme="minorEastAsia" w:eastAsiaTheme="minorEastAsia" w:hAnsiTheme="minorEastAsia"/>
                <w:color w:themeColor="text1" w:val="000000"/>
                <w:kern w:val="0"/>
              </w:rPr>
              <w:t>过去六个月</w:t>
            </w:r>
          </w:p>
        </w:tc>
        <w:tc>
          <w:tcPr>
            <w:vAlign w:val="center"/>
          </w:tcPr>
          <w:p>
            <w:pPr>
              <w:jc w:val="center"/>
            </w:pPr>
            <w:r>
              <w:rPr>
                <w:rFonts w:asciiTheme="minorEastAsia" w:eastAsiaTheme="minorEastAsia" w:hAnsiTheme="minorEastAsia"/>
                <w:color w:themeColor="text1" w:val="000000"/>
                <w:kern w:val="0"/>
              </w:rPr>
              <w:t>-2.56%</w:t>
            </w:r>
          </w:p>
        </w:tc>
        <w:tc>
          <w:tcPr>
            <w:vAlign w:val="center"/>
          </w:tcPr>
          <w:p>
            <w:pPr>
              <w:jc w:val="center"/>
            </w:pPr>
            <w:r>
              <w:rPr>
                <w:rFonts w:asciiTheme="minorEastAsia" w:eastAsiaTheme="minorEastAsia" w:hAnsiTheme="minorEastAsia"/>
                <w:color w:themeColor="text1" w:val="000000"/>
                <w:kern w:val="0"/>
              </w:rPr>
              <w:t>1.75%</w:t>
            </w:r>
          </w:p>
        </w:tc>
        <w:tc>
          <w:tcPr>
            <w:vAlign w:val="center"/>
          </w:tcPr>
          <w:p>
            <w:pPr>
              <w:jc w:val="center"/>
            </w:pPr>
            <w:r>
              <w:rPr>
                <w:rFonts w:asciiTheme="minorEastAsia" w:eastAsiaTheme="minorEastAsia" w:hAnsiTheme="minorEastAsia"/>
                <w:color w:themeColor="text1" w:val="000000"/>
                <w:kern w:val="0"/>
              </w:rPr>
              <w:t>12.21%</w:t>
            </w:r>
          </w:p>
        </w:tc>
        <w:tc>
          <w:tcPr>
            <w:vAlign w:val="center"/>
          </w:tcPr>
          <w:p>
            <w:pPr>
              <w:jc w:val="center"/>
            </w:pPr>
            <w:r>
              <w:rPr>
                <w:rFonts w:asciiTheme="minorEastAsia" w:eastAsiaTheme="minorEastAsia" w:hAnsiTheme="minorEastAsia"/>
                <w:color w:themeColor="text1" w:val="000000"/>
                <w:kern w:val="0"/>
              </w:rPr>
              <w:t>0.79%</w:t>
            </w:r>
          </w:p>
        </w:tc>
        <w:tc>
          <w:tcPr>
            <w:vAlign w:val="center"/>
          </w:tcPr>
          <w:p>
            <w:pPr>
              <w:jc w:val="center"/>
            </w:pPr>
            <w:r>
              <w:rPr>
                <w:rFonts w:asciiTheme="minorEastAsia" w:eastAsiaTheme="minorEastAsia" w:hAnsiTheme="minorEastAsia"/>
                <w:color w:themeColor="text1" w:val="000000"/>
                <w:kern w:val="0"/>
              </w:rPr>
              <w:t>-14.77%</w:t>
            </w:r>
          </w:p>
        </w:tc>
        <w:tc>
          <w:tcPr>
            <w:vAlign w:val="center"/>
          </w:tcPr>
          <w:p>
            <w:pPr>
              <w:jc w:val="center"/>
            </w:pPr>
            <w:r>
              <w:rPr>
                <w:rFonts w:asciiTheme="minorEastAsia" w:eastAsiaTheme="minorEastAsia" w:hAnsiTheme="minorEastAsia"/>
                <w:color w:themeColor="text1" w:val="000000"/>
                <w:kern w:val="0"/>
              </w:rPr>
              <w:t>0.96%</w:t>
            </w:r>
          </w:p>
        </w:tc>
      </w:tr>
      <w:tr>
        <w:tc>
          <w:tcPr>
            <w:vAlign w:val="center"/>
          </w:tcPr>
          <w:p>
            <w:pPr>
              <w:jc w:val="left"/>
            </w:pPr>
            <w:r>
              <w:rPr>
                <w:rFonts w:asciiTheme="minorEastAsia" w:eastAsiaTheme="minorEastAsia" w:hAnsiTheme="minorEastAsia"/>
                <w:color w:themeColor="text1" w:val="000000"/>
                <w:kern w:val="0"/>
              </w:rPr>
              <w:t>过去一年</w:t>
            </w:r>
          </w:p>
        </w:tc>
        <w:tc>
          <w:tcPr>
            <w:vAlign w:val="center"/>
          </w:tcPr>
          <w:p>
            <w:pPr>
              <w:jc w:val="center"/>
            </w:pPr>
            <w:r>
              <w:rPr>
                <w:rFonts w:asciiTheme="minorEastAsia" w:eastAsiaTheme="minorEastAsia" w:hAnsiTheme="minorEastAsia"/>
                <w:color w:themeColor="text1" w:val="000000"/>
                <w:kern w:val="0"/>
              </w:rPr>
              <w:t>21.94%</w:t>
            </w:r>
          </w:p>
        </w:tc>
        <w:tc>
          <w:tcPr>
            <w:vAlign w:val="center"/>
          </w:tcPr>
          <w:p>
            <w:pPr>
              <w:jc w:val="center"/>
            </w:pPr>
            <w:r>
              <w:rPr>
                <w:rFonts w:asciiTheme="minorEastAsia" w:eastAsiaTheme="minorEastAsia" w:hAnsiTheme="minorEastAsia"/>
                <w:color w:themeColor="text1" w:val="000000"/>
                <w:kern w:val="0"/>
              </w:rPr>
              <w:t>1.98%</w:t>
            </w:r>
          </w:p>
        </w:tc>
        <w:tc>
          <w:tcPr>
            <w:vAlign w:val="center"/>
          </w:tcPr>
          <w:p>
            <w:pPr>
              <w:jc w:val="center"/>
            </w:pPr>
            <w:r>
              <w:rPr>
                <w:rFonts w:asciiTheme="minorEastAsia" w:eastAsiaTheme="minorEastAsia" w:hAnsiTheme="minorEastAsia"/>
                <w:color w:themeColor="text1" w:val="000000"/>
                <w:kern w:val="0"/>
              </w:rPr>
              <w:t>15.41%</w:t>
            </w:r>
          </w:p>
        </w:tc>
        <w:tc>
          <w:tcPr>
            <w:vAlign w:val="center"/>
          </w:tcPr>
          <w:p>
            <w:pPr>
              <w:jc w:val="center"/>
            </w:pPr>
            <w:r>
              <w:rPr>
                <w:rFonts w:asciiTheme="minorEastAsia" w:eastAsiaTheme="minorEastAsia" w:hAnsiTheme="minorEastAsia"/>
                <w:color w:themeColor="text1" w:val="000000"/>
                <w:kern w:val="0"/>
              </w:rPr>
              <w:t>0.85%</w:t>
            </w:r>
          </w:p>
        </w:tc>
        <w:tc>
          <w:tcPr>
            <w:vAlign w:val="center"/>
          </w:tcPr>
          <w:p>
            <w:pPr>
              <w:jc w:val="center"/>
            </w:pPr>
            <w:r>
              <w:rPr>
                <w:rFonts w:asciiTheme="minorEastAsia" w:eastAsiaTheme="minorEastAsia" w:hAnsiTheme="minorEastAsia"/>
                <w:color w:themeColor="text1" w:val="000000"/>
                <w:kern w:val="0"/>
              </w:rPr>
              <w:t>6.53%</w:t>
            </w:r>
          </w:p>
        </w:tc>
        <w:tc>
          <w:tcPr>
            <w:vAlign w:val="center"/>
          </w:tcPr>
          <w:p>
            <w:pPr>
              <w:jc w:val="center"/>
            </w:pPr>
            <w:r>
              <w:rPr>
                <w:rFonts w:asciiTheme="minorEastAsia" w:eastAsiaTheme="minorEastAsia" w:hAnsiTheme="minorEastAsia"/>
                <w:color w:themeColor="text1" w:val="000000"/>
                <w:kern w:val="0"/>
              </w:rPr>
              <w:t>1.13%</w:t>
            </w:r>
          </w:p>
        </w:tc>
      </w:tr>
      <w:tr>
        <w:tc>
          <w:tcPr>
            <w:vAlign w:val="center"/>
          </w:tcPr>
          <w:p>
            <w:pPr>
              <w:jc w:val="left"/>
            </w:pPr>
            <w:r>
              <w:rPr>
                <w:rFonts w:asciiTheme="minorEastAsia" w:eastAsiaTheme="minorEastAsia" w:hAnsiTheme="minorEastAsia"/>
                <w:color w:themeColor="text1" w:val="000000"/>
                <w:kern w:val="0"/>
              </w:rPr>
              <w:t>过去三年</w:t>
            </w:r>
          </w:p>
        </w:tc>
        <w:tc>
          <w:tcPr>
            <w:vAlign w:val="center"/>
          </w:tcPr>
          <w:p>
            <w:pPr>
              <w:jc w:val="center"/>
            </w:pPr>
            <w:r>
              <w:rPr>
                <w:rFonts w:asciiTheme="minorEastAsia" w:eastAsiaTheme="minorEastAsia" w:hAnsiTheme="minorEastAsia"/>
                <w:color w:themeColor="text1" w:val="000000"/>
                <w:kern w:val="0"/>
              </w:rPr>
              <w:t>18.17%</w:t>
            </w:r>
          </w:p>
        </w:tc>
        <w:tc>
          <w:tcPr>
            <w:vAlign w:val="center"/>
          </w:tcPr>
          <w:p>
            <w:pPr>
              <w:jc w:val="center"/>
            </w:pPr>
            <w:r>
              <w:rPr>
                <w:rFonts w:asciiTheme="minorEastAsia" w:eastAsiaTheme="minorEastAsia" w:hAnsiTheme="minorEastAsia"/>
                <w:color w:themeColor="text1" w:val="000000"/>
                <w:kern w:val="0"/>
              </w:rPr>
              <w:t>1.87%</w:t>
            </w:r>
          </w:p>
        </w:tc>
        <w:tc>
          <w:tcPr>
            <w:vAlign w:val="center"/>
          </w:tcPr>
          <w:p>
            <w:pPr>
              <w:jc w:val="center"/>
            </w:pPr>
            <w:r>
              <w:rPr>
                <w:rFonts w:asciiTheme="minorEastAsia" w:eastAsiaTheme="minorEastAsia" w:hAnsiTheme="minorEastAsia"/>
                <w:color w:themeColor="text1" w:val="000000"/>
                <w:kern w:val="0"/>
              </w:rPr>
              <w:t>16.14%</w:t>
            </w:r>
          </w:p>
        </w:tc>
        <w:tc>
          <w:tcPr>
            <w:vAlign w:val="center"/>
          </w:tcPr>
          <w:p>
            <w:pPr>
              <w:jc w:val="center"/>
            </w:pPr>
            <w:r>
              <w:rPr>
                <w:rFonts w:asciiTheme="minorEastAsia" w:eastAsiaTheme="minorEastAsia" w:hAnsiTheme="minorEastAsia"/>
                <w:color w:themeColor="text1" w:val="000000"/>
                <w:kern w:val="0"/>
              </w:rPr>
              <w:t>0.80%</w:t>
            </w:r>
          </w:p>
        </w:tc>
        <w:tc>
          <w:tcPr>
            <w:vAlign w:val="center"/>
          </w:tcPr>
          <w:p>
            <w:pPr>
              <w:jc w:val="center"/>
            </w:pPr>
            <w:r>
              <w:rPr>
                <w:rFonts w:asciiTheme="minorEastAsia" w:eastAsiaTheme="minorEastAsia" w:hAnsiTheme="minorEastAsia"/>
                <w:color w:themeColor="text1" w:val="000000"/>
                <w:kern w:val="0"/>
              </w:rPr>
              <w:t>2.03%</w:t>
            </w:r>
          </w:p>
        </w:tc>
        <w:tc>
          <w:tcPr>
            <w:vAlign w:val="center"/>
          </w:tcPr>
          <w:p>
            <w:pPr>
              <w:jc w:val="center"/>
            </w:pPr>
            <w:r>
              <w:rPr>
                <w:rFonts w:asciiTheme="minorEastAsia" w:eastAsiaTheme="minorEastAsia" w:hAnsiTheme="minorEastAsia"/>
                <w:color w:themeColor="text1" w:val="000000"/>
                <w:kern w:val="0"/>
              </w:rPr>
              <w:t>1.07%</w:t>
            </w:r>
          </w:p>
        </w:tc>
      </w:tr>
      <w:tr>
        <w:tc>
          <w:tcPr>
            <w:vAlign w:val="center"/>
          </w:tcPr>
          <w:p>
            <w:pPr>
              <w:jc w:val="left"/>
            </w:pPr>
            <w:r>
              <w:rPr>
                <w:rFonts w:asciiTheme="minorEastAsia" w:eastAsiaTheme="minorEastAsia" w:hAnsiTheme="minorEastAsia"/>
                <w:color w:themeColor="text1" w:val="000000"/>
                <w:kern w:val="0"/>
              </w:rPr>
              <w:t>过去五年</w:t>
            </w:r>
          </w:p>
        </w:tc>
        <w:tc>
          <w:tcPr>
            <w:vAlign w:val="center"/>
          </w:tcPr>
          <w:p>
            <w:pPr>
              <w:jc w:val="center"/>
            </w:pPr>
            <w:r>
              <w:rPr>
                <w:rFonts w:asciiTheme="minorEastAsia" w:eastAsiaTheme="minorEastAsia" w:hAnsiTheme="minorEastAsia"/>
                <w:color w:themeColor="text1" w:val="000000"/>
                <w:kern w:val="0"/>
              </w:rPr>
              <w:t>30.12%</w:t>
            </w:r>
          </w:p>
        </w:tc>
        <w:tc>
          <w:tcPr>
            <w:vAlign w:val="center"/>
          </w:tcPr>
          <w:p>
            <w:pPr>
              <w:jc w:val="center"/>
            </w:pPr>
            <w:r>
              <w:rPr>
                <w:rFonts w:asciiTheme="minorEastAsia" w:eastAsiaTheme="minorEastAsia" w:hAnsiTheme="minorEastAsia"/>
                <w:color w:themeColor="text1" w:val="000000"/>
                <w:kern w:val="0"/>
              </w:rPr>
              <w:t>1.64%</w:t>
            </w:r>
          </w:p>
        </w:tc>
        <w:tc>
          <w:tcPr>
            <w:vAlign w:val="center"/>
          </w:tcPr>
          <w:p>
            <w:pPr>
              <w:jc w:val="center"/>
            </w:pPr>
            <w:r>
              <w:rPr>
                <w:rFonts w:asciiTheme="minorEastAsia" w:eastAsiaTheme="minorEastAsia" w:hAnsiTheme="minorEastAsia"/>
                <w:color w:themeColor="text1" w:val="000000"/>
                <w:kern w:val="0"/>
              </w:rPr>
              <w:t>13.49%</w:t>
            </w:r>
          </w:p>
        </w:tc>
        <w:tc>
          <w:tcPr>
            <w:vAlign w:val="center"/>
          </w:tcPr>
          <w:p>
            <w:pPr>
              <w:jc w:val="center"/>
            </w:pPr>
            <w:r>
              <w:rPr>
                <w:rFonts w:asciiTheme="minorEastAsia" w:eastAsiaTheme="minorEastAsia" w:hAnsiTheme="minorEastAsia"/>
                <w:color w:themeColor="text1" w:val="000000"/>
                <w:kern w:val="0"/>
              </w:rPr>
              <w:t>0.76%</w:t>
            </w:r>
          </w:p>
        </w:tc>
        <w:tc>
          <w:tcPr>
            <w:vAlign w:val="center"/>
          </w:tcPr>
          <w:p>
            <w:pPr>
              <w:jc w:val="center"/>
            </w:pPr>
            <w:r>
              <w:rPr>
                <w:rFonts w:asciiTheme="minorEastAsia" w:eastAsiaTheme="minorEastAsia" w:hAnsiTheme="minorEastAsia"/>
                <w:color w:themeColor="text1" w:val="000000"/>
                <w:kern w:val="0"/>
              </w:rPr>
              <w:t>16.63%</w:t>
            </w:r>
          </w:p>
        </w:tc>
        <w:tc>
          <w:tcPr>
            <w:vAlign w:val="center"/>
          </w:tcPr>
          <w:p>
            <w:pPr>
              <w:jc w:val="center"/>
            </w:pPr>
            <w:r>
              <w:rPr>
                <w:rFonts w:asciiTheme="minorEastAsia" w:eastAsiaTheme="minorEastAsia" w:hAnsiTheme="minorEastAsia"/>
                <w:color w:themeColor="text1" w:val="000000"/>
                <w:kern w:val="0"/>
              </w:rPr>
              <w:t>0.88%</w:t>
            </w:r>
          </w:p>
        </w:tc>
      </w:tr>
      <w:tr>
        <w:tc>
          <w:tcPr>
            <w:vAlign w:val="center"/>
          </w:tcPr>
          <w:p>
            <w:pPr>
              <w:jc w:val="left"/>
            </w:pPr>
            <w:r>
              <w:rPr>
                <w:rFonts w:asciiTheme="minorEastAsia" w:eastAsiaTheme="minorEastAsia" w:hAnsiTheme="minorEastAsia"/>
                <w:color w:themeColor="text1" w:val="000000"/>
                <w:kern w:val="0"/>
              </w:rPr>
              <w:t>自基金合同生效起至今</w:t>
            </w:r>
          </w:p>
        </w:tc>
        <w:tc>
          <w:tcPr>
            <w:vAlign w:val="center"/>
          </w:tcPr>
          <w:p>
            <w:pPr>
              <w:jc w:val="center"/>
            </w:pPr>
            <w:r>
              <w:rPr>
                <w:rFonts w:asciiTheme="minorEastAsia" w:eastAsiaTheme="minorEastAsia" w:hAnsiTheme="minorEastAsia"/>
                <w:color w:themeColor="text1" w:val="000000"/>
                <w:kern w:val="0"/>
              </w:rPr>
              <w:t>29.99%</w:t>
            </w:r>
          </w:p>
        </w:tc>
        <w:tc>
          <w:tcPr>
            <w:vAlign w:val="center"/>
          </w:tcPr>
          <w:p>
            <w:pPr>
              <w:jc w:val="center"/>
            </w:pPr>
            <w:r>
              <w:rPr>
                <w:rFonts w:asciiTheme="minorEastAsia" w:eastAsiaTheme="minorEastAsia" w:hAnsiTheme="minorEastAsia"/>
                <w:color w:themeColor="text1" w:val="000000"/>
                <w:kern w:val="0"/>
              </w:rPr>
              <w:t>1.64%</w:t>
            </w:r>
          </w:p>
        </w:tc>
        <w:tc>
          <w:tcPr>
            <w:vAlign w:val="center"/>
          </w:tcPr>
          <w:p>
            <w:pPr>
              <w:jc w:val="center"/>
            </w:pPr>
            <w:r>
              <w:rPr>
                <w:rFonts w:asciiTheme="minorEastAsia" w:eastAsiaTheme="minorEastAsia" w:hAnsiTheme="minorEastAsia"/>
                <w:color w:themeColor="text1" w:val="000000"/>
                <w:kern w:val="0"/>
              </w:rPr>
              <w:t>11.05%</w:t>
            </w:r>
          </w:p>
        </w:tc>
        <w:tc>
          <w:tcPr>
            <w:vAlign w:val="center"/>
          </w:tcPr>
          <w:p>
            <w:pPr>
              <w:jc w:val="center"/>
            </w:pPr>
            <w:r>
              <w:rPr>
                <w:rFonts w:asciiTheme="minorEastAsia" w:eastAsiaTheme="minorEastAsia" w:hAnsiTheme="minorEastAsia"/>
                <w:color w:themeColor="text1" w:val="000000"/>
                <w:kern w:val="0"/>
              </w:rPr>
              <w:t>0.76%</w:t>
            </w:r>
          </w:p>
        </w:tc>
        <w:tc>
          <w:tcPr>
            <w:vAlign w:val="center"/>
          </w:tcPr>
          <w:p>
            <w:pPr>
              <w:jc w:val="center"/>
            </w:pPr>
            <w:r>
              <w:rPr>
                <w:rFonts w:asciiTheme="minorEastAsia" w:eastAsiaTheme="minorEastAsia" w:hAnsiTheme="minorEastAsia"/>
                <w:color w:themeColor="text1" w:val="000000"/>
                <w:kern w:val="0"/>
              </w:rPr>
              <w:t>18.94%</w:t>
            </w:r>
          </w:p>
        </w:tc>
        <w:tc>
          <w:tcPr>
            <w:vAlign w:val="center"/>
          </w:tcPr>
          <w:p>
            <w:pPr>
              <w:jc w:val="center"/>
            </w:pPr>
            <w:r>
              <w:rPr>
                <w:rFonts w:asciiTheme="minorEastAsia" w:eastAsiaTheme="minorEastAsia" w:hAnsiTheme="minorEastAsia"/>
                <w:color w:themeColor="text1" w:val="000000"/>
                <w:kern w:val="0"/>
              </w:rPr>
              <w:t>0.88%</w:t>
            </w:r>
          </w:p>
        </w:tc>
      </w:tr>
    </w:tbl>
    <w:p w14:paraId="11CC28FB"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04CD2E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3.2.2</w:t>
      </w:r>
      <w:r>
        <w:rPr>
          <w:rStyle w:val="afe"/>
          <w:rFonts w:hint="eastAsia"/>
          <w:color w:themeColor="text1" w:val="000000"/>
          <w:sz w:val="24"/>
          <w:szCs w:val="24"/>
          <w:shd w:color="auto" w:fill="FFFFFF" w:val="clear"/>
        </w:rPr>
        <w:t/>
      </w:r>
      <w:proofErr w:type="spellStart"/>
      <w:r>
        <w:rPr>
          <w:rStyle w:val="afe"/>
          <w:rFonts w:hint="eastAsia"/>
          <w:color w:themeColor="text1" w:val="000000"/>
          <w:sz w:val="24"/>
          <w:szCs w:val="24"/>
          <w:shd w:color="auto" w:fill="FFFFFF" w:val="clear"/>
        </w:rPr>
        <w:t/>
      </w:r>
      <w:proofErr w:type="spellEnd"/>
      <w:r>
        <w:rPr>
          <w:rStyle w:val="afe"/>
          <w:rFonts w:hint="eastAsia"/>
          <w:color w:themeColor="text1" w:val="000000"/>
          <w:sz w:val="24"/>
          <w:szCs w:val="24"/>
          <w:shd w:color="auto" w:fill="FFFFFF" w:val="clear"/>
        </w:rPr>
        <w:t>自基金合同生效以来</w:t>
      </w:r>
      <w:r>
        <w:rPr>
          <w:rFonts w:asciiTheme="minorEastAsia" w:eastAsiaTheme="minorEastAsia" w:hAnsiTheme="minorEastAsia" w:hint="eastAsia"/>
          <w:b/>
          <w:bCs/>
          <w:color w:themeColor="text1" w:val="000000"/>
          <w:kern w:val="0"/>
          <w:sz w:val="24"/>
          <w:szCs w:val="24"/>
        </w:rPr>
        <w:t>基金累计净值增长率变动及其与同期业绩比较基准收益率变动的比较</w:t>
      </w:r>
    </w:p>
    <w:p w14:paraId="7E434705" w14:textId="77777777" w:rsidR="00D06738" w:rsidRDefault="00454D20">
      <w:pPr>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上投摩根文体休闲灵活配置混合型证券投资基金</w:t>
      </w:r>
    </w:p>
    <w:p w14:paraId="760894FB" w14:textId="77777777" w:rsidR="00D06738" w:rsidRDefault="00454D20">
      <w:pPr>
        <w:pStyle w:val="ae"/>
        <w:snapToGrid w:val="0"/>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累计净值增长率与业绩比较基准收益率历史走势对比图</w:t>
      </w:r>
    </w:p>
    <w:p w14:paraId="42485F4A" w14:textId="77777777" w:rsidR="00D06738" w:rsidRDefault="00454D20">
      <w:pPr>
        <w:pStyle w:val="ae"/>
        <w:snapToGrid w:val="0"/>
        <w:spacing w:line="360" w:lineRule="auto"/>
        <w:ind w:firstLine="480"/>
        <w:jc w:val="center"/>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2015年12月23日</w:t>
      </w:r>
      <w:r>
        <w:rPr>
          <w:rFonts w:asciiTheme="minorEastAsia" w:eastAsiaTheme="minorEastAsia" w:hAnsiTheme="minorEastAsia" w:hint="eastAsia"/>
          <w:color w:themeColor="text1" w:val="000000"/>
        </w:rPr>
        <w:t>至</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2020年12月31日)</w:t>
      </w:r>
    </w:p>
    <w:p w14:paraId="6D7C6855" w14:textId="77777777" w:rsidR="00D06738" w:rsidRDefault="00454D20">
      <w:pPr>
        <w:pStyle w:val="ae"/>
        <w:snapToGrid w:val="0"/>
        <w:spacing w:before="120" w:line="360" w:lineRule="auto"/>
        <w:jc w:val="center"/>
        <w:rPr>
          <w:rFonts w:asciiTheme="minorEastAsia" w:eastAsiaTheme="minorEastAsia" w:hAnsiTheme="minorEastAsia"/>
          <w:color w:themeColor="text1" w:val="000000"/>
          <w:sz w:val="24"/>
          <w:szCs w:val="24"/>
        </w:rPr>
      </w:pPr>
      <w:r>
        <w:rPr>
          <w:rFonts w:asciiTheme="minorEastAsia" w:eastAsiaTheme="minorEastAsia" w:hAnsiTheme="minorEastAsia"/>
          <w:noProof/>
          <w:color w:themeColor="text1" w:val="000000"/>
          <w:sz w:val="24"/>
          <w:szCs w:val="24"/>
        </w:rPr>
        <w:drawing>
          <wp:inline distB="0" distL="0" distR="0" distT="0" wp14:anchorId="41E8FF0D" wp14:editId="228D69F2">
            <wp:extent cx="5276850" cy="3086100"/>
            <wp:effectExtent b="0" l="0" r="0" t="0"/>
            <wp:docPr descr="D:\浏览器下载\走势图柱状图\走势图1.jpg"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1" name="图片 1"/>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注：本基金合同生效日为2015年12月23日，图示时间段为2015年12月23日至2020年12月31日。</w:t>
      </w:r>
    </w:p>
    <w:p w14:paraId="58BB658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本基金建仓期自2015年12月23日至2016年6月22日。建仓期结束时资产配置比例符合本基金基金合同规定。</w:t>
      </w:r>
    </w:p>
    <w:p w14:paraId="28331EE6" w14:textId="77777777" w:rsidR="00D06738" w:rsidRDefault="00D06738">
      <w:pPr>
        <w:tabs>
          <w:tab w:pos="1800" w:val="left"/>
        </w:tabs>
        <w:spacing w:line="360" w:lineRule="auto"/>
        <w:rPr>
          <w:rFonts w:asciiTheme="minorEastAsia" w:eastAsiaTheme="minorEastAsia" w:hAnsiTheme="minorEastAsia"/>
          <w:color w:themeColor="text1" w:val="000000"/>
          <w:sz w:val="24"/>
          <w:szCs w:val="24"/>
        </w:rPr>
      </w:pPr>
    </w:p>
    <w:p w14:paraId="6B938858" w14:textId="77777777" w:rsidR="00D06738" w:rsidRDefault="00D06738">
      <w:pPr>
        <w:tabs>
          <w:tab w:pos="1800" w:val="left"/>
        </w:tabs>
        <w:spacing w:line="288" w:lineRule="auto"/>
        <w:rPr>
          <w:rFonts w:asciiTheme="minorEastAsia" w:eastAsiaTheme="minorEastAsia" w:hAnsiTheme="minorEastAsia"/>
          <w:color w:themeColor="text1" w:val="000000"/>
          <w:sz w:val="24"/>
          <w:szCs w:val="24"/>
        </w:rPr>
      </w:pPr>
    </w:p>
    <w:p w14:paraId="0B771B4D"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4  </w:t>
      </w:r>
      <w:r>
        <w:rPr>
          <w:rFonts w:asciiTheme="minorEastAsia" w:eastAsiaTheme="minorEastAsia" w:hAnsiTheme="minorEastAsia" w:hint="eastAsia"/>
          <w:color w:themeColor="text1" w:val="000000"/>
          <w:kern w:val="0"/>
          <w:sz w:val="24"/>
          <w:szCs w:val="24"/>
        </w:rPr>
        <w:t>管理人报告</w:t>
      </w:r>
    </w:p>
    <w:p w14:paraId="735F051A"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4.1 </w:t>
      </w:r>
      <w:r>
        <w:rPr>
          <w:rFonts w:asciiTheme="minorEastAsia" w:eastAsiaTheme="minorEastAsia" w:hAnsiTheme="minorEastAsia" w:hint="eastAsia"/>
          <w:b/>
          <w:bCs/>
          <w:color w:themeColor="text1" w:val="000000"/>
          <w:kern w:val="0"/>
          <w:sz w:val="24"/>
          <w:szCs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1"/>
        <w:gridCol w:w="850"/>
        <w:gridCol w:w="1560"/>
        <w:gridCol w:w="1559"/>
        <w:gridCol w:w="1417"/>
        <w:gridCol w:w="2694"/>
      </w:tblGrid>
      <w:tr w14:paraId="28062057" w14:textId="77777777" w:rsidR="00D06738">
        <w:trPr>
          <w:cantSplit/>
          <w:trHeight w:val="292"/>
        </w:trPr>
        <w:tc>
          <w:tcPr>
            <w:tcW w:type="dxa" w:w="851"/>
            <w:vMerge w:val="restart"/>
            <w:vAlign w:val="center"/>
          </w:tcPr>
          <w:p w14:paraId="1F53B620"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姓名</w:t>
            </w:r>
          </w:p>
        </w:tc>
        <w:tc>
          <w:tcPr>
            <w:tcW w:type="dxa" w:w="850"/>
            <w:vMerge w:val="restart"/>
            <w:vAlign w:val="center"/>
          </w:tcPr>
          <w:p w14:paraId="697EB0E1"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职务</w:t>
            </w:r>
          </w:p>
        </w:tc>
        <w:tc>
          <w:tcPr>
            <w:tcW w:type="dxa" w:w="3119"/>
            <w:gridSpan w:val="2"/>
            <w:vAlign w:val="center"/>
          </w:tcPr>
          <w:p w14:paraId="3C549DFA"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proofErr w:type="gramStart"/>
            <w:r>
              <w:rPr>
                <w:rFonts w:asciiTheme="minorEastAsia" w:cs="宋体" w:eastAsiaTheme="minorEastAsia" w:hAnsiTheme="minorEastAsia" w:hint="eastAsia"/>
                <w:color w:themeColor="text1" w:val="000000"/>
                <w:kern w:val="0"/>
              </w:rPr>
              <w:t>任本基金</w:t>
            </w:r>
            <w:proofErr w:type="gramEnd"/>
            <w:r>
              <w:rPr>
                <w:rFonts w:asciiTheme="minorEastAsia" w:cs="宋体" w:eastAsiaTheme="minorEastAsia" w:hAnsiTheme="minorEastAsia" w:hint="eastAsia"/>
                <w:color w:themeColor="text1" w:val="000000"/>
                <w:kern w:val="0"/>
              </w:rPr>
              <w:t>的基金经理期限</w:t>
            </w:r>
          </w:p>
        </w:tc>
        <w:tc>
          <w:tcPr>
            <w:tcW w:type="dxa" w:w="1417"/>
            <w:vMerge w:val="restart"/>
            <w:vAlign w:val="center"/>
          </w:tcPr>
          <w:p w14:paraId="153D4B6D"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证券从业年限</w:t>
            </w:r>
          </w:p>
        </w:tc>
        <w:tc>
          <w:tcPr>
            <w:tcW w:type="dxa" w:w="2694"/>
            <w:vMerge w:val="restart"/>
            <w:vAlign w:val="center"/>
          </w:tcPr>
          <w:p w14:paraId="6B8352A3"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说明</w:t>
            </w:r>
          </w:p>
        </w:tc>
      </w:tr>
      <w:tr w14:paraId="12458907" w14:textId="77777777" w:rsidR="00D06738">
        <w:trPr>
          <w:cantSplit/>
        </w:trPr>
        <w:tc>
          <w:tcPr>
            <w:tcW w:type="dxa" w:w="851"/>
            <w:vMerge/>
            <w:vAlign w:val="center"/>
          </w:tcPr>
          <w:p w14:paraId="0E137D74"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850"/>
            <w:vMerge/>
            <w:vAlign w:val="center"/>
          </w:tcPr>
          <w:p w14:paraId="1CC0886F"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1560"/>
            <w:vAlign w:val="center"/>
          </w:tcPr>
          <w:p w14:paraId="213ED421"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任职日期</w:t>
            </w:r>
          </w:p>
        </w:tc>
        <w:tc>
          <w:tcPr>
            <w:tcW w:type="dxa" w:w="1559"/>
            <w:vAlign w:val="center"/>
          </w:tcPr>
          <w:p w14:paraId="025CCC9C"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离任日期</w:t>
            </w:r>
          </w:p>
        </w:tc>
        <w:tc>
          <w:tcPr>
            <w:tcW w:type="dxa" w:w="1417"/>
            <w:vMerge/>
            <w:vAlign w:val="center"/>
          </w:tcPr>
          <w:p w14:paraId="3D222F40"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2694"/>
            <w:vMerge/>
            <w:vAlign w:val="center"/>
          </w:tcPr>
          <w:p w14:paraId="637B7507" w14:textId="77777777" w:rsidR="00D06738" w:rsidRDefault="00D06738">
            <w:pPr>
              <w:widowControl/>
              <w:spacing w:line="360" w:lineRule="auto"/>
              <w:jc w:val="left"/>
              <w:rPr>
                <w:rFonts w:asciiTheme="minorEastAsia" w:eastAsiaTheme="minorEastAsia" w:hAnsiTheme="minorEastAsia"/>
                <w:color w:themeColor="text1" w:val="000000"/>
                <w:kern w:val="0"/>
              </w:rPr>
            </w:pPr>
          </w:p>
        </w:tc>
      </w:tr>
      <w:tr>
        <w:tc>
          <w:tcPr>
            <w:vAlign w:val="center"/>
          </w:tcPr>
          <w:p>
            <w:pPr>
              <w:jc w:val="center"/>
            </w:pPr>
            <w:r>
              <w:rPr>
                <w:rFonts w:asciiTheme="minorEastAsia" w:eastAsiaTheme="minorEastAsia" w:hAnsiTheme="minorEastAsia"/>
                <w:color w:themeColor="text1" w:val="000000"/>
              </w:rPr>
              <w:t>周战海</w:t>
            </w:r>
          </w:p>
        </w:tc>
        <w:tc>
          <w:tcPr>
            <w:vAlign w:val="center"/>
          </w:tcPr>
          <w:p>
            <w:pPr>
              <w:jc w:val="center"/>
            </w:pPr>
            <w:r>
              <w:rPr>
                <w:rFonts w:asciiTheme="minorEastAsia" w:eastAsiaTheme="minorEastAsia" w:hAnsiTheme="minorEastAsia"/>
                <w:color w:themeColor="text1" w:val="000000"/>
              </w:rPr>
              <w:t>本基金基金经理</w:t>
            </w:r>
          </w:p>
        </w:tc>
        <w:tc>
          <w:tcPr>
            <w:vAlign w:val="center"/>
          </w:tcPr>
          <w:p>
            <w:pPr>
              <w:jc w:val="center"/>
            </w:pPr>
            <w:r>
              <w:rPr>
                <w:rFonts w:asciiTheme="minorEastAsia" w:eastAsiaTheme="minorEastAsia" w:hAnsiTheme="minorEastAsia"/>
                <w:color w:themeColor="text1" w:val="000000"/>
              </w:rPr>
              <w:t>2015-12-23</w:t>
            </w:r>
          </w:p>
        </w:tc>
        <w:tc>
          <w:tcPr>
            <w:vAlign w:val="center"/>
          </w:tcPr>
          <w:p>
            <w:pPr>
              <w:jc w:val="center"/>
            </w:pPr>
            <w:r>
              <w:rPr>
                <w:rFonts w:asciiTheme="minorEastAsia" w:eastAsiaTheme="minorEastAsia" w:hAnsiTheme="minorEastAsia"/>
                <w:color w:themeColor="text1" w:val="000000"/>
              </w:rPr>
              <w:t>-</w:t>
            </w:r>
          </w:p>
        </w:tc>
        <w:tc>
          <w:tcPr>
            <w:vAlign w:val="center"/>
          </w:tcPr>
          <w:p>
            <w:pPr>
              <w:jc w:val="center"/>
            </w:pPr>
            <w:r>
              <w:rPr>
                <w:rFonts w:asciiTheme="minorEastAsia" w:eastAsiaTheme="minorEastAsia" w:hAnsiTheme="minorEastAsia"/>
                <w:color w:themeColor="text1" w:val="000000"/>
              </w:rPr>
              <w:t>14年</w:t>
            </w:r>
          </w:p>
        </w:tc>
        <w:tc>
          <w:tcPr>
            <w:vAlign w:val="center"/>
          </w:tcPr>
          <w:p>
            <w:pPr>
              <w:jc w:val="both"/>
            </w:pPr>
            <w:r>
              <w:rPr>
                <w:rFonts w:asciiTheme="minorEastAsia" w:eastAsiaTheme="minorEastAsia" w:hAnsiTheme="minorEastAsia"/>
                <w:color w:themeColor="text1" w:val="000000"/>
              </w:rPr>
              <w:t>周战海先生自2007年1月至2009年3月在国金证券股份有限公司担任分析师，2009年4月至2010年7月在太平洋资产管理有限公司担任研究员，2010年8月起加入上投摩根基金管理有限公司，历任行业专家、基金经理助理、基金经理、高级基金经理。自2015年12月起担任上投摩根文体休闲灵活配置混合型证券投资基金基金经理，自2018年2月起同时担任上投摩根健康品质生活混合型证券投资基金基金经理。</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注：1.任职日期和离任日期均指根据公司决定确定的聘任日期和解聘日期。</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2.周战海先生为本基金首任基金经理，其任职日期指本基金基金合同生效之日。 </w:t>
      </w:r>
    </w:p>
    <w:p w14:paraId="617FFBB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3.证券从业的含义遵从行业协会《证券业从业人员资格管理办法》的相关规定。</w:t>
      </w:r>
    </w:p>
    <w:p w14:paraId="4FBEFD2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4.2 </w:t>
      </w:r>
      <w:r>
        <w:rPr>
          <w:rFonts w:asciiTheme="minorEastAsia" w:eastAsiaTheme="minorEastAsia" w:hAnsiTheme="minorEastAsia" w:hint="eastAsia"/>
          <w:b/>
          <w:bCs/>
          <w:color w:themeColor="text1" w:val="000000"/>
          <w:kern w:val="0"/>
          <w:sz w:val="24"/>
          <w:szCs w:val="24"/>
        </w:rPr>
        <w:t>管理人对报告期内本基金运作遵规守信情况的说明</w:t>
      </w:r>
    </w:p>
    <w:p w14:paraId="6D01CD8D"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在本报告期内，基金管理人不存在损害基金份额持有人利益的行为，勤勉尽责地为基金份额持有人谋求利益。基金管理人遵守了《证券投资基金法》及其他有关法律法规、《上投摩根文体休闲灵活配置混合型证券投资基金基金合同》的规定。基金经理对个股和投资组合的比例遵循了投资决策委员会的授权限制，基金投资比例符合基金合同和法律法规的要求。</w:t>
      </w:r>
    </w:p>
    <w:p w14:paraId="7937900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39C8B3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4.3 </w:t>
      </w:r>
      <w:r>
        <w:rPr>
          <w:rFonts w:asciiTheme="minorEastAsia" w:eastAsiaTheme="minorEastAsia" w:hAnsiTheme="minorEastAsia" w:hint="eastAsia"/>
          <w:b/>
          <w:bCs/>
          <w:color w:themeColor="text1" w:val="000000"/>
          <w:kern w:val="0"/>
          <w:sz w:val="24"/>
          <w:szCs w:val="24"/>
        </w:rPr>
        <w:t>公平交易专项说明</w:t>
      </w:r>
    </w:p>
    <w:p w14:paraId="0796C6B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4.3.1 </w:t>
      </w:r>
      <w:r>
        <w:rPr>
          <w:rFonts w:asciiTheme="minorEastAsia" w:eastAsiaTheme="minorEastAsia" w:hAnsiTheme="minorEastAsia" w:hint="eastAsia"/>
          <w:color w:themeColor="text1" w:val="000000"/>
          <w:sz w:val="24"/>
          <w:szCs w:val="24"/>
        </w:rPr>
        <w:t>公平交易制度的执行情况</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E52BB6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报告期内，通过对不同投资组合之间的收益率差异比较、对同向交易和反向交易的交易时机和交易价差监控分析，未发现整体公平交易执行出现异常的情况。</w:t>
      </w:r>
    </w:p>
    <w:p w14:paraId="06ECB64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4.3.2 </w:t>
      </w:r>
      <w:r>
        <w:rPr>
          <w:rFonts w:asciiTheme="minorEastAsia" w:eastAsiaTheme="minorEastAsia" w:hAnsiTheme="minorEastAsia" w:hint="eastAsia"/>
          <w:color w:themeColor="text1" w:val="000000"/>
          <w:sz w:val="24"/>
          <w:szCs w:val="24"/>
        </w:rPr>
        <w:t>异常交易行为的专项说明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报告期内，通过对交易价格、交易时间、交易方向等的分析，未发现有可能导致不公平交易和利益输送的异常交易行为。</w:t>
      </w:r>
    </w:p>
    <w:p w14:paraId="4219F41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所有投资组合参与的交易所公开竞价同日反向交易成交较少的单边交易量超过该证券当日成交量的5%的情形：无。</w:t>
      </w:r>
    </w:p>
    <w:p w14:paraId="78B72EC9"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68AD9F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4.4 </w:t>
      </w:r>
      <w:r>
        <w:rPr>
          <w:rFonts w:asciiTheme="minorEastAsia" w:eastAsiaTheme="minorEastAsia" w:hAnsiTheme="minorEastAsia" w:hint="eastAsia"/>
          <w:b/>
          <w:bCs/>
          <w:color w:themeColor="text1" w:val="000000"/>
          <w:kern w:val="0"/>
          <w:sz w:val="24"/>
          <w:szCs w:val="24"/>
        </w:rPr>
        <w:t>报告期内基金的投资策略和业绩表现说明</w:t>
      </w:r>
    </w:p>
    <w:p w14:paraId="37D7D562"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4.4.1</w:t>
      </w:r>
      <w:r>
        <w:rPr>
          <w:rFonts w:asciiTheme="minorEastAsia" w:cs="宋体" w:eastAsiaTheme="minorEastAsia" w:hAnsiTheme="minorEastAsia" w:hint="eastAsia"/>
          <w:color w:themeColor="text1" w:val="000000"/>
          <w:sz w:val="24"/>
          <w:szCs w:val="24"/>
        </w:rPr>
        <w:t>报告期内基金投资策略和运作分析</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2020年四季度国内逐渐从新冠疫情打击中恢复过来，经济持续复苏上行，宏观经济数据持续好转，风险偏好也进一步提升，市场整体表现不错，沪深300指数上涨13.60%，创业板指数上涨15.21%，市场整体交投活跃，两市成交额温和放大，呈现出结构性慢牛走势。前期强势板块比如新能源汽车、光伏、食品饮料等板块依然表现抢眼，商业贸易、传媒、房地产、通信、计算机等行业表现相对落后。本基金严格按照契约要求，始终坚持价值投资思路，仓位总体比较灵活，坚持一贯以来的投资风格，重点投资方向集中在通信、计算机、电子和传媒等行业的龙头公司，但受所投资行业景气度影响，报告期内基金净值未能有亮眼表现。 </w:t>
      </w:r>
    </w:p>
    <w:p w14:paraId="6E21DA7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展望2021年一季度, 我们保持谨慎乐观，宏观方面预计2021年全球新冠疫情有望得到逐步缓解，全球经济增长动能会进一步恢复，经济复苏应该是大概率事件。考虑到2020年一季度低基数原因，一季度全球经济增速预计会明显增长，上市公司业绩有望出现同比大幅增长。同时预计中国资本市场的外资流入也会持续。我们认为从资金面上看，宽信用预计还将延续，政策基调保持稳定。上市公司层面优质公司的成长性仍在持续。今年是“十四五”规划第一年，继续关注“十四五”规划出台在产业规划方面提振行业的中长期景气度带来的主题性投资机会。我们依然认为消费和科技领域增长空间巨大，坚定看好科技这条投资主线。行业上，5G相关的科技股、信息安全、消费电子和半导体等行业的景气度依然长期看好。我们将聚焦具有竞争优势的高科技成长公司，按照基金契约的要求重点投资相关行业中具有相对估值优势、增长前景确定的高成长龙头公司。我们将加强对上市公司基本面的研究力度，筛选出具有长期竞争力的优秀公司，力争为持有人创造较好回报。</w:t>
      </w:r>
    </w:p>
    <w:p w14:paraId="23C77E4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4.4.2</w:t>
      </w:r>
      <w:r>
        <w:rPr>
          <w:rFonts w:asciiTheme="minorEastAsia" w:cs="宋体" w:eastAsiaTheme="minorEastAsia" w:hAnsiTheme="minorEastAsia" w:hint="eastAsia"/>
          <w:color w:themeColor="text1" w:val="000000"/>
          <w:sz w:val="24"/>
          <w:szCs w:val="24"/>
        </w:rPr>
        <w:t>报告期内基金的业绩表现</w:t>
      </w:r>
    </w:p>
    <w:p w14:paraId="3743F1F6"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本报告期上投摩根文体休闲混合份额净值增长率为:2.62%，同期业绩比较基准收益率为:7.01%。</w:t>
      </w:r>
    </w:p>
    <w:p w14:paraId="44A63C7D"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7FECA9F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b/>
          <w:color w:themeColor="text1" w:val="000000"/>
          <w:kern w:val="0"/>
          <w:sz w:val="24"/>
          <w:szCs w:val="24"/>
        </w:rPr>
        <w:t/>
      </w:r>
      <w:proofErr w:type="spellStart"/>
      <w:r>
        <w:rPr>
          <w:rFonts w:asciiTheme="minorEastAsia" w:eastAsiaTheme="minorEastAsia" w:hAnsiTheme="minorEastAsia"/>
          <w:b/>
          <w:color w:themeColor="text1" w:val="000000"/>
          <w:kern w:val="0"/>
          <w:sz w:val="24"/>
          <w:szCs w:val="24"/>
        </w:rPr>
        <w:t/>
      </w:r>
      <w:proofErr w:type="spellEnd"/>
      <w:r>
        <w:rPr>
          <w:rFonts w:asciiTheme="minorEastAsia" w:eastAsiaTheme="minorEastAsia" w:hAnsiTheme="minorEastAsia"/>
          <w:b/>
          <w:color w:themeColor="text1" w:val="000000"/>
          <w:kern w:val="0"/>
          <w:sz w:val="24"/>
          <w:szCs w:val="24"/>
        </w:rPr>
        <w:t>4</w:t>
      </w:r>
      <w:r>
        <w:rPr>
          <w:rFonts w:asciiTheme="minorEastAsia" w:eastAsiaTheme="minorEastAsia" w:hAnsiTheme="minorEastAsia" w:hint="eastAsia"/>
          <w:b/>
          <w:color w:themeColor="text1" w:val="000000"/>
          <w:kern w:val="0"/>
          <w:sz w:val="24"/>
          <w:szCs w:val="24"/>
        </w:rPr>
        <w:t>.5报告期内基金持有人数或基金资产净值预警说明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报告期内，本基金存在连续二十个工作日基金资产净值低于五千万元的情况，出现该情况的时间范围为2020年10月15日至2020年11月30日。</w:t>
      </w:r>
    </w:p>
    <w:p w14:paraId="35411AB5"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eastAsiaTheme="minorEastAsia" w:hAnsiTheme="minorEastAsia"/>
          <w:color w:themeColor="text1" w:val="000000"/>
        </w:rPr>
        <w:t/>
      </w:r>
      <w:r>
        <w:rPr>
          <w:rFonts w:asciiTheme="minorEastAsia" w:eastAsiaTheme="minorEastAsia" w:hAnsiTheme="minorEastAsia"/>
          <w:color w:themeColor="text1" w:val="000000"/>
          <w:kern w:val="0"/>
        </w:rPr>
        <w:t>基金管理人拟调整本基金运作方式，加大营销力度，提升基金规模，方案已报监管机关。</w:t>
      </w:r>
    </w:p>
    <w:p w14:paraId="1DAA7197"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§5</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投资组合报告</w:t>
      </w:r>
    </w:p>
    <w:p w14:paraId="2ED46D8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5.1 </w:t>
      </w:r>
      <w:r>
        <w:rPr>
          <w:rFonts w:asciiTheme="minorEastAsia" w:eastAsiaTheme="minorEastAsia" w:hAnsiTheme="minorEastAsia" w:hint="eastAsia"/>
          <w:b/>
          <w:bCs/>
          <w:color w:themeColor="text1" w:val="000000"/>
          <w:kern w:val="0"/>
          <w:sz w:val="24"/>
          <w:szCs w:val="24"/>
        </w:rPr>
        <w:t>报告期末基金资产组合情况</w:t>
      </w:r>
    </w:p>
    <w:tbl>
      <w:tblPr>
        <w:tblStyle w:val="aff4"/>
        <w:tblW w:type="dxa" w:w="8897"/>
        <w:jc w:val="center"/>
        <w:tblLayout w:type="fixed"/>
        <w:tblLook w:firstColumn="1" w:firstRow="1" w:lastColumn="0" w:lastRow="0" w:noHBand="0" w:noVBand="1" w:val="04A0"/>
      </w:tblPr>
      <w:tblGrid>
        <w:gridCol w:w="720"/>
        <w:gridCol w:w="3357"/>
        <w:gridCol w:w="2977"/>
        <w:gridCol w:w="1843"/>
      </w:tblGrid>
      <w:tr w14:paraId="0557169A" w14:textId="77777777" w:rsidR="00D06738">
        <w:trPr>
          <w:jc w:val="center"/>
        </w:trPr>
        <w:tc>
          <w:tcPr>
            <w:tcW w:type="dxa" w:w="720"/>
            <w:vAlign w:val="center"/>
          </w:tcPr>
          <w:p w14:paraId="267B5679"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序号</w:t>
            </w:r>
          </w:p>
        </w:tc>
        <w:tc>
          <w:tcPr>
            <w:tcW w:type="dxa" w:w="3357"/>
            <w:vAlign w:val="center"/>
          </w:tcPr>
          <w:p w14:paraId="64B125CA"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项目</w:t>
            </w:r>
          </w:p>
        </w:tc>
        <w:tc>
          <w:tcPr>
            <w:tcW w:type="dxa" w:w="2977"/>
            <w:vAlign w:val="center"/>
          </w:tcPr>
          <w:p w14:paraId="7B039B4F"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金额(元)</w:t>
            </w:r>
          </w:p>
        </w:tc>
        <w:tc>
          <w:tcPr>
            <w:tcW w:type="dxa" w:w="1843"/>
            <w:vAlign w:val="center"/>
          </w:tcPr>
          <w:p w14:paraId="546A193D"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占基金总资产的比例(</w:t>
            </w:r>
            <w:r>
              <w:rPr>
                <w:rFonts w:asciiTheme="minorEastAsia" w:eastAsiaTheme="minorEastAsia" w:hAnsiTheme="minorEastAsia"/>
                <w:color w:themeColor="text1" w:val="000000"/>
                <w:kern w:val="0"/>
              </w:rPr>
              <w:t>%</w:t>
            </w:r>
            <w:r>
              <w:rPr>
                <w:rFonts w:asciiTheme="minorEastAsia" w:eastAsiaTheme="minorEastAsia" w:hAnsiTheme="minorEastAsia" w:hint="eastAsia"/>
                <w:color w:themeColor="text1" w:val="000000"/>
                <w:kern w:val="0"/>
              </w:rPr>
              <w:t>)</w:t>
            </w:r>
          </w:p>
        </w:tc>
      </w:tr>
      <w:tr w14:paraId="2C5F8168" w14:textId="77777777" w:rsidR="00D06738">
        <w:trPr>
          <w:jc w:val="center"/>
        </w:trPr>
        <w:tc>
          <w:tcPr>
            <w:tcW w:type="dxa" w:w="720"/>
            <w:vAlign w:val="center"/>
          </w:tcPr>
          <w:p w14:paraId="790AB27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3357"/>
            <w:vAlign w:val="center"/>
          </w:tcPr>
          <w:p w14:paraId="2A6D52A1"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权益投资</w:t>
            </w:r>
          </w:p>
        </w:tc>
        <w:tc>
          <w:tcPr>
            <w:tcW w:type="dxa" w:w="2977"/>
            <w:vAlign w:val="center"/>
          </w:tcPr>
          <w:p w14:paraId="3F07A469"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41,345,266.34</w:t>
            </w:r>
          </w:p>
        </w:tc>
        <w:tc>
          <w:tcPr>
            <w:tcW w:type="dxa" w:w="1843"/>
            <w:vAlign w:val="center"/>
          </w:tcPr>
          <w:p w14:paraId="233B134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76.96</w:t>
            </w:r>
          </w:p>
        </w:tc>
      </w:tr>
      <w:tr w14:paraId="2113730F" w14:textId="77777777" w:rsidR="00D06738">
        <w:trPr>
          <w:jc w:val="center"/>
        </w:trPr>
        <w:tc>
          <w:tcPr>
            <w:tcW w:type="dxa" w:w="720"/>
            <w:vAlign w:val="center"/>
          </w:tcPr>
          <w:p w14:paraId="66F43ADC"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2830015"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其中：股票</w:t>
            </w:r>
          </w:p>
        </w:tc>
        <w:tc>
          <w:tcPr>
            <w:tcW w:type="dxa" w:w="2977"/>
            <w:vAlign w:val="center"/>
          </w:tcPr>
          <w:p w14:paraId="36A710A1"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41,345,266.34</w:t>
            </w:r>
          </w:p>
        </w:tc>
        <w:tc>
          <w:tcPr>
            <w:tcW w:type="dxa" w:w="1843"/>
            <w:vAlign w:val="center"/>
          </w:tcPr>
          <w:p w14:paraId="4235B2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76.96</w:t>
            </w:r>
          </w:p>
        </w:tc>
      </w:tr>
      <w:tr w14:paraId="7AF15202" w14:textId="77777777" w:rsidR="00D06738">
        <w:trPr>
          <w:jc w:val="center"/>
        </w:trPr>
        <w:tc>
          <w:tcPr>
            <w:tcW w:type="dxa" w:w="720"/>
            <w:vAlign w:val="center"/>
          </w:tcPr>
          <w:p w14:paraId="0231B762"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3357"/>
            <w:vAlign w:val="center"/>
          </w:tcPr>
          <w:p w14:paraId="4854CF2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固定收益投资</w:t>
            </w:r>
          </w:p>
        </w:tc>
        <w:tc>
          <w:tcPr>
            <w:tcW w:type="dxa" w:w="2977"/>
            <w:vAlign w:val="center"/>
          </w:tcPr>
          <w:p w14:paraId="789C70A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30,000.00</w:t>
            </w:r>
          </w:p>
        </w:tc>
        <w:tc>
          <w:tcPr>
            <w:tcW w:type="dxa" w:w="1843"/>
            <w:vAlign w:val="center"/>
          </w:tcPr>
          <w:p w14:paraId="249B755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0.06</w:t>
            </w:r>
          </w:p>
        </w:tc>
      </w:tr>
      <w:tr w14:paraId="19D15F90" w14:textId="77777777" w:rsidR="00D06738">
        <w:trPr>
          <w:jc w:val="center"/>
        </w:trPr>
        <w:tc>
          <w:tcPr>
            <w:tcW w:type="dxa" w:w="720"/>
            <w:vAlign w:val="center"/>
          </w:tcPr>
          <w:p w14:paraId="16E41AE7"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E8D347"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其中：债券</w:t>
            </w:r>
          </w:p>
        </w:tc>
        <w:tc>
          <w:tcPr>
            <w:tcW w:type="dxa" w:w="2977"/>
            <w:vAlign w:val="center"/>
          </w:tcPr>
          <w:p w14:paraId="49FE2FF2"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30,000.00</w:t>
            </w:r>
          </w:p>
        </w:tc>
        <w:tc>
          <w:tcPr>
            <w:tcW w:type="dxa" w:w="1843"/>
            <w:vAlign w:val="center"/>
          </w:tcPr>
          <w:p w14:paraId="378238FF"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0.06</w:t>
            </w:r>
          </w:p>
        </w:tc>
      </w:tr>
      <w:tr w14:paraId="62562C15" w14:textId="77777777" w:rsidR="00D06738">
        <w:trPr>
          <w:jc w:val="center"/>
        </w:trPr>
        <w:tc>
          <w:tcPr>
            <w:tcW w:type="dxa" w:w="720"/>
            <w:vAlign w:val="center"/>
          </w:tcPr>
          <w:p w14:paraId="104BD163"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AC6DAD" w14:textId="77777777" w:rsidR="00D06738" w:rsidRDefault="00454D20">
            <w:pPr>
              <w:autoSpaceDE w:val="0"/>
              <w:autoSpaceDN w:val="0"/>
              <w:adjustRightInd w:val="0"/>
              <w:spacing w:before="29" w:line="360" w:lineRule="auto"/>
              <w:ind w:firstLine="525" w:firstLineChars="250"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资产支持证券</w:t>
            </w:r>
          </w:p>
        </w:tc>
        <w:tc>
          <w:tcPr>
            <w:tcW w:type="dxa" w:w="2977"/>
            <w:vAlign w:val="center"/>
          </w:tcPr>
          <w:p w14:paraId="3CF84DD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CCF9364"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r>
              <w:rPr>
                <w:rFonts w:asciiTheme="minorEastAsia" w:cs="宋体" w:eastAsiaTheme="minorEastAsia" w:hAnsiTheme="minorEastAsia" w:hint="eastAsia"/>
                <w:color w:themeColor="text1" w:val="000000"/>
                <w:kern w:val="0"/>
              </w:rPr>
              <w:t>-</w:t>
            </w:r>
          </w:p>
        </w:tc>
      </w:tr>
      <w:tr w14:paraId="3F449325" w14:textId="77777777" w:rsidR="00D06738">
        <w:trPr>
          <w:jc w:val="center"/>
        </w:trPr>
        <w:tc>
          <w:tcPr>
            <w:tcW w:type="dxa" w:w="720"/>
          </w:tcPr>
          <w:p w14:paraId="1EE609C8"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3</w:t>
            </w:r>
          </w:p>
        </w:tc>
        <w:tc>
          <w:tcPr>
            <w:tcW w:type="dxa" w:w="3357"/>
          </w:tcPr>
          <w:p w14:paraId="7A120390" w14:textId="77777777" w:rsidR="00D06738" w:rsidRDefault="00454D20">
            <w:pPr>
              <w:spacing w:before="29" w:line="360" w:lineRule="auto"/>
              <w:ind w:left="105" w:leftChars="50"/>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贵金属投资</w:t>
            </w:r>
          </w:p>
        </w:tc>
        <w:tc>
          <w:tcPr>
            <w:tcW w:type="dxa" w:w="2977"/>
            <w:vAlign w:val="center"/>
          </w:tcPr>
          <w:p w14:paraId="201F973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76F8BBA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r>
      <w:tr w14:paraId="40209BD0" w14:textId="77777777" w:rsidR="00D06738">
        <w:trPr>
          <w:jc w:val="center"/>
        </w:trPr>
        <w:tc>
          <w:tcPr>
            <w:tcW w:type="dxa" w:w="720"/>
            <w:vAlign w:val="center"/>
          </w:tcPr>
          <w:p w14:paraId="44CDCE61"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4</w:t>
            </w:r>
          </w:p>
        </w:tc>
        <w:tc>
          <w:tcPr>
            <w:tcW w:type="dxa" w:w="3357"/>
            <w:vAlign w:val="center"/>
          </w:tcPr>
          <w:p w14:paraId="26733435"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金融衍生</w:t>
            </w:r>
            <w:proofErr w:type="gramStart"/>
            <w:r>
              <w:rPr>
                <w:rFonts w:asciiTheme="minorEastAsia" w:cs="宋体" w:eastAsiaTheme="minorEastAsia" w:hAnsiTheme="minorEastAsia" w:hint="eastAsia"/>
                <w:color w:themeColor="text1" w:val="000000"/>
                <w:kern w:val="0"/>
              </w:rPr>
              <w:t>品投资</w:t>
            </w:r>
            <w:proofErr w:type="gramEnd"/>
          </w:p>
        </w:tc>
        <w:tc>
          <w:tcPr>
            <w:tcW w:type="dxa" w:w="2977"/>
            <w:vAlign w:val="center"/>
          </w:tcPr>
          <w:p w14:paraId="2CA6AE5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17B3EB0"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69083124" w14:textId="77777777" w:rsidR="00D06738">
        <w:trPr>
          <w:jc w:val="center"/>
        </w:trPr>
        <w:tc>
          <w:tcPr>
            <w:tcW w:type="dxa" w:w="720"/>
            <w:vAlign w:val="center"/>
          </w:tcPr>
          <w:p w14:paraId="3E06450B"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5</w:t>
            </w:r>
          </w:p>
        </w:tc>
        <w:tc>
          <w:tcPr>
            <w:tcW w:type="dxa" w:w="3357"/>
            <w:vAlign w:val="center"/>
          </w:tcPr>
          <w:p w14:paraId="11937F9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买入返售金融资产</w:t>
            </w:r>
          </w:p>
        </w:tc>
        <w:tc>
          <w:tcPr>
            <w:tcW w:type="dxa" w:w="2977"/>
            <w:vAlign w:val="center"/>
          </w:tcPr>
          <w:p w14:paraId="6293112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3F06200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5EFCF5A8" w14:textId="77777777" w:rsidR="00D06738">
        <w:trPr>
          <w:jc w:val="center"/>
        </w:trPr>
        <w:tc>
          <w:tcPr>
            <w:tcW w:type="dxa" w:w="720"/>
            <w:vAlign w:val="center"/>
          </w:tcPr>
          <w:p w14:paraId="7A522889"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3CEA16A4"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其中：买断式回购的买入返售金融资产</w:t>
            </w:r>
          </w:p>
        </w:tc>
        <w:tc>
          <w:tcPr>
            <w:tcW w:type="dxa" w:w="2977"/>
            <w:vAlign w:val="center"/>
          </w:tcPr>
          <w:p w14:paraId="7B73699E"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c>
          <w:tcPr>
            <w:tcW w:type="dxa" w:w="1843"/>
            <w:vAlign w:val="center"/>
          </w:tcPr>
          <w:p w14:paraId="15A7BC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786251D7" w14:textId="77777777" w:rsidR="00D06738">
        <w:trPr>
          <w:jc w:val="center"/>
        </w:trPr>
        <w:tc>
          <w:tcPr>
            <w:tcW w:type="dxa" w:w="720"/>
            <w:vAlign w:val="center"/>
          </w:tcPr>
          <w:p w14:paraId="2969279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6</w:t>
            </w:r>
          </w:p>
        </w:tc>
        <w:tc>
          <w:tcPr>
            <w:tcW w:type="dxa" w:w="3357"/>
            <w:vAlign w:val="center"/>
          </w:tcPr>
          <w:p w14:paraId="421FB0F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银行存款和结算备付金合计</w:t>
            </w:r>
          </w:p>
        </w:tc>
        <w:tc>
          <w:tcPr>
            <w:tcW w:type="dxa" w:w="2977"/>
            <w:vAlign w:val="center"/>
          </w:tcPr>
          <w:p w14:paraId="54D555B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12,318,773.61</w:t>
            </w:r>
          </w:p>
        </w:tc>
        <w:tc>
          <w:tcPr>
            <w:tcW w:type="dxa" w:w="1843"/>
            <w:vAlign w:val="center"/>
          </w:tcPr>
          <w:p w14:paraId="174620B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22.93</w:t>
            </w:r>
          </w:p>
        </w:tc>
      </w:tr>
      <w:tr w14:paraId="42ECF5E1" w14:textId="77777777" w:rsidR="00D06738">
        <w:trPr>
          <w:jc w:val="center"/>
        </w:trPr>
        <w:tc>
          <w:tcPr>
            <w:tcW w:type="dxa" w:w="720"/>
            <w:vAlign w:val="center"/>
          </w:tcPr>
          <w:p w14:paraId="59AA2BC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7</w:t>
            </w:r>
          </w:p>
        </w:tc>
        <w:tc>
          <w:tcPr>
            <w:tcW w:type="dxa" w:w="3357"/>
            <w:vAlign w:val="center"/>
          </w:tcPr>
          <w:p w14:paraId="705D6B78"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其他各项资产</w:t>
            </w:r>
          </w:p>
        </w:tc>
        <w:tc>
          <w:tcPr>
            <w:tcW w:type="dxa" w:w="2977"/>
            <w:vAlign w:val="center"/>
          </w:tcPr>
          <w:p w14:paraId="4AF0CB10"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30,930.04</w:t>
            </w:r>
          </w:p>
        </w:tc>
        <w:tc>
          <w:tcPr>
            <w:tcW w:type="dxa" w:w="1843"/>
            <w:vAlign w:val="center"/>
          </w:tcPr>
          <w:p w14:paraId="12AAF10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0.06</w:t>
            </w:r>
          </w:p>
        </w:tc>
      </w:tr>
      <w:tr w14:paraId="4D6FFA71" w14:textId="77777777" w:rsidR="00D06738">
        <w:trPr>
          <w:jc w:val="center"/>
        </w:trPr>
        <w:tc>
          <w:tcPr>
            <w:tcW w:type="dxa" w:w="720"/>
            <w:vAlign w:val="center"/>
          </w:tcPr>
          <w:p w14:paraId="17A180E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8</w:t>
            </w:r>
          </w:p>
        </w:tc>
        <w:tc>
          <w:tcPr>
            <w:tcW w:type="dxa" w:w="3357"/>
            <w:vAlign w:val="center"/>
          </w:tcPr>
          <w:p w14:paraId="29DAA7F6"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2977"/>
            <w:vAlign w:val="center"/>
          </w:tcPr>
          <w:p w14:paraId="446A48E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53,724,969.99</w:t>
            </w:r>
          </w:p>
        </w:tc>
        <w:tc>
          <w:tcPr>
            <w:tcW w:type="dxa" w:w="1843"/>
            <w:vAlign w:val="center"/>
          </w:tcPr>
          <w:p w14:paraId="3C7AC8A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100.00</w:t>
            </w:r>
          </w:p>
        </w:tc>
      </w:tr>
    </w:tbl>
    <w:p w14:paraId="6175743F"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sz w:val="24"/>
          <w:szCs w:val="24"/>
        </w:rPr>
      </w:pPr>
    </w:p>
    <w:p w14:paraId="71F975B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5.2 </w:t>
      </w:r>
      <w:r>
        <w:rPr>
          <w:rFonts w:asciiTheme="minorEastAsia" w:eastAsiaTheme="minorEastAsia" w:hAnsiTheme="minorEastAsia" w:hint="eastAsia"/>
          <w:b/>
          <w:bCs/>
          <w:color w:themeColor="text1" w:val="000000"/>
          <w:kern w:val="0"/>
          <w:sz w:val="24"/>
          <w:szCs w:val="24"/>
        </w:rPr>
        <w:t>报告期末按行业分类的股票投资组合</w:t>
      </w:r>
    </w:p>
    <w:p w14:paraId="0A24FB38" w14:textId="77777777" w:rsidR="00D06738" w:rsidRDefault="00454D20">
      <w:pPr>
        <w:rPr>
          <w:b/>
        </w:rPr>
      </w:pPr>
      <w:r>
        <w:rPr>
          <w:b/>
          <w:color w:themeColor="text1" w:val="000000"/>
        </w:rPr>
        <w:t/>
      </w:r>
      <w:proofErr w:type="spellStart"/>
      <w:r>
        <w:rPr>
          <w:b/>
          <w:color w:themeColor="text1" w:val="000000"/>
        </w:rPr>
        <w:t/>
      </w:r>
      <w:proofErr w:type="spellEnd"/>
      <w:r>
        <w:rPr>
          <w:b/>
          <w:color w:themeColor="text1" w:val="000000"/>
        </w:rPr>
        <w:t/>
      </w:r>
      <w:r>
        <w:rPr>
          <w:rFonts w:eastAsiaTheme="minorEastAsia" w:hint="eastAsia"/>
          <w:b/>
          <w:color w:themeColor="text1" w:val="000000"/>
          <w:kern w:val="0"/>
        </w:rPr>
        <w:t>5.2.1</w:t>
      </w:r>
      <w:r>
        <w:rPr>
          <w:rFonts w:eastAsiaTheme="minorEastAsia" w:hint="eastAsia"/>
          <w:b/>
          <w:color w:themeColor="text1" w:val="000000"/>
          <w:kern w:val="0"/>
        </w:rPr>
        <w:t>报告期末按行业分类的境内股票投资组合</w:t>
      </w:r>
    </w:p>
    <w:tbl>
      <w:tblPr>
        <w:tblW w:type="dxa" w:w="873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1" w:firstRow="1" w:lastColumn="0" w:lastRow="0" w:noHBand="0" w:noVBand="1" w:val="04A0"/>
      </w:tblPr>
      <w:tblGrid>
        <w:gridCol w:w="540"/>
        <w:gridCol w:w="3691"/>
        <w:gridCol w:w="2852"/>
        <w:gridCol w:w="1648"/>
      </w:tblGrid>
      <w:tr w14:paraId="72F29E24" w14:textId="77777777" w:rsidR="00D06738">
        <w:trPr>
          <w:trHeight w:val="390"/>
        </w:trPr>
        <w:tc>
          <w:tcPr>
            <w:tcW w:type="dxa" w:w="540"/>
            <w:tcBorders>
              <w:top w:color="000000" w:space="0" w:sz="4" w:val="single"/>
              <w:left w:color="000000" w:space="0" w:sz="4" w:val="single"/>
              <w:bottom w:color="000000" w:space="0" w:sz="4" w:val="single"/>
              <w:right w:color="000000" w:space="0" w:sz="4" w:val="single"/>
            </w:tcBorders>
            <w:vAlign w:val="center"/>
          </w:tcPr>
          <w:p w14:paraId="47C646D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代码</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C97B7F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行业类别</w:t>
            </w:r>
          </w:p>
        </w:tc>
        <w:tc>
          <w:tcPr>
            <w:tcW w:type="dxa" w:w="2852"/>
            <w:tcBorders>
              <w:top w:color="000000" w:space="0" w:sz="4" w:val="single"/>
              <w:left w:color="auto" w:space="0" w:sz="4" w:val="single"/>
              <w:bottom w:color="000000" w:space="0" w:sz="4" w:val="single"/>
              <w:right w:color="000000" w:space="0" w:sz="4" w:val="single"/>
            </w:tcBorders>
            <w:vAlign w:val="center"/>
          </w:tcPr>
          <w:p w14:paraId="037931C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公允价值（元）</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B76ADB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占基金资产净值比例（％）</w:t>
            </w:r>
          </w:p>
        </w:tc>
      </w:tr>
      <w:tr w14:paraId="651FF96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0A9BD6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A</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AD492E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农、林、牧、渔业</w:t>
            </w:r>
          </w:p>
        </w:tc>
        <w:tc>
          <w:tcPr>
            <w:tcW w:type="dxa" w:w="2852"/>
            <w:tcBorders>
              <w:top w:color="000000" w:space="0" w:sz="4" w:val="single"/>
              <w:left w:color="auto" w:space="0" w:sz="4" w:val="single"/>
              <w:bottom w:color="000000" w:space="0" w:sz="4" w:val="single"/>
              <w:right w:color="000000" w:space="0" w:sz="4" w:val="single"/>
            </w:tcBorders>
            <w:vAlign w:val="center"/>
          </w:tcPr>
          <w:p w14:paraId="78148A5F"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70D526D"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2B8EF369"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6B10F5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B</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1A715D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采矿业</w:t>
            </w:r>
          </w:p>
        </w:tc>
        <w:tc>
          <w:tcPr>
            <w:tcW w:type="dxa" w:w="2852"/>
            <w:tcBorders>
              <w:top w:color="000000" w:space="0" w:sz="4" w:val="single"/>
              <w:left w:color="auto" w:space="0" w:sz="4" w:val="single"/>
              <w:bottom w:color="000000" w:space="0" w:sz="4" w:val="single"/>
              <w:right w:color="000000" w:space="0" w:sz="4" w:val="single"/>
            </w:tcBorders>
            <w:vAlign w:val="center"/>
          </w:tcPr>
          <w:p w14:paraId="21FC9AC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p w14:paraId="72CB0322" w14:textId="77777777" w:rsidR="00D06738" w:rsidRDefault="00D06738">
            <w:pPr>
              <w:jc w:val="right"/>
              <w:rPr>
                <w:rFonts w:asciiTheme="minorEastAsia" w:cs="宋体" w:eastAsiaTheme="minorEastAsia" w:hAnsiTheme="minorEastAsia"/>
                <w:color w:themeColor="text1" w:val="000000"/>
                <w:kern w:val="0"/>
              </w:rPr>
            </w:pP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14421B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p w14:paraId="5DCD6455" w14:textId="77777777" w:rsidR="00D06738" w:rsidRDefault="00D06738">
            <w:pPr>
              <w:jc w:val="right"/>
              <w:rPr>
                <w:rFonts w:asciiTheme="minorEastAsia" w:cs="宋体" w:eastAsiaTheme="minorEastAsia" w:hAnsiTheme="minorEastAsia"/>
                <w:color w:themeColor="text1" w:val="000000"/>
                <w:kern w:val="0"/>
              </w:rPr>
            </w:pPr>
          </w:p>
        </w:tc>
      </w:tr>
      <w:tr w14:paraId="3470B292"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61CD784"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C</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B84AAA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制造业</w:t>
            </w:r>
          </w:p>
        </w:tc>
        <w:tc>
          <w:tcPr>
            <w:tcW w:type="dxa" w:w="2852"/>
            <w:tcBorders>
              <w:top w:color="000000" w:space="0" w:sz="4" w:val="single"/>
              <w:left w:color="auto" w:space="0" w:sz="4" w:val="single"/>
              <w:bottom w:color="000000" w:space="0" w:sz="4" w:val="single"/>
              <w:right w:color="000000" w:space="0" w:sz="4" w:val="single"/>
            </w:tcBorders>
            <w:vAlign w:val="center"/>
          </w:tcPr>
          <w:p w14:paraId="6B93E8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26,782,520.99</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4538DB9"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50.72</w:t>
            </w:r>
          </w:p>
        </w:tc>
      </w:tr>
      <w:tr w14:paraId="53F8CFE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7F6600"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D</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C78FB78"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vAlign w:val="center"/>
          </w:tcPr>
          <w:p w14:paraId="585412E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C65AF0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1B8429A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B4D80E8"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E</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756F48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建筑业</w:t>
            </w:r>
          </w:p>
        </w:tc>
        <w:tc>
          <w:tcPr>
            <w:tcW w:type="dxa" w:w="2852"/>
            <w:tcBorders>
              <w:top w:color="000000" w:space="0" w:sz="4" w:val="single"/>
              <w:left w:color="auto" w:space="0" w:sz="4" w:val="single"/>
              <w:bottom w:color="000000" w:space="0" w:sz="4" w:val="single"/>
              <w:right w:color="000000" w:space="0" w:sz="4" w:val="single"/>
            </w:tcBorders>
            <w:vAlign w:val="center"/>
          </w:tcPr>
          <w:p w14:paraId="1DF004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BF184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25A56BDE"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83F753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F</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5808EA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批发和零售业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FEC938C"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E552C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68AD7C4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627F9B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G</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A4BC8C"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交通运输、仓储和邮政业</w:t>
            </w:r>
          </w:p>
        </w:tc>
        <w:tc>
          <w:tcPr>
            <w:tcW w:type="dxa" w:w="2852"/>
            <w:tcBorders>
              <w:top w:color="000000" w:space="0" w:sz="4" w:val="single"/>
              <w:left w:color="auto" w:space="0" w:sz="4" w:val="single"/>
              <w:bottom w:color="000000" w:space="0" w:sz="4" w:val="single"/>
              <w:right w:color="000000" w:space="0" w:sz="4" w:val="single"/>
            </w:tcBorders>
            <w:vAlign w:val="center"/>
          </w:tcPr>
          <w:p w14:paraId="08E22E7D"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1E2CE7"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545862F1"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865C6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H</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793D1BB"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住宿和餐饮业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CE1C58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C62C62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4EB68E1B"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D887CC"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I</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DE8B8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329C966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9,407,725.19</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C42189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17.82</w:t>
            </w:r>
          </w:p>
        </w:tc>
      </w:tr>
      <w:tr w14:paraId="379675A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768A8F"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J</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AAE673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金融业</w:t>
            </w:r>
          </w:p>
        </w:tc>
        <w:tc>
          <w:tcPr>
            <w:tcW w:type="dxa" w:w="2852"/>
            <w:tcBorders>
              <w:top w:color="000000" w:space="0" w:sz="4" w:val="single"/>
              <w:left w:color="auto" w:space="0" w:sz="4" w:val="single"/>
              <w:bottom w:color="000000" w:space="0" w:sz="4" w:val="single"/>
              <w:right w:color="000000" w:space="0" w:sz="4" w:val="single"/>
            </w:tcBorders>
            <w:vAlign w:val="center"/>
          </w:tcPr>
          <w:p w14:paraId="0FBB807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73BAE3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3FE1377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22C581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K</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3B5A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房地产业</w:t>
            </w:r>
          </w:p>
        </w:tc>
        <w:tc>
          <w:tcPr>
            <w:tcW w:type="dxa" w:w="2852"/>
            <w:tcBorders>
              <w:top w:color="000000" w:space="0" w:sz="4" w:val="single"/>
              <w:left w:color="auto" w:space="0" w:sz="4" w:val="single"/>
              <w:bottom w:color="000000" w:space="0" w:sz="4" w:val="single"/>
              <w:right w:color="000000" w:space="0" w:sz="4" w:val="single"/>
            </w:tcBorders>
            <w:vAlign w:val="center"/>
          </w:tcPr>
          <w:p w14:paraId="71FFF7B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1,117,695.16</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F399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2.12</w:t>
            </w:r>
          </w:p>
        </w:tc>
      </w:tr>
      <w:tr w14:paraId="6663031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E1A83E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L</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426E43"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租赁和商务服务业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018CCF2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3,841,320.00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F45B6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7.27</w:t>
            </w:r>
          </w:p>
        </w:tc>
      </w:tr>
      <w:tr w14:paraId="07EC249A"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F796C3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M</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03881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科学研究和技术服务业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2C13C7F"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196,005.00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A3AAC2E"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0.37</w:t>
            </w:r>
          </w:p>
        </w:tc>
      </w:tr>
      <w:tr w14:paraId="69D921F3"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944CACA"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N</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F246C9E"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vAlign w:val="center"/>
          </w:tcPr>
          <w:p w14:paraId="2367BCF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C857B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090E46D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9F862C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O</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8F1938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6B48C5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7789C3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proofErr w:type="spellEnd"/>
            <w:r>
              <w:rPr>
                <w:rFonts w:asciiTheme="minorEastAsia" w:cs="宋体" w:eastAsiaTheme="minorEastAsia" w:hAnsiTheme="minorEastAsia"/>
                <w:color w:themeColor="text1" w:val="000000"/>
                <w:kern w:val="0"/>
              </w:rPr>
              <w:t>-</w:t>
            </w:r>
          </w:p>
        </w:tc>
      </w:tr>
      <w:tr w14:paraId="684B91C8"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19EC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P</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5F4C98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教育</w:t>
            </w:r>
          </w:p>
        </w:tc>
        <w:tc>
          <w:tcPr>
            <w:tcW w:type="dxa" w:w="2852"/>
            <w:tcBorders>
              <w:top w:color="000000" w:space="0" w:sz="4" w:val="single"/>
              <w:left w:color="auto" w:space="0" w:sz="4" w:val="single"/>
              <w:bottom w:color="000000" w:space="0" w:sz="4" w:val="single"/>
              <w:right w:color="000000" w:space="0" w:sz="4" w:val="single"/>
            </w:tcBorders>
            <w:vAlign w:val="center"/>
          </w:tcPr>
          <w:p w14:paraId="0AE4115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A7A138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58A809B6"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62495E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Q</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497762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卫生和社会工作</w:t>
            </w:r>
          </w:p>
        </w:tc>
        <w:tc>
          <w:tcPr>
            <w:tcW w:type="dxa" w:w="2852"/>
            <w:tcBorders>
              <w:top w:color="000000" w:space="0" w:sz="4" w:val="single"/>
              <w:left w:color="auto" w:space="0" w:sz="4" w:val="single"/>
              <w:bottom w:color="000000" w:space="0" w:sz="4" w:val="single"/>
              <w:right w:color="000000" w:space="0" w:sz="4" w:val="single"/>
            </w:tcBorders>
            <w:vAlign w:val="center"/>
          </w:tcPr>
          <w:p w14:paraId="319C17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4D9DB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0C10CFD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189669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R</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F3219D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文化、体育和娱乐业</w:t>
            </w:r>
          </w:p>
        </w:tc>
        <w:tc>
          <w:tcPr>
            <w:tcW w:type="dxa" w:w="2852"/>
            <w:tcBorders>
              <w:top w:color="000000" w:space="0" w:sz="4" w:val="single"/>
              <w:left w:color="auto" w:space="0" w:sz="4" w:val="single"/>
              <w:bottom w:color="000000" w:space="0" w:sz="4" w:val="single"/>
              <w:right w:color="000000" w:space="0" w:sz="4" w:val="single"/>
            </w:tcBorders>
            <w:vAlign w:val="center"/>
          </w:tcPr>
          <w:p w14:paraId="5015CBD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F3980D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78F4620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C0217D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S</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759577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综合</w:t>
            </w:r>
          </w:p>
        </w:tc>
        <w:tc>
          <w:tcPr>
            <w:tcW w:type="dxa" w:w="2852"/>
            <w:tcBorders>
              <w:top w:color="000000" w:space="0" w:sz="4" w:val="single"/>
              <w:left w:color="auto" w:space="0" w:sz="4" w:val="single"/>
              <w:bottom w:color="000000" w:space="0" w:sz="4" w:val="single"/>
              <w:right w:color="000000" w:space="0" w:sz="4" w:val="single"/>
            </w:tcBorders>
            <w:vAlign w:val="center"/>
          </w:tcPr>
          <w:p w14:paraId="397C56B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2170A5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5AD397B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2609568" w14:textId="77777777" w:rsidR="00D06738" w:rsidRDefault="00D06738">
            <w:pPr>
              <w:adjustRightInd w:val="0"/>
              <w:snapToGrid w:val="0"/>
              <w:spacing w:line="400" w:lineRule="exact"/>
              <w:jc w:val="center"/>
              <w:rPr>
                <w:rFonts w:asciiTheme="minorEastAsia" w:cs="宋体" w:eastAsiaTheme="minorEastAsia" w:hAnsiTheme="minorEastAsia"/>
                <w:color w:themeColor="text1" w:val="000000"/>
                <w:kern w:val="0"/>
              </w:rPr>
            </w:pP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E5096EA"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合计</w:t>
            </w:r>
          </w:p>
        </w:tc>
        <w:tc>
          <w:tcPr>
            <w:tcW w:type="dxa" w:w="2852"/>
            <w:tcBorders>
              <w:top w:color="000000" w:space="0" w:sz="4" w:val="single"/>
              <w:left w:color="auto" w:space="0" w:sz="4" w:val="single"/>
              <w:bottom w:color="000000" w:space="0" w:sz="4" w:val="single"/>
              <w:right w:color="000000" w:space="0" w:sz="4" w:val="single"/>
            </w:tcBorders>
            <w:vAlign w:val="center"/>
          </w:tcPr>
          <w:p w14:paraId="54BA6A9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41,345,266.34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E973B8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78.29</w:t>
            </w:r>
          </w:p>
        </w:tc>
      </w:tr>
    </w:tbl>
    <w:p w14:paraId="0F45C82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31B4A5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5.3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报告期末按公允价值占基金资产净值比例大小排序的前十名股票投资明细</w:t>
      </w:r>
    </w:p>
    <w:tbl>
      <w:tblPr>
        <w:tblStyle w:val="aff4"/>
        <w:tblW w:type="dxa" w:w="8528"/>
        <w:tblLayout w:type="fixed"/>
        <w:tblLook w:firstColumn="1" w:firstRow="1" w:lastColumn="0" w:lastRow="0" w:noHBand="0" w:noVBand="1" w:val="04A0"/>
      </w:tblPr>
      <w:tblGrid>
        <w:gridCol w:w="817"/>
        <w:gridCol w:w="1276"/>
        <w:gridCol w:w="1701"/>
        <w:gridCol w:w="1276"/>
        <w:gridCol w:w="1842"/>
        <w:gridCol w:w="1616"/>
      </w:tblGrid>
      <w:tr w14:paraId="783178E1" w14:textId="77777777" w:rsidR="00D06738">
        <w:tc>
          <w:tcPr>
            <w:tcW w:type="dxa" w:w="817"/>
            <w:vAlign w:val="center"/>
          </w:tcPr>
          <w:p w14:paraId="48FEE555"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1276"/>
            <w:vAlign w:val="center"/>
          </w:tcPr>
          <w:p w14:paraId="75B0DAE6"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股票代码</w:t>
            </w:r>
          </w:p>
        </w:tc>
        <w:tc>
          <w:tcPr>
            <w:tcW w:type="dxa" w:w="1701"/>
            <w:vAlign w:val="center"/>
          </w:tcPr>
          <w:p w14:paraId="1CCAA56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股票名称</w:t>
            </w:r>
          </w:p>
        </w:tc>
        <w:tc>
          <w:tcPr>
            <w:tcW w:type="dxa" w:w="1276"/>
            <w:vAlign w:val="center"/>
          </w:tcPr>
          <w:p w14:paraId="253890B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数量(股)</w:t>
            </w:r>
          </w:p>
        </w:tc>
        <w:tc>
          <w:tcPr>
            <w:tcW w:type="dxa" w:w="1842"/>
            <w:vAlign w:val="center"/>
          </w:tcPr>
          <w:p w14:paraId="0614F269"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公允价值</w:t>
            </w:r>
            <w:r>
              <w:rPr>
                <w:rFonts w:asciiTheme="minorEastAsia" w:cs="宋体" w:eastAsiaTheme="minorEastAsia" w:hAnsiTheme="minorEastAsia"/>
                <w:color w:themeColor="text1" w:val="000000"/>
                <w:kern w:val="0"/>
              </w:rPr>
              <w:t>(</w:t>
            </w:r>
            <w:r>
              <w:rPr>
                <w:rFonts w:asciiTheme="minorEastAsia" w:cs="宋体" w:eastAsiaTheme="minorEastAsia" w:hAnsiTheme="minorEastAsia" w:hint="eastAsia"/>
                <w:color w:themeColor="text1" w:val="000000"/>
                <w:kern w:val="0"/>
              </w:rPr>
              <w:t>元</w:t>
            </w:r>
            <w:r>
              <w:rPr>
                <w:rFonts w:asciiTheme="minorEastAsia" w:cs="宋体" w:eastAsiaTheme="minorEastAsia" w:hAnsiTheme="minorEastAsia"/>
                <w:color w:themeColor="text1" w:val="000000"/>
                <w:kern w:val="0"/>
              </w:rPr>
              <w:t>)</w:t>
            </w:r>
          </w:p>
        </w:tc>
        <w:tc>
          <w:tcPr>
            <w:tcW w:type="dxa" w:w="1616"/>
            <w:vAlign w:val="center"/>
          </w:tcPr>
          <w:p w14:paraId="6CA45A84"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占基金资产净</w:t>
            </w:r>
            <w:r>
              <w:rPr>
                <w:rFonts w:asciiTheme="minorEastAsia" w:cs="宋体" w:eastAsiaTheme="minorEastAsia" w:hAnsiTheme="minorEastAsia" w:hint="eastAsia"/>
                <w:color w:themeColor="text1" w:val="000000"/>
                <w:kern w:val="0"/>
              </w:rPr>
              <w:lastRenderedPageBreak/>
              <w:t>值比例(％)</w:t>
            </w:r>
          </w:p>
        </w:tc>
      </w:tr>
      <w:tr>
        <w:tc>
          <w:tcPr>
            <w:vAlign w:val="center"/>
          </w:tcPr>
          <w:p>
            <w:pPr>
              <w:jc w:val="center"/>
            </w:pPr>
            <w:r>
              <w:rPr>
                <w:rFonts w:asciiTheme="minorEastAsia" w:cs="宋体" w:eastAsiaTheme="minorEastAsia" w:hAnsiTheme="minorEastAsia"/>
                <w:color w:themeColor="text1" w:val="000000"/>
                <w:kern w:val="0"/>
              </w:rPr>
              <w:t>1</w:t>
            </w:r>
          </w:p>
        </w:tc>
        <w:tc>
          <w:tcPr>
            <w:vAlign w:val="center"/>
          </w:tcPr>
          <w:p>
            <w:pPr>
              <w:jc w:val="center"/>
            </w:pPr>
            <w:r>
              <w:rPr>
                <w:rFonts w:asciiTheme="minorEastAsia" w:cs="宋体" w:eastAsiaTheme="minorEastAsia" w:hAnsiTheme="minorEastAsia"/>
                <w:color w:themeColor="text1" w:val="000000"/>
                <w:kern w:val="0"/>
              </w:rPr>
              <w:t>601888</w:t>
            </w:r>
          </w:p>
        </w:tc>
        <w:tc>
          <w:tcPr>
            <w:vAlign w:val="center"/>
          </w:tcPr>
          <w:p>
            <w:pPr>
              <w:jc w:val="center"/>
            </w:pPr>
            <w:r>
              <w:rPr>
                <w:rFonts w:asciiTheme="minorEastAsia" w:cs="宋体" w:eastAsiaTheme="minorEastAsia" w:hAnsiTheme="minorEastAsia"/>
                <w:color w:themeColor="text1" w:val="000000"/>
                <w:kern w:val="0"/>
              </w:rPr>
              <w:t>中国中免</w:t>
            </w:r>
          </w:p>
        </w:tc>
        <w:tc>
          <w:tcPr>
            <w:vAlign w:val="center"/>
          </w:tcPr>
          <w:p>
            <w:pPr>
              <w:jc w:val="right"/>
            </w:pPr>
            <w:r>
              <w:rPr>
                <w:rFonts w:asciiTheme="minorEastAsia" w:cs="宋体" w:eastAsiaTheme="minorEastAsia" w:hAnsiTheme="minorEastAsia"/>
                <w:color w:themeColor="text1" w:val="000000"/>
                <w:kern w:val="0"/>
              </w:rPr>
              <w:t>13,600.00</w:t>
            </w:r>
          </w:p>
        </w:tc>
        <w:tc>
          <w:tcPr>
            <w:vAlign w:val="center"/>
          </w:tcPr>
          <w:p>
            <w:pPr>
              <w:jc w:val="right"/>
            </w:pPr>
            <w:r>
              <w:rPr>
                <w:rFonts w:asciiTheme="minorEastAsia" w:cs="宋体" w:eastAsiaTheme="minorEastAsia" w:hAnsiTheme="minorEastAsia"/>
                <w:color w:themeColor="text1" w:val="000000"/>
                <w:kern w:val="0"/>
              </w:rPr>
              <w:t>3,841,320.00</w:t>
            </w:r>
          </w:p>
        </w:tc>
        <w:tc>
          <w:tcPr>
            <w:vAlign w:val="center"/>
          </w:tcPr>
          <w:p>
            <w:pPr>
              <w:jc w:val="right"/>
            </w:pPr>
            <w:r>
              <w:rPr>
                <w:rFonts w:asciiTheme="minorEastAsia" w:cs="宋体" w:eastAsiaTheme="minorEastAsia" w:hAnsiTheme="minorEastAsia"/>
                <w:color w:themeColor="text1" w:val="000000"/>
                <w:kern w:val="0"/>
              </w:rPr>
              <w:t>7.27</w:t>
            </w:r>
          </w:p>
        </w:tc>
      </w:tr>
      <w:tr>
        <w:tc>
          <w:tcPr>
            <w:vAlign w:val="center"/>
          </w:tcPr>
          <w:p>
            <w:pPr>
              <w:jc w:val="center"/>
            </w:pPr>
            <w:r>
              <w:rPr>
                <w:rFonts w:asciiTheme="minorEastAsia" w:cs="宋体" w:eastAsiaTheme="minorEastAsia" w:hAnsiTheme="minorEastAsia"/>
                <w:color w:themeColor="text1" w:val="000000"/>
                <w:kern w:val="0"/>
              </w:rPr>
              <w:t>2</w:t>
            </w:r>
          </w:p>
        </w:tc>
        <w:tc>
          <w:tcPr>
            <w:vAlign w:val="center"/>
          </w:tcPr>
          <w:p>
            <w:pPr>
              <w:jc w:val="center"/>
            </w:pPr>
            <w:r>
              <w:rPr>
                <w:rFonts w:asciiTheme="minorEastAsia" w:cs="宋体" w:eastAsiaTheme="minorEastAsia" w:hAnsiTheme="minorEastAsia"/>
                <w:color w:themeColor="text1" w:val="000000"/>
                <w:kern w:val="0"/>
              </w:rPr>
              <w:t>603501</w:t>
            </w:r>
          </w:p>
        </w:tc>
        <w:tc>
          <w:tcPr>
            <w:vAlign w:val="center"/>
          </w:tcPr>
          <w:p>
            <w:pPr>
              <w:jc w:val="center"/>
            </w:pPr>
            <w:r>
              <w:rPr>
                <w:rFonts w:asciiTheme="minorEastAsia" w:cs="宋体" w:eastAsiaTheme="minorEastAsia" w:hAnsiTheme="minorEastAsia"/>
                <w:color w:themeColor="text1" w:val="000000"/>
                <w:kern w:val="0"/>
              </w:rPr>
              <w:t>韦尔股份</w:t>
            </w:r>
          </w:p>
        </w:tc>
        <w:tc>
          <w:tcPr>
            <w:vAlign w:val="center"/>
          </w:tcPr>
          <w:p>
            <w:pPr>
              <w:jc w:val="right"/>
            </w:pPr>
            <w:r>
              <w:rPr>
                <w:rFonts w:asciiTheme="minorEastAsia" w:cs="宋体" w:eastAsiaTheme="minorEastAsia" w:hAnsiTheme="minorEastAsia"/>
                <w:color w:themeColor="text1" w:val="000000"/>
                <w:kern w:val="0"/>
              </w:rPr>
              <w:t>11,200.00</w:t>
            </w:r>
          </w:p>
        </w:tc>
        <w:tc>
          <w:tcPr>
            <w:vAlign w:val="center"/>
          </w:tcPr>
          <w:p>
            <w:pPr>
              <w:jc w:val="right"/>
            </w:pPr>
            <w:r>
              <w:rPr>
                <w:rFonts w:asciiTheme="minorEastAsia" w:cs="宋体" w:eastAsiaTheme="minorEastAsia" w:hAnsiTheme="minorEastAsia"/>
                <w:color w:themeColor="text1" w:val="000000"/>
                <w:kern w:val="0"/>
              </w:rPr>
              <w:t>2,588,320.00</w:t>
            </w:r>
          </w:p>
        </w:tc>
        <w:tc>
          <w:tcPr>
            <w:vAlign w:val="center"/>
          </w:tcPr>
          <w:p>
            <w:pPr>
              <w:jc w:val="right"/>
            </w:pPr>
            <w:r>
              <w:rPr>
                <w:rFonts w:asciiTheme="minorEastAsia" w:cs="宋体" w:eastAsiaTheme="minorEastAsia" w:hAnsiTheme="minorEastAsia"/>
                <w:color w:themeColor="text1" w:val="000000"/>
                <w:kern w:val="0"/>
              </w:rPr>
              <w:t>4.90</w:t>
            </w:r>
          </w:p>
        </w:tc>
      </w:tr>
      <w:tr>
        <w:tc>
          <w:tcPr>
            <w:vAlign w:val="center"/>
          </w:tcPr>
          <w:p>
            <w:pPr>
              <w:jc w:val="center"/>
            </w:pPr>
            <w:r>
              <w:rPr>
                <w:rFonts w:asciiTheme="minorEastAsia" w:cs="宋体" w:eastAsiaTheme="minorEastAsia" w:hAnsiTheme="minorEastAsia"/>
                <w:color w:themeColor="text1" w:val="000000"/>
                <w:kern w:val="0"/>
              </w:rPr>
              <w:t>3</w:t>
            </w:r>
          </w:p>
        </w:tc>
        <w:tc>
          <w:tcPr>
            <w:vAlign w:val="center"/>
          </w:tcPr>
          <w:p>
            <w:pPr>
              <w:jc w:val="center"/>
            </w:pPr>
            <w:r>
              <w:rPr>
                <w:rFonts w:asciiTheme="minorEastAsia" w:cs="宋体" w:eastAsiaTheme="minorEastAsia" w:hAnsiTheme="minorEastAsia"/>
                <w:color w:themeColor="text1" w:val="000000"/>
                <w:kern w:val="0"/>
              </w:rPr>
              <w:t>300496</w:t>
            </w:r>
          </w:p>
        </w:tc>
        <w:tc>
          <w:tcPr>
            <w:vAlign w:val="center"/>
          </w:tcPr>
          <w:p>
            <w:pPr>
              <w:jc w:val="center"/>
            </w:pPr>
            <w:r>
              <w:rPr>
                <w:rFonts w:asciiTheme="minorEastAsia" w:cs="宋体" w:eastAsiaTheme="minorEastAsia" w:hAnsiTheme="minorEastAsia"/>
                <w:color w:themeColor="text1" w:val="000000"/>
                <w:kern w:val="0"/>
              </w:rPr>
              <w:t>中科创达</w:t>
            </w:r>
          </w:p>
        </w:tc>
        <w:tc>
          <w:tcPr>
            <w:vAlign w:val="center"/>
          </w:tcPr>
          <w:p>
            <w:pPr>
              <w:jc w:val="right"/>
            </w:pPr>
            <w:r>
              <w:rPr>
                <w:rFonts w:asciiTheme="minorEastAsia" w:cs="宋体" w:eastAsiaTheme="minorEastAsia" w:hAnsiTheme="minorEastAsia"/>
                <w:color w:themeColor="text1" w:val="000000"/>
                <w:kern w:val="0"/>
              </w:rPr>
              <w:t>20,000.00</w:t>
            </w:r>
          </w:p>
        </w:tc>
        <w:tc>
          <w:tcPr>
            <w:vAlign w:val="center"/>
          </w:tcPr>
          <w:p>
            <w:pPr>
              <w:jc w:val="right"/>
            </w:pPr>
            <w:r>
              <w:rPr>
                <w:rFonts w:asciiTheme="minorEastAsia" w:cs="宋体" w:eastAsiaTheme="minorEastAsia" w:hAnsiTheme="minorEastAsia"/>
                <w:color w:themeColor="text1" w:val="000000"/>
                <w:kern w:val="0"/>
              </w:rPr>
              <w:t>2,340,000.00</w:t>
            </w:r>
          </w:p>
        </w:tc>
        <w:tc>
          <w:tcPr>
            <w:vAlign w:val="center"/>
          </w:tcPr>
          <w:p>
            <w:pPr>
              <w:jc w:val="right"/>
            </w:pPr>
            <w:r>
              <w:rPr>
                <w:rFonts w:asciiTheme="minorEastAsia" w:cs="宋体" w:eastAsiaTheme="minorEastAsia" w:hAnsiTheme="minorEastAsia"/>
                <w:color w:themeColor="text1" w:val="000000"/>
                <w:kern w:val="0"/>
              </w:rPr>
              <w:t>4.43</w:t>
            </w:r>
          </w:p>
        </w:tc>
      </w:tr>
      <w:tr>
        <w:tc>
          <w:tcPr>
            <w:vAlign w:val="center"/>
          </w:tcPr>
          <w:p>
            <w:pPr>
              <w:jc w:val="center"/>
            </w:pPr>
            <w:r>
              <w:rPr>
                <w:rFonts w:asciiTheme="minorEastAsia" w:cs="宋体" w:eastAsiaTheme="minorEastAsia" w:hAnsiTheme="minorEastAsia"/>
                <w:color w:themeColor="text1" w:val="000000"/>
                <w:kern w:val="0"/>
              </w:rPr>
              <w:t>4</w:t>
            </w:r>
          </w:p>
        </w:tc>
        <w:tc>
          <w:tcPr>
            <w:vAlign w:val="center"/>
          </w:tcPr>
          <w:p>
            <w:pPr>
              <w:jc w:val="center"/>
            </w:pPr>
            <w:r>
              <w:rPr>
                <w:rFonts w:asciiTheme="minorEastAsia" w:cs="宋体" w:eastAsiaTheme="minorEastAsia" w:hAnsiTheme="minorEastAsia"/>
                <w:color w:themeColor="text1" w:val="000000"/>
                <w:kern w:val="0"/>
              </w:rPr>
              <w:t>300014</w:t>
            </w:r>
          </w:p>
        </w:tc>
        <w:tc>
          <w:tcPr>
            <w:vAlign w:val="center"/>
          </w:tcPr>
          <w:p>
            <w:pPr>
              <w:jc w:val="center"/>
            </w:pPr>
            <w:r>
              <w:rPr>
                <w:rFonts w:asciiTheme="minorEastAsia" w:cs="宋体" w:eastAsiaTheme="minorEastAsia" w:hAnsiTheme="minorEastAsia"/>
                <w:color w:themeColor="text1" w:val="000000"/>
                <w:kern w:val="0"/>
              </w:rPr>
              <w:t>亿纬锂能</w:t>
            </w:r>
          </w:p>
        </w:tc>
        <w:tc>
          <w:tcPr>
            <w:vAlign w:val="center"/>
          </w:tcPr>
          <w:p>
            <w:pPr>
              <w:jc w:val="right"/>
            </w:pPr>
            <w:r>
              <w:rPr>
                <w:rFonts w:asciiTheme="minorEastAsia" w:cs="宋体" w:eastAsiaTheme="minorEastAsia" w:hAnsiTheme="minorEastAsia"/>
                <w:color w:themeColor="text1" w:val="000000"/>
                <w:kern w:val="0"/>
              </w:rPr>
              <w:t>26,700.00</w:t>
            </w:r>
          </w:p>
        </w:tc>
        <w:tc>
          <w:tcPr>
            <w:vAlign w:val="center"/>
          </w:tcPr>
          <w:p>
            <w:pPr>
              <w:jc w:val="right"/>
            </w:pPr>
            <w:r>
              <w:rPr>
                <w:rFonts w:asciiTheme="minorEastAsia" w:cs="宋体" w:eastAsiaTheme="minorEastAsia" w:hAnsiTheme="minorEastAsia"/>
                <w:color w:themeColor="text1" w:val="000000"/>
                <w:kern w:val="0"/>
              </w:rPr>
              <w:t>2,176,050.00</w:t>
            </w:r>
          </w:p>
        </w:tc>
        <w:tc>
          <w:tcPr>
            <w:vAlign w:val="center"/>
          </w:tcPr>
          <w:p>
            <w:pPr>
              <w:jc w:val="right"/>
            </w:pPr>
            <w:r>
              <w:rPr>
                <w:rFonts w:asciiTheme="minorEastAsia" w:cs="宋体" w:eastAsiaTheme="minorEastAsia" w:hAnsiTheme="minorEastAsia"/>
                <w:color w:themeColor="text1" w:val="000000"/>
                <w:kern w:val="0"/>
              </w:rPr>
              <w:t>4.12</w:t>
            </w:r>
          </w:p>
        </w:tc>
      </w:tr>
      <w:tr>
        <w:tc>
          <w:tcPr>
            <w:vAlign w:val="center"/>
          </w:tcPr>
          <w:p>
            <w:pPr>
              <w:jc w:val="center"/>
            </w:pPr>
            <w:r>
              <w:rPr>
                <w:rFonts w:asciiTheme="minorEastAsia" w:cs="宋体" w:eastAsiaTheme="minorEastAsia" w:hAnsiTheme="minorEastAsia"/>
                <w:color w:themeColor="text1" w:val="000000"/>
                <w:kern w:val="0"/>
              </w:rPr>
              <w:t>5</w:t>
            </w:r>
          </w:p>
        </w:tc>
        <w:tc>
          <w:tcPr>
            <w:vAlign w:val="center"/>
          </w:tcPr>
          <w:p>
            <w:pPr>
              <w:jc w:val="center"/>
            </w:pPr>
            <w:r>
              <w:rPr>
                <w:rFonts w:asciiTheme="minorEastAsia" w:cs="宋体" w:eastAsiaTheme="minorEastAsia" w:hAnsiTheme="minorEastAsia"/>
                <w:color w:themeColor="text1" w:val="000000"/>
                <w:kern w:val="0"/>
              </w:rPr>
              <w:t>300454</w:t>
            </w:r>
          </w:p>
        </w:tc>
        <w:tc>
          <w:tcPr>
            <w:vAlign w:val="center"/>
          </w:tcPr>
          <w:p>
            <w:pPr>
              <w:jc w:val="center"/>
            </w:pPr>
            <w:r>
              <w:rPr>
                <w:rFonts w:asciiTheme="minorEastAsia" w:cs="宋体" w:eastAsiaTheme="minorEastAsia" w:hAnsiTheme="minorEastAsia"/>
                <w:color w:themeColor="text1" w:val="000000"/>
                <w:kern w:val="0"/>
              </w:rPr>
              <w:t>深信服</w:t>
            </w:r>
          </w:p>
        </w:tc>
        <w:tc>
          <w:tcPr>
            <w:vAlign w:val="center"/>
          </w:tcPr>
          <w:p>
            <w:pPr>
              <w:jc w:val="right"/>
            </w:pPr>
            <w:r>
              <w:rPr>
                <w:rFonts w:asciiTheme="minorEastAsia" w:cs="宋体" w:eastAsiaTheme="minorEastAsia" w:hAnsiTheme="minorEastAsia"/>
                <w:color w:themeColor="text1" w:val="000000"/>
                <w:kern w:val="0"/>
              </w:rPr>
              <w:t>8,307.00</w:t>
            </w:r>
          </w:p>
        </w:tc>
        <w:tc>
          <w:tcPr>
            <w:vAlign w:val="center"/>
          </w:tcPr>
          <w:p>
            <w:pPr>
              <w:jc w:val="right"/>
            </w:pPr>
            <w:r>
              <w:rPr>
                <w:rFonts w:asciiTheme="minorEastAsia" w:cs="宋体" w:eastAsiaTheme="minorEastAsia" w:hAnsiTheme="minorEastAsia"/>
                <w:color w:themeColor="text1" w:val="000000"/>
                <w:kern w:val="0"/>
              </w:rPr>
              <w:t>2,060,219.07</w:t>
            </w:r>
          </w:p>
        </w:tc>
        <w:tc>
          <w:tcPr>
            <w:vAlign w:val="center"/>
          </w:tcPr>
          <w:p>
            <w:pPr>
              <w:jc w:val="right"/>
            </w:pPr>
            <w:r>
              <w:rPr>
                <w:rFonts w:asciiTheme="minorEastAsia" w:cs="宋体" w:eastAsiaTheme="minorEastAsia" w:hAnsiTheme="minorEastAsia"/>
                <w:color w:themeColor="text1" w:val="000000"/>
                <w:kern w:val="0"/>
              </w:rPr>
              <w:t>3.90</w:t>
            </w:r>
          </w:p>
        </w:tc>
      </w:tr>
      <w:tr>
        <w:tc>
          <w:tcPr>
            <w:vAlign w:val="center"/>
          </w:tcPr>
          <w:p>
            <w:pPr>
              <w:jc w:val="center"/>
            </w:pPr>
            <w:r>
              <w:rPr>
                <w:rFonts w:asciiTheme="minorEastAsia" w:cs="宋体" w:eastAsiaTheme="minorEastAsia" w:hAnsiTheme="minorEastAsia"/>
                <w:color w:themeColor="text1" w:val="000000"/>
                <w:kern w:val="0"/>
              </w:rPr>
              <w:t>6</w:t>
            </w:r>
          </w:p>
        </w:tc>
        <w:tc>
          <w:tcPr>
            <w:vAlign w:val="center"/>
          </w:tcPr>
          <w:p>
            <w:pPr>
              <w:jc w:val="center"/>
            </w:pPr>
            <w:r>
              <w:rPr>
                <w:rFonts w:asciiTheme="minorEastAsia" w:cs="宋体" w:eastAsiaTheme="minorEastAsia" w:hAnsiTheme="minorEastAsia"/>
                <w:color w:themeColor="text1" w:val="000000"/>
                <w:kern w:val="0"/>
              </w:rPr>
              <w:t>002920</w:t>
            </w:r>
          </w:p>
        </w:tc>
        <w:tc>
          <w:tcPr>
            <w:vAlign w:val="center"/>
          </w:tcPr>
          <w:p>
            <w:pPr>
              <w:jc w:val="center"/>
            </w:pPr>
            <w:r>
              <w:rPr>
                <w:rFonts w:asciiTheme="minorEastAsia" w:cs="宋体" w:eastAsiaTheme="minorEastAsia" w:hAnsiTheme="minorEastAsia"/>
                <w:color w:themeColor="text1" w:val="000000"/>
                <w:kern w:val="0"/>
              </w:rPr>
              <w:t>德赛西威</w:t>
            </w:r>
          </w:p>
        </w:tc>
        <w:tc>
          <w:tcPr>
            <w:vAlign w:val="center"/>
          </w:tcPr>
          <w:p>
            <w:pPr>
              <w:jc w:val="right"/>
            </w:pPr>
            <w:r>
              <w:rPr>
                <w:rFonts w:asciiTheme="minorEastAsia" w:cs="宋体" w:eastAsiaTheme="minorEastAsia" w:hAnsiTheme="minorEastAsia"/>
                <w:color w:themeColor="text1" w:val="000000"/>
                <w:kern w:val="0"/>
              </w:rPr>
              <w:t>22,100.00</w:t>
            </w:r>
          </w:p>
        </w:tc>
        <w:tc>
          <w:tcPr>
            <w:vAlign w:val="center"/>
          </w:tcPr>
          <w:p>
            <w:pPr>
              <w:jc w:val="right"/>
            </w:pPr>
            <w:r>
              <w:rPr>
                <w:rFonts w:asciiTheme="minorEastAsia" w:cs="宋体" w:eastAsiaTheme="minorEastAsia" w:hAnsiTheme="minorEastAsia"/>
                <w:color w:themeColor="text1" w:val="000000"/>
                <w:kern w:val="0"/>
              </w:rPr>
              <w:t>1,859,494.00</w:t>
            </w:r>
          </w:p>
        </w:tc>
        <w:tc>
          <w:tcPr>
            <w:vAlign w:val="center"/>
          </w:tcPr>
          <w:p>
            <w:pPr>
              <w:jc w:val="right"/>
            </w:pPr>
            <w:r>
              <w:rPr>
                <w:rFonts w:asciiTheme="minorEastAsia" w:cs="宋体" w:eastAsiaTheme="minorEastAsia" w:hAnsiTheme="minorEastAsia"/>
                <w:color w:themeColor="text1" w:val="000000"/>
                <w:kern w:val="0"/>
              </w:rPr>
              <w:t>3.52</w:t>
            </w:r>
          </w:p>
        </w:tc>
      </w:tr>
      <w:tr>
        <w:tc>
          <w:tcPr>
            <w:vAlign w:val="center"/>
          </w:tcPr>
          <w:p>
            <w:pPr>
              <w:jc w:val="center"/>
            </w:pPr>
            <w:r>
              <w:rPr>
                <w:rFonts w:asciiTheme="minorEastAsia" w:cs="宋体" w:eastAsiaTheme="minorEastAsia" w:hAnsiTheme="minorEastAsia"/>
                <w:color w:themeColor="text1" w:val="000000"/>
                <w:kern w:val="0"/>
              </w:rPr>
              <w:t>7</w:t>
            </w:r>
          </w:p>
        </w:tc>
        <w:tc>
          <w:tcPr>
            <w:vAlign w:val="center"/>
          </w:tcPr>
          <w:p>
            <w:pPr>
              <w:jc w:val="center"/>
            </w:pPr>
            <w:r>
              <w:rPr>
                <w:rFonts w:asciiTheme="minorEastAsia" w:cs="宋体" w:eastAsiaTheme="minorEastAsia" w:hAnsiTheme="minorEastAsia"/>
                <w:color w:themeColor="text1" w:val="000000"/>
                <w:kern w:val="0"/>
              </w:rPr>
              <w:t>688111</w:t>
            </w:r>
          </w:p>
        </w:tc>
        <w:tc>
          <w:tcPr>
            <w:vAlign w:val="center"/>
          </w:tcPr>
          <w:p>
            <w:pPr>
              <w:jc w:val="center"/>
            </w:pPr>
            <w:r>
              <w:rPr>
                <w:rFonts w:asciiTheme="minorEastAsia" w:cs="宋体" w:eastAsiaTheme="minorEastAsia" w:hAnsiTheme="minorEastAsia"/>
                <w:color w:themeColor="text1" w:val="000000"/>
                <w:kern w:val="0"/>
              </w:rPr>
              <w:t>金山办公</w:t>
            </w:r>
          </w:p>
        </w:tc>
        <w:tc>
          <w:tcPr>
            <w:vAlign w:val="center"/>
          </w:tcPr>
          <w:p>
            <w:pPr>
              <w:jc w:val="right"/>
            </w:pPr>
            <w:r>
              <w:rPr>
                <w:rFonts w:asciiTheme="minorEastAsia" w:cs="宋体" w:eastAsiaTheme="minorEastAsia" w:hAnsiTheme="minorEastAsia"/>
                <w:color w:themeColor="text1" w:val="000000"/>
                <w:kern w:val="0"/>
              </w:rPr>
              <w:t>4,506.00</w:t>
            </w:r>
          </w:p>
        </w:tc>
        <w:tc>
          <w:tcPr>
            <w:vAlign w:val="center"/>
          </w:tcPr>
          <w:p>
            <w:pPr>
              <w:jc w:val="right"/>
            </w:pPr>
            <w:r>
              <w:rPr>
                <w:rFonts w:asciiTheme="minorEastAsia" w:cs="宋体" w:eastAsiaTheme="minorEastAsia" w:hAnsiTheme="minorEastAsia"/>
                <w:color w:themeColor="text1" w:val="000000"/>
                <w:kern w:val="0"/>
              </w:rPr>
              <w:t>1,851,966.00</w:t>
            </w:r>
          </w:p>
        </w:tc>
        <w:tc>
          <w:tcPr>
            <w:vAlign w:val="center"/>
          </w:tcPr>
          <w:p>
            <w:pPr>
              <w:jc w:val="right"/>
            </w:pPr>
            <w:r>
              <w:rPr>
                <w:rFonts w:asciiTheme="minorEastAsia" w:cs="宋体" w:eastAsiaTheme="minorEastAsia" w:hAnsiTheme="minorEastAsia"/>
                <w:color w:themeColor="text1" w:val="000000"/>
                <w:kern w:val="0"/>
              </w:rPr>
              <w:t>3.51</w:t>
            </w:r>
          </w:p>
        </w:tc>
      </w:tr>
      <w:tr>
        <w:tc>
          <w:tcPr>
            <w:vAlign w:val="center"/>
          </w:tcPr>
          <w:p>
            <w:pPr>
              <w:jc w:val="center"/>
            </w:pPr>
            <w:r>
              <w:rPr>
                <w:rFonts w:asciiTheme="minorEastAsia" w:cs="宋体" w:eastAsiaTheme="minorEastAsia" w:hAnsiTheme="minorEastAsia"/>
                <w:color w:themeColor="text1" w:val="000000"/>
                <w:kern w:val="0"/>
              </w:rPr>
              <w:t>8</w:t>
            </w:r>
          </w:p>
        </w:tc>
        <w:tc>
          <w:tcPr>
            <w:vAlign w:val="center"/>
          </w:tcPr>
          <w:p>
            <w:pPr>
              <w:jc w:val="center"/>
            </w:pPr>
            <w:r>
              <w:rPr>
                <w:rFonts w:asciiTheme="minorEastAsia" w:cs="宋体" w:eastAsiaTheme="minorEastAsia" w:hAnsiTheme="minorEastAsia"/>
                <w:color w:themeColor="text1" w:val="000000"/>
                <w:kern w:val="0"/>
              </w:rPr>
              <w:t>300136</w:t>
            </w:r>
          </w:p>
        </w:tc>
        <w:tc>
          <w:tcPr>
            <w:vAlign w:val="center"/>
          </w:tcPr>
          <w:p>
            <w:pPr>
              <w:jc w:val="center"/>
            </w:pPr>
            <w:r>
              <w:rPr>
                <w:rFonts w:asciiTheme="minorEastAsia" w:cs="宋体" w:eastAsiaTheme="minorEastAsia" w:hAnsiTheme="minorEastAsia"/>
                <w:color w:themeColor="text1" w:val="000000"/>
                <w:kern w:val="0"/>
              </w:rPr>
              <w:t>信维通信</w:t>
            </w:r>
          </w:p>
        </w:tc>
        <w:tc>
          <w:tcPr>
            <w:vAlign w:val="center"/>
          </w:tcPr>
          <w:p>
            <w:pPr>
              <w:jc w:val="right"/>
            </w:pPr>
            <w:r>
              <w:rPr>
                <w:rFonts w:asciiTheme="minorEastAsia" w:cs="宋体" w:eastAsiaTheme="minorEastAsia" w:hAnsiTheme="minorEastAsia"/>
                <w:color w:themeColor="text1" w:val="000000"/>
                <w:kern w:val="0"/>
              </w:rPr>
              <w:t>50,006.00</w:t>
            </w:r>
          </w:p>
        </w:tc>
        <w:tc>
          <w:tcPr>
            <w:vAlign w:val="center"/>
          </w:tcPr>
          <w:p>
            <w:pPr>
              <w:jc w:val="right"/>
            </w:pPr>
            <w:r>
              <w:rPr>
                <w:rFonts w:asciiTheme="minorEastAsia" w:cs="宋体" w:eastAsiaTheme="minorEastAsia" w:hAnsiTheme="minorEastAsia"/>
                <w:color w:themeColor="text1" w:val="000000"/>
                <w:kern w:val="0"/>
              </w:rPr>
              <w:t>1,794,215.28</w:t>
            </w:r>
          </w:p>
        </w:tc>
        <w:tc>
          <w:tcPr>
            <w:vAlign w:val="center"/>
          </w:tcPr>
          <w:p>
            <w:pPr>
              <w:jc w:val="right"/>
            </w:pPr>
            <w:r>
              <w:rPr>
                <w:rFonts w:asciiTheme="minorEastAsia" w:cs="宋体" w:eastAsiaTheme="minorEastAsia" w:hAnsiTheme="minorEastAsia"/>
                <w:color w:themeColor="text1" w:val="000000"/>
                <w:kern w:val="0"/>
              </w:rPr>
              <w:t>3.40</w:t>
            </w:r>
          </w:p>
        </w:tc>
      </w:tr>
      <w:tr>
        <w:tc>
          <w:tcPr>
            <w:vAlign w:val="center"/>
          </w:tcPr>
          <w:p>
            <w:pPr>
              <w:jc w:val="center"/>
            </w:pPr>
            <w:r>
              <w:rPr>
                <w:rFonts w:asciiTheme="minorEastAsia" w:cs="宋体" w:eastAsiaTheme="minorEastAsia" w:hAnsiTheme="minorEastAsia"/>
                <w:color w:themeColor="text1" w:val="000000"/>
                <w:kern w:val="0"/>
              </w:rPr>
              <w:t>9</w:t>
            </w:r>
          </w:p>
        </w:tc>
        <w:tc>
          <w:tcPr>
            <w:vAlign w:val="center"/>
          </w:tcPr>
          <w:p>
            <w:pPr>
              <w:jc w:val="center"/>
            </w:pPr>
            <w:r>
              <w:rPr>
                <w:rFonts w:asciiTheme="minorEastAsia" w:cs="宋体" w:eastAsiaTheme="minorEastAsia" w:hAnsiTheme="minorEastAsia"/>
                <w:color w:themeColor="text1" w:val="000000"/>
                <w:kern w:val="0"/>
              </w:rPr>
              <w:t>002049</w:t>
            </w:r>
          </w:p>
        </w:tc>
        <w:tc>
          <w:tcPr>
            <w:vAlign w:val="center"/>
          </w:tcPr>
          <w:p>
            <w:pPr>
              <w:jc w:val="center"/>
            </w:pPr>
            <w:r>
              <w:rPr>
                <w:rFonts w:asciiTheme="minorEastAsia" w:cs="宋体" w:eastAsiaTheme="minorEastAsia" w:hAnsiTheme="minorEastAsia"/>
                <w:color w:themeColor="text1" w:val="000000"/>
                <w:kern w:val="0"/>
              </w:rPr>
              <w:t>紫光国微</w:t>
            </w:r>
          </w:p>
        </w:tc>
        <w:tc>
          <w:tcPr>
            <w:vAlign w:val="center"/>
          </w:tcPr>
          <w:p>
            <w:pPr>
              <w:jc w:val="right"/>
            </w:pPr>
            <w:r>
              <w:rPr>
                <w:rFonts w:asciiTheme="minorEastAsia" w:cs="宋体" w:eastAsiaTheme="minorEastAsia" w:hAnsiTheme="minorEastAsia"/>
                <w:color w:themeColor="text1" w:val="000000"/>
                <w:kern w:val="0"/>
              </w:rPr>
              <w:t>13,387.00</w:t>
            </w:r>
          </w:p>
        </w:tc>
        <w:tc>
          <w:tcPr>
            <w:vAlign w:val="center"/>
          </w:tcPr>
          <w:p>
            <w:pPr>
              <w:jc w:val="right"/>
            </w:pPr>
            <w:r>
              <w:rPr>
                <w:rFonts w:asciiTheme="minorEastAsia" w:cs="宋体" w:eastAsiaTheme="minorEastAsia" w:hAnsiTheme="minorEastAsia"/>
                <w:color w:themeColor="text1" w:val="000000"/>
                <w:kern w:val="0"/>
              </w:rPr>
              <w:t>1,791,314.47</w:t>
            </w:r>
          </w:p>
        </w:tc>
        <w:tc>
          <w:tcPr>
            <w:vAlign w:val="center"/>
          </w:tcPr>
          <w:p>
            <w:pPr>
              <w:jc w:val="right"/>
            </w:pPr>
            <w:r>
              <w:rPr>
                <w:rFonts w:asciiTheme="minorEastAsia" w:cs="宋体" w:eastAsiaTheme="minorEastAsia" w:hAnsiTheme="minorEastAsia"/>
                <w:color w:themeColor="text1" w:val="000000"/>
                <w:kern w:val="0"/>
              </w:rPr>
              <w:t>3.39</w:t>
            </w:r>
          </w:p>
        </w:tc>
      </w:tr>
      <w:tr>
        <w:tc>
          <w:tcPr>
            <w:vAlign w:val="center"/>
          </w:tcPr>
          <w:p>
            <w:pPr>
              <w:jc w:val="center"/>
            </w:pPr>
            <w:r>
              <w:rPr>
                <w:rFonts w:asciiTheme="minorEastAsia" w:cs="宋体" w:eastAsiaTheme="minorEastAsia" w:hAnsiTheme="minorEastAsia"/>
                <w:color w:themeColor="text1" w:val="000000"/>
                <w:kern w:val="0"/>
              </w:rPr>
              <w:t>10</w:t>
            </w:r>
          </w:p>
        </w:tc>
        <w:tc>
          <w:tcPr>
            <w:vAlign w:val="center"/>
          </w:tcPr>
          <w:p>
            <w:pPr>
              <w:jc w:val="center"/>
            </w:pPr>
            <w:r>
              <w:rPr>
                <w:rFonts w:asciiTheme="minorEastAsia" w:cs="宋体" w:eastAsiaTheme="minorEastAsia" w:hAnsiTheme="minorEastAsia"/>
                <w:color w:themeColor="text1" w:val="000000"/>
                <w:kern w:val="0"/>
              </w:rPr>
              <w:t>688122</w:t>
            </w:r>
          </w:p>
        </w:tc>
        <w:tc>
          <w:tcPr>
            <w:vAlign w:val="center"/>
          </w:tcPr>
          <w:p>
            <w:pPr>
              <w:jc w:val="center"/>
            </w:pPr>
            <w:r>
              <w:rPr>
                <w:rFonts w:asciiTheme="minorEastAsia" w:cs="宋体" w:eastAsiaTheme="minorEastAsia" w:hAnsiTheme="minorEastAsia"/>
                <w:color w:themeColor="text1" w:val="000000"/>
                <w:kern w:val="0"/>
              </w:rPr>
              <w:t>西部超导</w:t>
            </w:r>
          </w:p>
        </w:tc>
        <w:tc>
          <w:tcPr>
            <w:vAlign w:val="center"/>
          </w:tcPr>
          <w:p>
            <w:pPr>
              <w:jc w:val="right"/>
            </w:pPr>
            <w:r>
              <w:rPr>
                <w:rFonts w:asciiTheme="minorEastAsia" w:cs="宋体" w:eastAsiaTheme="minorEastAsia" w:hAnsiTheme="minorEastAsia"/>
                <w:color w:themeColor="text1" w:val="000000"/>
                <w:kern w:val="0"/>
              </w:rPr>
              <w:t>21,303.00</w:t>
            </w:r>
          </w:p>
        </w:tc>
        <w:tc>
          <w:tcPr>
            <w:vAlign w:val="center"/>
          </w:tcPr>
          <w:p>
            <w:pPr>
              <w:jc w:val="right"/>
            </w:pPr>
            <w:r>
              <w:rPr>
                <w:rFonts w:asciiTheme="minorEastAsia" w:cs="宋体" w:eastAsiaTheme="minorEastAsia" w:hAnsiTheme="minorEastAsia"/>
                <w:color w:themeColor="text1" w:val="000000"/>
                <w:kern w:val="0"/>
              </w:rPr>
              <w:t>1,693,801.53</w:t>
            </w:r>
          </w:p>
        </w:tc>
        <w:tc>
          <w:tcPr>
            <w:vAlign w:val="center"/>
          </w:tcPr>
          <w:p>
            <w:pPr>
              <w:jc w:val="right"/>
            </w:pPr>
            <w:r>
              <w:rPr>
                <w:rFonts w:asciiTheme="minorEastAsia" w:cs="宋体" w:eastAsiaTheme="minorEastAsia" w:hAnsiTheme="minorEastAsia"/>
                <w:color w:themeColor="text1" w:val="000000"/>
                <w:kern w:val="0"/>
              </w:rPr>
              <w:t>3.21</w:t>
            </w:r>
          </w:p>
        </w:tc>
      </w:tr>
    </w:tbl>
    <w:p w14:paraId="5DBD10B5"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3936D23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5.4 </w:t>
      </w:r>
      <w:r>
        <w:rPr>
          <w:rFonts w:asciiTheme="minorEastAsia" w:eastAsiaTheme="minorEastAsia" w:hAnsiTheme="minorEastAsia" w:hint="eastAsia"/>
          <w:b/>
          <w:bCs/>
          <w:color w:themeColor="text1" w:val="000000"/>
          <w:kern w:val="0"/>
          <w:sz w:val="24"/>
          <w:szCs w:val="24"/>
        </w:rPr>
        <w:t>报告期末按债券品种分类的债券投资组合</w:t>
      </w:r>
    </w:p>
    <w:tbl>
      <w:tblPr>
        <w:tblStyle w:val="aff4"/>
        <w:tblW w:type="dxa" w:w="8755"/>
        <w:jc w:val="center"/>
        <w:tblLayout w:type="fixed"/>
        <w:tblLook w:firstColumn="1" w:firstRow="1" w:lastColumn="0" w:lastRow="0" w:noHBand="0" w:noVBand="1" w:val="04A0"/>
      </w:tblPr>
      <w:tblGrid>
        <w:gridCol w:w="817"/>
        <w:gridCol w:w="3260"/>
        <w:gridCol w:w="2949"/>
        <w:gridCol w:w="1729"/>
      </w:tblGrid>
      <w:tr w14:paraId="346044F7" w14:textId="77777777" w:rsidR="00D06738">
        <w:trPr>
          <w:jc w:val="center"/>
        </w:trPr>
        <w:tc>
          <w:tcPr>
            <w:tcW w:type="dxa" w:w="817"/>
            <w:vAlign w:val="center"/>
          </w:tcPr>
          <w:p w14:paraId="072B2F06"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3260"/>
            <w:vAlign w:val="center"/>
          </w:tcPr>
          <w:p w14:paraId="1EB79EA5"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债券品种</w:t>
            </w: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hint="eastAsia"/>
                <w:color w:themeColor="text1" w:val="000000"/>
                <w:kern w:val="0"/>
              </w:rPr>
              <w:t/>
            </w:r>
            <w:proofErr w:type="spellEnd"/>
            <w:r>
              <w:rPr>
                <w:rFonts w:asciiTheme="minorEastAsia" w:eastAsiaTheme="minorEastAsia" w:hAnsiTheme="minorEastAsia" w:hint="eastAsia"/>
                <w:color w:themeColor="text1" w:val="000000"/>
                <w:kern w:val="0"/>
              </w:rPr>
              <w:t/>
            </w:r>
          </w:p>
        </w:tc>
        <w:tc>
          <w:tcPr>
            <w:tcW w:type="dxa" w:w="2949"/>
            <w:vAlign w:val="center"/>
          </w:tcPr>
          <w:p w14:paraId="054DF2E4"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公允价值(元)</w:t>
            </w:r>
          </w:p>
        </w:tc>
        <w:tc>
          <w:tcPr>
            <w:tcW w:type="dxa" w:w="1729"/>
            <w:vAlign w:val="center"/>
          </w:tcPr>
          <w:p w14:paraId="1A6BCB3B"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占基金资产净值比例(％)</w:t>
            </w:r>
          </w:p>
        </w:tc>
      </w:tr>
      <w:tr w14:paraId="3A0EA7C7" w14:textId="77777777" w:rsidR="00D06738">
        <w:trPr>
          <w:jc w:val="center"/>
        </w:trPr>
        <w:tc>
          <w:tcPr>
            <w:tcW w:type="dxa" w:w="817"/>
            <w:vAlign w:val="center"/>
          </w:tcPr>
          <w:p w14:paraId="6C4289D9"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1</w:t>
            </w:r>
          </w:p>
        </w:tc>
        <w:tc>
          <w:tcPr>
            <w:tcW w:type="dxa" w:w="3260"/>
            <w:vAlign w:val="center"/>
          </w:tcPr>
          <w:p w14:paraId="4FAF4D08"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国家债券</w:t>
            </w:r>
          </w:p>
        </w:tc>
        <w:tc>
          <w:tcPr>
            <w:tcW w:type="dxa" w:w="2949"/>
            <w:vAlign w:val="center"/>
          </w:tcPr>
          <w:p w14:paraId="132B07D9"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729"/>
            <w:vAlign w:val="center"/>
          </w:tcPr>
          <w:p w14:paraId="74D8BE6F"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66155870" w14:textId="77777777" w:rsidR="00D06738">
        <w:trPr>
          <w:jc w:val="center"/>
        </w:trPr>
        <w:tc>
          <w:tcPr>
            <w:tcW w:type="dxa" w:w="817"/>
            <w:vAlign w:val="center"/>
          </w:tcPr>
          <w:p w14:paraId="5F475615"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2</w:t>
            </w:r>
          </w:p>
        </w:tc>
        <w:tc>
          <w:tcPr>
            <w:tcW w:type="dxa" w:w="3260"/>
            <w:vAlign w:val="center"/>
          </w:tcPr>
          <w:p w14:paraId="4EBE46D5"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央行票据</w:t>
            </w:r>
          </w:p>
        </w:tc>
        <w:tc>
          <w:tcPr>
            <w:tcW w:type="dxa" w:w="2949"/>
            <w:vAlign w:val="center"/>
          </w:tcPr>
          <w:p w14:paraId="74B04619"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729"/>
            <w:vAlign w:val="center"/>
          </w:tcPr>
          <w:p w14:paraId="297E1C6D"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546D676F" w14:textId="77777777" w:rsidR="00D06738">
        <w:trPr>
          <w:jc w:val="center"/>
        </w:trPr>
        <w:tc>
          <w:tcPr>
            <w:tcW w:type="dxa" w:w="817"/>
            <w:vAlign w:val="center"/>
          </w:tcPr>
          <w:p w14:paraId="5BEEAE88"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3</w:t>
            </w:r>
          </w:p>
        </w:tc>
        <w:tc>
          <w:tcPr>
            <w:tcW w:type="dxa" w:w="3260"/>
            <w:vAlign w:val="center"/>
          </w:tcPr>
          <w:p w14:paraId="6EAA7C2F"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金融债券</w:t>
            </w:r>
          </w:p>
        </w:tc>
        <w:tc>
          <w:tcPr>
            <w:tcW w:type="dxa" w:w="2949"/>
            <w:vAlign w:val="center"/>
          </w:tcPr>
          <w:p w14:paraId="1D6AFCAE"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729"/>
            <w:vAlign w:val="center"/>
          </w:tcPr>
          <w:p w14:paraId="2C6C5E61"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3BAB3387" w14:textId="77777777" w:rsidR="00D06738">
        <w:trPr>
          <w:jc w:val="center"/>
        </w:trPr>
        <w:tc>
          <w:tcPr>
            <w:tcW w:type="dxa" w:w="817"/>
            <w:vAlign w:val="center"/>
          </w:tcPr>
          <w:p w14:paraId="0425F002" w14:textId="77777777" w:rsidR="00D06738" w:rsidRDefault="00D06738">
            <w:pPr>
              <w:spacing w:before="29" w:line="360" w:lineRule="auto"/>
              <w:ind w:left="17"/>
              <w:jc w:val="center"/>
              <w:rPr>
                <w:rFonts w:asciiTheme="minorEastAsia" w:cs="宋体" w:eastAsiaTheme="minorEastAsia" w:hAnsiTheme="minorEastAsia"/>
                <w:color w:themeColor="text1" w:val="000000"/>
                <w:kern w:val="0"/>
              </w:rPr>
            </w:pPr>
          </w:p>
        </w:tc>
        <w:tc>
          <w:tcPr>
            <w:tcW w:type="dxa" w:w="3260"/>
            <w:vAlign w:val="center"/>
          </w:tcPr>
          <w:p w14:paraId="3E7538AB"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其中：政策性金融债</w:t>
            </w:r>
          </w:p>
        </w:tc>
        <w:tc>
          <w:tcPr>
            <w:tcW w:type="dxa" w:w="2949"/>
            <w:vAlign w:val="center"/>
          </w:tcPr>
          <w:p w14:paraId="320BDDF3"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proofErr w:type="spellEnd"/>
            <w:r>
              <w:rPr>
                <w:rFonts w:asciiTheme="minorEastAsia" w:cs="宋体" w:eastAsiaTheme="minorEastAsia" w:hAnsiTheme="minorEastAsia"/>
                <w:color w:themeColor="text1" w:val="000000"/>
                <w:kern w:val="0"/>
              </w:rPr>
              <w:t>-</w:t>
            </w:r>
          </w:p>
        </w:tc>
        <w:tc>
          <w:tcPr>
            <w:tcW w:type="dxa" w:w="1729"/>
            <w:vAlign w:val="center"/>
          </w:tcPr>
          <w:p w14:paraId="0C4E875A"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
            </w:r>
            <w:r>
              <w:rPr>
                <w:rFonts w:asciiTheme="minorEastAsia" w:cs="宋体" w:eastAsiaTheme="minorEastAsia" w:hAnsiTheme="minorEastAsia"/>
                <w:color w:themeColor="text1" w:val="000000"/>
                <w:kern w:val="0"/>
              </w:rPr>
              <w:lastRenderedPageBreak/>
              <w:t>-</w:t>
            </w:r>
          </w:p>
        </w:tc>
      </w:tr>
      <w:tr w14:paraId="657F6448" w14:textId="77777777" w:rsidR="00D06738">
        <w:trPr>
          <w:jc w:val="center"/>
        </w:trPr>
        <w:tc>
          <w:tcPr>
            <w:tcW w:type="dxa" w:w="817"/>
            <w:vAlign w:val="center"/>
          </w:tcPr>
          <w:p w14:paraId="31E4A5D9"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4</w:t>
            </w:r>
          </w:p>
        </w:tc>
        <w:tc>
          <w:tcPr>
            <w:tcW w:type="dxa" w:w="3260"/>
            <w:vAlign w:val="center"/>
          </w:tcPr>
          <w:p w14:paraId="2BBB4D93"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企业债券</w:t>
            </w:r>
          </w:p>
        </w:tc>
        <w:tc>
          <w:tcPr>
            <w:tcW w:type="dxa" w:w="2949"/>
            <w:vAlign w:val="center"/>
          </w:tcPr>
          <w:p w14:paraId="4B9BCEC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729"/>
            <w:vAlign w:val="center"/>
          </w:tcPr>
          <w:p w14:paraId="335881F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56B3DD42" w14:textId="77777777" w:rsidR="00D06738">
        <w:trPr>
          <w:jc w:val="center"/>
        </w:trPr>
        <w:tc>
          <w:tcPr>
            <w:tcW w:type="dxa" w:w="817"/>
            <w:vAlign w:val="center"/>
          </w:tcPr>
          <w:p w14:paraId="6336FFC9"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5</w:t>
            </w:r>
          </w:p>
        </w:tc>
        <w:tc>
          <w:tcPr>
            <w:tcW w:type="dxa" w:w="3260"/>
            <w:vAlign w:val="center"/>
          </w:tcPr>
          <w:p w14:paraId="4FFFB5DC"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企业短期融资</w:t>
            </w:r>
            <w:proofErr w:type="gramStart"/>
            <w:r>
              <w:rPr>
                <w:rFonts w:asciiTheme="minorEastAsia" w:cs="宋体" w:eastAsiaTheme="minorEastAsia" w:hAnsiTheme="minorEastAsia" w:hint="eastAsia"/>
                <w:color w:themeColor="text1" w:val="000000"/>
                <w:kern w:val="0"/>
              </w:rPr>
              <w:t>券</w:t>
            </w:r>
            <w:proofErr w:type="gramEnd"/>
          </w:p>
        </w:tc>
        <w:tc>
          <w:tcPr>
            <w:tcW w:type="dxa" w:w="2949"/>
            <w:vAlign w:val="center"/>
          </w:tcPr>
          <w:p w14:paraId="1FF08BB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729"/>
            <w:vAlign w:val="center"/>
          </w:tcPr>
          <w:p w14:paraId="6A2CE0A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42B4E5A1" w14:textId="77777777" w:rsidR="00D06738">
        <w:trPr>
          <w:jc w:val="center"/>
        </w:trPr>
        <w:tc>
          <w:tcPr>
            <w:tcW w:type="dxa" w:w="817"/>
            <w:vAlign w:val="center"/>
          </w:tcPr>
          <w:p w14:paraId="4D3BFE59"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6</w:t>
            </w:r>
          </w:p>
        </w:tc>
        <w:tc>
          <w:tcPr>
            <w:tcW w:type="dxa" w:w="3260"/>
            <w:vAlign w:val="center"/>
          </w:tcPr>
          <w:p w14:paraId="11998037"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中期票据</w:t>
            </w:r>
          </w:p>
        </w:tc>
        <w:tc>
          <w:tcPr>
            <w:tcW w:type="dxa" w:w="2949"/>
            <w:vAlign w:val="center"/>
          </w:tcPr>
          <w:p w14:paraId="48D87654"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729"/>
            <w:vAlign w:val="center"/>
          </w:tcPr>
          <w:p w14:paraId="33403EC5"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252F7F28" w14:textId="77777777" w:rsidR="00D06738">
        <w:trPr>
          <w:jc w:val="center"/>
        </w:trPr>
        <w:tc>
          <w:tcPr>
            <w:tcW w:type="dxa" w:w="817"/>
            <w:vAlign w:val="center"/>
          </w:tcPr>
          <w:p w14:paraId="30DA3811"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7</w:t>
            </w:r>
          </w:p>
        </w:tc>
        <w:tc>
          <w:tcPr>
            <w:tcW w:type="dxa" w:w="3260"/>
            <w:vAlign w:val="center"/>
          </w:tcPr>
          <w:p w14:paraId="3EA5B134"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可转债（可交换债）</w:t>
            </w:r>
          </w:p>
        </w:tc>
        <w:tc>
          <w:tcPr>
            <w:tcW w:type="dxa" w:w="2949"/>
            <w:vAlign w:val="center"/>
          </w:tcPr>
          <w:p w14:paraId="758BE73D"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30,000.00</w:t>
            </w:r>
          </w:p>
        </w:tc>
        <w:tc>
          <w:tcPr>
            <w:tcW w:type="dxa" w:w="1729"/>
            <w:vAlign w:val="center"/>
          </w:tcPr>
          <w:p w14:paraId="1332F6B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0.06</w:t>
            </w:r>
          </w:p>
        </w:tc>
      </w:tr>
      <w:tr w14:paraId="02BDAB54" w14:textId="77777777" w:rsidR="00D06738">
        <w:trPr>
          <w:jc w:val="center"/>
        </w:trPr>
        <w:tc>
          <w:tcPr>
            <w:tcW w:type="dxa" w:w="817"/>
            <w:vAlign w:val="center"/>
          </w:tcPr>
          <w:p w14:paraId="2A2DEF9C"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8</w:t>
            </w:r>
          </w:p>
        </w:tc>
        <w:tc>
          <w:tcPr>
            <w:tcW w:type="dxa" w:w="3260"/>
            <w:vAlign w:val="center"/>
          </w:tcPr>
          <w:p w14:paraId="3F4DF17D"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同业存单</w:t>
            </w:r>
          </w:p>
        </w:tc>
        <w:tc>
          <w:tcPr>
            <w:tcW w:type="dxa" w:w="2949"/>
            <w:vAlign w:val="center"/>
          </w:tcPr>
          <w:p w14:paraId="2C361CA2"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729"/>
            <w:vAlign w:val="center"/>
          </w:tcPr>
          <w:p w14:paraId="32F52C9F"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proofErr w:type="spellEnd"/>
            <w:r>
              <w:rPr>
                <w:rFonts w:asciiTheme="minorEastAsia" w:cs="宋体" w:eastAsiaTheme="minorEastAsia" w:hAnsiTheme="minorEastAsia" w:hint="eastAsia"/>
                <w:color w:themeColor="text1" w:val="000000"/>
                <w:kern w:val="0"/>
              </w:rPr>
              <w:t>-</w:t>
            </w:r>
          </w:p>
        </w:tc>
      </w:tr>
      <w:tr w14:paraId="4BF9E909" w14:textId="77777777" w:rsidR="00D06738">
        <w:trPr>
          <w:jc w:val="center"/>
        </w:trPr>
        <w:tc>
          <w:tcPr>
            <w:tcW w:type="dxa" w:w="817"/>
            <w:vAlign w:val="center"/>
          </w:tcPr>
          <w:p w14:paraId="4FD1CF99"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9</w:t>
            </w:r>
          </w:p>
        </w:tc>
        <w:tc>
          <w:tcPr>
            <w:tcW w:type="dxa" w:w="3260"/>
            <w:vAlign w:val="center"/>
          </w:tcPr>
          <w:p w14:paraId="3F15FDDE"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w:t>
            </w:r>
          </w:p>
        </w:tc>
        <w:tc>
          <w:tcPr>
            <w:tcW w:type="dxa" w:w="2949"/>
            <w:vAlign w:val="center"/>
          </w:tcPr>
          <w:p w14:paraId="49B90CF5"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729"/>
            <w:vAlign w:val="center"/>
          </w:tcPr>
          <w:p w14:paraId="5B32EEA4"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2A65AD33" w14:textId="77777777" w:rsidR="00D06738">
        <w:trPr>
          <w:jc w:val="center"/>
        </w:trPr>
        <w:tc>
          <w:tcPr>
            <w:tcW w:type="dxa" w:w="817"/>
            <w:vAlign w:val="center"/>
          </w:tcPr>
          <w:p w14:paraId="4D6DE7D8"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10</w:t>
            </w:r>
          </w:p>
        </w:tc>
        <w:tc>
          <w:tcPr>
            <w:tcW w:type="dxa" w:w="3260"/>
            <w:vAlign w:val="center"/>
          </w:tcPr>
          <w:p w14:paraId="0C6420B0"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2949"/>
            <w:vAlign w:val="center"/>
          </w:tcPr>
          <w:p w14:paraId="7846C3E5"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30,000.00</w:t>
            </w:r>
          </w:p>
        </w:tc>
        <w:tc>
          <w:tcPr>
            <w:tcW w:type="dxa" w:w="1729"/>
            <w:vAlign w:val="center"/>
          </w:tcPr>
          <w:p w14:paraId="4DD61EBA"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0.06</w:t>
            </w:r>
          </w:p>
        </w:tc>
      </w:tr>
    </w:tbl>
    <w:p w14:paraId="6542573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D1805F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5.5 </w:t>
      </w:r>
      <w:r>
        <w:rPr>
          <w:rFonts w:asciiTheme="minorEastAsia" w:eastAsiaTheme="minorEastAsia" w:hAnsiTheme="minorEastAsia" w:hint="eastAsia"/>
          <w:b/>
          <w:bCs/>
          <w:color w:themeColor="text1" w:val="000000"/>
          <w:kern w:val="0"/>
          <w:sz w:val="24"/>
          <w:szCs w:val="24"/>
        </w:rPr>
        <w:t>报告期末按公允价值占基金资产净值比例大小排序的前五名债券投资明细</w:t>
      </w:r>
    </w:p>
    <w:tbl>
      <w:tblPr>
        <w:tblStyle w:val="aff4"/>
        <w:tblW w:type="dxa" w:w="8528"/>
        <w:tblLayout w:type="fixed"/>
        <w:tblLook w:firstColumn="1" w:firstRow="1" w:lastColumn="0" w:lastRow="0" w:noHBand="0" w:noVBand="1" w:val="04A0"/>
      </w:tblPr>
      <w:tblGrid>
        <w:gridCol w:w="1252"/>
        <w:gridCol w:w="1310"/>
        <w:gridCol w:w="1282"/>
        <w:gridCol w:w="1426"/>
        <w:gridCol w:w="1646"/>
        <w:gridCol w:w="1612"/>
      </w:tblGrid>
      <w:tr w14:paraId="18E25130" w14:textId="77777777" w:rsidR="00D06738">
        <w:tc>
          <w:tcPr>
            <w:tcW w:type="dxa" w:w="1252"/>
            <w:vAlign w:val="center"/>
          </w:tcPr>
          <w:p w14:paraId="5DA97E50"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1310"/>
            <w:vAlign w:val="center"/>
          </w:tcPr>
          <w:p w14:paraId="4A5FBBFF"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债券代码</w:t>
            </w:r>
          </w:p>
        </w:tc>
        <w:tc>
          <w:tcPr>
            <w:tcW w:type="dxa" w:w="1282"/>
            <w:vAlign w:val="center"/>
          </w:tcPr>
          <w:p w14:paraId="55BC05EB"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债券名称</w:t>
            </w:r>
          </w:p>
        </w:tc>
        <w:tc>
          <w:tcPr>
            <w:tcW w:type="dxa" w:w="1426"/>
            <w:vAlign w:val="center"/>
          </w:tcPr>
          <w:p w14:paraId="293BF1DF"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数量(张)</w:t>
            </w:r>
          </w:p>
        </w:tc>
        <w:tc>
          <w:tcPr>
            <w:tcW w:type="dxa" w:w="1646"/>
            <w:vAlign w:val="center"/>
          </w:tcPr>
          <w:p w14:paraId="7BBAC842"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公允价值</w:t>
            </w:r>
            <w:r>
              <w:rPr>
                <w:rFonts w:asciiTheme="minorEastAsia" w:cs="宋体" w:eastAsiaTheme="minorEastAsia" w:hAnsiTheme="minorEastAsia"/>
                <w:color w:themeColor="text1" w:val="000000"/>
                <w:kern w:val="0"/>
              </w:rPr>
              <w:t>(</w:t>
            </w:r>
            <w:r>
              <w:rPr>
                <w:rFonts w:asciiTheme="minorEastAsia" w:cs="宋体" w:eastAsiaTheme="minorEastAsia" w:hAnsiTheme="minorEastAsia" w:hint="eastAsia"/>
                <w:color w:themeColor="text1" w:val="000000"/>
                <w:kern w:val="0"/>
              </w:rPr>
              <w:t>元</w:t>
            </w:r>
            <w:r>
              <w:rPr>
                <w:rFonts w:asciiTheme="minorEastAsia" w:cs="宋体" w:eastAsiaTheme="minorEastAsia" w:hAnsiTheme="minorEastAsia"/>
                <w:color w:themeColor="text1" w:val="000000"/>
                <w:kern w:val="0"/>
              </w:rPr>
              <w:t>)</w:t>
            </w:r>
          </w:p>
        </w:tc>
        <w:tc>
          <w:tcPr>
            <w:tcW w:type="dxa" w:w="1612"/>
            <w:vAlign w:val="center"/>
          </w:tcPr>
          <w:p w14:paraId="47A17A6C"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占基金资产净值比例(％)</w:t>
            </w:r>
          </w:p>
        </w:tc>
      </w:tr>
      <w:tr>
        <w:tc>
          <w:tcPr>
            <w:vAlign w:val="center"/>
          </w:tcPr>
          <w:p>
            <w:pPr>
              <w:jc w:val="center"/>
            </w:pPr>
            <w:r>
              <w:rPr>
                <w:rFonts w:asciiTheme="minorEastAsia" w:cs="宋体" w:eastAsiaTheme="minorEastAsia" w:hAnsiTheme="minorEastAsia"/>
                <w:color w:themeColor="text1" w:val="000000"/>
                <w:kern w:val="0"/>
              </w:rPr>
              <w:t>1</w:t>
            </w:r>
          </w:p>
        </w:tc>
        <w:tc>
          <w:tcPr>
            <w:vAlign w:val="center"/>
          </w:tcPr>
          <w:p>
            <w:pPr>
              <w:jc w:val="center"/>
            </w:pPr>
            <w:r>
              <w:rPr>
                <w:rFonts w:asciiTheme="minorEastAsia" w:cs="宋体" w:eastAsiaTheme="minorEastAsia" w:hAnsiTheme="minorEastAsia"/>
                <w:color w:themeColor="text1" w:val="000000"/>
                <w:kern w:val="0"/>
              </w:rPr>
              <w:t>113616</w:t>
            </w:r>
          </w:p>
        </w:tc>
        <w:tc>
          <w:tcPr>
            <w:vAlign w:val="center"/>
          </w:tcPr>
          <w:p>
            <w:pPr>
              <w:jc w:val="center"/>
            </w:pPr>
            <w:r>
              <w:rPr>
                <w:rFonts w:asciiTheme="minorEastAsia" w:cs="宋体" w:eastAsiaTheme="minorEastAsia" w:hAnsiTheme="minorEastAsia"/>
                <w:color w:themeColor="text1" w:val="000000"/>
                <w:kern w:val="0"/>
              </w:rPr>
              <w:t>韦尔转债</w:t>
            </w:r>
          </w:p>
        </w:tc>
        <w:tc>
          <w:tcPr>
            <w:vAlign w:val="center"/>
          </w:tcPr>
          <w:p>
            <w:pPr>
              <w:jc w:val="right"/>
            </w:pPr>
            <w:r>
              <w:rPr>
                <w:rFonts w:asciiTheme="minorEastAsia" w:cs="宋体" w:eastAsiaTheme="minorEastAsia" w:hAnsiTheme="minorEastAsia"/>
                <w:color w:themeColor="text1" w:val="000000"/>
                <w:kern w:val="0"/>
              </w:rPr>
              <w:t>300</w:t>
            </w:r>
          </w:p>
        </w:tc>
        <w:tc>
          <w:tcPr>
            <w:vAlign w:val="center"/>
          </w:tcPr>
          <w:p>
            <w:pPr>
              <w:jc w:val="right"/>
            </w:pPr>
            <w:r>
              <w:rPr>
                <w:rFonts w:asciiTheme="minorEastAsia" w:cs="宋体" w:eastAsiaTheme="minorEastAsia" w:hAnsiTheme="minorEastAsia"/>
                <w:color w:themeColor="text1" w:val="000000"/>
                <w:kern w:val="0"/>
              </w:rPr>
              <w:t>30,000.00</w:t>
            </w:r>
          </w:p>
        </w:tc>
        <w:tc>
          <w:tcPr>
            <w:vAlign w:val="center"/>
          </w:tcPr>
          <w:p>
            <w:pPr>
              <w:jc w:val="right"/>
            </w:pPr>
            <w:r>
              <w:rPr>
                <w:rFonts w:asciiTheme="minorEastAsia" w:cs="宋体" w:eastAsiaTheme="minorEastAsia" w:hAnsiTheme="minorEastAsia"/>
                <w:color w:themeColor="text1" w:val="000000"/>
                <w:kern w:val="0"/>
              </w:rPr>
              <w:t>0.06</w:t>
            </w:r>
          </w:p>
        </w:tc>
      </w:tr>
    </w:tbl>
    <w:p w14:paraId="021C2896"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0D4DC30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lastRenderedPageBreak/>
        <w:t xml:space="preserve">5.6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报告期末按公允价值占基金资产净值比例大小排序的前十名资产支持证券投资明细</w:t>
      </w:r>
    </w:p>
    <w:p w14:paraId="5BA223B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本基金本报告期末未持有资产支持证券。</w:t>
      </w:r>
    </w:p>
    <w:p w14:paraId="7641962C"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sz w:val="24"/>
          <w:szCs w:val="24"/>
        </w:rPr>
      </w:pPr>
    </w:p>
    <w:p w14:paraId="4D2AFCA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7 报告期末按公允价值占基金资产净值比例大小排序的前五名贵金属投资明细</w:t>
      </w:r>
    </w:p>
    <w:p w14:paraId="5072D892" w14:textId="77777777" w:rsidR="00D06738" w:rsidRDefault="00454D20">
      <w:pPr>
        <w:widowControl/>
        <w:spacing w:line="360" w:lineRule="auto"/>
        <w:jc w:val="left"/>
        <w:rPr>
          <w:rFonts w:ascii="宋体" w:hAnsi="宋体"/>
          <w:color w:themeColor="text1" w:val="000000"/>
        </w:rPr>
      </w:pPr>
      <w:r>
        <w:rPr>
          <w:rFonts w:ascii="宋体" w:hAnsi="宋体"/>
          <w:color w:themeColor="text1" w:val="000000"/>
        </w:rPr>
        <w:t/>
      </w:r>
      <w:proofErr w:type="spellStart"/>
      <w:r>
        <w:rPr>
          <w:rFonts w:ascii="宋体" w:hAnsi="宋体"/>
          <w:color w:themeColor="text1" w:val="000000"/>
        </w:rPr>
        <w:t/>
      </w:r>
      <w:proofErr w:type="gramStart"/>
      <w:r>
        <w:rPr>
          <w:rFonts w:ascii="宋体" w:hAnsi="宋体"/>
          <w:color w:themeColor="text1" w:val="000000"/>
        </w:rPr>
        <w:t/>
      </w:r>
      <w:proofErr w:type="spellEnd"/>
      <w:r>
        <w:rPr>
          <w:rFonts w:ascii="宋体" w:hAnsi="宋体"/>
          <w:color w:themeColor="text1" w:val="000000"/>
        </w:rPr>
        <w:t/>
      </w:r>
      <w:proofErr w:type="spellStart"/>
      <w:proofErr w:type="gramEnd"/>
      <w:r>
        <w:rPr>
          <w:rFonts w:ascii="宋体" w:hAnsi="宋体"/>
          <w:color w:themeColor="text1" w:val="000000"/>
        </w:rPr>
        <w:t/>
      </w:r>
      <w:proofErr w:type="spellEnd"/>
      <w:r>
        <w:rPr>
          <w:rFonts w:ascii="宋体" w:hAnsi="宋体"/>
          <w:color w:themeColor="text1" w:val="000000"/>
        </w:rPr>
        <w:t>本基金本报告期末未持有贵金属。</w:t>
      </w:r>
    </w:p>
    <w:p w14:paraId="60EB37E6"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ACC4ABF"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报告期末按公允价值占基金资产净值比例大小排序的前五名权证投资明细</w:t>
      </w:r>
    </w:p>
    <w:p w14:paraId="5CD73A7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本基金本报告期末未持有权证。</w:t>
      </w:r>
    </w:p>
    <w:p w14:paraId="47EB757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2F0769C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5.9 报告期末本基金投资的股指期货交易情况说明</w:t>
      </w:r>
    </w:p>
    <w:p w14:paraId="73A71E08"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本基金本报告期末未持有股指期货。</w:t>
      </w:r>
    </w:p>
    <w:p w14:paraId="6D381369" w14:textId="77777777" w:rsidR="00D06738" w:rsidRDefault="00D06738">
      <w:pPr>
        <w:adjustRightInd w:val="0"/>
        <w:snapToGrid w:val="0"/>
        <w:spacing w:line="360" w:lineRule="exact"/>
        <w:rPr>
          <w:rFonts w:asciiTheme="minorEastAsia" w:eastAsiaTheme="minorEastAsia" w:hAnsiTheme="minorEastAsia"/>
          <w:color w:themeColor="text1" w:val="000000"/>
          <w:sz w:val="24"/>
          <w:szCs w:val="24"/>
        </w:rPr>
      </w:pPr>
    </w:p>
    <w:p w14:paraId="288DDC9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5.10报告期末本基金投资的国债期货交易情况说明</w:t>
      </w:r>
    </w:p>
    <w:p w14:paraId="5490A7F4"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lastRenderedPageBreak/>
        <w:t/>
      </w:r>
      <w:proofErr w:type="spellStart"/>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
      </w:r>
      <w:proofErr w:type="spellEnd"/>
      <w:r>
        <w:rPr>
          <w:rFonts w:asciiTheme="minorEastAsia" w:eastAsiaTheme="minorEastAsia" w:hAnsiTheme="minorEastAsia" w:hint="eastAsia"/>
          <w:color w:themeColor="text1" w:val="000000"/>
          <w:sz w:val="24"/>
          <w:szCs w:val="24"/>
        </w:rPr>
        <w:t/>
      </w:r>
      <w:r>
        <w:rPr>
          <w:rFonts w:asciiTheme="minorEastAsia" w:eastAsiaTheme="minorEastAsia" w:hAnsiTheme="minorEastAsia"/>
          <w:color w:themeColor="text1" w:val="000000"/>
          <w:sz w:val="24"/>
          <w:szCs w:val="24"/>
        </w:rPr>
        <w:t/>
      </w:r>
      <w:proofErr w:type="spellStart"/>
      <w:proofErr w:type="gramEnd"/>
      <w:r>
        <w:rPr>
          <w:rFonts w:asciiTheme="minorEastAsia" w:eastAsiaTheme="minorEastAsia" w:hAnsiTheme="minorEastAsia"/>
          <w:color w:themeColor="text1" w:val="000000"/>
          <w:sz w:val="24"/>
          <w:szCs w:val="24"/>
        </w:rPr>
        <w:t/>
      </w:r>
      <w:proofErr w:type="spellEnd"/>
      <w:r>
        <w:rPr>
          <w:rFonts w:asciiTheme="minorEastAsia" w:eastAsiaTheme="minorEastAsia" w:hAnsiTheme="minorEastAsia"/>
          <w:color w:themeColor="text1" w:val="000000"/>
          <w:sz w:val="24"/>
          <w:szCs w:val="24"/>
        </w:rPr>
        <w:t>本基金本报告期末未持有国债期货。</w:t>
      </w:r>
    </w:p>
    <w:p w14:paraId="0AD515B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w: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b/>
          <w:bCs/>
          <w:color w:themeColor="text1" w:val="000000"/>
          <w:kern w:val="0"/>
          <w:sz w:val="24"/>
          <w:szCs w:val="24"/>
        </w:rPr>
        <w:t>5.</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投资组合报告附注</w:t>
      </w:r>
    </w:p>
    <w:p w14:paraId="2BAE184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1</w:t>
      </w:r>
      <w:r>
        <w:rPr>
          <w:rFonts w:asciiTheme="minorEastAsia" w:eastAsiaTheme="minorEastAsia" w:hAnsiTheme="minorEastAsia"/>
          <w:color w:themeColor="text1" w:val="000000"/>
          <w:sz w:val="24"/>
          <w:szCs w:val="24"/>
        </w:rPr>
        <w:t>报告期内本基金投资的前十名证券的发行主体本期没有出现被监管部门立案调查，或在报告编制日前一年内受到公开谴责、处罚的情形。</w:t>
      </w:r>
    </w:p>
    <w:p w14:paraId="50E6CBC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2</w:t>
      </w:r>
      <w:r>
        <w:rPr>
          <w:rFonts w:asciiTheme="minorEastAsia" w:eastAsiaTheme="minorEastAsia" w:hAnsiTheme="minorEastAsia"/>
          <w:color w:themeColor="text1" w:val="000000"/>
          <w:sz w:val="24"/>
          <w:szCs w:val="24"/>
        </w:rPr>
        <w:t>报告期内本基金投资的前十名股票中没有在基金合同规定备选股票库之外的股票。</w:t>
      </w:r>
    </w:p>
    <w:p w14:paraId="4124D65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其他资产构成</w:t>
      </w:r>
    </w:p>
    <w:tbl>
      <w:tblPr>
        <w:tblStyle w:val="aff4"/>
        <w:tblW w:type="dxa" w:w="8513"/>
        <w:tblInd w:type="dxa" w:w="15"/>
        <w:tblLayout w:type="fixed"/>
        <w:tblLook w:firstColumn="1" w:firstRow="1" w:lastColumn="0" w:lastRow="0" w:noHBand="0" w:noVBand="1" w:val="04A0"/>
      </w:tblPr>
      <w:tblGrid>
        <w:gridCol w:w="1235"/>
        <w:gridCol w:w="2470"/>
        <w:gridCol w:w="4808"/>
      </w:tblGrid>
      <w:tr w14:paraId="287E547D" w14:textId="77777777" w:rsidR="00D06738">
        <w:tc>
          <w:tcPr>
            <w:tcW w:type="dxa" w:w="1235"/>
            <w:vAlign w:val="center"/>
          </w:tcPr>
          <w:p w14:paraId="3D402FF5"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2470"/>
            <w:vAlign w:val="center"/>
          </w:tcPr>
          <w:p w14:paraId="627CAE1B"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名称</w:t>
            </w:r>
          </w:p>
        </w:tc>
        <w:tc>
          <w:tcPr>
            <w:tcW w:type="dxa" w:w="4808"/>
            <w:vAlign w:val="center"/>
          </w:tcPr>
          <w:p w14:paraId="6430356C"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金额(元)</w:t>
            </w:r>
          </w:p>
        </w:tc>
      </w:tr>
      <w:tr w14:paraId="2C715D80" w14:textId="77777777" w:rsidR="00D06738">
        <w:tc>
          <w:tcPr>
            <w:tcW w:type="dxa" w:w="1235"/>
            <w:vAlign w:val="center"/>
          </w:tcPr>
          <w:p w14:paraId="117C1A9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2470"/>
            <w:vAlign w:val="center"/>
          </w:tcPr>
          <w:p w14:paraId="61153B9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存出保证金</w:t>
            </w:r>
          </w:p>
        </w:tc>
        <w:tc>
          <w:tcPr>
            <w:tcW w:type="dxa" w:w="4808"/>
            <w:vAlign w:val="center"/>
          </w:tcPr>
          <w:p w14:paraId="069C1229"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13,209.15</w:t>
            </w:r>
          </w:p>
        </w:tc>
      </w:tr>
      <w:tr w14:paraId="3C032846" w14:textId="77777777" w:rsidR="00D06738">
        <w:tc>
          <w:tcPr>
            <w:tcW w:type="dxa" w:w="1235"/>
            <w:vAlign w:val="center"/>
          </w:tcPr>
          <w:p w14:paraId="141CD09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2470"/>
            <w:vAlign w:val="center"/>
          </w:tcPr>
          <w:p w14:paraId="307B0992"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应收证券清算款</w:t>
            </w:r>
          </w:p>
        </w:tc>
        <w:tc>
          <w:tcPr>
            <w:tcW w:type="dxa" w:w="4808"/>
            <w:vAlign w:val="center"/>
          </w:tcPr>
          <w:p w14:paraId="7B2B0246"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176311B8" w14:textId="77777777" w:rsidR="00D06738">
        <w:tc>
          <w:tcPr>
            <w:tcW w:type="dxa" w:w="1235"/>
            <w:vAlign w:val="center"/>
          </w:tcPr>
          <w:p w14:paraId="602CCE2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lastRenderedPageBreak/>
              <w:t>3</w:t>
            </w:r>
          </w:p>
        </w:tc>
        <w:tc>
          <w:tcPr>
            <w:tcW w:type="dxa" w:w="2470"/>
            <w:vAlign w:val="center"/>
          </w:tcPr>
          <w:p w14:paraId="31EEC93A"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应收股利</w:t>
            </w:r>
          </w:p>
        </w:tc>
        <w:tc>
          <w:tcPr>
            <w:tcW w:type="dxa" w:w="4808"/>
            <w:vAlign w:val="center"/>
          </w:tcPr>
          <w:p w14:paraId="30AA7BF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6C0EC699" w14:textId="77777777" w:rsidR="00D06738">
        <w:tc>
          <w:tcPr>
            <w:tcW w:type="dxa" w:w="1235"/>
            <w:vAlign w:val="center"/>
          </w:tcPr>
          <w:p w14:paraId="4EAB88E6"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4</w:t>
            </w:r>
          </w:p>
        </w:tc>
        <w:tc>
          <w:tcPr>
            <w:tcW w:type="dxa" w:w="2470"/>
            <w:vAlign w:val="center"/>
          </w:tcPr>
          <w:p w14:paraId="25AFBD3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应收利息</w:t>
            </w:r>
          </w:p>
        </w:tc>
        <w:tc>
          <w:tcPr>
            <w:tcW w:type="dxa" w:w="4808"/>
            <w:vAlign w:val="center"/>
          </w:tcPr>
          <w:p w14:paraId="61FAC2C4"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1,227.87</w:t>
            </w:r>
          </w:p>
        </w:tc>
      </w:tr>
      <w:tr w14:paraId="617FE4E0" w14:textId="77777777" w:rsidR="00D06738">
        <w:tc>
          <w:tcPr>
            <w:tcW w:type="dxa" w:w="1235"/>
            <w:vAlign w:val="center"/>
          </w:tcPr>
          <w:p w14:paraId="0DE5BCEB"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5</w:t>
            </w:r>
          </w:p>
        </w:tc>
        <w:tc>
          <w:tcPr>
            <w:tcW w:type="dxa" w:w="2470"/>
            <w:vAlign w:val="center"/>
          </w:tcPr>
          <w:p w14:paraId="418D350C"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应收申购款</w:t>
            </w:r>
          </w:p>
        </w:tc>
        <w:tc>
          <w:tcPr>
            <w:tcW w:type="dxa" w:w="4808"/>
            <w:vAlign w:val="center"/>
          </w:tcPr>
          <w:p w14:paraId="6138F79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16,493.02</w:t>
            </w:r>
          </w:p>
        </w:tc>
      </w:tr>
      <w:tr w14:paraId="2FF8C6CF" w14:textId="77777777" w:rsidR="00D06738">
        <w:tc>
          <w:tcPr>
            <w:tcW w:type="dxa" w:w="1235"/>
            <w:vAlign w:val="center"/>
          </w:tcPr>
          <w:p w14:paraId="027C50F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6</w:t>
            </w:r>
          </w:p>
        </w:tc>
        <w:tc>
          <w:tcPr>
            <w:tcW w:type="dxa" w:w="2470"/>
            <w:vAlign w:val="center"/>
          </w:tcPr>
          <w:p w14:paraId="763B340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其他应收款</w:t>
            </w:r>
          </w:p>
        </w:tc>
        <w:tc>
          <w:tcPr>
            <w:tcW w:type="dxa" w:w="4808"/>
            <w:vAlign w:val="center"/>
          </w:tcPr>
          <w:p w14:paraId="5846D225"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472C6A37" w14:textId="77777777" w:rsidR="00D06738">
        <w:tc>
          <w:tcPr>
            <w:tcW w:type="dxa" w:w="1235"/>
            <w:vAlign w:val="center"/>
          </w:tcPr>
          <w:p w14:paraId="75EFC63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7</w:t>
            </w:r>
          </w:p>
        </w:tc>
        <w:tc>
          <w:tcPr>
            <w:tcW w:type="dxa" w:w="2470"/>
            <w:vAlign w:val="center"/>
          </w:tcPr>
          <w:p w14:paraId="0A943614" w14:textId="77777777" w:rsidR="00D06738" w:rsidRDefault="00454D20">
            <w:pPr>
              <w:autoSpaceDE w:val="0"/>
              <w:autoSpaceDN w:val="0"/>
              <w:adjustRightInd w:val="0"/>
              <w:spacing w:before="29" w:line="360" w:lineRule="auto"/>
              <w:ind w:left="15"/>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待摊费用</w:t>
            </w:r>
          </w:p>
        </w:tc>
        <w:tc>
          <w:tcPr>
            <w:tcW w:type="dxa" w:w="4808"/>
            <w:vAlign w:val="center"/>
          </w:tcPr>
          <w:p w14:paraId="72EB47BF"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hint="eastAsia"/>
                <w:color w:themeColor="text1" w:val="000000"/>
                <w:kern w:val="0"/>
              </w:rPr>
              <w:t>-</w:t>
            </w:r>
          </w:p>
        </w:tc>
      </w:tr>
      <w:tr w14:paraId="1EB71240" w14:textId="77777777" w:rsidR="00D06738">
        <w:tc>
          <w:tcPr>
            <w:tcW w:type="dxa" w:w="1235"/>
            <w:vAlign w:val="center"/>
          </w:tcPr>
          <w:p w14:paraId="4CA5E701"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8</w:t>
            </w:r>
          </w:p>
        </w:tc>
        <w:tc>
          <w:tcPr>
            <w:tcW w:type="dxa" w:w="2470"/>
            <w:vAlign w:val="center"/>
          </w:tcPr>
          <w:p w14:paraId="139BE609"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w:t>
            </w:r>
          </w:p>
        </w:tc>
        <w:tc>
          <w:tcPr>
            <w:tcW w:type="dxa" w:w="4808"/>
            <w:vAlign w:val="center"/>
          </w:tcPr>
          <w:p w14:paraId="5ED4A47C"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3A99357C" w14:textId="77777777" w:rsidR="00D06738">
        <w:tc>
          <w:tcPr>
            <w:tcW w:type="dxa" w:w="1235"/>
            <w:vAlign w:val="center"/>
          </w:tcPr>
          <w:p w14:paraId="7043D59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9</w:t>
            </w:r>
          </w:p>
        </w:tc>
        <w:tc>
          <w:tcPr>
            <w:tcW w:type="dxa" w:w="2470"/>
            <w:vAlign w:val="center"/>
          </w:tcPr>
          <w:p w14:paraId="756733B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4808"/>
            <w:vAlign w:val="center"/>
          </w:tcPr>
          <w:p w14:paraId="1336DBC1"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30,930.04</w:t>
            </w:r>
          </w:p>
        </w:tc>
      </w:tr>
    </w:tbl>
    <w:p w14:paraId="4676AA60"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5172EF34"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4报告期末持有的处于转股期的可转换债券明细</w:t>
      </w:r>
    </w:p>
    <w:p w14:paraId="0C2B4847"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本基金本报告期末未持有处于转股期的可转换债券。</w:t>
      </w:r>
    </w:p>
    <w:p w14:paraId="73809093"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26374DD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5报告期末前十名股票中存在流通受限情况的说明</w:t>
      </w:r>
    </w:p>
    <w:p w14:paraId="7A502387"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本基金本报告期末前十名股票中不存在流通受限情况。</w:t>
      </w:r>
    </w:p>
    <w:p w14:paraId="6F6FE44E"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329684B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6投资组合报告附注的其他文字描述部分</w:t>
      </w:r>
    </w:p>
    <w:p w14:paraId="536D339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因四舍五入原因，投资组合报告中分项之和与合计可能存在尾差。</w:t>
      </w:r>
    </w:p>
    <w:p w14:paraId="1F6232E1"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6  </w:t>
      </w:r>
      <w:r>
        <w:rPr>
          <w:rFonts w:asciiTheme="minorEastAsia" w:eastAsiaTheme="minorEastAsia" w:hAnsiTheme="minorEastAsia" w:hint="eastAsia"/>
          <w:color w:themeColor="text1" w:val="000000"/>
          <w:kern w:val="0"/>
          <w:sz w:val="24"/>
          <w:szCs w:val="24"/>
        </w:rPr>
        <w:t>开放式基金份额变动</w:t>
      </w:r>
    </w:p>
    <w:p w14:paraId="1546AC98"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4"/>
          <w:szCs w:val="24"/>
        </w:rPr>
      </w:pPr>
      <w:r>
        <w:rPr>
          <w:rFonts w:asciiTheme="minorEastAsia" w:cs="宋体" w:eastAsiaTheme="minorEastAsia" w:hAnsiTheme="minorEastAsia" w:hint="eastAsia"/>
          <w:color w:themeColor="text1" w:val="000000"/>
          <w:kern w:val="0"/>
          <w:sz w:val="24"/>
          <w:szCs w:val="24"/>
        </w:rPr>
        <w:t>单位：份</w:t>
      </w:r>
    </w:p>
    <w:tbl>
      <w:tblPr>
        <w:tblW w:type="dxa" w:w="8634"/>
        <w:tblInd w:type="dxa" w:w="-106"/>
        <w:tblLayout w:type="fixed"/>
        <w:tblLook w:firstColumn="1" w:firstRow="1" w:lastColumn="0" w:lastRow="0" w:noHBand="0" w:noVBand="1" w:val="04A0"/>
      </w:tblPr>
      <w:tblGrid>
        <w:gridCol w:w="4609"/>
        <w:gridCol w:w="4025"/>
      </w:tblGrid>
      <w:tr w14:paraId="73D45AAD"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6363BCBA"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w:t>
            </w:r>
            <w:proofErr w:type="gramStart"/>
            <w:r>
              <w:rPr>
                <w:rFonts w:asciiTheme="minorEastAsia" w:cs="宋体" w:eastAsiaTheme="minorEastAsia" w:hAnsiTheme="minorEastAsia" w:hint="eastAsia"/>
                <w:color w:themeColor="text1" w:val="000000"/>
                <w:kern w:val="0"/>
              </w:rPr>
              <w:t>初基金</w:t>
            </w:r>
            <w:proofErr w:type="gramEnd"/>
            <w:r>
              <w:rPr>
                <w:rFonts w:asciiTheme="minorEastAsia" w:cs="宋体" w:eastAsiaTheme="minorEastAsia" w:hAnsiTheme="minorEastAsia" w:hint="eastAsia"/>
                <w:color w:themeColor="text1" w:val="000000"/>
                <w:kern w:val="0"/>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044C07D0"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gram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gram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39,031,889.78</w:t>
            </w:r>
          </w:p>
        </w:tc>
      </w:tr>
      <w:tr w14:paraId="464FC419"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4A78DD1"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1AF8653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9,347,801.45</w:t>
            </w:r>
          </w:p>
        </w:tc>
      </w:tr>
      <w:tr w14:paraId="17EE7B1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7D22DA1B"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减：</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3D1634A5"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7,755,187.59</w:t>
            </w:r>
          </w:p>
        </w:tc>
      </w:tr>
      <w:tr w14:paraId="465F9B6E"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2F47FA4"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基金拆分变动份额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68D1741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w:t>
            </w:r>
          </w:p>
        </w:tc>
      </w:tr>
      <w:tr w14:paraId="05E8419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5CDA9537"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489B390B"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hint="eastAsia"/>
                <w:color w:themeColor="text1" w:val="000000"/>
              </w:rPr>
              <w:t>40,624,503.64</w:t>
            </w:r>
          </w:p>
        </w:tc>
      </w:tr>
    </w:tbl>
    <w:p w14:paraId="3C94584F" w14:textId="77777777" w:rsidR="00D06738" w:rsidRDefault="00454D20">
      <w:pPr>
        <w:pStyle w:val="1"/>
        <w:tabs>
          <w:tab w:pos="4156" w:val="center"/>
          <w:tab w:pos="8312" w:val="right"/>
        </w:tabs>
        <w:spacing w:after="312" w:afterLines="100" w:before="312" w:beforeLines="100" w:line="360" w:lineRule="auto"/>
        <w:jc w:val="center"/>
        <w:rPr>
          <w:rFonts w:ascii="方正仿宋简体"/>
          <w:color w:themeColor="text1" w:val="000000"/>
          <w:sz w:val="24"/>
          <w:szCs w:val="24"/>
        </w:rPr>
      </w:pPr>
      <w:r>
        <w:rPr>
          <w:rFonts w:asciiTheme="minorEastAsia" w:eastAsiaTheme="minorEastAsia" w:hAnsiTheme="minorEastAsia" w:hint="eastAsia"/>
          <w:color w:themeColor="text1" w:val="000000"/>
          <w:kern w:val="0"/>
          <w:sz w:val="24"/>
          <w:szCs w:val="24"/>
        </w:rPr>
        <w:t/>
      </w:r>
      <w:proofErr w:type="spellStart"/>
      <w:r>
        <w:rPr>
          <w:rFonts w:asciiTheme="minorEastAsia" w:eastAsiaTheme="minorEastAsia" w:hAnsiTheme="minorEastAsia" w:hint="eastAsia"/>
          <w:color w:themeColor="text1" w:val="000000"/>
          <w:kern w:val="0"/>
          <w:sz w:val="24"/>
          <w:szCs w:val="24"/>
        </w:rPr>
        <w:t/>
      </w:r>
      <w:proofErr w:type="spellEnd"/>
      <w:r>
        <w:rPr>
          <w:rFonts w:asciiTheme="minorEastAsia" w:eastAsiaTheme="minorEastAsia" w:hAnsiTheme="minorEastAsia" w:hint="eastAsia"/>
          <w:color w:themeColor="text1" w:val="000000"/>
          <w:kern w:val="0"/>
          <w:sz w:val="24"/>
          <w:szCs w:val="24"/>
        </w:rPr>
        <w:t/>
      </w:r>
      <w:r>
        <w:rPr>
          <w:rFonts w:asciiTheme="minorEastAsia" w:cs="Arial" w:eastAsiaTheme="minorEastAsia" w:hAnsiTheme="minorEastAsia" w:hint="eastAsia"/>
          <w:color w:themeColor="text1" w:val="000000"/>
          <w:kern w:val="0"/>
          <w:sz w:val="24"/>
          <w:szCs w:val="24"/>
        </w:rPr>
        <w:t xml:space="preserve">§7  </w:t>
      </w:r>
      <w:r>
        <w:rPr>
          <w:rFonts w:ascii="方正仿宋简体" w:hint="eastAsia"/>
          <w:color w:themeColor="text1" w:val="000000"/>
          <w:sz w:val="24"/>
          <w:szCs w:val="24"/>
        </w:rPr>
        <w:t>基金管理人运用</w:t>
      </w:r>
      <w:proofErr w:type="gramStart"/>
      <w:r>
        <w:rPr>
          <w:rFonts w:ascii="方正仿宋简体" w:hint="eastAsia"/>
          <w:color w:themeColor="text1" w:val="000000"/>
          <w:sz w:val="24"/>
          <w:szCs w:val="24"/>
        </w:rPr>
        <w:t>固有资金</w:t>
      </w:r>
      <w:proofErr w:type="gramEnd"/>
      <w:r>
        <w:rPr>
          <w:rFonts w:ascii="方正仿宋简体" w:hint="eastAsia"/>
          <w:color w:themeColor="text1" w:val="000000"/>
          <w:sz w:val="24"/>
          <w:szCs w:val="24"/>
        </w:rPr>
        <w:t>投资本基金情况</w:t>
      </w:r>
    </w:p>
    <w:p w14:paraId="220CB641" w14:textId="77777777" w:rsidR="00D06738" w:rsidRDefault="00454D20">
      <w:pPr>
        <w:spacing w:line="360" w:lineRule="auto"/>
        <w:jc w:val="left"/>
        <w:rPr>
          <w:color w:themeColor="text1" w:val="000000"/>
          <w:sz w:val="24"/>
          <w:szCs w:val="24"/>
        </w:rPr>
      </w:pPr>
      <w:r>
        <w:rPr>
          <w:b/>
          <w:color w:themeColor="text1" w:val="000000"/>
          <w:sz w:val="24"/>
        </w:rPr>
        <w:t/>
      </w:r>
      <w:proofErr w:type="spellStart"/>
      <w:r>
        <w:rPr>
          <w:b/>
          <w:color w:themeColor="text1" w:val="000000"/>
          <w:sz w:val="24"/>
        </w:rPr>
        <w:t/>
      </w:r>
      <w:proofErr w:type="gramStart"/>
      <w:r>
        <w:rPr>
          <w:b/>
          <w:color w:themeColor="text1" w:val="000000"/>
          <w:sz w:val="24"/>
        </w:rPr>
        <w:t/>
      </w:r>
      <w:proofErr w:type="spellEnd"/>
      <w:r>
        <w:rPr>
          <w:b/>
          <w:color w:themeColor="text1" w:val="000000"/>
          <w:sz w:val="24"/>
        </w:rPr>
        <w:t/>
      </w:r>
      <w:proofErr w:type="gramEnd"/>
      <w:r>
        <w:rPr>
          <w:b/>
          <w:color w:themeColor="text1" w:val="000000"/>
          <w:sz w:val="24"/>
        </w:rPr>
        <w:t xml:space="preserve">7.1 </w:t>
      </w:r>
      <w:r>
        <w:rPr>
          <w:rFonts w:hint="eastAsia"/>
          <w:b/>
          <w:color w:themeColor="text1" w:val="000000"/>
          <w:sz w:val="24"/>
        </w:rPr>
        <w:t>基金管理人持有本基金份额变动情况</w:t>
      </w:r>
    </w:p>
    <w:p w14:paraId="3105CFED"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cs="宋体" w:eastAsiaTheme="minorEastAsia" w:hAnsiTheme="minorEastAsia"/>
          <w:color w:themeColor="text1" w:val="000000"/>
          <w:kern w:val="0"/>
        </w:rPr>
        <w:t/>
      </w:r>
      <w:proofErr w:type="gramStart"/>
      <w:r>
        <w:rPr>
          <w:rFonts w:asciiTheme="minorEastAsia" w:cs="宋体" w:eastAsiaTheme="minorEastAsia" w:hAnsiTheme="minorEastAsia"/>
          <w:color w:themeColor="text1" w:val="000000"/>
          <w:kern w:val="0"/>
        </w:rPr>
        <w:t/>
      </w:r>
      <w:proofErr w:type="spellStart"/>
      <w:proofErr w:type="gramEnd"/>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无。</w:t>
      </w:r>
    </w:p>
    <w:p w14:paraId="470676A3"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kern w:val="0"/>
          <w:sz w:val="24"/>
        </w:rPr>
      </w:pPr>
    </w:p>
    <w:p w14:paraId="33A50992"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
      </w:r>
      <w:proofErr w:type="spellStart"/>
      <w:r>
        <w:rPr>
          <w:rFonts w:asciiTheme="minorEastAsia" w:eastAsiaTheme="minorEastAsia" w:hAnsiTheme="minorEastAsia" w:hint="eastAsia"/>
          <w:color w:themeColor="text1" w:val="000000"/>
          <w:kern w:val="0"/>
          <w:sz w:val="24"/>
          <w:szCs w:val="24"/>
        </w:rPr>
        <w:t/>
      </w:r>
      <w:proofErr w:type="spellEnd"/>
      <w:r>
        <w:rPr>
          <w:rFonts w:asciiTheme="minorEastAsia" w:eastAsiaTheme="minorEastAsia" w:hAnsiTheme="minorEastAsia" w:hint="eastAsia"/>
          <w:color w:themeColor="text1" w:val="000000"/>
          <w:kern w:val="0"/>
          <w:sz w:val="24"/>
          <w:szCs w:val="24"/>
        </w:rPr>
        <w:t>§8</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影响投资者决策的其他重要信息</w:t>
      </w:r>
    </w:p>
    <w:p w14:paraId="5D6D0054" w14:textId="77777777" w:rsidR="00D06738" w:rsidRDefault="00454D20">
      <w:pPr>
        <w:autoSpaceDE w:val="0"/>
        <w:autoSpaceDN w:val="0"/>
        <w:adjustRightInd w:val="0"/>
        <w:spacing w:line="360" w:lineRule="auto"/>
        <w:jc w:val="left"/>
        <w:rPr>
          <w:rFonts w:ascii="宋体" w:hAnsi="宋体"/>
          <w:b/>
          <w:bCs/>
          <w:color w:val="000000"/>
          <w:kern w:val="0"/>
          <w:sz w:val="24"/>
          <w:szCs w:val="24"/>
        </w:rPr>
      </w:pPr>
      <w:r>
        <w:rPr>
          <w:rFonts w:ascii="宋体" w:hAnsi="宋体"/>
          <w:b/>
          <w:color w:val="000000"/>
          <w:kern w:val="0"/>
          <w:sz w:val="24"/>
          <w:szCs w:val="24"/>
        </w:rPr>
        <w:t/>
      </w:r>
      <w:proofErr w:type="spellStart"/>
      <w:r>
        <w:rPr>
          <w:rFonts w:ascii="宋体" w:hAnsi="宋体"/>
          <w:b/>
          <w:color w:val="000000"/>
          <w:kern w:val="0"/>
          <w:sz w:val="24"/>
          <w:szCs w:val="24"/>
        </w:rPr>
        <w:t/>
      </w:r>
      <w:proofErr w:type="gramStart"/>
      <w:r>
        <w:rPr>
          <w:rFonts w:ascii="宋体" w:hAnsi="宋体"/>
          <w:b/>
          <w:color w:val="000000"/>
          <w:kern w:val="0"/>
          <w:sz w:val="24"/>
          <w:szCs w:val="24"/>
        </w:rPr>
        <w:t/>
      </w:r>
      <w:proofErr w:type="spellEnd"/>
      <w:r>
        <w:rPr>
          <w:rFonts w:ascii="宋体" w:hAnsi="宋体"/>
          <w:b/>
          <w:color w:val="000000"/>
          <w:kern w:val="0"/>
          <w:sz w:val="24"/>
          <w:szCs w:val="24"/>
        </w:rPr>
        <w:t/>
      </w:r>
      <w:r>
        <w:rPr>
          <w:rFonts w:ascii="宋体" w:hAnsi="宋体"/>
          <w:b/>
          <w:bCs/>
          <w:color w:val="000000"/>
          <w:kern w:val="0"/>
          <w:sz w:val="24"/>
          <w:szCs w:val="24"/>
        </w:rPr>
        <w:t/>
      </w:r>
      <w:proofErr w:type="gramEnd"/>
      <w:r>
        <w:rPr>
          <w:rFonts w:ascii="宋体" w:hAnsi="宋体"/>
          <w:b/>
          <w:bCs/>
          <w:color w:val="000000"/>
          <w:kern w:val="0"/>
          <w:sz w:val="24"/>
          <w:szCs w:val="24"/>
        </w:rPr>
        <w:t>8.</w:t>
      </w:r>
      <w:r>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14:paraId="6DA9C89A" w14:textId="77777777" w:rsidR="00D06738">
        <w:tc>
          <w:tcPr>
            <w:tcW w:type="dxa" w:w="993"/>
            <w:vMerge w:val="restart"/>
            <w:vAlign w:val="center"/>
          </w:tcPr>
          <w:p w14:paraId="39B26BA3" w14:textId="77777777" w:rsidR="00D06738" w:rsidRDefault="00454D20">
            <w:pPr>
              <w:autoSpaceDE w:val="0"/>
              <w:autoSpaceDN w:val="0"/>
              <w:adjustRightInd w:val="0"/>
              <w:jc w:val="center"/>
              <w:rPr>
                <w:rFonts w:ascii="宋体" w:hAnsi="宋体"/>
                <w:b/>
                <w:bCs/>
                <w:color w:val="000000"/>
                <w:kern w:val="0"/>
              </w:rPr>
            </w:pPr>
            <w:r>
              <w:rPr>
                <w:rFonts w:ascii="宋体" w:hAnsi="宋体" w:hint="eastAsia"/>
                <w:color w:val="000000"/>
                <w:kern w:val="0"/>
              </w:rPr>
              <w:lastRenderedPageBreak/>
              <w:t>投资者类别</w:t>
            </w:r>
            <w:r>
              <w:rPr>
                <w:rFonts w:ascii="宋体" w:hAnsi="宋体"/>
                <w:color w:val="000000"/>
                <w:kern w:val="0"/>
              </w:rPr>
              <w:t/>
            </w:r>
            <w:proofErr w:type="spellStart"/>
            <w:r>
              <w:rPr>
                <w:rFonts w:ascii="宋体" w:hAnsi="宋体"/>
                <w:color w:val="000000"/>
                <w:kern w:val="0"/>
              </w:rPr>
              <w:t/>
            </w:r>
            <w:proofErr w:type="spellEnd"/>
            <w:r>
              <w:rPr>
                <w:rFonts w:ascii="宋体" w:hAnsi="宋体"/>
                <w:color w:val="000000"/>
                <w:kern w:val="0"/>
              </w:rPr>
              <w:t/>
            </w:r>
            <w:proofErr w:type="spellStart"/>
            <w:r>
              <w:rPr>
                <w:rFonts w:ascii="宋体" w:hAnsi="宋体"/>
                <w:color w:val="000000"/>
                <w:kern w:val="0"/>
              </w:rPr>
              <w:t/>
            </w:r>
            <w:proofErr w:type="spellEnd"/>
            <w:r>
              <w:rPr>
                <w:rFonts w:ascii="宋体" w:hAnsi="宋体"/>
                <w:color w:val="000000"/>
                <w:kern w:val="0"/>
              </w:rPr>
              <w:t xml:space="preserve">  </w:t>
            </w:r>
          </w:p>
        </w:tc>
        <w:tc>
          <w:tcPr>
            <w:tcW w:type="dxa" w:w="5670"/>
            <w:gridSpan w:val="5"/>
            <w:vAlign w:val="center"/>
          </w:tcPr>
          <w:p w14:paraId="0CD80CE2" w14:textId="77777777" w:rsidR="00D06738" w:rsidRDefault="00454D20">
            <w:pPr>
              <w:autoSpaceDE w:val="0"/>
              <w:autoSpaceDN w:val="0"/>
              <w:adjustRightInd w:val="0"/>
              <w:jc w:val="center"/>
              <w:rPr>
                <w:rFonts w:ascii="宋体" w:hAnsi="宋体"/>
                <w:b/>
                <w:bCs/>
                <w:color w:val="000000"/>
                <w:kern w:val="0"/>
              </w:rPr>
            </w:pPr>
            <w:r>
              <w:rPr>
                <w:rFonts w:ascii="宋体" w:hAnsi="宋体" w:hint="eastAsia"/>
                <w:color w:val="000000"/>
                <w:kern w:val="0"/>
              </w:rPr>
              <w:t>报告期内持有基金份额变化情况</w:t>
            </w:r>
          </w:p>
        </w:tc>
        <w:tc>
          <w:tcPr>
            <w:tcW w:type="dxa" w:w="2549"/>
            <w:gridSpan w:val="2"/>
            <w:vAlign w:val="center"/>
          </w:tcPr>
          <w:p w14:paraId="5772E436" w14:textId="77777777" w:rsidR="00D06738" w:rsidRDefault="00454D20">
            <w:pPr>
              <w:autoSpaceDE w:val="0"/>
              <w:autoSpaceDN w:val="0"/>
              <w:adjustRightInd w:val="0"/>
              <w:jc w:val="center"/>
              <w:rPr>
                <w:rFonts w:ascii="宋体" w:hAnsi="宋体"/>
                <w:b/>
                <w:bCs/>
                <w:color w:val="000000"/>
                <w:kern w:val="0"/>
              </w:rPr>
            </w:pPr>
            <w:r>
              <w:rPr>
                <w:rFonts w:ascii="宋体" w:hAnsi="宋体" w:hint="eastAsia"/>
                <w:color w:val="000000"/>
                <w:kern w:val="0"/>
              </w:rPr>
              <w:t>报告期末持有基金情况</w:t>
            </w:r>
          </w:p>
        </w:tc>
      </w:tr>
      <w:tr w14:paraId="217CE8FE" w14:textId="77777777" w:rsidR="00D06738">
        <w:tc>
          <w:tcPr>
            <w:tcW w:type="dxa" w:w="993"/>
            <w:vMerge/>
            <w:vAlign w:val="center"/>
          </w:tcPr>
          <w:p w14:paraId="2581A5BF" w14:textId="77777777" w:rsidR="00D06738" w:rsidRDefault="00D06738">
            <w:pPr>
              <w:autoSpaceDE w:val="0"/>
              <w:autoSpaceDN w:val="0"/>
              <w:adjustRightInd w:val="0"/>
              <w:jc w:val="center"/>
              <w:rPr>
                <w:rFonts w:ascii="宋体" w:hAnsi="宋体"/>
                <w:b/>
                <w:bCs/>
                <w:color w:val="000000"/>
                <w:kern w:val="0"/>
              </w:rPr>
            </w:pPr>
          </w:p>
        </w:tc>
        <w:tc>
          <w:tcPr>
            <w:tcW w:type="dxa" w:w="992"/>
            <w:vAlign w:val="center"/>
          </w:tcPr>
          <w:p w14:paraId="79C05624" w14:textId="77777777" w:rsidR="00D06738" w:rsidRDefault="00454D20">
            <w:pPr>
              <w:autoSpaceDE w:val="0"/>
              <w:autoSpaceDN w:val="0"/>
              <w:adjustRightInd w:val="0"/>
              <w:jc w:val="center"/>
              <w:rPr>
                <w:rFonts w:ascii="宋体" w:hAnsi="宋体"/>
                <w:b/>
                <w:bCs/>
                <w:color w:val="000000"/>
                <w:kern w:val="0"/>
              </w:rPr>
            </w:pPr>
            <w:r>
              <w:rPr>
                <w:rFonts w:ascii="宋体" w:hAnsi="宋体" w:hint="eastAsia"/>
                <w:color w:val="000000"/>
                <w:kern w:val="0"/>
              </w:rPr>
              <w:t>序号</w:t>
            </w:r>
          </w:p>
        </w:tc>
        <w:tc>
          <w:tcPr>
            <w:tcW w:type="dxa" w:w="1843"/>
            <w:vAlign w:val="center"/>
          </w:tcPr>
          <w:p w14:paraId="62B5A766" w14:textId="77777777" w:rsidR="00D06738" w:rsidRDefault="00454D20">
            <w:pPr>
              <w:autoSpaceDE w:val="0"/>
              <w:autoSpaceDN w:val="0"/>
              <w:adjustRightInd w:val="0"/>
              <w:jc w:val="center"/>
              <w:rPr>
                <w:rFonts w:ascii="宋体" w:hAnsi="宋体"/>
                <w:b/>
                <w:bCs/>
                <w:color w:val="000000"/>
                <w:kern w:val="0"/>
              </w:rPr>
            </w:pPr>
            <w:r>
              <w:rPr>
                <w:rFonts w:ascii="宋体" w:hAnsi="宋体" w:hint="eastAsia"/>
                <w:color w:val="000000"/>
                <w:kern w:val="0"/>
              </w:rPr>
              <w:t>持有基金份额比例达到或者超过20%的时间区间</w:t>
            </w:r>
          </w:p>
        </w:tc>
        <w:tc>
          <w:tcPr>
            <w:tcW w:type="dxa" w:w="851"/>
            <w:vAlign w:val="center"/>
          </w:tcPr>
          <w:p w14:paraId="6DE3EBDD" w14:textId="77777777" w:rsidR="00D06738" w:rsidRDefault="00454D20">
            <w:pPr>
              <w:widowControl/>
              <w:jc w:val="center"/>
              <w:rPr>
                <w:rFonts w:ascii="宋体" w:hAnsi="宋体"/>
                <w:b/>
                <w:bCs/>
                <w:color w:val="000000"/>
                <w:kern w:val="0"/>
              </w:rPr>
            </w:pPr>
            <w:r>
              <w:rPr>
                <w:rFonts w:ascii="宋体" w:hAnsi="宋体" w:hint="eastAsia"/>
                <w:color w:val="000000"/>
                <w:kern w:val="0"/>
              </w:rPr>
              <w:t>期初份额</w:t>
            </w:r>
          </w:p>
        </w:tc>
        <w:tc>
          <w:tcPr>
            <w:tcW w:type="dxa" w:w="850"/>
            <w:vAlign w:val="center"/>
          </w:tcPr>
          <w:p w14:paraId="5BDC6822" w14:textId="77777777" w:rsidR="00D06738" w:rsidRDefault="00454D20">
            <w:pPr>
              <w:widowControl/>
              <w:jc w:val="center"/>
              <w:rPr>
                <w:rFonts w:ascii="宋体" w:hAnsi="宋体"/>
                <w:b/>
                <w:bCs/>
                <w:color w:val="000000"/>
                <w:kern w:val="0"/>
              </w:rPr>
            </w:pPr>
            <w:r>
              <w:rPr>
                <w:rFonts w:ascii="宋体" w:hAnsi="宋体" w:hint="eastAsia"/>
                <w:color w:val="000000"/>
                <w:kern w:val="0"/>
              </w:rPr>
              <w:t>申购份额</w:t>
            </w:r>
          </w:p>
        </w:tc>
        <w:tc>
          <w:tcPr>
            <w:tcW w:type="dxa" w:w="1134"/>
            <w:vAlign w:val="center"/>
          </w:tcPr>
          <w:p w14:paraId="3193BB17" w14:textId="77777777" w:rsidR="00D06738" w:rsidRDefault="00454D20">
            <w:pPr>
              <w:widowControl/>
              <w:jc w:val="center"/>
              <w:rPr>
                <w:rFonts w:ascii="宋体" w:hAnsi="宋体"/>
                <w:b/>
                <w:bCs/>
                <w:color w:val="000000"/>
                <w:kern w:val="0"/>
              </w:rPr>
            </w:pPr>
            <w:r>
              <w:rPr>
                <w:rFonts w:ascii="宋体" w:hAnsi="宋体" w:hint="eastAsia"/>
                <w:color w:val="000000"/>
                <w:kern w:val="0"/>
              </w:rPr>
              <w:t>赎回份额</w:t>
            </w:r>
          </w:p>
        </w:tc>
        <w:tc>
          <w:tcPr>
            <w:tcW w:type="dxa" w:w="1419"/>
            <w:vAlign w:val="center"/>
          </w:tcPr>
          <w:p w14:paraId="0B7D39ED" w14:textId="77777777" w:rsidR="00D06738" w:rsidRDefault="00454D20">
            <w:pPr>
              <w:autoSpaceDE w:val="0"/>
              <w:autoSpaceDN w:val="0"/>
              <w:adjustRightInd w:val="0"/>
              <w:jc w:val="center"/>
              <w:rPr>
                <w:rFonts w:ascii="宋体" w:hAnsi="宋体"/>
                <w:b/>
                <w:bCs/>
                <w:color w:val="000000"/>
                <w:kern w:val="0"/>
              </w:rPr>
            </w:pPr>
            <w:r>
              <w:rPr>
                <w:rFonts w:ascii="宋体" w:hAnsi="宋体" w:hint="eastAsia"/>
                <w:color w:val="000000"/>
                <w:kern w:val="0"/>
              </w:rPr>
              <w:t>持有份额</w:t>
            </w:r>
          </w:p>
        </w:tc>
        <w:tc>
          <w:tcPr>
            <w:tcW w:type="dxa" w:w="1130"/>
            <w:vAlign w:val="center"/>
          </w:tcPr>
          <w:p w14:paraId="5E23E108" w14:textId="77777777" w:rsidR="00D06738" w:rsidRDefault="00454D20">
            <w:pPr>
              <w:autoSpaceDE w:val="0"/>
              <w:autoSpaceDN w:val="0"/>
              <w:adjustRightInd w:val="0"/>
              <w:jc w:val="center"/>
              <w:rPr>
                <w:rFonts w:ascii="宋体" w:hAnsi="宋体"/>
                <w:b/>
                <w:bCs/>
                <w:color w:val="000000"/>
                <w:kern w:val="0"/>
              </w:rPr>
            </w:pPr>
            <w:r>
              <w:rPr>
                <w:rFonts w:ascii="宋体" w:hAnsi="宋体" w:hint="eastAsia"/>
                <w:color w:val="000000"/>
                <w:kern w:val="0"/>
              </w:rPr>
              <w:t>份额占比</w:t>
            </w:r>
          </w:p>
        </w:tc>
      </w:tr>
      <w:tr>
        <w:tc>
          <w:tcPr>
            <w:vMerge w:val="restart"/>
            <w:vAlign w:val="center"/>
          </w:tcPr>
          <w:p>
            <w:r>
              <w:rPr>
                <w:rFonts w:ascii="宋体" w:hAnsi="宋体" w:hint="eastAsia"/>
                <w:bCs/>
                <w:color w:val="000000"/>
                <w:kern w:val="0"/>
              </w:rPr>
              <w:t>个人</w:t>
            </w:r>
          </w:p>
        </w:tc>
        <w:tc>
          <w:tcPr>
            <w:vAlign w:val="center"/>
          </w:tcPr>
          <w:p>
            <w:pPr>
              <w:jc w:val="center"/>
            </w:pPr>
            <w:r>
              <w:rPr>
                <w:rFonts w:ascii="宋体" w:hAnsi="宋体"/>
                <w:kern w:val="0"/>
              </w:rPr>
              <w:t>1</w:t>
            </w:r>
          </w:p>
        </w:tc>
        <w:tc>
          <w:tcPr>
            <w:vAlign w:val="center"/>
          </w:tcPr>
          <w:p>
            <w:pPr>
              <w:jc w:val="center"/>
            </w:pPr>
            <w:r>
              <w:rPr>
                <w:rFonts w:ascii="宋体" w:hAnsi="宋体"/>
                <w:kern w:val="0"/>
              </w:rPr>
              <w:t>20201001-20201231</w:t>
            </w:r>
          </w:p>
        </w:tc>
        <w:tc>
          <w:tcPr>
            <w:vAlign w:val="center"/>
          </w:tcPr>
          <w:p>
            <w:pPr>
              <w:jc w:val="center"/>
            </w:pPr>
            <w:r>
              <w:rPr>
                <w:rFonts w:ascii="宋体" w:hAnsi="宋体"/>
                <w:kern w:val="0"/>
              </w:rPr>
              <w:t>8,983,827.49</w:t>
            </w:r>
          </w:p>
        </w:tc>
        <w:tc>
          <w:tcPr>
            <w:vAlign w:val="center"/>
          </w:tcPr>
          <w:p>
            <w:pPr>
              <w:jc w:val="center"/>
            </w:pPr>
            <w:r>
              <w:rPr>
                <w:rFonts w:ascii="宋体" w:hAnsi="宋体"/>
                <w:kern w:val="0"/>
              </w:rPr>
              <w:t>0.00</w:t>
            </w:r>
          </w:p>
        </w:tc>
        <w:tc>
          <w:tcPr>
            <w:vAlign w:val="center"/>
          </w:tcPr>
          <w:p>
            <w:pPr>
              <w:jc w:val="center"/>
            </w:pPr>
            <w:r>
              <w:rPr>
                <w:rFonts w:ascii="宋体" w:hAnsi="宋体"/>
                <w:kern w:val="0"/>
              </w:rPr>
              <w:t>0.00</w:t>
            </w:r>
          </w:p>
        </w:tc>
        <w:tc>
          <w:tcPr>
            <w:vAlign w:val="center"/>
          </w:tcPr>
          <w:p>
            <w:pPr>
              <w:jc w:val="center"/>
            </w:pPr>
            <w:r>
              <w:rPr>
                <w:rFonts w:ascii="宋体" w:hAnsi="宋体"/>
                <w:kern w:val="0"/>
              </w:rPr>
              <w:t>8,983,827.49</w:t>
            </w:r>
          </w:p>
        </w:tc>
        <w:tc>
          <w:tcPr>
            <w:vAlign w:val="center"/>
          </w:tcPr>
          <w:p>
            <w:pPr>
              <w:jc w:val="center"/>
            </w:pPr>
            <w:r>
              <w:rPr>
                <w:rFonts w:ascii="宋体" w:hAnsi="宋体"/>
                <w:kern w:val="0"/>
              </w:rPr>
              <w:t>22.11%</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14:paraId="79C2CD83" w14:textId="77777777" w:rsidR="00D06738">
        <w:tc>
          <w:tcPr>
            <w:tcW w:type="dxa" w:w="9212"/>
            <w:vAlign w:val="center"/>
          </w:tcPr>
          <w:p w14:paraId="3A2D5FD9" w14:textId="77777777" w:rsidR="00D06738" w:rsidRDefault="00454D20">
            <w:pPr>
              <w:autoSpaceDE w:val="0"/>
              <w:autoSpaceDN w:val="0"/>
              <w:adjustRightInd w:val="0"/>
              <w:jc w:val="center"/>
              <w:rPr>
                <w:rFonts w:ascii="宋体" w:hAnsi="宋体"/>
                <w:kern w:val="0"/>
              </w:rPr>
            </w:pPr>
            <w:r>
              <w:rPr>
                <w:rFonts w:ascii="宋体" w:hAnsi="宋体"/>
                <w:color w:val="000000"/>
                <w:kern w:val="0"/>
              </w:rPr>
              <w:t>产品特有风险</w:t>
            </w:r>
            <w:r>
              <w:rPr>
                <w:rFonts w:ascii="宋体" w:hAnsi="宋体"/>
                <w:kern w:val="0"/>
              </w:rPr>
              <w:t/>
            </w:r>
            <w:proofErr w:type="spellStart"/>
            <w:r>
              <w:rPr>
                <w:rFonts w:ascii="宋体" w:hAnsi="宋体" w:hint="eastAsia"/>
                <w:kern w:val="0"/>
              </w:rPr>
              <w:t/>
            </w:r>
            <w:proofErr w:type="spellEnd"/>
            <w:r>
              <w:rPr>
                <w:rFonts w:ascii="宋体" w:hAnsi="宋体"/>
                <w:kern w:val="0"/>
              </w:rPr>
              <w:t/>
            </w:r>
          </w:p>
        </w:tc>
      </w:tr>
      <w:tr w14:paraId="2BCA7469" w14:textId="77777777" w:rsidR="00D06738">
        <w:tc>
          <w:tcPr>
            <w:tcW w:type="dxa" w:w="9212"/>
            <w:vAlign w:val="center"/>
          </w:tcPr>
          <w:p w14:paraId="415317F2" w14:textId="77777777" w:rsidR="00D06738" w:rsidRDefault="00454D20">
            <w:pPr>
              <w:autoSpaceDE w:val="0"/>
              <w:autoSpaceDN w:val="0"/>
              <w:adjustRightInd w:val="0"/>
              <w:jc w:val="left"/>
              <w:rPr>
                <w:rFonts w:ascii="宋体" w:hAnsi="宋体"/>
                <w:kern w:val="0"/>
              </w:rPr>
            </w:pPr>
            <w:r>
              <w:rPr>
                <w:rFonts w:ascii="宋体" w:hAnsi="宋体" w:hint="eastAsia"/>
                <w:kern w:val="0"/>
              </w:rPr>
              <w:t/>
            </w:r>
            <w:r>
              <w:rPr>
                <w:rFonts w:ascii="宋体" w:hAnsi="宋体"/>
                <w:kern w:val="0"/>
              </w:rPr>
              <w:t/>
            </w:r>
            <w:proofErr w:type="gramStart"/>
            <w:r>
              <w:rPr>
                <w:rFonts w:ascii="宋体" w:hAnsi="宋体"/>
                <w:kern w:val="0"/>
              </w:rPr>
              <w:t/>
            </w:r>
            <w:r>
              <w:rPr>
                <w:rFonts w:ascii="宋体" w:hAnsi="宋体" w:hint="eastAsia"/>
                <w:kern w:val="0"/>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kern w:val="0"/>
              </w:rPr>
              <w:t/>
            </w:r>
            <w:proofErr w:type="gramEnd"/>
            <w:r>
              <w:rPr>
                <w:rFonts w:ascii="宋体" w:hAnsi="宋体"/>
                <w:kern w:val="0"/>
              </w:rPr>
              <w:t/>
            </w:r>
          </w:p>
        </w:tc>
      </w:tr>
    </w:tbl>
    <w:p w14:paraId="6765BFDC"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§9</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备查文件目录</w:t>
      </w:r>
    </w:p>
    <w:p w14:paraId="457E531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9</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备查文件目录</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1、中国证监会准予上投摩根文体休闲灵活配置混合型证券投资基金募集注册的文件</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2、《上投摩根文体休闲灵活配置混合型证券投资基金基金合同》</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3、《上投摩根文体休闲灵活配置混合型证券投资基金托管协议》</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4、《上投摩根基金管理有限公司开放式基金业务规则》</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5、基金管理人业务资格批件、营业执照</w:t>
      </w:r>
    </w:p>
    <w:p w14:paraId="1A471A23"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6、基金托管人业务资格批件、营业执照</w:t>
      </w:r>
    </w:p>
    <w:p w14:paraId="34C276B3"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3507D88"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9</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2</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存放地点</w:t>
      </w:r>
    </w:p>
    <w:p w14:paraId="61EC8F57"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基金管理人或基金托管人住所。</w:t>
      </w:r>
    </w:p>
    <w:p w14:paraId="4B43DAA4"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05279DD9"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9</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查阅方式</w:t>
      </w:r>
    </w:p>
    <w:p w14:paraId="5BDF4042"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投资者可在营业时间免费查阅，也可按工本费购买复印件。</w:t>
      </w:r>
    </w:p>
    <w:p w14:paraId="1EB1072F"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86D5C70"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667FD74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173A207"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C1BC673"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309916C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7C0C74F6"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4EFEDF1"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387F1AC"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上投摩根基金管理有限公司</w:t>
      </w:r>
    </w:p>
    <w:p w14:paraId="114F1307"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lastRenderedPageBreak/>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二〇二一年一月二十二日</w:t>
      </w:r>
    </w:p>
    <w:p w14:paraId="2199A838" w14:textId="77777777" w:rsidR="00D06738" w:rsidRDefault="00D06738">
      <w:pPr>
        <w:spacing w:line="360" w:lineRule="auto"/>
        <w:ind w:left="840"/>
        <w:jc w:val="right"/>
        <w:rPr>
          <w:rFonts w:asciiTheme="minorEastAsia" w:eastAsiaTheme="minorEastAsia" w:hAnsiTheme="minorEastAsia"/>
          <w:b/>
          <w:bCs/>
          <w:color w:themeColor="text1" w:val="000000"/>
          <w:sz w:val="24"/>
          <w:szCs w:val="24"/>
        </w:rPr>
      </w:pPr>
    </w:p>
    <w:p w14:paraId="1ED73A6C" w14:textId="77777777" w:rsidR="00D06738" w:rsidRDefault="00D06738">
      <w:pPr>
        <w:rPr>
          <w:rFonts w:asciiTheme="minorEastAsia" w:eastAsiaTheme="minorEastAsia" w:hAnsiTheme="minorEastAsia"/>
          <w:color w:themeColor="text1" w:val="000000"/>
          <w:sz w:val="24"/>
          <w:szCs w:val="24"/>
        </w:rPr>
      </w:pPr>
    </w:p>
    <w:sectPr w:rsidR="00D06738">
      <w:footerReference r:id="rId11" w:type="default"/>
      <w:pgSz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7A2A4" w14:textId="77777777" w:rsidR="003A7FDA" w:rsidRDefault="003A7FDA">
      <w:r>
        <w:separator/>
      </w:r>
    </w:p>
  </w:endnote>
  <w:endnote w:type="continuationSeparator" w:id="0">
    <w:p w14:paraId="1019A9A1" w14:textId="77777777" w:rsidR="003A7FDA" w:rsidRDefault="003A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6371105E" w14:textId="77777777" w:rsidR="00454D20" w:rsidRDefault="00454D20">
    <w:pPr>
      <w:pStyle w:val="af4"/>
      <w:tabs>
        <w:tab w:pos="4215" w:val="left"/>
        <w:tab w:pos="4545" w:val="center"/>
      </w:tabs>
    </w:pPr>
    <w:r>
      <w:ptab w:alignment="center" w:leader="none" w:relativeTo="margin"/>
    </w:r>
    <w:r>
      <w:ptab w:alignment="center" w:leader="none" w:relativeTo="margin"/>
    </w: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7152CFD6" w14:textId="77777777" w:rsidR="00454D20" w:rsidRDefault="00454D20">
    <w:pPr>
      <w:pStyle w:val="af4"/>
      <w:framePr w:hAnchor="margin" w:vAnchor="text" w:wrap="around" w:xAlign="center" w:y="1"/>
      <w:rPr>
        <w:rStyle w:val="aff"/>
      </w:rPr>
    </w:pPr>
    <w:r>
      <w:rPr>
        <w:rStyle w:val="aff"/>
      </w:rPr>
      <w:fldChar w:fldCharType="begin"/>
    </w:r>
    <w:r>
      <w:rPr>
        <w:rStyle w:val="aff"/>
      </w:rPr>
      <w:instrText xml:space="preserve">PAGE  </w:instrText>
    </w:r>
    <w:r>
      <w:rPr>
        <w:rStyle w:val="aff"/>
      </w:rPr>
      <w:fldChar w:fldCharType="separate"/>
    </w:r>
    <w:r>
      <w:rPr>
        <w:rStyle w:val="aff"/>
      </w:rPr>
      <w:t>24</w:t>
    </w:r>
    <w:r>
      <w:rPr>
        <w:rStyle w:val="aff"/>
      </w:rPr>
      <w:fldChar w:fldCharType="end"/>
    </w:r>
  </w:p>
  <w:p w14:paraId="10FC3B0F" w14:textId="77777777" w:rsidR="00454D20" w:rsidRDefault="00454D20">
    <w:pPr>
      <w:pStyle w:val="af4"/>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34B446B8" w14:textId="77777777" w:rsidR="003A7FDA" w:rsidRDefault="003A7FDA">
      <w:r>
        <w:separator/>
      </w:r>
    </w:p>
  </w:footnote>
  <w:footnote w:id="0" w:type="continuationSeparator">
    <w:p w14:paraId="2B5985C8" w14:textId="77777777" w:rsidR="003A7FDA" w:rsidRDefault="003A7FDA">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0D366656" w14:textId="77777777" w:rsidR="00454D20" w:rsidRDefault="00454D20">
    <w:pPr>
      <w:pStyle w:val="af6"/>
      <w:pBdr>
        <w:bottom w:color="auto" w:space="0" w:sz="6" w:val="single"/>
      </w:pBdr>
      <w:jc w:val="right"/>
    </w:pPr>
    <w:r>
      <w:rPr>
        <w:rFonts w:hint="eastAsia"/>
      </w:rPr>
      <w:t/>
    </w:r>
    <w:proofErr w:type="spellStart"/>
    <w:r>
      <w:t/>
    </w:r>
    <w:r>
      <w:rPr>
        <w:rFonts w:hint="eastAsia"/>
      </w:rPr>
      <w:t/>
    </w:r>
    <w:proofErr w:type="gramStart"/>
    <w:r>
      <w:t/>
    </w:r>
    <w:proofErr w:type="spellEnd"/>
    <w:r>
      <w:rPr>
        <w:rFonts w:hint="eastAsia"/>
      </w:rPr>
      <w:t>上投摩根文体休闲灵活配置混合型证券投资基金</w:t>
    </w:r>
    <w:proofErr w:type="spellStart"/>
    <w:proofErr w:type="gramEnd"/>
    <w:r>
      <w:rPr>
        <w:rFonts w:hint="eastAsia"/>
      </w:rPr>
      <w:t/>
    </w:r>
    <w:proofErr w:type="spellEnd"/>
    <w:r>
      <w:rPr>
        <w:rFonts w:hint="eastAsia"/>
      </w:rPr>
      <w:t>2020年第4季度报告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90"/>
  <w:bordersDoNotSurroundHeader/>
  <w:bordersDoNotSurroundFooter/>
  <w:proofState w:grammar="clean"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DA339C3"/>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cstheme="minorBidi" w:eastAsiaTheme="minorEastAsia" w:hAnsiTheme="minorHAnsi"/>
        <w:lang w:bidi="ar-SA" w:eastAsia="zh-CN" w:val="en-US"/>
      </w:rPr>
    </w:rPrDefault>
    <w:pPrDefault/>
  </w:docDefaults>
  <w:latentStyles w:count="376" w:defLockedState="0" w:defQFormat="0" w:defSemiHidden="0" w:defUIPriority="99" w:defUnhideWhenUsed="0">
    <w:lsdException w:name="Normal" w:qFormat="1" w:uiPriority="0"/>
    <w:lsdException w:name="heading 1" w:qFormat="1"/>
    <w:lsdException w:name="heading 2" w:qFormat="1"/>
    <w:lsdException w:name="heading 3" w:qFormat="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qFormat="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qFormat="1" w:semiHidden="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qFormat="1"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qFormat="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qFormat="1" w:uiPriority="22"/>
    <w:lsdException w:name="Emphasis" w:qFormat="1" w:uiPriority="20"/>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nhideWhenUsed="1"/>
    <w:lsdException w:name="annotation subject" w:qFormat="1"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rPr>
      <w:rFonts w:ascii="Times New Roman" w:cs="Times New Roman" w:eastAsia="宋体" w:hAnsi="Times New Roman"/>
      <w:kern w:val="2"/>
      <w:sz w:val="21"/>
      <w:szCs w:val="21"/>
    </w:rPr>
  </w:style>
  <w:style w:styleId="1" w:type="paragraph">
    <w:name w:val="heading 1"/>
    <w:basedOn w:val="a"/>
    <w:next w:val="a"/>
    <w:link w:val="10"/>
    <w:uiPriority w:val="99"/>
    <w:qFormat/>
    <w:pPr>
      <w:keepNext/>
      <w:keepLines/>
      <w:spacing w:after="330" w:before="340" w:line="578" w:lineRule="auto"/>
      <w:outlineLvl w:val="0"/>
    </w:pPr>
    <w:rPr>
      <w:b/>
      <w:bCs/>
      <w:kern w:val="44"/>
      <w:sz w:val="44"/>
      <w:szCs w:val="44"/>
    </w:rPr>
  </w:style>
  <w:style w:styleId="2" w:type="paragraph">
    <w:name w:val="heading 2"/>
    <w:basedOn w:val="a"/>
    <w:next w:val="a0"/>
    <w:link w:val="20"/>
    <w:uiPriority w:val="99"/>
    <w:qFormat/>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0"/>
    <w:uiPriority w:val="99"/>
    <w:qFormat/>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pPr>
      <w:ind w:firstLine="420" w:firstLineChars="200"/>
    </w:pPr>
  </w:style>
  <w:style w:styleId="a4" w:type="paragraph">
    <w:name w:val="annotation subject"/>
    <w:basedOn w:val="a5"/>
    <w:next w:val="a5"/>
    <w:link w:val="a6"/>
    <w:uiPriority w:val="99"/>
    <w:semiHidden/>
    <w:qFormat/>
    <w:rPr>
      <w:b/>
      <w:bCs/>
    </w:rPr>
  </w:style>
  <w:style w:styleId="a5" w:type="paragraph">
    <w:name w:val="annotation text"/>
    <w:basedOn w:val="a"/>
    <w:link w:val="a7"/>
    <w:uiPriority w:val="99"/>
    <w:semiHidden/>
    <w:qFormat/>
    <w:pPr>
      <w:jc w:val="left"/>
    </w:pPr>
  </w:style>
  <w:style w:styleId="a8" w:type="paragraph">
    <w:name w:val="Document Map"/>
    <w:basedOn w:val="a"/>
    <w:link w:val="a9"/>
    <w:uiPriority w:val="99"/>
    <w:semiHidden/>
    <w:pPr>
      <w:shd w:color="auto" w:fill="000080" w:val="clear"/>
    </w:pPr>
  </w:style>
  <w:style w:styleId="aa" w:type="paragraph">
    <w:name w:val="Body Text"/>
    <w:basedOn w:val="a"/>
    <w:link w:val="ab"/>
    <w:uiPriority w:val="99"/>
    <w:qFormat/>
    <w:pPr>
      <w:spacing w:after="120"/>
    </w:pPr>
  </w:style>
  <w:style w:styleId="ac" w:type="paragraph">
    <w:name w:val="Body Text Indent"/>
    <w:basedOn w:val="a"/>
    <w:link w:val="ad"/>
    <w:uiPriority w:val="99"/>
    <w:pPr>
      <w:widowControl/>
      <w:spacing w:after="100" w:afterAutospacing="1" w:before="100" w:beforeAutospacing="1"/>
      <w:jc w:val="left"/>
    </w:pPr>
    <w:rPr>
      <w:rFonts w:ascii="Arial Unicode MS" w:cs="Arial Unicode MS" w:eastAsia="Arial Unicode MS" w:hAnsi="Arial Unicode MS"/>
      <w:kern w:val="0"/>
      <w:sz w:val="24"/>
      <w:szCs w:val="24"/>
    </w:rPr>
  </w:style>
  <w:style w:styleId="ae" w:type="paragraph">
    <w:name w:val="Plain Text"/>
    <w:basedOn w:val="a"/>
    <w:link w:val="af"/>
    <w:uiPriority w:val="99"/>
    <w:rPr>
      <w:rFonts w:ascii="宋体" w:cs="宋体" w:hAnsi="Courier New"/>
    </w:rPr>
  </w:style>
  <w:style w:styleId="af0" w:type="paragraph">
    <w:name w:val="Date"/>
    <w:basedOn w:val="a"/>
    <w:next w:val="a"/>
    <w:link w:val="af1"/>
    <w:qFormat/>
    <w:rPr>
      <w:sz w:val="24"/>
      <w:szCs w:val="24"/>
    </w:rPr>
  </w:style>
  <w:style w:styleId="21" w:type="paragraph">
    <w:name w:val="Body Text Indent 2"/>
    <w:basedOn w:val="a"/>
    <w:link w:val="22"/>
    <w:uiPriority w:val="99"/>
    <w:qFormat/>
    <w:pPr>
      <w:spacing w:line="560" w:lineRule="exact"/>
      <w:ind w:firstLine="480" w:firstLineChars="200"/>
    </w:pPr>
    <w:rPr>
      <w:rFonts w:ascii="宋体" w:cs="宋体" w:hAnsi="宋体"/>
      <w:color w:val="FF0000"/>
      <w:sz w:val="24"/>
      <w:szCs w:val="24"/>
    </w:rPr>
  </w:style>
  <w:style w:styleId="af2" w:type="paragraph">
    <w:name w:val="Balloon Text"/>
    <w:basedOn w:val="a"/>
    <w:link w:val="af3"/>
    <w:uiPriority w:val="99"/>
    <w:semiHidden/>
    <w:qFormat/>
    <w:rPr>
      <w:sz w:val="18"/>
      <w:szCs w:val="18"/>
    </w:rPr>
  </w:style>
  <w:style w:styleId="af4" w:type="paragraph">
    <w:name w:val="footer"/>
    <w:basedOn w:val="a"/>
    <w:link w:val="af5"/>
    <w:uiPriority w:val="99"/>
    <w:qFormat/>
    <w:pPr>
      <w:tabs>
        <w:tab w:pos="4153" w:val="center"/>
        <w:tab w:pos="8306" w:val="right"/>
      </w:tabs>
      <w:snapToGrid w:val="0"/>
      <w:jc w:val="left"/>
    </w:pPr>
    <w:rPr>
      <w:sz w:val="18"/>
      <w:szCs w:val="18"/>
    </w:rPr>
  </w:style>
  <w:style w:styleId="af6" w:type="paragraph">
    <w:name w:val="header"/>
    <w:basedOn w:val="a"/>
    <w:link w:val="af7"/>
    <w:uiPriority w:val="99"/>
    <w:pPr>
      <w:pBdr>
        <w:bottom w:color="auto" w:space="1" w:sz="6" w:val="single"/>
      </w:pBdr>
      <w:tabs>
        <w:tab w:pos="4153" w:val="center"/>
        <w:tab w:pos="8306" w:val="right"/>
      </w:tabs>
      <w:snapToGrid w:val="0"/>
      <w:jc w:val="center"/>
    </w:pPr>
    <w:rPr>
      <w:sz w:val="18"/>
      <w:szCs w:val="18"/>
    </w:rPr>
  </w:style>
  <w:style w:styleId="af8" w:type="paragraph">
    <w:name w:val="List"/>
    <w:basedOn w:val="aa"/>
    <w:uiPriority w:val="99"/>
    <w:pPr>
      <w:spacing w:after="220" w:line="220" w:lineRule="atLeast"/>
      <w:ind w:hanging="360" w:left="1440"/>
    </w:pPr>
  </w:style>
  <w:style w:styleId="af9" w:type="paragraph">
    <w:name w:val="footnote text"/>
    <w:basedOn w:val="a"/>
    <w:link w:val="afa"/>
    <w:pPr>
      <w:snapToGrid w:val="0"/>
      <w:jc w:val="left"/>
    </w:pPr>
    <w:rPr>
      <w:sz w:val="18"/>
      <w:szCs w:val="18"/>
    </w:rPr>
  </w:style>
  <w:style w:styleId="31" w:type="paragraph">
    <w:name w:val="Body Text Indent 3"/>
    <w:basedOn w:val="a"/>
    <w:link w:val="32"/>
    <w:uiPriority w:val="99"/>
    <w:pPr>
      <w:spacing w:line="560" w:lineRule="exact"/>
      <w:ind w:firstLine="420" w:firstLineChars="200"/>
    </w:pPr>
    <w:rPr>
      <w:rFonts w:ascii="Arial" w:cs="Arial" w:hAnsi="Arial"/>
      <w:color w:val="FF0000"/>
    </w:rPr>
  </w:style>
  <w:style w:styleId="afb" w:type="paragraph">
    <w:name w:val="Normal (Web)"/>
    <w:basedOn w:val="a"/>
    <w:uiPriority w:val="99"/>
    <w:pPr>
      <w:widowControl/>
      <w:spacing w:after="100" w:afterAutospacing="1" w:before="100" w:beforeAutospacing="1"/>
      <w:jc w:val="left"/>
    </w:pPr>
    <w:rPr>
      <w:rFonts w:ascii="宋体" w:cs="宋体" w:hAnsi="宋体"/>
      <w:kern w:val="0"/>
      <w:sz w:val="24"/>
      <w:szCs w:val="24"/>
    </w:rPr>
  </w:style>
  <w:style w:styleId="11" w:type="paragraph">
    <w:name w:val="index 1"/>
    <w:basedOn w:val="a"/>
    <w:next w:val="a"/>
    <w:uiPriority w:val="99"/>
    <w:semiHidden/>
    <w:qFormat/>
    <w:pPr>
      <w:jc w:val="right"/>
    </w:pPr>
    <w:rPr>
      <w:color w:val="008000"/>
    </w:rPr>
  </w:style>
  <w:style w:styleId="afc" w:type="paragraph">
    <w:name w:val="Title"/>
    <w:basedOn w:val="a"/>
    <w:next w:val="a"/>
    <w:link w:val="afd"/>
    <w:uiPriority w:val="99"/>
    <w:qFormat/>
    <w:pPr>
      <w:spacing w:after="60" w:before="240"/>
      <w:jc w:val="center"/>
      <w:outlineLvl w:val="0"/>
    </w:pPr>
    <w:rPr>
      <w:rFonts w:ascii="Cambria" w:cs="Cambria" w:hAnsi="Cambria"/>
      <w:b/>
      <w:bCs/>
      <w:sz w:val="32"/>
      <w:szCs w:val="32"/>
    </w:rPr>
  </w:style>
  <w:style w:styleId="afe" w:type="character">
    <w:name w:val="Strong"/>
    <w:basedOn w:val="a1"/>
    <w:uiPriority w:val="22"/>
    <w:qFormat/>
    <w:rPr>
      <w:b/>
      <w:bCs/>
    </w:rPr>
  </w:style>
  <w:style w:styleId="aff" w:type="character">
    <w:name w:val="page number"/>
    <w:basedOn w:val="a1"/>
    <w:uiPriority w:val="99"/>
  </w:style>
  <w:style w:styleId="aff0" w:type="character">
    <w:name w:val="FollowedHyperlink"/>
    <w:basedOn w:val="a1"/>
    <w:uiPriority w:val="99"/>
    <w:qFormat/>
    <w:rPr>
      <w:color w:val="800080"/>
      <w:u w:val="single"/>
    </w:rPr>
  </w:style>
  <w:style w:styleId="aff1" w:type="character">
    <w:name w:val="Hyperlink"/>
    <w:basedOn w:val="a1"/>
    <w:uiPriority w:val="99"/>
    <w:rPr>
      <w:color w:val="0000FF"/>
      <w:u w:val="single"/>
    </w:rPr>
  </w:style>
  <w:style w:styleId="aff2" w:type="character">
    <w:name w:val="annotation reference"/>
    <w:basedOn w:val="a1"/>
    <w:uiPriority w:val="99"/>
    <w:semiHidden/>
    <w:qFormat/>
    <w:rPr>
      <w:sz w:val="21"/>
      <w:szCs w:val="21"/>
    </w:rPr>
  </w:style>
  <w:style w:styleId="aff3" w:type="character">
    <w:name w:val="footnote reference"/>
    <w:basedOn w:val="a1"/>
    <w:rPr>
      <w:vertAlign w:val="superscript"/>
    </w:rPr>
  </w:style>
  <w:style w:styleId="aff4" w:type="table">
    <w:name w:val="Table Grid"/>
    <w:basedOn w:val="a2"/>
    <w:uiPriority w:val="99"/>
    <w:pPr>
      <w:widowControl w:val="0"/>
      <w:jc w:val="both"/>
    </w:pPr>
    <w:rPr>
      <w:rFonts w:ascii="Times New Roman" w:cs="Times New Roman" w:eastAsia="宋体"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0" w:type="character">
    <w:name w:val="标题 1 字符"/>
    <w:basedOn w:val="a1"/>
    <w:link w:val="1"/>
    <w:uiPriority w:val="99"/>
    <w:rPr>
      <w:rFonts w:ascii="Times New Roman" w:cs="Times New Roman" w:eastAsia="宋体" w:hAnsi="Times New Roman"/>
      <w:b/>
      <w:bCs/>
      <w:kern w:val="44"/>
      <w:sz w:val="44"/>
      <w:szCs w:val="44"/>
    </w:rPr>
  </w:style>
  <w:style w:customStyle="1" w:styleId="20" w:type="character">
    <w:name w:val="标题 2 字符"/>
    <w:basedOn w:val="a1"/>
    <w:link w:val="2"/>
    <w:uiPriority w:val="99"/>
    <w:rPr>
      <w:rFonts w:ascii="Arial" w:cs="Arial" w:eastAsia="宋体" w:hAnsi="Arial"/>
      <w:b/>
      <w:bCs/>
      <w:sz w:val="24"/>
      <w:szCs w:val="24"/>
    </w:rPr>
  </w:style>
  <w:style w:customStyle="1" w:styleId="30" w:type="character">
    <w:name w:val="标题 3 字符"/>
    <w:basedOn w:val="a1"/>
    <w:link w:val="3"/>
    <w:uiPriority w:val="99"/>
    <w:rPr>
      <w:rFonts w:ascii="Times New Roman" w:cs="Times New Roman" w:eastAsia="宋体" w:hAnsi="Times New Roman"/>
      <w:b/>
      <w:bCs/>
      <w:sz w:val="32"/>
      <w:szCs w:val="32"/>
    </w:rPr>
  </w:style>
  <w:style w:customStyle="1" w:styleId="ad" w:type="character">
    <w:name w:val="正文文本缩进 字符"/>
    <w:basedOn w:val="a1"/>
    <w:link w:val="ac"/>
    <w:uiPriority w:val="99"/>
    <w:rPr>
      <w:rFonts w:ascii="Arial Unicode MS" w:cs="Arial Unicode MS" w:eastAsia="Arial Unicode MS" w:hAnsi="Arial Unicode MS"/>
      <w:kern w:val="0"/>
      <w:sz w:val="24"/>
      <w:szCs w:val="24"/>
    </w:rPr>
  </w:style>
  <w:style w:customStyle="1" w:styleId="af" w:type="character">
    <w:name w:val="纯文本 字符"/>
    <w:basedOn w:val="a1"/>
    <w:link w:val="ae"/>
    <w:uiPriority w:val="99"/>
    <w:rPr>
      <w:rFonts w:ascii="宋体" w:cs="宋体" w:eastAsia="宋体" w:hAnsi="Courier New"/>
      <w:szCs w:val="21"/>
    </w:rPr>
  </w:style>
  <w:style w:customStyle="1" w:styleId="22" w:type="character">
    <w:name w:val="正文文本缩进 2 字符"/>
    <w:basedOn w:val="a1"/>
    <w:link w:val="21"/>
    <w:uiPriority w:val="99"/>
    <w:rPr>
      <w:rFonts w:ascii="宋体" w:cs="宋体" w:eastAsia="宋体" w:hAnsi="宋体"/>
      <w:color w:val="FF0000"/>
      <w:sz w:val="24"/>
      <w:szCs w:val="24"/>
    </w:rPr>
  </w:style>
  <w:style w:customStyle="1" w:styleId="af5" w:type="character">
    <w:name w:val="页脚 字符"/>
    <w:basedOn w:val="a1"/>
    <w:link w:val="af4"/>
    <w:uiPriority w:val="99"/>
    <w:rPr>
      <w:rFonts w:ascii="Times New Roman" w:cs="Times New Roman" w:eastAsia="宋体" w:hAnsi="Times New Roman"/>
      <w:sz w:val="18"/>
      <w:szCs w:val="18"/>
    </w:rPr>
  </w:style>
  <w:style w:customStyle="1" w:styleId="32" w:type="character">
    <w:name w:val="正文文本缩进 3 字符"/>
    <w:basedOn w:val="a1"/>
    <w:link w:val="31"/>
    <w:uiPriority w:val="99"/>
    <w:rPr>
      <w:rFonts w:ascii="Arial" w:cs="Arial" w:eastAsia="宋体" w:hAnsi="Arial"/>
      <w:color w:val="FF0000"/>
      <w:szCs w:val="21"/>
    </w:rPr>
  </w:style>
  <w:style w:customStyle="1" w:styleId="af7" w:type="character">
    <w:name w:val="页眉 字符"/>
    <w:basedOn w:val="a1"/>
    <w:link w:val="af6"/>
    <w:uiPriority w:val="99"/>
    <w:rPr>
      <w:rFonts w:ascii="Times New Roman" w:cs="Times New Roman" w:eastAsia="宋体" w:hAnsi="Times New Roman"/>
      <w:sz w:val="18"/>
      <w:szCs w:val="18"/>
    </w:rPr>
  </w:style>
  <w:style w:customStyle="1" w:styleId="ab" w:type="character">
    <w:name w:val="正文文本 字符"/>
    <w:basedOn w:val="a1"/>
    <w:link w:val="aa"/>
    <w:uiPriority w:val="99"/>
    <w:qFormat/>
    <w:rPr>
      <w:rFonts w:ascii="Times New Roman" w:cs="Times New Roman" w:eastAsia="宋体" w:hAnsi="Times New Roman"/>
      <w:szCs w:val="21"/>
    </w:rPr>
  </w:style>
  <w:style w:customStyle="1" w:styleId="af1" w:type="character">
    <w:name w:val="日期 字符"/>
    <w:basedOn w:val="a1"/>
    <w:link w:val="af0"/>
    <w:qFormat/>
    <w:rPr>
      <w:rFonts w:ascii="Times New Roman" w:cs="Times New Roman" w:eastAsia="宋体" w:hAnsi="Times New Roman"/>
      <w:sz w:val="24"/>
      <w:szCs w:val="24"/>
    </w:rPr>
  </w:style>
  <w:style w:customStyle="1" w:styleId="c1" w:type="character">
    <w:name w:val="c1"/>
    <w:basedOn w:val="a1"/>
    <w:uiPriority w:val="99"/>
    <w:qFormat/>
    <w:rPr>
      <w:color w:val="000000"/>
      <w:sz w:val="18"/>
      <w:szCs w:val="18"/>
    </w:rPr>
  </w:style>
  <w:style w:customStyle="1" w:styleId="font5" w:type="paragraph">
    <w:name w:val="font5"/>
    <w:basedOn w:val="a"/>
    <w:uiPriority w:val="99"/>
    <w:qFormat/>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af3" w:type="character">
    <w:name w:val="批注框文本 字符"/>
    <w:basedOn w:val="a1"/>
    <w:link w:val="af2"/>
    <w:uiPriority w:val="99"/>
    <w:semiHidden/>
    <w:qFormat/>
    <w:rPr>
      <w:rFonts w:ascii="Times New Roman" w:cs="Times New Roman" w:eastAsia="宋体" w:hAnsi="Times New Roman"/>
      <w:sz w:val="18"/>
      <w:szCs w:val="18"/>
    </w:rPr>
  </w:style>
  <w:style w:customStyle="1" w:styleId="a7" w:type="character">
    <w:name w:val="批注文字 字符"/>
    <w:basedOn w:val="a1"/>
    <w:link w:val="a5"/>
    <w:uiPriority w:val="99"/>
    <w:semiHidden/>
    <w:qFormat/>
    <w:rPr>
      <w:rFonts w:ascii="Times New Roman" w:cs="Times New Roman" w:eastAsia="宋体" w:hAnsi="Times New Roman"/>
      <w:szCs w:val="21"/>
    </w:rPr>
  </w:style>
  <w:style w:customStyle="1" w:styleId="a6" w:type="character">
    <w:name w:val="批注主题 字符"/>
    <w:basedOn w:val="a7"/>
    <w:link w:val="a4"/>
    <w:uiPriority w:val="99"/>
    <w:semiHidden/>
    <w:qFormat/>
    <w:rPr>
      <w:rFonts w:ascii="Times New Roman" w:cs="Times New Roman" w:eastAsia="宋体" w:hAnsi="Times New Roman"/>
      <w:b/>
      <w:bCs/>
      <w:szCs w:val="21"/>
    </w:rPr>
  </w:style>
  <w:style w:customStyle="1" w:styleId="Char" w:type="paragraph">
    <w:name w:val="Char"/>
    <w:basedOn w:val="a"/>
    <w:uiPriority w:val="99"/>
    <w:qFormat/>
  </w:style>
  <w:style w:customStyle="1" w:styleId="a9" w:type="character">
    <w:name w:val="文档结构图 字符"/>
    <w:basedOn w:val="a1"/>
    <w:link w:val="a8"/>
    <w:uiPriority w:val="99"/>
    <w:semiHidden/>
    <w:rPr>
      <w:rFonts w:ascii="Times New Roman" w:cs="Times New Roman" w:eastAsia="宋体" w:hAnsi="Times New Roman"/>
      <w:szCs w:val="21"/>
      <w:shd w:color="auto" w:fill="000080" w:val="clear"/>
    </w:rPr>
  </w:style>
  <w:style w:customStyle="1" w:styleId="aff5" w:type="paragraph">
    <w:name w:val="正文 + (符号) 宋体"/>
    <w:basedOn w:val="a"/>
    <w:uiPriority w:val="99"/>
    <w:pPr>
      <w:autoSpaceDE w:val="0"/>
      <w:autoSpaceDN w:val="0"/>
      <w:adjustRightInd w:val="0"/>
      <w:ind w:firstLine="1229" w:firstLineChars="512" w:right="1409" w:rightChars="671"/>
      <w:jc w:val="distribute"/>
    </w:pPr>
    <w:rPr>
      <w:sz w:val="24"/>
      <w:szCs w:val="24"/>
    </w:rPr>
  </w:style>
  <w:style w:customStyle="1" w:styleId="afa" w:type="character">
    <w:name w:val="脚注文本 字符"/>
    <w:basedOn w:val="a1"/>
    <w:link w:val="af9"/>
    <w:rPr>
      <w:rFonts w:ascii="Times New Roman" w:cs="Times New Roman" w:eastAsia="宋体" w:hAnsi="Times New Roman"/>
      <w:sz w:val="18"/>
      <w:szCs w:val="18"/>
    </w:rPr>
  </w:style>
  <w:style w:customStyle="1" w:styleId="Char1" w:type="paragraph">
    <w:name w:val="Char1"/>
    <w:basedOn w:val="a"/>
    <w:uiPriority w:val="99"/>
  </w:style>
  <w:style w:customStyle="1" w:styleId="CharCharCharCharCharChar1CharCharChar" w:type="paragraph">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customStyle="1" w:styleId="afd" w:type="character">
    <w:name w:val="标题 字符"/>
    <w:basedOn w:val="a1"/>
    <w:link w:val="afc"/>
    <w:uiPriority w:val="99"/>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customStyle="1" w:styleId="12" w:type="paragraph">
    <w:name w:val="无间隔1"/>
    <w:link w:val="Char0"/>
    <w:uiPriority w:val="1"/>
    <w:qFormat/>
    <w:rPr>
      <w:rFonts w:ascii="Calibri" w:cs="Calibri" w:eastAsia="宋体" w:hAnsi="Calibri"/>
      <w:sz w:val="22"/>
      <w:szCs w:val="22"/>
    </w:rPr>
  </w:style>
  <w:style w:customStyle="1" w:styleId="Char0" w:type="character">
    <w:name w:val="无间隔 Char"/>
    <w:basedOn w:val="a1"/>
    <w:link w:val="12"/>
    <w:uiPriority w:val="1"/>
    <w:locked/>
    <w:rPr>
      <w:rFonts w:ascii="Calibri" w:cs="Calibri" w:eastAsia="宋体" w:hAnsi="Calibri"/>
      <w:kern w:val="0"/>
      <w:sz w:val="22"/>
    </w:rPr>
  </w:style>
  <w:style w:customStyle="1" w:styleId="t1" w:type="character">
    <w:name w:val="t1"/>
    <w:basedOn w:val="a1"/>
    <w:uiPriority w:val="99"/>
    <w:rPr>
      <w:color w:val="auto"/>
    </w:rPr>
  </w:style>
  <w:style w:customStyle="1" w:styleId="13" w:type="paragraph">
    <w:name w:val="列表段落1"/>
    <w:basedOn w:val="a"/>
    <w:uiPriority w:val="34"/>
    <w:qFormat/>
    <w:pPr>
      <w:ind w:firstLine="420" w:firstLineChars="200"/>
    </w:pPr>
  </w:style>
  <w:style w:customStyle="1" w:styleId="Default" w:type="paragraph">
    <w:name w:val="Default"/>
    <w:pPr>
      <w:widowControl w:val="0"/>
      <w:autoSpaceDE w:val="0"/>
      <w:autoSpaceDN w:val="0"/>
      <w:adjustRightInd w:val="0"/>
    </w:pPr>
    <w:rPr>
      <w:rFonts w:ascii="仿宋" w:cs="仿宋" w:eastAsia="宋体" w:hAnsi="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4055</Words>
  <Characters>23117</Characters>
  <Application>Microsoft Office Word</Application>
  <DocSecurity>0</DocSecurity>
  <Lines>192</Lines>
  <Paragraphs>54</Paragraphs>
  <ScaleCrop>false</ScaleCrop>
  <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dc:creator>Administrator</dc:creator>
  <cp:lastModifiedBy>ZHANG ERIC</cp:lastModifiedBy>
  <dcterms:modified xsi:type="dcterms:W3CDTF">2020-09-30T11:10:00Z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