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上投摩根文体休闲灵活配置混合型证券投资基金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2020年第3季度报告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2020年9月30日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二〇二〇年十月二十八日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本报告期自2020年7月1日起至9月30日止。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上投摩根文体休闲混合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001795</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001795</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2015年12月23日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39,031,889.78</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采用定量及定性研究方法，自上而下进行宏观产业分析，自下而上优选文体休闲主题上市公司，通过严格的风险控制，力争实现基金资产的长期增值。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1、资产配置策略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本基金将综合分析和持续跟踪基本面、政策面、市场面等多方面因素，对宏观经济、国家政策、资金面和市场情绪等影响证券市场的重要因素进行深入分析，确定合适的资产配置比例。</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2、股票投资策略</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根据本基金投资理念及投资目标，本基金在申银万国一级行业分类中选取了以下与文体休闲主题相关的行业，分别是：传媒、计算机、电子、休闲服务、房地产、纺织服装、轻工制造、商业贸易、通信、家用电器、交通运输、汽车、食品饮料、综合。我们将遵循自上而下的宏观产业分析逻辑，从行业生命周期、行业景气度、行业竞争格局等多角度，综合评估各个行业的投资价值，对基金资产在行业间分配进行安排。本基金将通过系统和深入的基本面研究，密切关注受益于国家文化体育产业政策扶持、满足城镇居民生活水平提高和消费升级需求的行业和公司，同时重点投资于创新商业模式、引领新的生活方式和消费习惯的相关行业及公司。</w:t>
            </w:r>
          </w:p>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3、固定收益类投资策略</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对于固定收益类资产的选择，本基金将以价值分析为主线，在综合研究的基础上实施积极主动的组合管理，自上而下进行组合构建，自下而上进行个券选择。</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中证800指数收益率*60%+中债总指数收益率*40%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本基金属于混合型基金产品，预期风险和收益水平高于债券型基金和货币市场基金，低于股票型基金，属于较高风险收益水平的基金产品。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2020年7月1日-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2020年9月30日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5,015,929.67</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-1,853,327.07</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-0.0437</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49,442,149.31</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1.2667</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-5.04%</w:t>
            </w:r>
          </w:p>
        </w:tc>
        <w:tc>
          <w:tcPr>
            <w:vAlign w:val="center"/>
          </w:tcPr>
          <w:p>
            <w:pPr>
              <w:jc w:val="center"/>
            </w:pPr>
            <w:r>
              <w:rPr>
                <w:rFonts w:asciiTheme="minorEastAsia" w:eastAsiaTheme="minorEastAsia" w:hAnsiTheme="minorEastAsia"/>
                <w:color w:themeColor="text1" w:val="000000"/>
                <w:kern w:val="0"/>
              </w:rPr>
              <w:t>2.08%</w:t>
            </w:r>
          </w:p>
        </w:tc>
        <w:tc>
          <w:tcPr>
            <w:vAlign w:val="center"/>
          </w:tcPr>
          <w:p>
            <w:pPr>
              <w:jc w:val="center"/>
            </w:pPr>
            <w:r>
              <w:rPr>
                <w:rFonts w:asciiTheme="minorEastAsia" w:eastAsiaTheme="minorEastAsia" w:hAnsiTheme="minorEastAsia"/>
                <w:color w:themeColor="text1" w:val="000000"/>
                <w:kern w:val="0"/>
              </w:rPr>
              <w:t>4.62%</w:t>
            </w:r>
          </w:p>
        </w:tc>
        <w:tc>
          <w:tcPr>
            <w:vAlign w:val="center"/>
          </w:tcPr>
          <w:p>
            <w:pPr>
              <w:jc w:val="center"/>
            </w:pPr>
            <w:r>
              <w:rPr>
                <w:rFonts w:asciiTheme="minorEastAsia" w:eastAsiaTheme="minorEastAsia" w:hAnsiTheme="minorEastAsia"/>
                <w:color w:themeColor="text1" w:val="000000"/>
                <w:kern w:val="0"/>
              </w:rPr>
              <w:t>0.94%</w:t>
            </w:r>
          </w:p>
        </w:tc>
        <w:tc>
          <w:tcPr>
            <w:vAlign w:val="center"/>
          </w:tcPr>
          <w:p>
            <w:pPr>
              <w:jc w:val="center"/>
            </w:pPr>
            <w:r>
              <w:rPr>
                <w:rFonts w:asciiTheme="minorEastAsia" w:eastAsiaTheme="minorEastAsia" w:hAnsiTheme="minorEastAsia"/>
                <w:color w:themeColor="text1" w:val="000000"/>
                <w:kern w:val="0"/>
              </w:rPr>
              <w:t>-9.66%</w:t>
            </w:r>
          </w:p>
        </w:tc>
        <w:tc>
          <w:tcPr>
            <w:vAlign w:val="center"/>
          </w:tcPr>
          <w:p>
            <w:pPr>
              <w:jc w:val="center"/>
            </w:pPr>
            <w:r>
              <w:rPr>
                <w:rFonts w:asciiTheme="minorEastAsia" w:eastAsiaTheme="minorEastAsia" w:hAnsiTheme="minorEastAsia"/>
                <w:color w:themeColor="text1" w:val="000000"/>
                <w:kern w:val="0"/>
              </w:rPr>
              <w:t>1.14%</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15.57%</w:t>
            </w:r>
          </w:p>
        </w:tc>
        <w:tc>
          <w:tcPr>
            <w:vAlign w:val="center"/>
          </w:tcPr>
          <w:p>
            <w:pPr>
              <w:jc w:val="center"/>
            </w:pPr>
            <w:r>
              <w:rPr>
                <w:rFonts w:asciiTheme="minorEastAsia" w:eastAsiaTheme="minorEastAsia" w:hAnsiTheme="minorEastAsia"/>
                <w:color w:themeColor="text1" w:val="000000"/>
                <w:kern w:val="0"/>
              </w:rPr>
              <w:t>1.89%</w:t>
            </w:r>
          </w:p>
        </w:tc>
        <w:tc>
          <w:tcPr>
            <w:vAlign w:val="center"/>
          </w:tcPr>
          <w:p>
            <w:pPr>
              <w:jc w:val="center"/>
            </w:pPr>
            <w:r>
              <w:rPr>
                <w:rFonts w:asciiTheme="minorEastAsia" w:eastAsiaTheme="minorEastAsia" w:hAnsiTheme="minorEastAsia"/>
                <w:color w:themeColor="text1" w:val="000000"/>
                <w:kern w:val="0"/>
              </w:rPr>
              <w:t>12.97%</w:t>
            </w:r>
          </w:p>
        </w:tc>
        <w:tc>
          <w:tcPr>
            <w:vAlign w:val="center"/>
          </w:tcPr>
          <w:p>
            <w:pPr>
              <w:jc w:val="center"/>
            </w:pPr>
            <w:r>
              <w:rPr>
                <w:rFonts w:asciiTheme="minorEastAsia" w:eastAsiaTheme="minorEastAsia" w:hAnsiTheme="minorEastAsia"/>
                <w:color w:themeColor="text1" w:val="000000"/>
                <w:kern w:val="0"/>
              </w:rPr>
              <w:t>0.78%</w:t>
            </w:r>
          </w:p>
        </w:tc>
        <w:tc>
          <w:tcPr>
            <w:vAlign w:val="center"/>
          </w:tcPr>
          <w:p>
            <w:pPr>
              <w:jc w:val="center"/>
            </w:pPr>
            <w:r>
              <w:rPr>
                <w:rFonts w:asciiTheme="minorEastAsia" w:eastAsiaTheme="minorEastAsia" w:hAnsiTheme="minorEastAsia"/>
                <w:color w:themeColor="text1" w:val="000000"/>
                <w:kern w:val="0"/>
              </w:rPr>
              <w:t>2.60%</w:t>
            </w:r>
          </w:p>
        </w:tc>
        <w:tc>
          <w:tcPr>
            <w:vAlign w:val="center"/>
          </w:tcPr>
          <w:p>
            <w:pPr>
              <w:jc w:val="center"/>
            </w:pPr>
            <w:r>
              <w:rPr>
                <w:rFonts w:asciiTheme="minorEastAsia" w:eastAsiaTheme="minorEastAsia" w:hAnsiTheme="minorEastAsia"/>
                <w:color w:themeColor="text1" w:val="000000"/>
                <w:kern w:val="0"/>
              </w:rPr>
              <w:t>1.11%</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34.04%</w:t>
            </w:r>
          </w:p>
        </w:tc>
        <w:tc>
          <w:tcPr>
            <w:vAlign w:val="center"/>
          </w:tcPr>
          <w:p>
            <w:pPr>
              <w:jc w:val="center"/>
            </w:pPr>
            <w:r>
              <w:rPr>
                <w:rFonts w:asciiTheme="minorEastAsia" w:eastAsiaTheme="minorEastAsia" w:hAnsiTheme="minorEastAsia"/>
                <w:color w:themeColor="text1" w:val="000000"/>
                <w:kern w:val="0"/>
              </w:rPr>
              <w:t>1.96%</w:t>
            </w:r>
          </w:p>
        </w:tc>
        <w:tc>
          <w:tcPr>
            <w:vAlign w:val="center"/>
          </w:tcPr>
          <w:p>
            <w:pPr>
              <w:jc w:val="center"/>
            </w:pPr>
            <w:r>
              <w:rPr>
                <w:rFonts w:asciiTheme="minorEastAsia" w:eastAsiaTheme="minorEastAsia" w:hAnsiTheme="minorEastAsia"/>
                <w:color w:themeColor="text1" w:val="000000"/>
                <w:kern w:val="0"/>
              </w:rPr>
              <w:t>12.77%</w:t>
            </w:r>
          </w:p>
        </w:tc>
        <w:tc>
          <w:tcPr>
            <w:vAlign w:val="center"/>
          </w:tcPr>
          <w:p>
            <w:pPr>
              <w:jc w:val="center"/>
            </w:pPr>
            <w:r>
              <w:rPr>
                <w:rFonts w:asciiTheme="minorEastAsia" w:eastAsiaTheme="minorEastAsia" w:hAnsiTheme="minorEastAsia"/>
                <w:color w:themeColor="text1" w:val="000000"/>
                <w:kern w:val="0"/>
              </w:rPr>
              <w:t>0.83%</w:t>
            </w:r>
          </w:p>
        </w:tc>
        <w:tc>
          <w:tcPr>
            <w:vAlign w:val="center"/>
          </w:tcPr>
          <w:p>
            <w:pPr>
              <w:jc w:val="center"/>
            </w:pPr>
            <w:r>
              <w:rPr>
                <w:rFonts w:asciiTheme="minorEastAsia" w:eastAsiaTheme="minorEastAsia" w:hAnsiTheme="minorEastAsia"/>
                <w:color w:themeColor="text1" w:val="000000"/>
                <w:kern w:val="0"/>
              </w:rPr>
              <w:t>21.27%</w:t>
            </w:r>
          </w:p>
        </w:tc>
        <w:tc>
          <w:tcPr>
            <w:vAlign w:val="center"/>
          </w:tcPr>
          <w:p>
            <w:pPr>
              <w:jc w:val="center"/>
            </w:pPr>
            <w:r>
              <w:rPr>
                <w:rFonts w:asciiTheme="minorEastAsia" w:eastAsiaTheme="minorEastAsia" w:hAnsiTheme="minorEastAsia"/>
                <w:color w:themeColor="text1" w:val="000000"/>
                <w:kern w:val="0"/>
              </w:rPr>
              <w:t>1.13%</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15.68%</w:t>
            </w:r>
          </w:p>
        </w:tc>
        <w:tc>
          <w:tcPr>
            <w:vAlign w:val="center"/>
          </w:tcPr>
          <w:p>
            <w:pPr>
              <w:jc w:val="center"/>
            </w:pPr>
            <w:r>
              <w:rPr>
                <w:rFonts w:asciiTheme="minorEastAsia" w:eastAsiaTheme="minorEastAsia" w:hAnsiTheme="minorEastAsia"/>
                <w:color w:themeColor="text1" w:val="000000"/>
                <w:kern w:val="0"/>
              </w:rPr>
              <w:t>1.87%</w:t>
            </w:r>
          </w:p>
        </w:tc>
        <w:tc>
          <w:tcPr>
            <w:vAlign w:val="center"/>
          </w:tcPr>
          <w:p>
            <w:pPr>
              <w:jc w:val="center"/>
            </w:pPr>
            <w:r>
              <w:rPr>
                <w:rFonts w:asciiTheme="minorEastAsia" w:eastAsiaTheme="minorEastAsia" w:hAnsiTheme="minorEastAsia"/>
                <w:color w:themeColor="text1" w:val="000000"/>
                <w:kern w:val="0"/>
              </w:rPr>
              <w:t>9.24%</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6.44%</w:t>
            </w:r>
          </w:p>
        </w:tc>
        <w:tc>
          <w:tcPr>
            <w:vAlign w:val="center"/>
          </w:tcPr>
          <w:p>
            <w:pPr>
              <w:jc w:val="center"/>
            </w:pPr>
            <w:r>
              <w:rPr>
                <w:rFonts w:asciiTheme="minorEastAsia" w:eastAsiaTheme="minorEastAsia" w:hAnsiTheme="minorEastAsia"/>
                <w:color w:themeColor="text1" w:val="000000"/>
                <w:kern w:val="0"/>
              </w:rPr>
              <w:t>1.08%</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c>
          <w:tcPr>
            <w:vAlign w:val="center"/>
          </w:tcPr>
          <w:p>
            <w:pPr>
              <w:jc w:val="center"/>
            </w:pPr>
            <w:r>
              <w:rPr>
                <w:rFonts w:asciiTheme="minorEastAsia" w:eastAsiaTheme="minorEastAsia" w:hAnsiTheme="minorEastAsia"/>
                <w:color w:themeColor="text1" w:val="000000"/>
                <w:kern w:val="0"/>
              </w:rPr>
              <w:t>-</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26.67%</w:t>
            </w:r>
          </w:p>
        </w:tc>
        <w:tc>
          <w:tcPr>
            <w:vAlign w:val="center"/>
          </w:tcPr>
          <w:p>
            <w:pPr>
              <w:jc w:val="center"/>
            </w:pPr>
            <w:r>
              <w:rPr>
                <w:rFonts w:asciiTheme="minorEastAsia" w:eastAsiaTheme="minorEastAsia" w:hAnsiTheme="minorEastAsia"/>
                <w:color w:themeColor="text1" w:val="000000"/>
                <w:kern w:val="0"/>
              </w:rPr>
              <w:t>1.66%</w:t>
            </w:r>
          </w:p>
        </w:tc>
        <w:tc>
          <w:tcPr>
            <w:vAlign w:val="center"/>
          </w:tcPr>
          <w:p>
            <w:pPr>
              <w:jc w:val="center"/>
            </w:pPr>
            <w:r>
              <w:rPr>
                <w:rFonts w:asciiTheme="minorEastAsia" w:eastAsiaTheme="minorEastAsia" w:hAnsiTheme="minorEastAsia"/>
                <w:color w:themeColor="text1" w:val="000000"/>
                <w:kern w:val="0"/>
              </w:rPr>
              <w:t>3.64%</w:t>
            </w:r>
          </w:p>
        </w:tc>
        <w:tc>
          <w:tcPr>
            <w:vAlign w:val="center"/>
          </w:tcPr>
          <w:p>
            <w:pPr>
              <w:jc w:val="center"/>
            </w:pPr>
            <w:r>
              <w:rPr>
                <w:rFonts w:asciiTheme="minorEastAsia" w:eastAsiaTheme="minorEastAsia" w:hAnsiTheme="minorEastAsia"/>
                <w:color w:themeColor="text1" w:val="000000"/>
                <w:kern w:val="0"/>
              </w:rPr>
              <w:t>0.77%</w:t>
            </w:r>
          </w:p>
        </w:tc>
        <w:tc>
          <w:tcPr>
            <w:vAlign w:val="center"/>
          </w:tcPr>
          <w:p>
            <w:pPr>
              <w:jc w:val="center"/>
            </w:pPr>
            <w:r>
              <w:rPr>
                <w:rFonts w:asciiTheme="minorEastAsia" w:eastAsiaTheme="minorEastAsia" w:hAnsiTheme="minorEastAsia"/>
                <w:color w:themeColor="text1" w:val="000000"/>
                <w:kern w:val="0"/>
              </w:rPr>
              <w:t>23.03%</w:t>
            </w:r>
          </w:p>
        </w:tc>
        <w:tc>
          <w:tcPr>
            <w:vAlign w:val="center"/>
          </w:tcPr>
          <w:p>
            <w:pPr>
              <w:jc w:val="center"/>
            </w:pPr>
            <w:r>
              <w:rPr>
                <w:rFonts w:asciiTheme="minorEastAsia" w:eastAsiaTheme="minorEastAsia" w:hAnsiTheme="minorEastAsia"/>
                <w:color w:themeColor="text1" w:val="000000"/>
                <w:kern w:val="0"/>
              </w:rPr>
              <w:t>0.89%</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上投摩根文体休闲灵活配置混合型证券投资基金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2015年12月23日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2020年9月30日)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注：本基金合同生效日为2015年12月23日，图示时间段为2015年12月23日至2020年9月30日。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本基金建仓期自2015年12月23日至2016年6月22日。建仓期结束时资产配置比例符合本基金基金合同规定。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周战海</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2015-12-23</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14年</w:t>
            </w:r>
          </w:p>
        </w:tc>
        <w:tc>
          <w:tcPr>
            <w:vAlign w:val="center"/>
          </w:tcPr>
          <w:p>
            <w:pPr>
              <w:jc w:val="both"/>
            </w:pPr>
            <w:r>
              <w:rPr>
                <w:rFonts w:asciiTheme="minorEastAsia" w:eastAsiaTheme="minorEastAsia" w:hAnsiTheme="minorEastAsia"/>
                <w:color w:themeColor="text1" w:val="000000"/>
              </w:rPr>
              <w:t>周战海先生自2007年1月至2009年3月在国金证券股份有限公司担任分析师，2009年4月至2010年7月在太平洋资产管理有限公司担任研究员，2010年8月起加入上投摩根基金管理有限公司，历任行业专家、基金经理助理、基金经理、高级基金经理。自2015年12月起担任上投摩根文体休闲灵活配置混合型证券投资基金基金经理，自2018年2月起同时担任上投摩根健康品质生活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2.周战海先生为本基金首任基金经理，其任职日期指本基金基金合同生效之日。 </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3.证券从业的含义遵从行业协会《证券业从业人员资格管理办法》的相关规定。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文体休闲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2020年三季度以来国内经济持续复苏上行成为最大亮点，国内需求处于明显的复苏通道中，经济数据持续好转，流动性继续渐进式宽松，风险偏好在波折中提升，美国经济数据也开始好转，A股整体表现较好，沪深300涨幅达到10.17%，创业板指数上涨5.60%。以申万行业分类统计来看，休闲服务，国防军工、电气设备、汽车、非银行金融等行业表现相对突出；通信、计算机、商业贸易、传媒、农林牧渔表现相对落后。三季度创业板注册制顺利落地，涨跌幅放开到20%，国内资本市场改革更进一步，市场交投更加活跃。报告期内，本基金严格按照契约要求，重点投资方向集中在通信、计算机、电子和传媒等行业的龙头公司。受投资行业景气度影响，报告期内基金净值小幅下跌。 </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 xml:space="preserve">展望2020年四季度, 我们谨慎乐观，国内经济有望继续修复，一方面企业盈利改善，另一方面货币政策灵活适度。我们认为，权益市场短期较难呈现估值的显著抬升，而对上市公司盈利的关注进一步扩大，业绩增长将成为市场的主要驱动因素。目前疫情对国内市场影响不大。风险因素方面美国大选结果可能对全球资本市场产生一些影响。整体来看A股市场的估值不贵，A股市场没有呈现较大的系统性风险，预期市场仍会继续呈现较为明显的结构性行情。关注十四五规划出台可能在产业规划方面提振不少行业的中长期景气度，带来主题性投资机会。我们依然认为消费和科技领域增长空间较大，继续坚定看好科技这条投资主线。行业上，5G相关的科技等细分子行业的景气度依然长期看好。我们将聚焦具有竞争优势的高科技成长公司，按照基金契约的要求重点投资文体休闲主题相关行业中具有相对估值优势、增长前景确定的高成长龙头公司。我们将加强对上市公司基本面的研究力度，筛选出竞争力持续提升的优秀公司，力争为持有人创造较好回报。 </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本报告期文体休闲份额净值增长率为:-5.04%，同期业绩比较基准收益率为:4.62%。</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44,813,725.89</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89.43</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44,813,725.89</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89.43</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5,258,165.32</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10.49</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41,072.85</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0.08</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50,112,964.06</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19,215,007.93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38.86</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4,162.08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0.01</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720,750.00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1.46</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7,074.55</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0.01</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20,089,339.13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40.63</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902,410.00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1.83</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2,051,048.00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4.15</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219,275.00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0.44</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1,604,659.20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3.25</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44,813,725.89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90.64</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300136</w:t>
            </w:r>
          </w:p>
        </w:tc>
        <w:tc>
          <w:tcPr>
            <w:vAlign w:val="center"/>
          </w:tcPr>
          <w:p>
            <w:pPr>
              <w:jc w:val="center"/>
            </w:pPr>
            <w:r>
              <w:rPr>
                <w:rFonts w:asciiTheme="minorEastAsia" w:cs="宋体" w:eastAsiaTheme="minorEastAsia" w:hAnsiTheme="minorEastAsia"/>
                <w:color w:themeColor="text1" w:val="000000"/>
                <w:kern w:val="0"/>
              </w:rPr>
              <w:t>信维通信</w:t>
            </w:r>
          </w:p>
        </w:tc>
        <w:tc>
          <w:tcPr>
            <w:vAlign w:val="center"/>
          </w:tcPr>
          <w:p>
            <w:pPr>
              <w:jc w:val="right"/>
            </w:pPr>
            <w:r>
              <w:rPr>
                <w:rFonts w:asciiTheme="minorEastAsia" w:cs="宋体" w:eastAsiaTheme="minorEastAsia" w:hAnsiTheme="minorEastAsia"/>
                <w:color w:themeColor="text1" w:val="000000"/>
                <w:kern w:val="0"/>
              </w:rPr>
              <w:t>46,106.00</w:t>
            </w:r>
          </w:p>
        </w:tc>
        <w:tc>
          <w:tcPr>
            <w:vAlign w:val="center"/>
          </w:tcPr>
          <w:p>
            <w:pPr>
              <w:jc w:val="right"/>
            </w:pPr>
            <w:r>
              <w:rPr>
                <w:rFonts w:asciiTheme="minorEastAsia" w:cs="宋体" w:eastAsiaTheme="minorEastAsia" w:hAnsiTheme="minorEastAsia"/>
                <w:color w:themeColor="text1" w:val="000000"/>
                <w:kern w:val="0"/>
              </w:rPr>
              <w:t>2,513,238.06</w:t>
            </w:r>
          </w:p>
        </w:tc>
        <w:tc>
          <w:tcPr>
            <w:vAlign w:val="center"/>
          </w:tcPr>
          <w:p>
            <w:pPr>
              <w:jc w:val="right"/>
            </w:pPr>
            <w:r>
              <w:rPr>
                <w:rFonts w:asciiTheme="minorEastAsia" w:cs="宋体" w:eastAsiaTheme="minorEastAsia" w:hAnsiTheme="minorEastAsia"/>
                <w:color w:themeColor="text1" w:val="000000"/>
                <w:kern w:val="0"/>
              </w:rPr>
              <w:t>5.08</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002555</w:t>
            </w:r>
          </w:p>
        </w:tc>
        <w:tc>
          <w:tcPr>
            <w:vAlign w:val="center"/>
          </w:tcPr>
          <w:p>
            <w:pPr>
              <w:jc w:val="center"/>
            </w:pPr>
            <w:r>
              <w:rPr>
                <w:rFonts w:asciiTheme="minorEastAsia" w:cs="宋体" w:eastAsiaTheme="minorEastAsia" w:hAnsiTheme="minorEastAsia"/>
                <w:color w:themeColor="text1" w:val="000000"/>
                <w:kern w:val="0"/>
              </w:rPr>
              <w:t>三七互娱</w:t>
            </w:r>
          </w:p>
        </w:tc>
        <w:tc>
          <w:tcPr>
            <w:vAlign w:val="center"/>
          </w:tcPr>
          <w:p>
            <w:pPr>
              <w:jc w:val="right"/>
            </w:pPr>
            <w:r>
              <w:rPr>
                <w:rFonts w:asciiTheme="minorEastAsia" w:cs="宋体" w:eastAsiaTheme="minorEastAsia" w:hAnsiTheme="minorEastAsia"/>
                <w:color w:themeColor="text1" w:val="000000"/>
                <w:kern w:val="0"/>
              </w:rPr>
              <w:t>59,436.00</w:t>
            </w:r>
          </w:p>
        </w:tc>
        <w:tc>
          <w:tcPr>
            <w:vAlign w:val="center"/>
          </w:tcPr>
          <w:p>
            <w:pPr>
              <w:jc w:val="right"/>
            </w:pPr>
            <w:r>
              <w:rPr>
                <w:rFonts w:asciiTheme="minorEastAsia" w:cs="宋体" w:eastAsiaTheme="minorEastAsia" w:hAnsiTheme="minorEastAsia"/>
                <w:color w:themeColor="text1" w:val="000000"/>
                <w:kern w:val="0"/>
              </w:rPr>
              <w:t>2,359,014.84</w:t>
            </w:r>
          </w:p>
        </w:tc>
        <w:tc>
          <w:tcPr>
            <w:vAlign w:val="center"/>
          </w:tcPr>
          <w:p>
            <w:pPr>
              <w:jc w:val="right"/>
            </w:pPr>
            <w:r>
              <w:rPr>
                <w:rFonts w:asciiTheme="minorEastAsia" w:cs="宋体" w:eastAsiaTheme="minorEastAsia" w:hAnsiTheme="minorEastAsia"/>
                <w:color w:themeColor="text1" w:val="000000"/>
                <w:kern w:val="0"/>
              </w:rPr>
              <w:t>4.77</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300348</w:t>
            </w:r>
          </w:p>
        </w:tc>
        <w:tc>
          <w:tcPr>
            <w:vAlign w:val="center"/>
          </w:tcPr>
          <w:p>
            <w:pPr>
              <w:jc w:val="center"/>
            </w:pPr>
            <w:r>
              <w:rPr>
                <w:rFonts w:asciiTheme="minorEastAsia" w:cs="宋体" w:eastAsiaTheme="minorEastAsia" w:hAnsiTheme="minorEastAsia"/>
                <w:color w:themeColor="text1" w:val="000000"/>
                <w:kern w:val="0"/>
              </w:rPr>
              <w:t>长亮科技</w:t>
            </w:r>
          </w:p>
        </w:tc>
        <w:tc>
          <w:tcPr>
            <w:vAlign w:val="center"/>
          </w:tcPr>
          <w:p>
            <w:pPr>
              <w:jc w:val="right"/>
            </w:pPr>
            <w:r>
              <w:rPr>
                <w:rFonts w:asciiTheme="minorEastAsia" w:cs="宋体" w:eastAsiaTheme="minorEastAsia" w:hAnsiTheme="minorEastAsia"/>
                <w:color w:themeColor="text1" w:val="000000"/>
                <w:kern w:val="0"/>
              </w:rPr>
              <w:t>95,445.00</w:t>
            </w:r>
          </w:p>
        </w:tc>
        <w:tc>
          <w:tcPr>
            <w:vAlign w:val="center"/>
          </w:tcPr>
          <w:p>
            <w:pPr>
              <w:jc w:val="right"/>
            </w:pPr>
            <w:r>
              <w:rPr>
                <w:rFonts w:asciiTheme="minorEastAsia" w:cs="宋体" w:eastAsiaTheme="minorEastAsia" w:hAnsiTheme="minorEastAsia"/>
                <w:color w:themeColor="text1" w:val="000000"/>
                <w:kern w:val="0"/>
              </w:rPr>
              <w:t>2,278,272.15</w:t>
            </w:r>
          </w:p>
        </w:tc>
        <w:tc>
          <w:tcPr>
            <w:vAlign w:val="center"/>
          </w:tcPr>
          <w:p>
            <w:pPr>
              <w:jc w:val="right"/>
            </w:pPr>
            <w:r>
              <w:rPr>
                <w:rFonts w:asciiTheme="minorEastAsia" w:cs="宋体" w:eastAsiaTheme="minorEastAsia" w:hAnsiTheme="minorEastAsia"/>
                <w:color w:themeColor="text1" w:val="000000"/>
                <w:kern w:val="0"/>
              </w:rPr>
              <w:t>4.61</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600570</w:t>
            </w:r>
          </w:p>
        </w:tc>
        <w:tc>
          <w:tcPr>
            <w:vAlign w:val="center"/>
          </w:tcPr>
          <w:p>
            <w:pPr>
              <w:jc w:val="center"/>
            </w:pPr>
            <w:r>
              <w:rPr>
                <w:rFonts w:asciiTheme="minorEastAsia" w:cs="宋体" w:eastAsiaTheme="minorEastAsia" w:hAnsiTheme="minorEastAsia"/>
                <w:color w:themeColor="text1" w:val="000000"/>
                <w:kern w:val="0"/>
              </w:rPr>
              <w:t>恒生电子</w:t>
            </w:r>
          </w:p>
        </w:tc>
        <w:tc>
          <w:tcPr>
            <w:vAlign w:val="center"/>
          </w:tcPr>
          <w:p>
            <w:pPr>
              <w:jc w:val="right"/>
            </w:pPr>
            <w:r>
              <w:rPr>
                <w:rFonts w:asciiTheme="minorEastAsia" w:cs="宋体" w:eastAsiaTheme="minorEastAsia" w:hAnsiTheme="minorEastAsia"/>
                <w:color w:themeColor="text1" w:val="000000"/>
                <w:kern w:val="0"/>
              </w:rPr>
              <w:t>21,700.00</w:t>
            </w:r>
          </w:p>
        </w:tc>
        <w:tc>
          <w:tcPr>
            <w:vAlign w:val="center"/>
          </w:tcPr>
          <w:p>
            <w:pPr>
              <w:jc w:val="right"/>
            </w:pPr>
            <w:r>
              <w:rPr>
                <w:rFonts w:asciiTheme="minorEastAsia" w:cs="宋体" w:eastAsiaTheme="minorEastAsia" w:hAnsiTheme="minorEastAsia"/>
                <w:color w:themeColor="text1" w:val="000000"/>
                <w:kern w:val="0"/>
              </w:rPr>
              <w:t>2,139,403.00</w:t>
            </w:r>
          </w:p>
        </w:tc>
        <w:tc>
          <w:tcPr>
            <w:vAlign w:val="center"/>
          </w:tcPr>
          <w:p>
            <w:pPr>
              <w:jc w:val="right"/>
            </w:pPr>
            <w:r>
              <w:rPr>
                <w:rFonts w:asciiTheme="minorEastAsia" w:cs="宋体" w:eastAsiaTheme="minorEastAsia" w:hAnsiTheme="minorEastAsia"/>
                <w:color w:themeColor="text1" w:val="000000"/>
                <w:kern w:val="0"/>
              </w:rPr>
              <w:t>4.33</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601888</w:t>
            </w:r>
          </w:p>
        </w:tc>
        <w:tc>
          <w:tcPr>
            <w:vAlign w:val="center"/>
          </w:tcPr>
          <w:p>
            <w:pPr>
              <w:jc w:val="center"/>
            </w:pPr>
            <w:r>
              <w:rPr>
                <w:rFonts w:asciiTheme="minorEastAsia" w:cs="宋体" w:eastAsiaTheme="minorEastAsia" w:hAnsiTheme="minorEastAsia"/>
                <w:color w:themeColor="text1" w:val="000000"/>
                <w:kern w:val="0"/>
              </w:rPr>
              <w:t>中国中免</w:t>
            </w:r>
          </w:p>
        </w:tc>
        <w:tc>
          <w:tcPr>
            <w:vAlign w:val="center"/>
          </w:tcPr>
          <w:p>
            <w:pPr>
              <w:jc w:val="right"/>
            </w:pPr>
            <w:r>
              <w:rPr>
                <w:rFonts w:asciiTheme="minorEastAsia" w:cs="宋体" w:eastAsiaTheme="minorEastAsia" w:hAnsiTheme="minorEastAsia"/>
                <w:color w:themeColor="text1" w:val="000000"/>
                <w:kern w:val="0"/>
              </w:rPr>
              <w:t>9,200.00</w:t>
            </w:r>
          </w:p>
        </w:tc>
        <w:tc>
          <w:tcPr>
            <w:vAlign w:val="center"/>
          </w:tcPr>
          <w:p>
            <w:pPr>
              <w:jc w:val="right"/>
            </w:pPr>
            <w:r>
              <w:rPr>
                <w:rFonts w:asciiTheme="minorEastAsia" w:cs="宋体" w:eastAsiaTheme="minorEastAsia" w:hAnsiTheme="minorEastAsia"/>
                <w:color w:themeColor="text1" w:val="000000"/>
                <w:kern w:val="0"/>
              </w:rPr>
              <w:t>2,051,048.00</w:t>
            </w:r>
          </w:p>
        </w:tc>
        <w:tc>
          <w:tcPr>
            <w:vAlign w:val="center"/>
          </w:tcPr>
          <w:p>
            <w:pPr>
              <w:jc w:val="right"/>
            </w:pPr>
            <w:r>
              <w:rPr>
                <w:rFonts w:asciiTheme="minorEastAsia" w:cs="宋体" w:eastAsiaTheme="minorEastAsia" w:hAnsiTheme="minorEastAsia"/>
                <w:color w:themeColor="text1" w:val="000000"/>
                <w:kern w:val="0"/>
              </w:rPr>
              <w:t>4.15</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300502</w:t>
            </w:r>
          </w:p>
        </w:tc>
        <w:tc>
          <w:tcPr>
            <w:vAlign w:val="center"/>
          </w:tcPr>
          <w:p>
            <w:pPr>
              <w:jc w:val="center"/>
            </w:pPr>
            <w:r>
              <w:rPr>
                <w:rFonts w:asciiTheme="minorEastAsia" w:cs="宋体" w:eastAsiaTheme="minorEastAsia" w:hAnsiTheme="minorEastAsia"/>
                <w:color w:themeColor="text1" w:val="000000"/>
                <w:kern w:val="0"/>
              </w:rPr>
              <w:t>新易盛</w:t>
            </w:r>
          </w:p>
        </w:tc>
        <w:tc>
          <w:tcPr>
            <w:vAlign w:val="center"/>
          </w:tcPr>
          <w:p>
            <w:pPr>
              <w:jc w:val="right"/>
            </w:pPr>
            <w:r>
              <w:rPr>
                <w:rFonts w:asciiTheme="minorEastAsia" w:cs="宋体" w:eastAsiaTheme="minorEastAsia" w:hAnsiTheme="minorEastAsia"/>
                <w:color w:themeColor="text1" w:val="000000"/>
                <w:kern w:val="0"/>
              </w:rPr>
              <w:t>31,851.00</w:t>
            </w:r>
          </w:p>
        </w:tc>
        <w:tc>
          <w:tcPr>
            <w:vAlign w:val="center"/>
          </w:tcPr>
          <w:p>
            <w:pPr>
              <w:jc w:val="right"/>
            </w:pPr>
            <w:r>
              <w:rPr>
                <w:rFonts w:asciiTheme="minorEastAsia" w:cs="宋体" w:eastAsiaTheme="minorEastAsia" w:hAnsiTheme="minorEastAsia"/>
                <w:color w:themeColor="text1" w:val="000000"/>
                <w:kern w:val="0"/>
              </w:rPr>
              <w:t>2,046,426.75</w:t>
            </w:r>
          </w:p>
        </w:tc>
        <w:tc>
          <w:tcPr>
            <w:vAlign w:val="center"/>
          </w:tcPr>
          <w:p>
            <w:pPr>
              <w:jc w:val="right"/>
            </w:pPr>
            <w:r>
              <w:rPr>
                <w:rFonts w:asciiTheme="minorEastAsia" w:cs="宋体" w:eastAsiaTheme="minorEastAsia" w:hAnsiTheme="minorEastAsia"/>
                <w:color w:themeColor="text1" w:val="000000"/>
                <w:kern w:val="0"/>
              </w:rPr>
              <w:t>4.14</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300496</w:t>
            </w:r>
          </w:p>
        </w:tc>
        <w:tc>
          <w:tcPr>
            <w:vAlign w:val="center"/>
          </w:tcPr>
          <w:p>
            <w:pPr>
              <w:jc w:val="center"/>
            </w:pPr>
            <w:r>
              <w:rPr>
                <w:rFonts w:asciiTheme="minorEastAsia" w:cs="宋体" w:eastAsiaTheme="minorEastAsia" w:hAnsiTheme="minorEastAsia"/>
                <w:color w:themeColor="text1" w:val="000000"/>
                <w:kern w:val="0"/>
              </w:rPr>
              <w:t>中科创达</w:t>
            </w:r>
          </w:p>
        </w:tc>
        <w:tc>
          <w:tcPr>
            <w:vAlign w:val="center"/>
          </w:tcPr>
          <w:p>
            <w:pPr>
              <w:jc w:val="right"/>
            </w:pPr>
            <w:r>
              <w:rPr>
                <w:rFonts w:asciiTheme="minorEastAsia" w:cs="宋体" w:eastAsiaTheme="minorEastAsia" w:hAnsiTheme="minorEastAsia"/>
                <w:color w:themeColor="text1" w:val="000000"/>
                <w:kern w:val="0"/>
              </w:rPr>
              <w:t>23,632.00</w:t>
            </w:r>
          </w:p>
        </w:tc>
        <w:tc>
          <w:tcPr>
            <w:vAlign w:val="center"/>
          </w:tcPr>
          <w:p>
            <w:pPr>
              <w:jc w:val="right"/>
            </w:pPr>
            <w:r>
              <w:rPr>
                <w:rFonts w:asciiTheme="minorEastAsia" w:cs="宋体" w:eastAsiaTheme="minorEastAsia" w:hAnsiTheme="minorEastAsia"/>
                <w:color w:themeColor="text1" w:val="000000"/>
                <w:kern w:val="0"/>
              </w:rPr>
              <w:t>2,036,133.12</w:t>
            </w:r>
          </w:p>
        </w:tc>
        <w:tc>
          <w:tcPr>
            <w:vAlign w:val="center"/>
          </w:tcPr>
          <w:p>
            <w:pPr>
              <w:jc w:val="right"/>
            </w:pPr>
            <w:r>
              <w:rPr>
                <w:rFonts w:asciiTheme="minorEastAsia" w:cs="宋体" w:eastAsiaTheme="minorEastAsia" w:hAnsiTheme="minorEastAsia"/>
                <w:color w:themeColor="text1" w:val="000000"/>
                <w:kern w:val="0"/>
              </w:rPr>
              <w:t>4.12</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603444</w:t>
            </w:r>
          </w:p>
        </w:tc>
        <w:tc>
          <w:tcPr>
            <w:vAlign w:val="center"/>
          </w:tcPr>
          <w:p>
            <w:pPr>
              <w:jc w:val="center"/>
            </w:pPr>
            <w:r>
              <w:rPr>
                <w:rFonts w:asciiTheme="minorEastAsia" w:cs="宋体" w:eastAsiaTheme="minorEastAsia" w:hAnsiTheme="minorEastAsia"/>
                <w:color w:themeColor="text1" w:val="000000"/>
                <w:kern w:val="0"/>
              </w:rPr>
              <w:t>吉比特</w:t>
            </w:r>
          </w:p>
        </w:tc>
        <w:tc>
          <w:tcPr>
            <w:vAlign w:val="center"/>
          </w:tcPr>
          <w:p>
            <w:pPr>
              <w:jc w:val="right"/>
            </w:pPr>
            <w:r>
              <w:rPr>
                <w:rFonts w:asciiTheme="minorEastAsia" w:cs="宋体" w:eastAsiaTheme="minorEastAsia" w:hAnsiTheme="minorEastAsia"/>
                <w:color w:themeColor="text1" w:val="000000"/>
                <w:kern w:val="0"/>
              </w:rPr>
              <w:t>3,000.00</w:t>
            </w:r>
          </w:p>
        </w:tc>
        <w:tc>
          <w:tcPr>
            <w:vAlign w:val="center"/>
          </w:tcPr>
          <w:p>
            <w:pPr>
              <w:jc w:val="right"/>
            </w:pPr>
            <w:r>
              <w:rPr>
                <w:rFonts w:asciiTheme="minorEastAsia" w:cs="宋体" w:eastAsiaTheme="minorEastAsia" w:hAnsiTheme="minorEastAsia"/>
                <w:color w:themeColor="text1" w:val="000000"/>
                <w:kern w:val="0"/>
              </w:rPr>
              <w:t>1,868,700.00</w:t>
            </w:r>
          </w:p>
        </w:tc>
        <w:tc>
          <w:tcPr>
            <w:vAlign w:val="center"/>
          </w:tcPr>
          <w:p>
            <w:pPr>
              <w:jc w:val="right"/>
            </w:pPr>
            <w:r>
              <w:rPr>
                <w:rFonts w:asciiTheme="minorEastAsia" w:cs="宋体" w:eastAsiaTheme="minorEastAsia" w:hAnsiTheme="minorEastAsia"/>
                <w:color w:themeColor="text1" w:val="000000"/>
                <w:kern w:val="0"/>
              </w:rPr>
              <w:t>3.78</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600556</w:t>
            </w:r>
          </w:p>
        </w:tc>
        <w:tc>
          <w:tcPr>
            <w:vAlign w:val="center"/>
          </w:tcPr>
          <w:p>
            <w:pPr>
              <w:jc w:val="center"/>
            </w:pPr>
            <w:r>
              <w:rPr>
                <w:rFonts w:asciiTheme="minorEastAsia" w:cs="宋体" w:eastAsiaTheme="minorEastAsia" w:hAnsiTheme="minorEastAsia"/>
                <w:color w:themeColor="text1" w:val="000000"/>
                <w:kern w:val="0"/>
              </w:rPr>
              <w:t>天下秀</w:t>
            </w:r>
          </w:p>
        </w:tc>
        <w:tc>
          <w:tcPr>
            <w:vAlign w:val="center"/>
          </w:tcPr>
          <w:p>
            <w:pPr>
              <w:jc w:val="right"/>
            </w:pPr>
            <w:r>
              <w:rPr>
                <w:rFonts w:asciiTheme="minorEastAsia" w:cs="宋体" w:eastAsiaTheme="minorEastAsia" w:hAnsiTheme="minorEastAsia"/>
                <w:color w:themeColor="text1" w:val="000000"/>
                <w:kern w:val="0"/>
              </w:rPr>
              <w:t>106,400.00</w:t>
            </w:r>
          </w:p>
        </w:tc>
        <w:tc>
          <w:tcPr>
            <w:vAlign w:val="center"/>
          </w:tcPr>
          <w:p>
            <w:pPr>
              <w:jc w:val="right"/>
            </w:pPr>
            <w:r>
              <w:rPr>
                <w:rFonts w:asciiTheme="minorEastAsia" w:cs="宋体" w:eastAsiaTheme="minorEastAsia" w:hAnsiTheme="minorEastAsia"/>
                <w:color w:themeColor="text1" w:val="000000"/>
                <w:kern w:val="0"/>
              </w:rPr>
              <w:t>1,864,128.00</w:t>
            </w:r>
          </w:p>
        </w:tc>
        <w:tc>
          <w:tcPr>
            <w:vAlign w:val="center"/>
          </w:tcPr>
          <w:p>
            <w:pPr>
              <w:jc w:val="right"/>
            </w:pPr>
            <w:r>
              <w:rPr>
                <w:rFonts w:asciiTheme="minorEastAsia" w:cs="宋体" w:eastAsiaTheme="minorEastAsia" w:hAnsiTheme="minorEastAsia"/>
                <w:color w:themeColor="text1" w:val="000000"/>
                <w:kern w:val="0"/>
              </w:rPr>
              <w:t>3.77</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300454</w:t>
            </w:r>
          </w:p>
        </w:tc>
        <w:tc>
          <w:tcPr>
            <w:vAlign w:val="center"/>
          </w:tcPr>
          <w:p>
            <w:pPr>
              <w:jc w:val="center"/>
            </w:pPr>
            <w:r>
              <w:rPr>
                <w:rFonts w:asciiTheme="minorEastAsia" w:cs="宋体" w:eastAsiaTheme="minorEastAsia" w:hAnsiTheme="minorEastAsia"/>
                <w:color w:themeColor="text1" w:val="000000"/>
                <w:kern w:val="0"/>
              </w:rPr>
              <w:t>深信服</w:t>
            </w:r>
          </w:p>
        </w:tc>
        <w:tc>
          <w:tcPr>
            <w:vAlign w:val="center"/>
          </w:tcPr>
          <w:p>
            <w:pPr>
              <w:jc w:val="right"/>
            </w:pPr>
            <w:r>
              <w:rPr>
                <w:rFonts w:asciiTheme="minorEastAsia" w:cs="宋体" w:eastAsiaTheme="minorEastAsia" w:hAnsiTheme="minorEastAsia"/>
                <w:color w:themeColor="text1" w:val="000000"/>
                <w:kern w:val="0"/>
              </w:rPr>
              <w:t>8,307.00</w:t>
            </w:r>
          </w:p>
        </w:tc>
        <w:tc>
          <w:tcPr>
            <w:vAlign w:val="center"/>
          </w:tcPr>
          <w:p>
            <w:pPr>
              <w:jc w:val="right"/>
            </w:pPr>
            <w:r>
              <w:rPr>
                <w:rFonts w:asciiTheme="minorEastAsia" w:cs="宋体" w:eastAsiaTheme="minorEastAsia" w:hAnsiTheme="minorEastAsia"/>
                <w:color w:themeColor="text1" w:val="000000"/>
                <w:kern w:val="0"/>
              </w:rPr>
              <w:t>1,759,090.32</w:t>
            </w:r>
          </w:p>
        </w:tc>
        <w:tc>
          <w:tcPr>
            <w:vAlign w:val="center"/>
          </w:tcPr>
          <w:p>
            <w:pPr>
              <w:jc w:val="right"/>
            </w:pPr>
            <w:r>
              <w:rPr>
                <w:rFonts w:asciiTheme="minorEastAsia" w:cs="宋体" w:eastAsiaTheme="minorEastAsia" w:hAnsiTheme="minorEastAsia"/>
                <w:color w:themeColor="text1" w:val="000000"/>
                <w:kern w:val="0"/>
              </w:rPr>
              <w:t>3.56</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19,536.73</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589.30</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20,946.82</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41,072.85</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50,880,571.31</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9,616,502.77</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21,465,184.30</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39,031,889.78</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33A50992"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影响投资者决策的其他重要信息</w:t>
      </w:r>
    </w:p>
    <w:p w14:paraId="5D6D0054" w14:textId="77777777" w:rsidR="00D06738" w:rsidRDefault="00454D20">
      <w:pPr>
        <w:autoSpaceDE w:val="0"/>
        <w:autoSpaceDN w:val="0"/>
        <w:adjustRightInd w:val="0"/>
        <w:spacing w:line="360" w:lineRule="auto"/>
        <w:jc w:val="left"/>
        <w:rPr>
          <w:rFonts w:ascii="宋体" w:hAnsi="宋体"/>
          <w:b/>
          <w:bCs/>
          <w:color w:val="000000"/>
          <w:kern w:val="0"/>
          <w:sz w:val="24"/>
          <w:szCs w:val="24"/>
        </w:rPr>
      </w:pPr>
      <w:r>
        <w:rPr>
          <w:rFonts w:ascii="宋体" w:hAnsi="宋体"/>
          <w:b/>
          <w:color w:val="000000"/>
          <w:kern w:val="0"/>
          <w:sz w:val="24"/>
          <w:szCs w:val="24"/>
        </w:rPr>
        <w:t/>
      </w:r>
      <w:proofErr w:type="spellStart"/>
      <w:r>
        <w:rPr>
          <w:rFonts w:ascii="宋体" w:hAnsi="宋体"/>
          <w:b/>
          <w:color w:val="000000"/>
          <w:kern w:val="0"/>
          <w:sz w:val="24"/>
          <w:szCs w:val="24"/>
        </w:rPr>
        <w:t/>
      </w:r>
      <w:proofErr w:type="gramStart"/>
      <w:r>
        <w:rPr>
          <w:rFonts w:ascii="宋体" w:hAnsi="宋体"/>
          <w:b/>
          <w:color w:val="000000"/>
          <w:kern w:val="0"/>
          <w:sz w:val="24"/>
          <w:szCs w:val="24"/>
        </w:rPr>
        <w:t/>
      </w:r>
      <w:proofErr w:type="spellEnd"/>
      <w:r>
        <w:rPr>
          <w:rFonts w:ascii="宋体" w:hAnsi="宋体"/>
          <w:b/>
          <w:color w:val="000000"/>
          <w:kern w:val="0"/>
          <w:sz w:val="24"/>
          <w:szCs w:val="24"/>
        </w:rPr>
        <w:t/>
      </w:r>
      <w:r>
        <w:rPr>
          <w:rFonts w:ascii="宋体" w:hAnsi="宋体"/>
          <w:b/>
          <w:bCs/>
          <w:color w:val="000000"/>
          <w:kern w:val="0"/>
          <w:sz w:val="24"/>
          <w:szCs w:val="24"/>
        </w:rPr>
        <w:t/>
      </w:r>
      <w:proofErr w:type="gramEnd"/>
      <w:r>
        <w:rPr>
          <w:rFonts w:ascii="宋体" w:hAnsi="宋体"/>
          <w:b/>
          <w:bCs/>
          <w:color w:val="000000"/>
          <w:kern w:val="0"/>
          <w:sz w:val="24"/>
          <w:szCs w:val="24"/>
        </w:rPr>
        <w:t>8.</w:t>
      </w:r>
      <w:r>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14:paraId="6DA9C89A" w14:textId="77777777" w:rsidR="00D06738">
        <w:tc>
          <w:tcPr>
            <w:tcW w:type="dxa" w:w="993"/>
            <w:vMerge w:val="restart"/>
            <w:vAlign w:val="center"/>
          </w:tcPr>
          <w:p w14:paraId="39B26BA3"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lastRenderedPageBreak/>
              <w:t>投资者类别</w:t>
            </w:r>
            <w:r>
              <w:rPr>
                <w:rFonts w:ascii="宋体" w:hAnsi="宋体"/>
                <w:color w:val="000000"/>
                <w:kern w:val="0"/>
              </w:rPr>
              <w:t/>
            </w:r>
            <w:proofErr w:type="spellStart"/>
            <w:r>
              <w:rPr>
                <w:rFonts w:ascii="宋体" w:hAnsi="宋体"/>
                <w:color w:val="000000"/>
                <w:kern w:val="0"/>
              </w:rPr>
              <w:t/>
            </w:r>
            <w:proofErr w:type="spellEnd"/>
            <w:r>
              <w:rPr>
                <w:rFonts w:ascii="宋体" w:hAnsi="宋体"/>
                <w:color w:val="000000"/>
                <w:kern w:val="0"/>
              </w:rPr>
              <w:t/>
            </w:r>
            <w:proofErr w:type="spellStart"/>
            <w:r>
              <w:rPr>
                <w:rFonts w:ascii="宋体" w:hAnsi="宋体"/>
                <w:color w:val="000000"/>
                <w:kern w:val="0"/>
              </w:rPr>
              <w:t/>
            </w:r>
            <w:proofErr w:type="spellEnd"/>
            <w:r>
              <w:rPr>
                <w:rFonts w:ascii="宋体" w:hAnsi="宋体"/>
                <w:color w:val="000000"/>
                <w:kern w:val="0"/>
              </w:rPr>
              <w:t xml:space="preserve">  </w:t>
            </w:r>
          </w:p>
        </w:tc>
        <w:tc>
          <w:tcPr>
            <w:tcW w:type="dxa" w:w="5670"/>
            <w:gridSpan w:val="5"/>
            <w:vAlign w:val="center"/>
          </w:tcPr>
          <w:p w14:paraId="0CD80CE2"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报告期内持有基金份额变化情况</w:t>
            </w:r>
          </w:p>
        </w:tc>
        <w:tc>
          <w:tcPr>
            <w:tcW w:type="dxa" w:w="2549"/>
            <w:gridSpan w:val="2"/>
            <w:vAlign w:val="center"/>
          </w:tcPr>
          <w:p w14:paraId="5772E436"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报告期末持有基金情况</w:t>
            </w:r>
          </w:p>
        </w:tc>
      </w:tr>
      <w:tr w14:paraId="217CE8FE" w14:textId="77777777" w:rsidR="00D06738">
        <w:tc>
          <w:tcPr>
            <w:tcW w:type="dxa" w:w="993"/>
            <w:vMerge/>
            <w:vAlign w:val="center"/>
          </w:tcPr>
          <w:p w14:paraId="2581A5BF" w14:textId="77777777" w:rsidR="00D06738" w:rsidRDefault="00D06738">
            <w:pPr>
              <w:autoSpaceDE w:val="0"/>
              <w:autoSpaceDN w:val="0"/>
              <w:adjustRightInd w:val="0"/>
              <w:jc w:val="center"/>
              <w:rPr>
                <w:rFonts w:ascii="宋体" w:hAnsi="宋体"/>
                <w:b/>
                <w:bCs/>
                <w:color w:val="000000"/>
                <w:kern w:val="0"/>
              </w:rPr>
            </w:pPr>
          </w:p>
        </w:tc>
        <w:tc>
          <w:tcPr>
            <w:tcW w:type="dxa" w:w="992"/>
            <w:vAlign w:val="center"/>
          </w:tcPr>
          <w:p w14:paraId="79C05624"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序号</w:t>
            </w:r>
          </w:p>
        </w:tc>
        <w:tc>
          <w:tcPr>
            <w:tcW w:type="dxa" w:w="1843"/>
            <w:vAlign w:val="center"/>
          </w:tcPr>
          <w:p w14:paraId="62B5A766"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持有基金份额比例达到或者超过20%的时间区间</w:t>
            </w:r>
          </w:p>
        </w:tc>
        <w:tc>
          <w:tcPr>
            <w:tcW w:type="dxa" w:w="851"/>
            <w:vAlign w:val="center"/>
          </w:tcPr>
          <w:p w14:paraId="6DE3EBDD" w14:textId="77777777" w:rsidR="00D06738" w:rsidRDefault="00454D20">
            <w:pPr>
              <w:widowControl/>
              <w:jc w:val="center"/>
              <w:rPr>
                <w:rFonts w:ascii="宋体" w:hAnsi="宋体"/>
                <w:b/>
                <w:bCs/>
                <w:color w:val="000000"/>
                <w:kern w:val="0"/>
              </w:rPr>
            </w:pPr>
            <w:r>
              <w:rPr>
                <w:rFonts w:ascii="宋体" w:hAnsi="宋体" w:hint="eastAsia"/>
                <w:color w:val="000000"/>
                <w:kern w:val="0"/>
              </w:rPr>
              <w:t>期初份额</w:t>
            </w:r>
          </w:p>
        </w:tc>
        <w:tc>
          <w:tcPr>
            <w:tcW w:type="dxa" w:w="850"/>
            <w:vAlign w:val="center"/>
          </w:tcPr>
          <w:p w14:paraId="5BDC6822" w14:textId="77777777" w:rsidR="00D06738" w:rsidRDefault="00454D20">
            <w:pPr>
              <w:widowControl/>
              <w:jc w:val="center"/>
              <w:rPr>
                <w:rFonts w:ascii="宋体" w:hAnsi="宋体"/>
                <w:b/>
                <w:bCs/>
                <w:color w:val="000000"/>
                <w:kern w:val="0"/>
              </w:rPr>
            </w:pPr>
            <w:r>
              <w:rPr>
                <w:rFonts w:ascii="宋体" w:hAnsi="宋体" w:hint="eastAsia"/>
                <w:color w:val="000000"/>
                <w:kern w:val="0"/>
              </w:rPr>
              <w:t>申购份额</w:t>
            </w:r>
          </w:p>
        </w:tc>
        <w:tc>
          <w:tcPr>
            <w:tcW w:type="dxa" w:w="1134"/>
            <w:vAlign w:val="center"/>
          </w:tcPr>
          <w:p w14:paraId="3193BB17" w14:textId="77777777" w:rsidR="00D06738" w:rsidRDefault="00454D20">
            <w:pPr>
              <w:widowControl/>
              <w:jc w:val="center"/>
              <w:rPr>
                <w:rFonts w:ascii="宋体" w:hAnsi="宋体"/>
                <w:b/>
                <w:bCs/>
                <w:color w:val="000000"/>
                <w:kern w:val="0"/>
              </w:rPr>
            </w:pPr>
            <w:r>
              <w:rPr>
                <w:rFonts w:ascii="宋体" w:hAnsi="宋体" w:hint="eastAsia"/>
                <w:color w:val="000000"/>
                <w:kern w:val="0"/>
              </w:rPr>
              <w:t>赎回份额</w:t>
            </w:r>
          </w:p>
        </w:tc>
        <w:tc>
          <w:tcPr>
            <w:tcW w:type="dxa" w:w="1419"/>
            <w:vAlign w:val="center"/>
          </w:tcPr>
          <w:p w14:paraId="0B7D39ED"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持有份额</w:t>
            </w:r>
          </w:p>
        </w:tc>
        <w:tc>
          <w:tcPr>
            <w:tcW w:type="dxa" w:w="1130"/>
            <w:vAlign w:val="center"/>
          </w:tcPr>
          <w:p w14:paraId="5E23E108" w14:textId="77777777" w:rsidR="00D06738" w:rsidRDefault="00454D20">
            <w:pPr>
              <w:autoSpaceDE w:val="0"/>
              <w:autoSpaceDN w:val="0"/>
              <w:adjustRightInd w:val="0"/>
              <w:jc w:val="center"/>
              <w:rPr>
                <w:rFonts w:ascii="宋体" w:hAnsi="宋体"/>
                <w:b/>
                <w:bCs/>
                <w:color w:val="000000"/>
                <w:kern w:val="0"/>
              </w:rPr>
            </w:pPr>
            <w:r>
              <w:rPr>
                <w:rFonts w:ascii="宋体" w:hAnsi="宋体" w:hint="eastAsia"/>
                <w:color w:val="000000"/>
                <w:kern w:val="0"/>
              </w:rPr>
              <w:t>份额占比</w:t>
            </w:r>
          </w:p>
        </w:tc>
      </w:tr>
      <w:tr>
        <w:tc>
          <w:tcPr>
            <w:vMerge w:val="restart"/>
            <w:vAlign w:val="center"/>
          </w:tcPr>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20200716-20200930</w:t>
            </w:r>
          </w:p>
        </w:tc>
        <w:tc>
          <w:tcPr>
            <w:vAlign w:val="center"/>
          </w:tcPr>
          <w:p>
            <w:pPr>
              <w:jc w:val="center"/>
            </w:pPr>
            <w:r>
              <w:rPr>
                <w:rFonts w:ascii="宋体" w:hAnsi="宋体"/>
                <w:kern w:val="0"/>
              </w:rPr>
              <w:t>8,983,827.49</w:t>
            </w:r>
          </w:p>
        </w:tc>
        <w:tc>
          <w:tcPr>
            <w:vAlign w:val="center"/>
          </w:tcPr>
          <w:p>
            <w:pPr>
              <w:jc w:val="center"/>
            </w:pPr>
            <w:r>
              <w:rPr>
                <w:rFonts w:ascii="宋体" w:hAnsi="宋体"/>
                <w:kern w:val="0"/>
              </w:rPr>
              <w:t>0.00</w:t>
            </w:r>
          </w:p>
        </w:tc>
        <w:tc>
          <w:tcPr>
            <w:vAlign w:val="center"/>
          </w:tcPr>
          <w:p>
            <w:pPr>
              <w:jc w:val="center"/>
            </w:pPr>
            <w:r>
              <w:rPr>
                <w:rFonts w:ascii="宋体" w:hAnsi="宋体"/>
                <w:kern w:val="0"/>
              </w:rPr>
              <w:t>0.00</w:t>
            </w:r>
          </w:p>
        </w:tc>
        <w:tc>
          <w:tcPr>
            <w:vAlign w:val="center"/>
          </w:tcPr>
          <w:p>
            <w:pPr>
              <w:jc w:val="center"/>
            </w:pPr>
            <w:r>
              <w:rPr>
                <w:rFonts w:ascii="宋体" w:hAnsi="宋体"/>
                <w:kern w:val="0"/>
              </w:rPr>
              <w:t>8,983,827.49</w:t>
            </w:r>
          </w:p>
        </w:tc>
        <w:tc>
          <w:tcPr>
            <w:vAlign w:val="center"/>
          </w:tcPr>
          <w:p>
            <w:pPr>
              <w:jc w:val="center"/>
            </w:pPr>
            <w:r>
              <w:rPr>
                <w:rFonts w:ascii="宋体" w:hAnsi="宋体"/>
                <w:kern w:val="0"/>
              </w:rPr>
              <w:t>23.02%</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14:paraId="79C2CD83" w14:textId="77777777" w:rsidR="00D06738">
        <w:tc>
          <w:tcPr>
            <w:tcW w:type="dxa" w:w="9212"/>
            <w:vAlign w:val="center"/>
          </w:tcPr>
          <w:p w14:paraId="3A2D5FD9" w14:textId="77777777" w:rsidR="00D06738" w:rsidRDefault="00454D20">
            <w:pPr>
              <w:autoSpaceDE w:val="0"/>
              <w:autoSpaceDN w:val="0"/>
              <w:adjustRightInd w:val="0"/>
              <w:jc w:val="center"/>
              <w:rPr>
                <w:rFonts w:ascii="宋体" w:hAnsi="宋体"/>
                <w:kern w:val="0"/>
              </w:rPr>
            </w:pPr>
            <w:r>
              <w:rPr>
                <w:rFonts w:ascii="宋体" w:hAnsi="宋体"/>
                <w:color w:val="000000"/>
                <w:kern w:val="0"/>
              </w:rPr>
              <w:t>产品特有风险</w:t>
            </w:r>
            <w:r>
              <w:rPr>
                <w:rFonts w:ascii="宋体" w:hAnsi="宋体"/>
                <w:kern w:val="0"/>
              </w:rPr>
              <w:t/>
            </w:r>
            <w:proofErr w:type="spellStart"/>
            <w:r>
              <w:rPr>
                <w:rFonts w:ascii="宋体" w:hAnsi="宋体" w:hint="eastAsia"/>
                <w:kern w:val="0"/>
              </w:rPr>
              <w:t/>
            </w:r>
            <w:proofErr w:type="spellEnd"/>
            <w:r>
              <w:rPr>
                <w:rFonts w:ascii="宋体" w:hAnsi="宋体"/>
                <w:kern w:val="0"/>
              </w:rPr>
              <w:t/>
            </w:r>
          </w:p>
        </w:tc>
      </w:tr>
      <w:tr w14:paraId="2BCA7469" w14:textId="77777777" w:rsidR="00D06738">
        <w:tc>
          <w:tcPr>
            <w:tcW w:type="dxa" w:w="9212"/>
            <w:vAlign w:val="center"/>
          </w:tcPr>
          <w:p w14:paraId="415317F2" w14:textId="77777777" w:rsidR="00D06738" w:rsidRDefault="00454D20">
            <w:pPr>
              <w:autoSpaceDE w:val="0"/>
              <w:autoSpaceDN w:val="0"/>
              <w:adjustRightInd w:val="0"/>
              <w:jc w:val="left"/>
              <w:rPr>
                <w:rFonts w:ascii="宋体" w:hAnsi="宋体"/>
                <w:kern w:val="0"/>
              </w:rPr>
            </w:pPr>
            <w:r>
              <w:rPr>
                <w:rFonts w:ascii="宋体" w:hAnsi="宋体" w:hint="eastAsia"/>
                <w:kern w:val="0"/>
              </w:rPr>
              <w:t/>
            </w:r>
            <w:r>
              <w:rPr>
                <w:rFonts w:ascii="宋体" w:hAnsi="宋体"/>
                <w:kern w:val="0"/>
              </w:rPr>
              <w:t/>
            </w:r>
            <w:proofErr w:type="gramStart"/>
            <w:r>
              <w:rPr>
                <w:rFonts w:ascii="宋体" w:hAnsi="宋体"/>
                <w:kern w:val="0"/>
              </w:rPr>
              <w:t/>
            </w:r>
            <w:r>
              <w:rPr>
                <w:rFonts w:ascii="宋体" w:hAnsi="宋体" w:hint="eastAsia"/>
                <w:kern w:val="0"/>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kern w:val="0"/>
              </w:rPr>
              <w:t/>
            </w:r>
            <w:proofErr w:type="gramEnd"/>
            <w:r>
              <w:rPr>
                <w:rFonts w:ascii="宋体" w:hAnsi="宋体"/>
                <w:kern w:val="0"/>
              </w:rPr>
              <w:t/>
            </w:r>
          </w:p>
        </w:tc>
      </w:tr>
    </w:tbl>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§9</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1、中国证监会准予上投摩根文体休闲灵活配置混合型证券投资基金募集注册的文件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2、《上投摩根文体休闲灵活配置混合型证券投资基金基金合同》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3、《上投摩根文体休闲灵活配置混合型证券投资基金托管协议》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4、《上投摩根基金管理有限公司开放式基金业务规则》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5、基金管理人业务资格批件、营业执照</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6、基金托管人业务资格批件、营业执照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基金管理人或基金托管人住所。</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9</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二〇二〇年十月二十八日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上投摩根文体休闲灵活配置混合型证券投资基金</w:t>
    </w:r>
    <w:proofErr w:type="spellStart"/>
    <w:proofErr w:type="gramEnd"/>
    <w:r>
      <w:rPr>
        <w:rFonts w:hint="eastAsia"/>
      </w:rPr>
      <w:t/>
    </w:r>
    <w:proofErr w:type="spellEnd"/>
    <w:r>
      <w:rPr>
        <w:rFonts w:hint="eastAsia"/>
      </w:rP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