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上投摩根医疗健康股票型证券投资基金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2021年第1季度报告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2021年3月31日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二〇二一年四月二十二日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基金托管人中国建设银行股份有限公司根据本基金合同规定，于2021年4月21日复核了本报告中的财务指标、净值表现和投资组合报告等内容，保证复核内容不存在虚假记载、误导性陈述或者重大遗漏。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本报告期自2021年1月1日起至3月31日止。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上投摩根医疗健康股票</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001766</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001766</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2015年10月21日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549,802,082.85</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通过积极主动的管理和严格的风险控制，重点投资于健康产业相关的优质上市公司，力争实现基金资产的长期稳健增值。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通过系统和深入的基本面研究，专注于医疗健康产业投资，对行业发展进行密切跟踪，根据市场不同阶段充分把握各个子行业轮动带来的投资机会。在具体操作上，本基金将主要采用“自下而上”的方法，在备选行业内部通过定量与定性相结合的分析方法，综合分析上市公司的业绩质量、成长性和估值水平等，精选具有良好成长性、估值合理的个股。</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3、行业配置策略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由于医疗健康主题涉及多个行业及其子行业，我们将从行业生命周期、行业景气度、行业竞争格局等多角度，综合评估各个行业的投资价值，对基金资产在行业间分配进行安排。</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申银万国医药生物行业指数收益率*85%+中债总指数收益率*15%</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本基金属于股票型基金产品，预期风险和收益水平高于混合型基金、债券型基金和货币市场基金，属于较高风险收益水平的基金产品。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2021年1月1日-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2021年3月31日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42,788,060.10</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-50,275,006.74</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-0.0915</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1,351,159,522.85</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2.4575</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-3.85%</w:t>
            </w:r>
          </w:p>
        </w:tc>
        <w:tc>
          <w:tcPr>
            <w:vAlign w:val="center"/>
          </w:tcPr>
          <w:p>
            <w:pPr>
              <w:jc w:val="center"/>
            </w:pPr>
            <w:r>
              <w:rPr>
                <w:rFonts w:asciiTheme="minorEastAsia" w:eastAsiaTheme="minorEastAsia" w:hAnsiTheme="minorEastAsia"/>
                <w:color w:themeColor="text1" w:val="000000"/>
                <w:kern w:val="0"/>
              </w:rPr>
              <w:t>2.54%</w:t>
            </w:r>
          </w:p>
        </w:tc>
        <w:tc>
          <w:tcPr>
            <w:vAlign w:val="center"/>
          </w:tcPr>
          <w:p>
            <w:pPr>
              <w:jc w:val="center"/>
            </w:pPr>
            <w:r>
              <w:rPr>
                <w:rFonts w:asciiTheme="minorEastAsia" w:eastAsiaTheme="minorEastAsia" w:hAnsiTheme="minorEastAsia"/>
                <w:color w:themeColor="text1" w:val="000000"/>
                <w:kern w:val="0"/>
              </w:rPr>
              <w:t>-3.48%</w:t>
            </w:r>
          </w:p>
        </w:tc>
        <w:tc>
          <w:tcPr>
            <w:vAlign w:val="center"/>
          </w:tcPr>
          <w:p>
            <w:pPr>
              <w:jc w:val="center"/>
            </w:pPr>
            <w:r>
              <w:rPr>
                <w:rFonts w:asciiTheme="minorEastAsia" w:eastAsiaTheme="minorEastAsia" w:hAnsiTheme="minorEastAsia"/>
                <w:color w:themeColor="text1" w:val="000000"/>
                <w:kern w:val="0"/>
              </w:rPr>
              <w:t>1.60%</w:t>
            </w:r>
          </w:p>
        </w:tc>
        <w:tc>
          <w:tcPr>
            <w:vAlign w:val="center"/>
          </w:tcPr>
          <w:p>
            <w:pPr>
              <w:jc w:val="center"/>
            </w:pPr>
            <w:r>
              <w:rPr>
                <w:rFonts w:asciiTheme="minorEastAsia" w:eastAsiaTheme="minorEastAsia" w:hAnsiTheme="minorEastAsia"/>
                <w:color w:themeColor="text1" w:val="000000"/>
                <w:kern w:val="0"/>
              </w:rPr>
              <w:t>-0.37%</w:t>
            </w:r>
          </w:p>
        </w:tc>
        <w:tc>
          <w:tcPr>
            <w:vAlign w:val="center"/>
          </w:tcPr>
          <w:p>
            <w:pPr>
              <w:jc w:val="center"/>
            </w:pPr>
            <w:r>
              <w:rPr>
                <w:rFonts w:asciiTheme="minorEastAsia" w:eastAsiaTheme="minorEastAsia" w:hAnsiTheme="minorEastAsia"/>
                <w:color w:themeColor="text1" w:val="000000"/>
                <w:kern w:val="0"/>
              </w:rPr>
              <w:t>0.94%</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7.97%</w:t>
            </w:r>
          </w:p>
        </w:tc>
        <w:tc>
          <w:tcPr>
            <w:vAlign w:val="center"/>
          </w:tcPr>
          <w:p>
            <w:pPr>
              <w:jc w:val="center"/>
            </w:pPr>
            <w:r>
              <w:rPr>
                <w:rFonts w:asciiTheme="minorEastAsia" w:eastAsiaTheme="minorEastAsia" w:hAnsiTheme="minorEastAsia"/>
                <w:color w:themeColor="text1" w:val="000000"/>
                <w:kern w:val="0"/>
              </w:rPr>
              <w:t>2.01%</w:t>
            </w:r>
          </w:p>
        </w:tc>
        <w:tc>
          <w:tcPr>
            <w:vAlign w:val="center"/>
          </w:tcPr>
          <w:p>
            <w:pPr>
              <w:jc w:val="center"/>
            </w:pPr>
            <w:r>
              <w:rPr>
                <w:rFonts w:asciiTheme="minorEastAsia" w:eastAsiaTheme="minorEastAsia" w:hAnsiTheme="minorEastAsia"/>
                <w:color w:themeColor="text1" w:val="000000"/>
                <w:kern w:val="0"/>
              </w:rPr>
              <w:t>0.46%</w:t>
            </w:r>
          </w:p>
        </w:tc>
        <w:tc>
          <w:tcPr>
            <w:vAlign w:val="center"/>
          </w:tcPr>
          <w:p>
            <w:pPr>
              <w:jc w:val="center"/>
            </w:pPr>
            <w:r>
              <w:rPr>
                <w:rFonts w:asciiTheme="minorEastAsia" w:eastAsiaTheme="minorEastAsia" w:hAnsiTheme="minorEastAsia"/>
                <w:color w:themeColor="text1" w:val="000000"/>
                <w:kern w:val="0"/>
              </w:rPr>
              <w:t>1.41%</w:t>
            </w:r>
          </w:p>
        </w:tc>
        <w:tc>
          <w:tcPr>
            <w:vAlign w:val="center"/>
          </w:tcPr>
          <w:p>
            <w:pPr>
              <w:jc w:val="center"/>
            </w:pPr>
            <w:r>
              <w:rPr>
                <w:rFonts w:asciiTheme="minorEastAsia" w:eastAsiaTheme="minorEastAsia" w:hAnsiTheme="minorEastAsia"/>
                <w:color w:themeColor="text1" w:val="000000"/>
                <w:kern w:val="0"/>
              </w:rPr>
              <w:t>7.51%</w:t>
            </w:r>
          </w:p>
        </w:tc>
        <w:tc>
          <w:tcPr>
            <w:vAlign w:val="center"/>
          </w:tcPr>
          <w:p>
            <w:pPr>
              <w:jc w:val="center"/>
            </w:pPr>
            <w:r>
              <w:rPr>
                <w:rFonts w:asciiTheme="minorEastAsia" w:eastAsiaTheme="minorEastAsia" w:hAnsiTheme="minorEastAsia"/>
                <w:color w:themeColor="text1" w:val="000000"/>
                <w:kern w:val="0"/>
              </w:rPr>
              <w:t>0.60%</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50.31%</w:t>
            </w:r>
          </w:p>
        </w:tc>
        <w:tc>
          <w:tcPr>
            <w:vAlign w:val="center"/>
          </w:tcPr>
          <w:p>
            <w:pPr>
              <w:jc w:val="center"/>
            </w:pPr>
            <w:r>
              <w:rPr>
                <w:rFonts w:asciiTheme="minorEastAsia" w:eastAsiaTheme="minorEastAsia" w:hAnsiTheme="minorEastAsia"/>
                <w:color w:themeColor="text1" w:val="000000"/>
                <w:kern w:val="0"/>
              </w:rPr>
              <w:t>1.85%</w:t>
            </w:r>
          </w:p>
        </w:tc>
        <w:tc>
          <w:tcPr>
            <w:vAlign w:val="center"/>
          </w:tcPr>
          <w:p>
            <w:pPr>
              <w:jc w:val="center"/>
            </w:pPr>
            <w:r>
              <w:rPr>
                <w:rFonts w:asciiTheme="minorEastAsia" w:eastAsiaTheme="minorEastAsia" w:hAnsiTheme="minorEastAsia"/>
                <w:color w:themeColor="text1" w:val="000000"/>
                <w:kern w:val="0"/>
              </w:rPr>
              <w:t>28.24%</w:t>
            </w:r>
          </w:p>
        </w:tc>
        <w:tc>
          <w:tcPr>
            <w:vAlign w:val="center"/>
          </w:tcPr>
          <w:p>
            <w:pPr>
              <w:jc w:val="center"/>
            </w:pPr>
            <w:r>
              <w:rPr>
                <w:rFonts w:asciiTheme="minorEastAsia" w:eastAsiaTheme="minorEastAsia" w:hAnsiTheme="minorEastAsia"/>
                <w:color w:themeColor="text1" w:val="000000"/>
                <w:kern w:val="0"/>
              </w:rPr>
              <w:t>1.45%</w:t>
            </w:r>
          </w:p>
        </w:tc>
        <w:tc>
          <w:tcPr>
            <w:vAlign w:val="center"/>
          </w:tcPr>
          <w:p>
            <w:pPr>
              <w:jc w:val="center"/>
            </w:pPr>
            <w:r>
              <w:rPr>
                <w:rFonts w:asciiTheme="minorEastAsia" w:eastAsiaTheme="minorEastAsia" w:hAnsiTheme="minorEastAsia"/>
                <w:color w:themeColor="text1" w:val="000000"/>
                <w:kern w:val="0"/>
              </w:rPr>
              <w:t>22.07%</w:t>
            </w:r>
          </w:p>
        </w:tc>
        <w:tc>
          <w:tcPr>
            <w:vAlign w:val="center"/>
          </w:tcPr>
          <w:p>
            <w:pPr>
              <w:jc w:val="center"/>
            </w:pPr>
            <w:r>
              <w:rPr>
                <w:rFonts w:asciiTheme="minorEastAsia" w:eastAsiaTheme="minorEastAsia" w:hAnsiTheme="minorEastAsia"/>
                <w:color w:themeColor="text1" w:val="000000"/>
                <w:kern w:val="0"/>
              </w:rPr>
              <w:t>0.40%</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149.75%</w:t>
            </w:r>
          </w:p>
        </w:tc>
        <w:tc>
          <w:tcPr>
            <w:vAlign w:val="center"/>
          </w:tcPr>
          <w:p>
            <w:pPr>
              <w:jc w:val="center"/>
            </w:pPr>
            <w:r>
              <w:rPr>
                <w:rFonts w:asciiTheme="minorEastAsia" w:eastAsiaTheme="minorEastAsia" w:hAnsiTheme="minorEastAsia"/>
                <w:color w:themeColor="text1" w:val="000000"/>
                <w:kern w:val="0"/>
              </w:rPr>
              <w:t>1.64%</w:t>
            </w:r>
          </w:p>
        </w:tc>
        <w:tc>
          <w:tcPr>
            <w:vAlign w:val="center"/>
          </w:tcPr>
          <w:p>
            <w:pPr>
              <w:jc w:val="center"/>
            </w:pPr>
            <w:r>
              <w:rPr>
                <w:rFonts w:asciiTheme="minorEastAsia" w:eastAsiaTheme="minorEastAsia" w:hAnsiTheme="minorEastAsia"/>
                <w:color w:themeColor="text1" w:val="000000"/>
                <w:kern w:val="0"/>
              </w:rPr>
              <w:t>30.95%</w:t>
            </w:r>
          </w:p>
        </w:tc>
        <w:tc>
          <w:tcPr>
            <w:vAlign w:val="center"/>
          </w:tcPr>
          <w:p>
            <w:pPr>
              <w:jc w:val="center"/>
            </w:pPr>
            <w:r>
              <w:rPr>
                <w:rFonts w:asciiTheme="minorEastAsia" w:eastAsiaTheme="minorEastAsia" w:hAnsiTheme="minorEastAsia"/>
                <w:color w:themeColor="text1" w:val="000000"/>
                <w:kern w:val="0"/>
              </w:rPr>
              <w:t>1.40%</w:t>
            </w:r>
          </w:p>
        </w:tc>
        <w:tc>
          <w:tcPr>
            <w:vAlign w:val="center"/>
          </w:tcPr>
          <w:p>
            <w:pPr>
              <w:jc w:val="center"/>
            </w:pPr>
            <w:r>
              <w:rPr>
                <w:rFonts w:asciiTheme="minorEastAsia" w:eastAsiaTheme="minorEastAsia" w:hAnsiTheme="minorEastAsia"/>
                <w:color w:themeColor="text1" w:val="000000"/>
                <w:kern w:val="0"/>
              </w:rPr>
              <w:t>118.80%</w:t>
            </w:r>
          </w:p>
        </w:tc>
        <w:tc>
          <w:tcPr>
            <w:vAlign w:val="center"/>
          </w:tcPr>
          <w:p>
            <w:pPr>
              <w:jc w:val="center"/>
            </w:pPr>
            <w:r>
              <w:rPr>
                <w:rFonts w:asciiTheme="minorEastAsia" w:eastAsiaTheme="minorEastAsia" w:hAnsiTheme="minorEastAsia"/>
                <w:color w:themeColor="text1" w:val="000000"/>
                <w:kern w:val="0"/>
              </w:rPr>
              <w:t>0.24%</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195.73%</w:t>
            </w:r>
          </w:p>
        </w:tc>
        <w:tc>
          <w:tcPr>
            <w:vAlign w:val="center"/>
          </w:tcPr>
          <w:p>
            <w:pPr>
              <w:jc w:val="center"/>
            </w:pPr>
            <w:r>
              <w:rPr>
                <w:rFonts w:asciiTheme="minorEastAsia" w:eastAsiaTheme="minorEastAsia" w:hAnsiTheme="minorEastAsia"/>
                <w:color w:themeColor="text1" w:val="000000"/>
                <w:kern w:val="0"/>
              </w:rPr>
              <w:t>1.47%</w:t>
            </w:r>
          </w:p>
        </w:tc>
        <w:tc>
          <w:tcPr>
            <w:vAlign w:val="center"/>
          </w:tcPr>
          <w:p>
            <w:pPr>
              <w:jc w:val="center"/>
            </w:pPr>
            <w:r>
              <w:rPr>
                <w:rFonts w:asciiTheme="minorEastAsia" w:eastAsiaTheme="minorEastAsia" w:hAnsiTheme="minorEastAsia"/>
                <w:color w:themeColor="text1" w:val="000000"/>
                <w:kern w:val="0"/>
              </w:rPr>
              <w:t>49.31%</w:t>
            </w:r>
          </w:p>
        </w:tc>
        <w:tc>
          <w:tcPr>
            <w:vAlign w:val="center"/>
          </w:tcPr>
          <w:p>
            <w:pPr>
              <w:jc w:val="center"/>
            </w:pPr>
            <w:r>
              <w:rPr>
                <w:rFonts w:asciiTheme="minorEastAsia" w:eastAsiaTheme="minorEastAsia" w:hAnsiTheme="minorEastAsia"/>
                <w:color w:themeColor="text1" w:val="000000"/>
                <w:kern w:val="0"/>
              </w:rPr>
              <w:t>1.21%</w:t>
            </w:r>
          </w:p>
        </w:tc>
        <w:tc>
          <w:tcPr>
            <w:vAlign w:val="center"/>
          </w:tcPr>
          <w:p>
            <w:pPr>
              <w:jc w:val="center"/>
            </w:pPr>
            <w:r>
              <w:rPr>
                <w:rFonts w:asciiTheme="minorEastAsia" w:eastAsiaTheme="minorEastAsia" w:hAnsiTheme="minorEastAsia"/>
                <w:color w:themeColor="text1" w:val="000000"/>
                <w:kern w:val="0"/>
              </w:rPr>
              <w:t>146.42%</w:t>
            </w:r>
          </w:p>
        </w:tc>
        <w:tc>
          <w:tcPr>
            <w:vAlign w:val="center"/>
          </w:tcPr>
          <w:p>
            <w:pPr>
              <w:jc w:val="center"/>
            </w:pPr>
            <w:r>
              <w:rPr>
                <w:rFonts w:asciiTheme="minorEastAsia" w:eastAsiaTheme="minorEastAsia" w:hAnsiTheme="minorEastAsia"/>
                <w:color w:themeColor="text1" w:val="000000"/>
                <w:kern w:val="0"/>
              </w:rPr>
              <w:t>0.26%</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145.75%</w:t>
            </w:r>
          </w:p>
        </w:tc>
        <w:tc>
          <w:tcPr>
            <w:vAlign w:val="center"/>
          </w:tcPr>
          <w:p>
            <w:pPr>
              <w:jc w:val="center"/>
            </w:pPr>
            <w:r>
              <w:rPr>
                <w:rFonts w:asciiTheme="minorEastAsia" w:eastAsiaTheme="minorEastAsia" w:hAnsiTheme="minorEastAsia"/>
                <w:color w:themeColor="text1" w:val="000000"/>
                <w:kern w:val="0"/>
              </w:rPr>
              <w:t>1.55%</w:t>
            </w:r>
          </w:p>
        </w:tc>
        <w:tc>
          <w:tcPr>
            <w:vAlign w:val="center"/>
          </w:tcPr>
          <w:p>
            <w:pPr>
              <w:jc w:val="center"/>
            </w:pPr>
            <w:r>
              <w:rPr>
                <w:rFonts w:asciiTheme="minorEastAsia" w:eastAsiaTheme="minorEastAsia" w:hAnsiTheme="minorEastAsia"/>
                <w:color w:themeColor="text1" w:val="000000"/>
                <w:kern w:val="0"/>
              </w:rPr>
              <w:t>37.40%</w:t>
            </w:r>
          </w:p>
        </w:tc>
        <w:tc>
          <w:tcPr>
            <w:vAlign w:val="center"/>
          </w:tcPr>
          <w:p>
            <w:pPr>
              <w:jc w:val="center"/>
            </w:pPr>
            <w:r>
              <w:rPr>
                <w:rFonts w:asciiTheme="minorEastAsia" w:eastAsiaTheme="minorEastAsia" w:hAnsiTheme="minorEastAsia"/>
                <w:color w:themeColor="text1" w:val="000000"/>
                <w:kern w:val="0"/>
              </w:rPr>
              <w:t>1.31%</w:t>
            </w:r>
          </w:p>
        </w:tc>
        <w:tc>
          <w:tcPr>
            <w:vAlign w:val="center"/>
          </w:tcPr>
          <w:p>
            <w:pPr>
              <w:jc w:val="center"/>
            </w:pPr>
            <w:r>
              <w:rPr>
                <w:rFonts w:asciiTheme="minorEastAsia" w:eastAsiaTheme="minorEastAsia" w:hAnsiTheme="minorEastAsia"/>
                <w:color w:themeColor="text1" w:val="000000"/>
                <w:kern w:val="0"/>
              </w:rPr>
              <w:t>108.35%</w:t>
            </w:r>
          </w:p>
        </w:tc>
        <w:tc>
          <w:tcPr>
            <w:vAlign w:val="center"/>
          </w:tcPr>
          <w:p>
            <w:pPr>
              <w:jc w:val="center"/>
            </w:pPr>
            <w:r>
              <w:rPr>
                <w:rFonts w:asciiTheme="minorEastAsia" w:eastAsiaTheme="minorEastAsia" w:hAnsiTheme="minorEastAsia"/>
                <w:color w:themeColor="text1" w:val="000000"/>
                <w:kern w:val="0"/>
              </w:rPr>
              <w:t>0.24%</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上投摩根医疗健康股票型证券投资基金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2015年10月21日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2021年3月31日)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注：本基金合同生效日为2015年10月21日，图示的时间段为合同生效日至本报告期末。</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本基金建仓期为本基金合同生效日起 6 个月，建仓期结束时资产配置比例符合本基金基金合同规定。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方钰涵</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2019-08-16</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8年</w:t>
            </w:r>
          </w:p>
        </w:tc>
        <w:tc>
          <w:tcPr>
            <w:vAlign w:val="center"/>
          </w:tcPr>
          <w:p>
            <w:pPr>
              <w:jc w:val="both"/>
            </w:pPr>
            <w:r>
              <w:rPr>
                <w:rFonts w:asciiTheme="minorEastAsia" w:eastAsiaTheme="minorEastAsia" w:hAnsiTheme="minorEastAsia"/>
                <w:color w:themeColor="text1" w:val="000000"/>
              </w:rPr>
              <w:t>方钰涵女士，2013年3月至2014年8月在兴业证券资产管理有限公司担任研究员；2014年9月至2015年6月在国泰基金管理有限公司担任研究员；自2015年6月起加入上投摩根基金管理有限公司，先后担任行业专家、基金经理；自2018年8月起担任上投摩根中国生物医药混合型证券投资基金（QDII）（由上投摩根智慧生活灵活配置混合型证券投资基金转型而来）基金经理，自2019年8月起同时担任上投摩根医疗健康股票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 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 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医疗健康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	</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从估值和基本面两个角度回顾一季度的医药行业表现。估值上看，由于医药行业某些赛道较高的基本面确信度带来估值水平的提升后，整体隐含回报率有所下降，导致波动加大。基本面上看，CXO，生物科技，消费，服务的报表数据和未来展望向好，仍是医药行业投资的主旋律。 </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未来，一方面，我们看到生物科技公司2021-2022年将迎来多个研发里程碑事件；CXO龙头公司扩产加速，抢占全球市场份额；医疗消费和服务量价齐升，渗透率低，未被满足的需求较大。另外一方面，好资产加上好价格才是划算的投资。以上基本面趋好的赛道里，不同标的的长期估值反应程度并不相同，还有一些优质公司市场认知仍未充分。我们将加深研究深度，扩充核心池数目，在有预期差的地方寻找合理估值的长期标的，进一步分散组合风险，力争为投资者创造阿尔法。</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本报告期上投摩根医疗健康股票份额净值增长率为:-3.85%，同期业绩比较基准收益率为:-3.48%。</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1,091,720,490.44</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79.71</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1,091,720,490.44</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79.71</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275,275,077.04</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20.10</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2,559,375.81</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0.19</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1,369,554,943.29</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614,603,304.40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45.49</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39,682,624.00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2.94</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8,573,617.42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0.63</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588,290.15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0.04</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50,757,130.00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3.76</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108,331.32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0.01</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6,679,583.84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0.49</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253,936,295.49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18.79</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14,971,538.07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1.11</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101,819,775.75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7.54</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1,091,720,490.44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80.80</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300759</w:t>
            </w:r>
          </w:p>
        </w:tc>
        <w:tc>
          <w:tcPr>
            <w:vAlign w:val="center"/>
          </w:tcPr>
          <w:p>
            <w:pPr>
              <w:jc w:val="center"/>
            </w:pPr>
            <w:r>
              <w:rPr>
                <w:rFonts w:asciiTheme="minorEastAsia" w:cs="宋体" w:eastAsiaTheme="minorEastAsia" w:hAnsiTheme="minorEastAsia"/>
                <w:color w:themeColor="text1" w:val="000000"/>
                <w:kern w:val="0"/>
              </w:rPr>
              <w:t>康龙化成</w:t>
            </w:r>
          </w:p>
        </w:tc>
        <w:tc>
          <w:tcPr>
            <w:vAlign w:val="center"/>
          </w:tcPr>
          <w:p>
            <w:pPr>
              <w:jc w:val="right"/>
            </w:pPr>
            <w:r>
              <w:rPr>
                <w:rFonts w:asciiTheme="minorEastAsia" w:cs="宋体" w:eastAsiaTheme="minorEastAsia" w:hAnsiTheme="minorEastAsia"/>
                <w:color w:themeColor="text1" w:val="000000"/>
                <w:kern w:val="0"/>
              </w:rPr>
              <w:t>894,201.00</w:t>
            </w:r>
          </w:p>
        </w:tc>
        <w:tc>
          <w:tcPr>
            <w:vAlign w:val="center"/>
          </w:tcPr>
          <w:p>
            <w:pPr>
              <w:jc w:val="right"/>
            </w:pPr>
            <w:r>
              <w:rPr>
                <w:rFonts w:asciiTheme="minorEastAsia" w:cs="宋体" w:eastAsiaTheme="minorEastAsia" w:hAnsiTheme="minorEastAsia"/>
                <w:color w:themeColor="text1" w:val="000000"/>
                <w:kern w:val="0"/>
              </w:rPr>
              <w:t>134,031,787.89</w:t>
            </w:r>
          </w:p>
        </w:tc>
        <w:tc>
          <w:tcPr>
            <w:vAlign w:val="center"/>
          </w:tcPr>
          <w:p>
            <w:pPr>
              <w:jc w:val="right"/>
            </w:pPr>
            <w:r>
              <w:rPr>
                <w:rFonts w:asciiTheme="minorEastAsia" w:cs="宋体" w:eastAsiaTheme="minorEastAsia" w:hAnsiTheme="minorEastAsia"/>
                <w:color w:themeColor="text1" w:val="000000"/>
                <w:kern w:val="0"/>
              </w:rPr>
              <w:t>9.92</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603259</w:t>
            </w:r>
          </w:p>
        </w:tc>
        <w:tc>
          <w:tcPr>
            <w:vAlign w:val="center"/>
          </w:tcPr>
          <w:p>
            <w:pPr>
              <w:jc w:val="center"/>
            </w:pPr>
            <w:r>
              <w:rPr>
                <w:rFonts w:asciiTheme="minorEastAsia" w:cs="宋体" w:eastAsiaTheme="minorEastAsia" w:hAnsiTheme="minorEastAsia"/>
                <w:color w:themeColor="text1" w:val="000000"/>
                <w:kern w:val="0"/>
              </w:rPr>
              <w:t>药明康德</w:t>
            </w:r>
          </w:p>
        </w:tc>
        <w:tc>
          <w:tcPr>
            <w:vAlign w:val="center"/>
          </w:tcPr>
          <w:p>
            <w:pPr>
              <w:jc w:val="right"/>
            </w:pPr>
            <w:r>
              <w:rPr>
                <w:rFonts w:asciiTheme="minorEastAsia" w:cs="宋体" w:eastAsiaTheme="minorEastAsia" w:hAnsiTheme="minorEastAsia"/>
                <w:color w:themeColor="text1" w:val="000000"/>
                <w:kern w:val="0"/>
              </w:rPr>
              <w:t>855,105.00</w:t>
            </w:r>
          </w:p>
        </w:tc>
        <w:tc>
          <w:tcPr>
            <w:vAlign w:val="center"/>
          </w:tcPr>
          <w:p>
            <w:pPr>
              <w:jc w:val="right"/>
            </w:pPr>
            <w:r>
              <w:rPr>
                <w:rFonts w:asciiTheme="minorEastAsia" w:cs="宋体" w:eastAsiaTheme="minorEastAsia" w:hAnsiTheme="minorEastAsia"/>
                <w:color w:themeColor="text1" w:val="000000"/>
                <w:kern w:val="0"/>
              </w:rPr>
              <w:t>119,885,721.00</w:t>
            </w:r>
          </w:p>
        </w:tc>
        <w:tc>
          <w:tcPr>
            <w:vAlign w:val="center"/>
          </w:tcPr>
          <w:p>
            <w:pPr>
              <w:jc w:val="right"/>
            </w:pPr>
            <w:r>
              <w:rPr>
                <w:rFonts w:asciiTheme="minorEastAsia" w:cs="宋体" w:eastAsiaTheme="minorEastAsia" w:hAnsiTheme="minorEastAsia"/>
                <w:color w:themeColor="text1" w:val="000000"/>
                <w:kern w:val="0"/>
              </w:rPr>
              <w:t>8.87</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603882</w:t>
            </w:r>
          </w:p>
        </w:tc>
        <w:tc>
          <w:tcPr>
            <w:vAlign w:val="center"/>
          </w:tcPr>
          <w:p>
            <w:pPr>
              <w:jc w:val="center"/>
            </w:pPr>
            <w:r>
              <w:rPr>
                <w:rFonts w:asciiTheme="minorEastAsia" w:cs="宋体" w:eastAsiaTheme="minorEastAsia" w:hAnsiTheme="minorEastAsia"/>
                <w:color w:themeColor="text1" w:val="000000"/>
                <w:kern w:val="0"/>
              </w:rPr>
              <w:t>金域医学</w:t>
            </w:r>
          </w:p>
        </w:tc>
        <w:tc>
          <w:tcPr>
            <w:vAlign w:val="center"/>
          </w:tcPr>
          <w:p>
            <w:pPr>
              <w:jc w:val="right"/>
            </w:pPr>
            <w:r>
              <w:rPr>
                <w:rFonts w:asciiTheme="minorEastAsia" w:cs="宋体" w:eastAsiaTheme="minorEastAsia" w:hAnsiTheme="minorEastAsia"/>
                <w:color w:themeColor="text1" w:val="000000"/>
                <w:kern w:val="0"/>
              </w:rPr>
              <w:t>801,415.00</w:t>
            </w:r>
          </w:p>
        </w:tc>
        <w:tc>
          <w:tcPr>
            <w:vAlign w:val="center"/>
          </w:tcPr>
          <w:p>
            <w:pPr>
              <w:jc w:val="right"/>
            </w:pPr>
            <w:r>
              <w:rPr>
                <w:rFonts w:asciiTheme="minorEastAsia" w:cs="宋体" w:eastAsiaTheme="minorEastAsia" w:hAnsiTheme="minorEastAsia"/>
                <w:color w:themeColor="text1" w:val="000000"/>
                <w:kern w:val="0"/>
              </w:rPr>
              <w:t>101,819,775.75</w:t>
            </w:r>
          </w:p>
        </w:tc>
        <w:tc>
          <w:tcPr>
            <w:vAlign w:val="center"/>
          </w:tcPr>
          <w:p>
            <w:pPr>
              <w:jc w:val="right"/>
            </w:pPr>
            <w:r>
              <w:rPr>
                <w:rFonts w:asciiTheme="minorEastAsia" w:cs="宋体" w:eastAsiaTheme="minorEastAsia" w:hAnsiTheme="minorEastAsia"/>
                <w:color w:themeColor="text1" w:val="000000"/>
                <w:kern w:val="0"/>
              </w:rPr>
              <w:t>7.54</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002821</w:t>
            </w:r>
          </w:p>
        </w:tc>
        <w:tc>
          <w:tcPr>
            <w:vAlign w:val="center"/>
          </w:tcPr>
          <w:p>
            <w:pPr>
              <w:jc w:val="center"/>
            </w:pPr>
            <w:r>
              <w:rPr>
                <w:rFonts w:asciiTheme="minorEastAsia" w:cs="宋体" w:eastAsiaTheme="minorEastAsia" w:hAnsiTheme="minorEastAsia"/>
                <w:color w:themeColor="text1" w:val="000000"/>
                <w:kern w:val="0"/>
              </w:rPr>
              <w:t>凯莱英</w:t>
            </w:r>
          </w:p>
        </w:tc>
        <w:tc>
          <w:tcPr>
            <w:vAlign w:val="center"/>
          </w:tcPr>
          <w:p>
            <w:pPr>
              <w:jc w:val="right"/>
            </w:pPr>
            <w:r>
              <w:rPr>
                <w:rFonts w:asciiTheme="minorEastAsia" w:cs="宋体" w:eastAsiaTheme="minorEastAsia" w:hAnsiTheme="minorEastAsia"/>
                <w:color w:themeColor="text1" w:val="000000"/>
                <w:kern w:val="0"/>
              </w:rPr>
              <w:t>329,319.00</w:t>
            </w:r>
          </w:p>
        </w:tc>
        <w:tc>
          <w:tcPr>
            <w:vAlign w:val="center"/>
          </w:tcPr>
          <w:p>
            <w:pPr>
              <w:jc w:val="right"/>
            </w:pPr>
            <w:r>
              <w:rPr>
                <w:rFonts w:asciiTheme="minorEastAsia" w:cs="宋体" w:eastAsiaTheme="minorEastAsia" w:hAnsiTheme="minorEastAsia"/>
                <w:color w:themeColor="text1" w:val="000000"/>
                <w:kern w:val="0"/>
              </w:rPr>
              <w:t>95,130,379.53</w:t>
            </w:r>
          </w:p>
        </w:tc>
        <w:tc>
          <w:tcPr>
            <w:vAlign w:val="center"/>
          </w:tcPr>
          <w:p>
            <w:pPr>
              <w:jc w:val="right"/>
            </w:pPr>
            <w:r>
              <w:rPr>
                <w:rFonts w:asciiTheme="minorEastAsia" w:cs="宋体" w:eastAsiaTheme="minorEastAsia" w:hAnsiTheme="minorEastAsia"/>
                <w:color w:themeColor="text1" w:val="000000"/>
                <w:kern w:val="0"/>
              </w:rPr>
              <w:t>7.04</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300760</w:t>
            </w:r>
          </w:p>
        </w:tc>
        <w:tc>
          <w:tcPr>
            <w:vAlign w:val="center"/>
          </w:tcPr>
          <w:p>
            <w:pPr>
              <w:jc w:val="center"/>
            </w:pPr>
            <w:r>
              <w:rPr>
                <w:rFonts w:asciiTheme="minorEastAsia" w:cs="宋体" w:eastAsiaTheme="minorEastAsia" w:hAnsiTheme="minorEastAsia"/>
                <w:color w:themeColor="text1" w:val="000000"/>
                <w:kern w:val="0"/>
              </w:rPr>
              <w:t>迈瑞医疗</w:t>
            </w:r>
          </w:p>
        </w:tc>
        <w:tc>
          <w:tcPr>
            <w:vAlign w:val="center"/>
          </w:tcPr>
          <w:p>
            <w:pPr>
              <w:jc w:val="right"/>
            </w:pPr>
            <w:r>
              <w:rPr>
                <w:rFonts w:asciiTheme="minorEastAsia" w:cs="宋体" w:eastAsiaTheme="minorEastAsia" w:hAnsiTheme="minorEastAsia"/>
                <w:color w:themeColor="text1" w:val="000000"/>
                <w:kern w:val="0"/>
              </w:rPr>
              <w:t>237,173.00</w:t>
            </w:r>
          </w:p>
        </w:tc>
        <w:tc>
          <w:tcPr>
            <w:vAlign w:val="center"/>
          </w:tcPr>
          <w:p>
            <w:pPr>
              <w:jc w:val="right"/>
            </w:pPr>
            <w:r>
              <w:rPr>
                <w:rFonts w:asciiTheme="minorEastAsia" w:cs="宋体" w:eastAsiaTheme="minorEastAsia" w:hAnsiTheme="minorEastAsia"/>
                <w:color w:themeColor="text1" w:val="000000"/>
                <w:kern w:val="0"/>
              </w:rPr>
              <w:t>94,658,116.03</w:t>
            </w:r>
          </w:p>
        </w:tc>
        <w:tc>
          <w:tcPr>
            <w:vAlign w:val="center"/>
          </w:tcPr>
          <w:p>
            <w:pPr>
              <w:jc w:val="right"/>
            </w:pPr>
            <w:r>
              <w:rPr>
                <w:rFonts w:asciiTheme="minorEastAsia" w:cs="宋体" w:eastAsiaTheme="minorEastAsia" w:hAnsiTheme="minorEastAsia"/>
                <w:color w:themeColor="text1" w:val="000000"/>
                <w:kern w:val="0"/>
              </w:rPr>
              <w:t>7.01</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300832</w:t>
            </w:r>
          </w:p>
        </w:tc>
        <w:tc>
          <w:tcPr>
            <w:vAlign w:val="center"/>
          </w:tcPr>
          <w:p>
            <w:pPr>
              <w:jc w:val="center"/>
            </w:pPr>
            <w:r>
              <w:rPr>
                <w:rFonts w:asciiTheme="minorEastAsia" w:cs="宋体" w:eastAsiaTheme="minorEastAsia" w:hAnsiTheme="minorEastAsia"/>
                <w:color w:themeColor="text1" w:val="000000"/>
                <w:kern w:val="0"/>
              </w:rPr>
              <w:t>新产业</w:t>
            </w:r>
          </w:p>
        </w:tc>
        <w:tc>
          <w:tcPr>
            <w:vAlign w:val="center"/>
          </w:tcPr>
          <w:p>
            <w:pPr>
              <w:jc w:val="right"/>
            </w:pPr>
            <w:r>
              <w:rPr>
                <w:rFonts w:asciiTheme="minorEastAsia" w:cs="宋体" w:eastAsiaTheme="minorEastAsia" w:hAnsiTheme="minorEastAsia"/>
                <w:color w:themeColor="text1" w:val="000000"/>
                <w:kern w:val="0"/>
              </w:rPr>
              <w:t>452,094.00</w:t>
            </w:r>
          </w:p>
        </w:tc>
        <w:tc>
          <w:tcPr>
            <w:vAlign w:val="center"/>
          </w:tcPr>
          <w:p>
            <w:pPr>
              <w:jc w:val="right"/>
            </w:pPr>
            <w:r>
              <w:rPr>
                <w:rFonts w:asciiTheme="minorEastAsia" w:cs="宋体" w:eastAsiaTheme="minorEastAsia" w:hAnsiTheme="minorEastAsia"/>
                <w:color w:themeColor="text1" w:val="000000"/>
                <w:kern w:val="0"/>
              </w:rPr>
              <w:t>54,142,777.44</w:t>
            </w:r>
          </w:p>
        </w:tc>
        <w:tc>
          <w:tcPr>
            <w:vAlign w:val="center"/>
          </w:tcPr>
          <w:p>
            <w:pPr>
              <w:jc w:val="right"/>
            </w:pPr>
            <w:r>
              <w:rPr>
                <w:rFonts w:asciiTheme="minorEastAsia" w:cs="宋体" w:eastAsiaTheme="minorEastAsia" w:hAnsiTheme="minorEastAsia"/>
                <w:color w:themeColor="text1" w:val="000000"/>
                <w:kern w:val="0"/>
              </w:rPr>
              <w:t>4.01</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600161</w:t>
            </w:r>
          </w:p>
        </w:tc>
        <w:tc>
          <w:tcPr>
            <w:vAlign w:val="center"/>
          </w:tcPr>
          <w:p>
            <w:pPr>
              <w:jc w:val="center"/>
            </w:pPr>
            <w:r>
              <w:rPr>
                <w:rFonts w:asciiTheme="minorEastAsia" w:cs="宋体" w:eastAsiaTheme="minorEastAsia" w:hAnsiTheme="minorEastAsia"/>
                <w:color w:themeColor="text1" w:val="000000"/>
                <w:kern w:val="0"/>
              </w:rPr>
              <w:t>天坛生物</w:t>
            </w:r>
          </w:p>
        </w:tc>
        <w:tc>
          <w:tcPr>
            <w:vAlign w:val="center"/>
          </w:tcPr>
          <w:p>
            <w:pPr>
              <w:jc w:val="right"/>
            </w:pPr>
            <w:r>
              <w:rPr>
                <w:rFonts w:asciiTheme="minorEastAsia" w:cs="宋体" w:eastAsiaTheme="minorEastAsia" w:hAnsiTheme="minorEastAsia"/>
                <w:color w:themeColor="text1" w:val="000000"/>
                <w:kern w:val="0"/>
              </w:rPr>
              <w:t>1,218,844.00</w:t>
            </w:r>
          </w:p>
        </w:tc>
        <w:tc>
          <w:tcPr>
            <w:vAlign w:val="center"/>
          </w:tcPr>
          <w:p>
            <w:pPr>
              <w:jc w:val="right"/>
            </w:pPr>
            <w:r>
              <w:rPr>
                <w:rFonts w:asciiTheme="minorEastAsia" w:cs="宋体" w:eastAsiaTheme="minorEastAsia" w:hAnsiTheme="minorEastAsia"/>
                <w:color w:themeColor="text1" w:val="000000"/>
                <w:kern w:val="0"/>
              </w:rPr>
              <w:t>39,807,445.04</w:t>
            </w:r>
          </w:p>
        </w:tc>
        <w:tc>
          <w:tcPr>
            <w:vAlign w:val="center"/>
          </w:tcPr>
          <w:p>
            <w:pPr>
              <w:jc w:val="right"/>
            </w:pPr>
            <w:r>
              <w:rPr>
                <w:rFonts w:asciiTheme="minorEastAsia" w:cs="宋体" w:eastAsiaTheme="minorEastAsia" w:hAnsiTheme="minorEastAsia"/>
                <w:color w:themeColor="text1" w:val="000000"/>
                <w:kern w:val="0"/>
              </w:rPr>
              <w:t>2.95</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603233</w:t>
            </w:r>
          </w:p>
        </w:tc>
        <w:tc>
          <w:tcPr>
            <w:vAlign w:val="center"/>
          </w:tcPr>
          <w:p>
            <w:pPr>
              <w:jc w:val="center"/>
            </w:pPr>
            <w:r>
              <w:rPr>
                <w:rFonts w:asciiTheme="minorEastAsia" w:cs="宋体" w:eastAsiaTheme="minorEastAsia" w:hAnsiTheme="minorEastAsia"/>
                <w:color w:themeColor="text1" w:val="000000"/>
                <w:kern w:val="0"/>
              </w:rPr>
              <w:t>大参林</w:t>
            </w:r>
          </w:p>
        </w:tc>
        <w:tc>
          <w:tcPr>
            <w:vAlign w:val="center"/>
          </w:tcPr>
          <w:p>
            <w:pPr>
              <w:jc w:val="right"/>
            </w:pPr>
            <w:r>
              <w:rPr>
                <w:rFonts w:asciiTheme="minorEastAsia" w:cs="宋体" w:eastAsiaTheme="minorEastAsia" w:hAnsiTheme="minorEastAsia"/>
                <w:color w:themeColor="text1" w:val="000000"/>
                <w:kern w:val="0"/>
              </w:rPr>
              <w:t>472,600.00</w:t>
            </w:r>
          </w:p>
        </w:tc>
        <w:tc>
          <w:tcPr>
            <w:vAlign w:val="center"/>
          </w:tcPr>
          <w:p>
            <w:pPr>
              <w:jc w:val="right"/>
            </w:pPr>
            <w:r>
              <w:rPr>
                <w:rFonts w:asciiTheme="minorEastAsia" w:cs="宋体" w:eastAsiaTheme="minorEastAsia" w:hAnsiTheme="minorEastAsia"/>
                <w:color w:themeColor="text1" w:val="000000"/>
                <w:kern w:val="0"/>
              </w:rPr>
              <w:t>39,670,044.00</w:t>
            </w:r>
          </w:p>
        </w:tc>
        <w:tc>
          <w:tcPr>
            <w:vAlign w:val="center"/>
          </w:tcPr>
          <w:p>
            <w:pPr>
              <w:jc w:val="right"/>
            </w:pPr>
            <w:r>
              <w:rPr>
                <w:rFonts w:asciiTheme="minorEastAsia" w:cs="宋体" w:eastAsiaTheme="minorEastAsia" w:hAnsiTheme="minorEastAsia"/>
                <w:color w:themeColor="text1" w:val="000000"/>
                <w:kern w:val="0"/>
              </w:rPr>
              <w:t>2.94</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688617</w:t>
            </w:r>
          </w:p>
        </w:tc>
        <w:tc>
          <w:tcPr>
            <w:vAlign w:val="center"/>
          </w:tcPr>
          <w:p>
            <w:pPr>
              <w:jc w:val="center"/>
            </w:pPr>
            <w:r>
              <w:rPr>
                <w:rFonts w:asciiTheme="minorEastAsia" w:cs="宋体" w:eastAsiaTheme="minorEastAsia" w:hAnsiTheme="minorEastAsia"/>
                <w:color w:themeColor="text1" w:val="000000"/>
                <w:kern w:val="0"/>
              </w:rPr>
              <w:t>惠泰医疗</w:t>
            </w:r>
          </w:p>
        </w:tc>
        <w:tc>
          <w:tcPr>
            <w:vAlign w:val="center"/>
          </w:tcPr>
          <w:p>
            <w:pPr>
              <w:jc w:val="right"/>
            </w:pPr>
            <w:r>
              <w:rPr>
                <w:rFonts w:asciiTheme="minorEastAsia" w:cs="宋体" w:eastAsiaTheme="minorEastAsia" w:hAnsiTheme="minorEastAsia"/>
                <w:color w:themeColor="text1" w:val="000000"/>
                <w:kern w:val="0"/>
              </w:rPr>
              <w:t>160,160.00</w:t>
            </w:r>
          </w:p>
        </w:tc>
        <w:tc>
          <w:tcPr>
            <w:vAlign w:val="center"/>
          </w:tcPr>
          <w:p>
            <w:pPr>
              <w:jc w:val="right"/>
            </w:pPr>
            <w:r>
              <w:rPr>
                <w:rFonts w:asciiTheme="minorEastAsia" w:cs="宋体" w:eastAsiaTheme="minorEastAsia" w:hAnsiTheme="minorEastAsia"/>
                <w:color w:themeColor="text1" w:val="000000"/>
                <w:kern w:val="0"/>
              </w:rPr>
              <w:t>30,110,080.00</w:t>
            </w:r>
          </w:p>
        </w:tc>
        <w:tc>
          <w:tcPr>
            <w:vAlign w:val="center"/>
          </w:tcPr>
          <w:p>
            <w:pPr>
              <w:jc w:val="right"/>
            </w:pPr>
            <w:r>
              <w:rPr>
                <w:rFonts w:asciiTheme="minorEastAsia" w:cs="宋体" w:eastAsiaTheme="minorEastAsia" w:hAnsiTheme="minorEastAsia"/>
                <w:color w:themeColor="text1" w:val="000000"/>
                <w:kern w:val="0"/>
              </w:rPr>
              <w:t>2.23</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300595</w:t>
            </w:r>
          </w:p>
        </w:tc>
        <w:tc>
          <w:tcPr>
            <w:vAlign w:val="center"/>
          </w:tcPr>
          <w:p>
            <w:pPr>
              <w:jc w:val="center"/>
            </w:pPr>
            <w:r>
              <w:rPr>
                <w:rFonts w:asciiTheme="minorEastAsia" w:cs="宋体" w:eastAsiaTheme="minorEastAsia" w:hAnsiTheme="minorEastAsia"/>
                <w:color w:themeColor="text1" w:val="000000"/>
                <w:kern w:val="0"/>
              </w:rPr>
              <w:t>欧普康视</w:t>
            </w:r>
          </w:p>
        </w:tc>
        <w:tc>
          <w:tcPr>
            <w:vAlign w:val="center"/>
          </w:tcPr>
          <w:p>
            <w:pPr>
              <w:jc w:val="right"/>
            </w:pPr>
            <w:r>
              <w:rPr>
                <w:rFonts w:asciiTheme="minorEastAsia" w:cs="宋体" w:eastAsiaTheme="minorEastAsia" w:hAnsiTheme="minorEastAsia"/>
                <w:color w:themeColor="text1" w:val="000000"/>
                <w:kern w:val="0"/>
              </w:rPr>
              <w:t>327,704.00</w:t>
            </w:r>
          </w:p>
        </w:tc>
        <w:tc>
          <w:tcPr>
            <w:vAlign w:val="center"/>
          </w:tcPr>
          <w:p>
            <w:pPr>
              <w:jc w:val="right"/>
            </w:pPr>
            <w:r>
              <w:rPr>
                <w:rFonts w:asciiTheme="minorEastAsia" w:cs="宋体" w:eastAsiaTheme="minorEastAsia" w:hAnsiTheme="minorEastAsia"/>
                <w:color w:themeColor="text1" w:val="000000"/>
                <w:kern w:val="0"/>
              </w:rPr>
              <w:t>29,542,515.60</w:t>
            </w:r>
          </w:p>
        </w:tc>
        <w:tc>
          <w:tcPr>
            <w:vAlign w:val="center"/>
          </w:tcPr>
          <w:p>
            <w:pPr>
              <w:jc w:val="right"/>
            </w:pPr>
            <w:r>
              <w:rPr>
                <w:rFonts w:asciiTheme="minorEastAsia" w:cs="宋体" w:eastAsiaTheme="minorEastAsia" w:hAnsiTheme="minorEastAsia"/>
                <w:color w:themeColor="text1" w:val="000000"/>
                <w:kern w:val="0"/>
              </w:rPr>
              <w:t>2.19</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614,635.83</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31,983.53</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1,912,756.45</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2,559,375.81</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559,497,387.21</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报告期期间</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184,857,471.76</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报告期期间</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194,552,776.12</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报告期期间</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549,802,082.85</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1、中国证监会批准上投摩根医疗健康股票型证券投资基金募集的文件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2、《上投摩根医疗健康股票型证券投资基金基金合同》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3、《上投摩根医疗健康股票型证券投资基金托管协议》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4、法律意见书</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6、基金托管人业务资格批件、营业执照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7、《上投摩根基金管理有限公司开放式基金业务规则》</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8、中国证监会要求的其他文件</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二〇二一年四月二十二日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上投摩根医疗健康股票型证券投资基金</w:t>
    </w:r>
    <w:proofErr w:type="spellStart"/>
    <w:proofErr w:type="gramEnd"/>
    <w:r>
      <w:rPr>
        <w:rFonts w:hint="eastAsia"/>
      </w:rPr>
      <w:t/>
    </w:r>
    <w:proofErr w:type="spellEnd"/>
    <w:r>
      <w:rPr>
        <w:rFonts w:hint="eastAsia"/>
      </w:rPr>
      <w:t>2021年第1季度报告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