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44C15BA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E65E7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C3405E"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5892C05"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7A6A756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1281750"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上投摩根医疗健康股票型证券投资基金</w:t>
      </w:r>
    </w:p>
    <w:p w14:paraId="5A1338CB"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hint="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2020年第4季度报告</w:t>
      </w:r>
    </w:p>
    <w:p w14:paraId="2E76B0B1" w14:textId="77777777" w:rsidR="00D06738" w:rsidRDefault="00454D20">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2020年12月31日</w:t>
      </w:r>
    </w:p>
    <w:p w14:paraId="1A65543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C5B7FC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D41633D"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7088D74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CB6A60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60BB35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59EC83F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18FC01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2C9545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0B5CF4B"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9DE5ED7"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22E93BD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8A989D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B1AA632" w14:textId="77777777" w:rsidR="00D06738" w:rsidRDefault="00D06738">
      <w:pPr>
        <w:spacing w:line="360" w:lineRule="auto"/>
        <w:rPr>
          <w:rFonts w:asciiTheme="minorEastAsia" w:eastAsiaTheme="minorEastAsia" w:hAnsiTheme="minorEastAsia"/>
          <w:b/>
          <w:bCs/>
          <w:color w:themeColor="text1" w:val="000000"/>
          <w:sz w:val="24"/>
          <w:szCs w:val="24"/>
        </w:rPr>
      </w:pPr>
    </w:p>
    <w:p w14:paraId="5866ADDF"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上投摩根基金管理有限公司</w:t>
      </w:r>
    </w:p>
    <w:p w14:paraId="76291874"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中国建设银行股份有限公司</w:t>
      </w:r>
    </w:p>
    <w:p w14:paraId="219C0F2E"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sectPr w:rsidR="00D06738">
          <w:headerReference r:id="rId8" w:type="default"/>
          <w:footerReference r:id="rId9" w:type="default"/>
          <w:pgSz w:h="15840" w:w="11926"/>
          <w:pgMar w:bottom="851" w:footer="992" w:gutter="0" w:header="851" w:left="1418" w:right="1418" w:top="1418"/>
          <w:cols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hint="eastAsia"/>
          <w:b/>
          <w:color w:themeColor="text1" w:val="000000"/>
          <w:sz w:val="24"/>
          <w:szCs w:val="24"/>
        </w:rPr>
        <w:t/>
      </w:r>
      <w:proofErr w:type="spellEnd"/>
      <w:r>
        <w:rPr>
          <w:rFonts w:asciiTheme="minorEastAsia" w:eastAsiaTheme="minorEastAsia" w:hAnsiTheme="minorEastAsia"/>
          <w:b/>
          <w:color w:themeColor="text1" w:val="000000"/>
          <w:sz w:val="24"/>
          <w:szCs w:val="24"/>
        </w:rPr>
        <w:t>二〇二一年一月二十二日</w:t>
      </w:r>
    </w:p>
    <w:p w14:paraId="7AFF270F" w14:textId="77777777" w:rsidR="00D06738" w:rsidRDefault="00454D20">
      <w:pPr>
        <w:pStyle w:val="1"/>
        <w:spacing w:after="312" w:afterLines="100" w:before="312"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基金托管人中国建设银行股份有限公司根据本基金合同规定，于2021年1月21日复核了本报告中的财务指标、净值表现和投资组合报告等内容，保证复核内容不存在虚假记载、误导性陈述或者重大遗漏。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14:paraId="298A5200"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本报告期自2020年10月1日起至12月31日止。</w:t>
      </w:r>
    </w:p>
    <w:p w14:paraId="3A78A50A"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tc>
          <w:tcPr>
            <w:tcW w:type="dxa" w:w="2835"/>
            <w:vAlign w:val="center"/>
          </w:tcPr>
          <w:p w14:paraId="41603EB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14:paraId="245289EF"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上投摩根医疗健康股票</w:t>
            </w:r>
          </w:p>
        </w:tc>
      </w:tr>
      <w:tr w14:paraId="6487C456"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001766</w:t>
            </w:r>
          </w:p>
        </w:tc>
      </w:tr>
      <w:tr w14:paraId="2443AB88"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gram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proofErr w:type="gramEnd"/>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001766</w:t>
            </w:r>
          </w:p>
        </w:tc>
      </w:tr>
      <w:tr w14:paraId="7AF1FD7C" w14:textId="77777777" w:rsidR="00D06738">
        <w:tc>
          <w:tcPr>
            <w:tcW w:type="dxa" w:w="2835"/>
            <w:vAlign w:val="center"/>
          </w:tcPr>
          <w:p w14:paraId="042D4F2C"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14:paraId="594303B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契约型开放式</w:t>
            </w:r>
          </w:p>
        </w:tc>
      </w:tr>
      <w:tr w14:paraId="5E254ABC" w14:textId="77777777" w:rsidR="00D06738">
        <w:tc>
          <w:tcPr>
            <w:tcW w:type="dxa" w:w="2835"/>
            <w:vAlign w:val="center"/>
          </w:tcPr>
          <w:p w14:paraId="309669DF"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14:paraId="1568522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2015年10月21日</w:t>
            </w:r>
          </w:p>
        </w:tc>
      </w:tr>
      <w:tr w14:paraId="06DF9713" w14:textId="77777777" w:rsidR="00D06738">
        <w:tc>
          <w:tcPr>
            <w:tcW w:type="dxa" w:w="2835"/>
            <w:vAlign w:val="center"/>
          </w:tcPr>
          <w:p w14:paraId="57B0E59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14:paraId="38649CC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559,497,387.21</w:t>
            </w:r>
            <w:r>
              <w:rPr>
                <w:rFonts w:asciiTheme="minorEastAsia" w:eastAsiaTheme="minorEastAsia" w:hAnsiTheme="minorEastAsia" w:hint="eastAsia"/>
                <w:color w:themeColor="text1" w:val="000000"/>
                <w:kern w:val="0"/>
              </w:rPr>
              <w:t>份</w:t>
            </w:r>
          </w:p>
        </w:tc>
      </w:tr>
      <w:tr w14:paraId="03D1AE98" w14:textId="77777777" w:rsidR="00D06738">
        <w:tc>
          <w:tcPr>
            <w:tcW w:type="dxa" w:w="2835"/>
            <w:vAlign w:val="center"/>
          </w:tcPr>
          <w:p w14:paraId="4AB3756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14:paraId="61AB4DB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通过积极主动的管理和严格的风险控制，重点投资于健康产业相关的优质上市公司，力争实现基金资产的长期稳健增值。</w:t>
            </w:r>
          </w:p>
        </w:tc>
      </w:tr>
      <w:tr w14:paraId="0CFEC550" w14:textId="77777777" w:rsidR="00D06738">
        <w:tc>
          <w:tcPr>
            <w:tcW w:type="dxa" w:w="2835"/>
            <w:vAlign w:val="center"/>
          </w:tcPr>
          <w:p w14:paraId="1E239E6A"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1、资产配置策略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2、股票投资策略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通过系统和深入的基本面研究，专注于医疗健康产业投资，对行业发展进行密切跟踪，根据市场不同阶段充分把握各个子行业轮动带来的投资机会。在具体操作上，本基金将主要采用“自下而上”的方法，在备选行业内部通过定量与定性相结合的分析方法，综合分析上市公司的业绩质量、成长性和估值水平等，精选具有良好成长性、估值合理的个股。</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3、行业配置策略</w:t>
            </w:r>
          </w:p>
          <w:p w14:paraId="57810DE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由于医疗健康主题涉及多个行业及其子行业，我们将从行业生命周期、行业景气度、行业竞争格局等多角度，综合评估各个行业的投资价值，对基金资产在行业间分配进行安排。</w:t>
            </w:r>
          </w:p>
        </w:tc>
      </w:tr>
      <w:tr w14:paraId="43AD7C9F" w14:textId="77777777" w:rsidR="00D06738">
        <w:tc>
          <w:tcPr>
            <w:tcW w:type="dxa" w:w="2835"/>
            <w:vAlign w:val="center"/>
          </w:tcPr>
          <w:p w14:paraId="24E44D9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14:paraId="6581E7F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申银万国医药生物行业指数收益率*85%+中债总指数收益率*15%</w:t>
            </w:r>
          </w:p>
        </w:tc>
      </w:tr>
      <w:tr w14:paraId="42EA0DB3" w14:textId="77777777" w:rsidR="00D06738">
        <w:tc>
          <w:tcPr>
            <w:tcW w:type="dxa" w:w="2835"/>
            <w:vAlign w:val="center"/>
          </w:tcPr>
          <w:p w14:paraId="7192C3F0"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本基金属于股票型基金产品，预期风险和收益水平高于混合型基金、债券型基金和货币市场基金，属于较高风险收益水平的基金产品。</w:t>
            </w:r>
          </w:p>
          <w:p w14:paraId="2673C8C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0A4AF1AB" w14:textId="77777777" w:rsidR="00D06738">
        <w:tc>
          <w:tcPr>
            <w:tcW w:type="dxa" w:w="2835"/>
            <w:vAlign w:val="center"/>
          </w:tcPr>
          <w:p w14:paraId="281C6797"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14:paraId="64BEE458"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上投摩根基金管理有限公司</w:t>
            </w:r>
          </w:p>
        </w:tc>
      </w:tr>
      <w:tr w14:paraId="76894E86" w14:textId="77777777" w:rsidR="00D06738">
        <w:tc>
          <w:tcPr>
            <w:tcW w:type="dxa" w:w="2835"/>
            <w:vAlign w:val="center"/>
          </w:tcPr>
          <w:p w14:paraId="7825DD9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14:paraId="5FB3246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中国建设银行股份有限公司</w:t>
            </w:r>
          </w:p>
        </w:tc>
      </w:tr>
    </w:tbl>
    <w:p w14:paraId="0FD2B1FF"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14:paraId="210337B7"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14:paraId="137D242D"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tc>
          <w:tcPr>
            <w:tcW w:type="dxa" w:w="3402"/>
            <w:vAlign w:val="center"/>
          </w:tcPr>
          <w:p w14:paraId="42E18AC5"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4962"/>
            <w:hMerge w:val="restart"/>
            <w:vAlign w:val="center"/>
          </w:tcPr>
          <w:p w14:paraId="619578C9"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14:paraId="3E47B353"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2020年10月1日-</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2020年12月31日</w:t>
            </w:r>
            <w:r>
              <w:rPr>
                <w:rFonts w:asciiTheme="minorEastAsia" w:cs="宋体" w:eastAsiaTheme="minorEastAsia" w:hAnsiTheme="minorEastAsia" w:hint="eastAsia"/>
                <w:color w:themeColor="text1" w:val="000000"/>
              </w:rPr>
              <w:t>)</w:t>
            </w:r>
          </w:p>
        </w:tc>
        <w:tc>
          <w:tcPr>
            <w:tcW w:type="dxa" w:w="2410"/>
            <w:hMerge/>
            <w:vAlign w:val="center"/>
          </w:tcPr>
          <w:p w14:paraId="5FB75E1A"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p>
        </w:tc>
      </w:tr>
      <w:tr w14:paraId="221834C8" w14:textId="77777777" w:rsidR="00D06738">
        <w:tc>
          <w:tcPr>
            <w:tcW w:type="dxa" w:w="3402"/>
            <w:vAlign w:val="center"/>
          </w:tcPr>
          <w:p w14:paraId="19330D2C"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14:paraId="568D140B"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92,191,116.44</w:t>
            </w:r>
          </w:p>
        </w:tc>
        <w:tc>
          <w:tcPr>
            <w:tcW w:type="dxa" w:w="2410"/>
            <w:hMerge/>
            <w:vAlign w:val="center"/>
          </w:tcPr>
          <w:p w14:paraId="7D46D9A3"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0AEC81A" w14:textId="77777777" w:rsidR="00D06738">
        <w:tc>
          <w:tcPr>
            <w:tcW w:type="dxa" w:w="3402"/>
            <w:vAlign w:val="center"/>
          </w:tcPr>
          <w:p w14:paraId="15ADAC28"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14:paraId="42B249A8"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160,854,685.57</w:t>
            </w:r>
          </w:p>
        </w:tc>
        <w:tc>
          <w:tcPr>
            <w:tcW w:type="dxa" w:w="2410"/>
            <w:hMerge/>
            <w:vAlign w:val="center"/>
          </w:tcPr>
          <w:p w14:paraId="4CC084A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C8E1F6F" w14:textId="77777777" w:rsidR="00D06738">
        <w:tc>
          <w:tcPr>
            <w:tcW w:type="dxa" w:w="3402"/>
            <w:vAlign w:val="center"/>
          </w:tcPr>
          <w:p w14:paraId="1C3F4C7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14:paraId="43651B7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0.2857</w:t>
            </w:r>
          </w:p>
        </w:tc>
        <w:tc>
          <w:tcPr>
            <w:tcW w:type="dxa" w:w="2410"/>
            <w:hMerge/>
            <w:vAlign w:val="center"/>
          </w:tcPr>
          <w:p w14:paraId="18DC755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9975AED" w14:textId="77777777" w:rsidR="00D06738">
        <w:tc>
          <w:tcPr>
            <w:tcW w:type="dxa" w:w="3402"/>
            <w:vAlign w:val="center"/>
          </w:tcPr>
          <w:p w14:paraId="5358D232"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14:paraId="11849F1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1,430,009,547.78</w:t>
            </w:r>
          </w:p>
        </w:tc>
        <w:tc>
          <w:tcPr>
            <w:tcW w:type="dxa" w:w="2410"/>
            <w:hMerge/>
            <w:vAlign w:val="center"/>
          </w:tcPr>
          <w:p w14:paraId="27D7B715"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BC36451" w14:textId="77777777" w:rsidR="00D06738">
        <w:trPr>
          <w:trHeight w:val="158"/>
        </w:trPr>
        <w:tc>
          <w:tcPr>
            <w:tcW w:type="dxa" w:w="3402"/>
            <w:vAlign w:val="center"/>
          </w:tcPr>
          <w:p w14:paraId="5E87F5B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14:paraId="20EA2920"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2.5559</w:t>
            </w:r>
          </w:p>
        </w:tc>
        <w:tc>
          <w:tcPr>
            <w:tcW w:type="dxa" w:w="2410"/>
            <w:hMerge/>
            <w:vAlign w:val="center"/>
          </w:tcPr>
          <w:p w14:paraId="52387A94"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14:paraId="71EC6E7C"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560E0A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14:paraId="60962101" w14:textId="77777777" w:rsidR="00D06738" w:rsidRDefault="00454D20">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w:t>
      </w:r>
      <w:proofErr w:type="gramStart"/>
      <w:r>
        <w:rPr>
          <w:rFonts w:asciiTheme="minorEastAsia" w:cs="宋体" w:eastAsiaTheme="minorEastAsia" w:hAnsiTheme="minorEastAsia" w:hint="eastAsia"/>
          <w:b/>
          <w:bCs/>
          <w:color w:themeColor="text1" w:val="000000"/>
          <w:kern w:val="0"/>
          <w:sz w:val="24"/>
          <w:szCs w:val="24"/>
        </w:rPr>
        <w:t>期基金</w:t>
      </w:r>
      <w:proofErr w:type="gramEnd"/>
      <w:r>
        <w:rPr>
          <w:rFonts w:asciiTheme="minorEastAsia" w:cs="宋体" w:eastAsiaTheme="minorEastAsia" w:hAnsiTheme="minorEastAsia" w:hint="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tc>
          <w:tcPr>
            <w:tcW w:type="dxa" w:w="1395"/>
            <w:vAlign w:val="center"/>
          </w:tcPr>
          <w:p w14:paraId="7A7D1D1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阶段</w:t>
            </w:r>
            <w:proofErr w:type="spellStart"/>
            <w:r>
              <w:rPr>
                <w:rFonts w:asciiTheme="minorEastAsia" w:cs="Arial" w:eastAsiaTheme="minorEastAsia" w:hAnsiTheme="minorEastAsia" w:hint="eastAsia"/>
                <w:color w:themeColor="text1" w:val="000000"/>
                <w:kern w:val="0"/>
              </w:rPr>
              <w:t/>
            </w:r>
            <w:proofErr w:type="spellEnd"/>
            <w:r>
              <w:rPr>
                <w:rFonts w:asciiTheme="minorEastAsia" w:cs="Arial" w:eastAsiaTheme="minorEastAsia" w:hAnsiTheme="minorEastAsia" w:hint="eastAsia"/>
                <w:color w:themeColor="text1" w:val="000000"/>
                <w:kern w:val="0"/>
              </w:rPr>
              <w:t/>
            </w:r>
          </w:p>
        </w:tc>
        <w:tc>
          <w:tcPr>
            <w:tcW w:type="dxa" w:w="1092"/>
            <w:vAlign w:val="center"/>
          </w:tcPr>
          <w:p w14:paraId="2CD30E7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净值增长率①</w:t>
            </w:r>
          </w:p>
        </w:tc>
        <w:tc>
          <w:tcPr>
            <w:tcW w:type="dxa" w:w="1161"/>
            <w:vAlign w:val="center"/>
          </w:tcPr>
          <w:p w14:paraId="37DEF420"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净值增长率标准差②</w:t>
            </w:r>
          </w:p>
        </w:tc>
        <w:tc>
          <w:tcPr>
            <w:tcW w:type="dxa" w:w="1181"/>
            <w:vAlign w:val="center"/>
          </w:tcPr>
          <w:p w14:paraId="7F4843F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业绩比较基准收益率③</w:t>
            </w:r>
          </w:p>
        </w:tc>
        <w:tc>
          <w:tcPr>
            <w:tcW w:type="dxa" w:w="1188"/>
            <w:vAlign w:val="center"/>
          </w:tcPr>
          <w:p w14:paraId="1265555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业绩比较基准收益率标准差④</w:t>
            </w:r>
          </w:p>
        </w:tc>
        <w:tc>
          <w:tcPr>
            <w:tcW w:type="dxa" w:w="1199"/>
            <w:vAlign w:val="center"/>
          </w:tcPr>
          <w:p w14:paraId="5487E45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①</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③</w:t>
            </w:r>
          </w:p>
        </w:tc>
        <w:tc>
          <w:tcPr>
            <w:tcW w:type="dxa" w:w="1204"/>
            <w:vAlign w:val="center"/>
          </w:tcPr>
          <w:p w14:paraId="7C50A3F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②</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④</w:t>
            </w:r>
          </w:p>
        </w:tc>
      </w:tr>
      <w:tr>
        <w:tc>
          <w:tcPr>
            <w:vAlign w:val="center"/>
          </w:tcPr>
          <w:p>
            <w:pPr>
              <w:jc w:val="left"/>
            </w:pPr>
            <w:r>
              <w:rPr>
                <w:rFonts w:asciiTheme="minorEastAsia" w:eastAsiaTheme="minorEastAsia" w:hAnsiTheme="minorEastAsia"/>
                <w:color w:themeColor="text1" w:val="000000"/>
                <w:kern w:val="0"/>
              </w:rPr>
              <w:t>过去三个月</w:t>
            </w:r>
          </w:p>
        </w:tc>
        <w:tc>
          <w:tcPr>
            <w:vAlign w:val="center"/>
          </w:tcPr>
          <w:p>
            <w:pPr>
              <w:jc w:val="center"/>
            </w:pPr>
            <w:r>
              <w:rPr>
                <w:rFonts w:asciiTheme="minorEastAsia" w:eastAsiaTheme="minorEastAsia" w:hAnsiTheme="minorEastAsia"/>
                <w:color w:themeColor="text1" w:val="000000"/>
                <w:kern w:val="0"/>
              </w:rPr>
              <w:t>12.30%</w:t>
            </w:r>
          </w:p>
        </w:tc>
        <w:tc>
          <w:tcPr>
            <w:vAlign w:val="center"/>
          </w:tcPr>
          <w:p>
            <w:pPr>
              <w:jc w:val="center"/>
            </w:pPr>
            <w:r>
              <w:rPr>
                <w:rFonts w:asciiTheme="minorEastAsia" w:eastAsiaTheme="minorEastAsia" w:hAnsiTheme="minorEastAsia"/>
                <w:color w:themeColor="text1" w:val="000000"/>
                <w:kern w:val="0"/>
              </w:rPr>
              <w:t>1.32%</w:t>
            </w:r>
          </w:p>
        </w:tc>
        <w:tc>
          <w:tcPr>
            <w:vAlign w:val="center"/>
          </w:tcPr>
          <w:p>
            <w:pPr>
              <w:jc w:val="center"/>
            </w:pPr>
            <w:r>
              <w:rPr>
                <w:rFonts w:asciiTheme="minorEastAsia" w:eastAsiaTheme="minorEastAsia" w:hAnsiTheme="minorEastAsia"/>
                <w:color w:themeColor="text1" w:val="000000"/>
                <w:kern w:val="0"/>
              </w:rPr>
              <w:t>4.10%</w:t>
            </w:r>
          </w:p>
        </w:tc>
        <w:tc>
          <w:tcPr>
            <w:vAlign w:val="center"/>
          </w:tcPr>
          <w:p>
            <w:pPr>
              <w:jc w:val="center"/>
            </w:pPr>
            <w:r>
              <w:rPr>
                <w:rFonts w:asciiTheme="minorEastAsia" w:eastAsiaTheme="minorEastAsia" w:hAnsiTheme="minorEastAsia"/>
                <w:color w:themeColor="text1" w:val="000000"/>
                <w:kern w:val="0"/>
              </w:rPr>
              <w:t>1.21%</w:t>
            </w:r>
          </w:p>
        </w:tc>
        <w:tc>
          <w:tcPr>
            <w:vAlign w:val="center"/>
          </w:tcPr>
          <w:p>
            <w:pPr>
              <w:jc w:val="center"/>
            </w:pPr>
            <w:r>
              <w:rPr>
                <w:rFonts w:asciiTheme="minorEastAsia" w:eastAsiaTheme="minorEastAsia" w:hAnsiTheme="minorEastAsia"/>
                <w:color w:themeColor="text1" w:val="000000"/>
                <w:kern w:val="0"/>
              </w:rPr>
              <w:t>8.20%</w:t>
            </w:r>
          </w:p>
        </w:tc>
        <w:tc>
          <w:tcPr>
            <w:vAlign w:val="center"/>
          </w:tcPr>
          <w:p>
            <w:pPr>
              <w:jc w:val="center"/>
            </w:pPr>
            <w:r>
              <w:rPr>
                <w:rFonts w:asciiTheme="minorEastAsia" w:eastAsiaTheme="minorEastAsia" w:hAnsiTheme="minorEastAsia"/>
                <w:color w:themeColor="text1" w:val="000000"/>
                <w:kern w:val="0"/>
              </w:rPr>
              <w:t>0.11%</w:t>
            </w:r>
          </w:p>
        </w:tc>
      </w:tr>
      <w:tr>
        <w:tc>
          <w:tcPr>
            <w:vAlign w:val="center"/>
          </w:tcPr>
          <w:p>
            <w:pPr>
              <w:jc w:val="left"/>
            </w:pPr>
            <w:r>
              <w:rPr>
                <w:rFonts w:asciiTheme="minorEastAsia" w:eastAsiaTheme="minorEastAsia" w:hAnsiTheme="minorEastAsia"/>
                <w:color w:themeColor="text1" w:val="000000"/>
                <w:kern w:val="0"/>
              </w:rPr>
              <w:t>过去六个月</w:t>
            </w:r>
          </w:p>
        </w:tc>
        <w:tc>
          <w:tcPr>
            <w:vAlign w:val="center"/>
          </w:tcPr>
          <w:p>
            <w:pPr>
              <w:jc w:val="center"/>
            </w:pPr>
            <w:r>
              <w:rPr>
                <w:rFonts w:asciiTheme="minorEastAsia" w:eastAsiaTheme="minorEastAsia" w:hAnsiTheme="minorEastAsia"/>
                <w:color w:themeColor="text1" w:val="000000"/>
                <w:kern w:val="0"/>
              </w:rPr>
              <w:t>15.55%</w:t>
            </w:r>
          </w:p>
        </w:tc>
        <w:tc>
          <w:tcPr>
            <w:vAlign w:val="center"/>
          </w:tcPr>
          <w:p>
            <w:pPr>
              <w:jc w:val="center"/>
            </w:pPr>
            <w:r>
              <w:rPr>
                <w:rFonts w:asciiTheme="minorEastAsia" w:eastAsiaTheme="minorEastAsia" w:hAnsiTheme="minorEastAsia"/>
                <w:color w:themeColor="text1" w:val="000000"/>
                <w:kern w:val="0"/>
              </w:rPr>
              <w:t>1.59%</w:t>
            </w:r>
          </w:p>
        </w:tc>
        <w:tc>
          <w:tcPr>
            <w:vAlign w:val="center"/>
          </w:tcPr>
          <w:p>
            <w:pPr>
              <w:jc w:val="center"/>
            </w:pPr>
            <w:r>
              <w:rPr>
                <w:rFonts w:asciiTheme="minorEastAsia" w:eastAsiaTheme="minorEastAsia" w:hAnsiTheme="minorEastAsia"/>
                <w:color w:themeColor="text1" w:val="000000"/>
                <w:kern w:val="0"/>
              </w:rPr>
              <w:t>6.40%</w:t>
            </w:r>
          </w:p>
        </w:tc>
        <w:tc>
          <w:tcPr>
            <w:vAlign w:val="center"/>
          </w:tcPr>
          <w:p>
            <w:pPr>
              <w:jc w:val="center"/>
            </w:pPr>
            <w:r>
              <w:rPr>
                <w:rFonts w:asciiTheme="minorEastAsia" w:eastAsiaTheme="minorEastAsia" w:hAnsiTheme="minorEastAsia"/>
                <w:color w:themeColor="text1" w:val="000000"/>
                <w:kern w:val="0"/>
              </w:rPr>
              <w:t>1.49%</w:t>
            </w:r>
          </w:p>
        </w:tc>
        <w:tc>
          <w:tcPr>
            <w:vAlign w:val="center"/>
          </w:tcPr>
          <w:p>
            <w:pPr>
              <w:jc w:val="center"/>
            </w:pPr>
            <w:r>
              <w:rPr>
                <w:rFonts w:asciiTheme="minorEastAsia" w:eastAsiaTheme="minorEastAsia" w:hAnsiTheme="minorEastAsia"/>
                <w:color w:themeColor="text1" w:val="000000"/>
                <w:kern w:val="0"/>
              </w:rPr>
              <w:t>9.15%</w:t>
            </w:r>
          </w:p>
        </w:tc>
        <w:tc>
          <w:tcPr>
            <w:vAlign w:val="center"/>
          </w:tcPr>
          <w:p>
            <w:pPr>
              <w:jc w:val="center"/>
            </w:pPr>
            <w:r>
              <w:rPr>
                <w:rFonts w:asciiTheme="minorEastAsia" w:eastAsiaTheme="minorEastAsia" w:hAnsiTheme="minorEastAsia"/>
                <w:color w:themeColor="text1" w:val="000000"/>
                <w:kern w:val="0"/>
              </w:rPr>
              <w:t>0.10%</w:t>
            </w:r>
          </w:p>
        </w:tc>
      </w:tr>
      <w:tr>
        <w:tc>
          <w:tcPr>
            <w:vAlign w:val="center"/>
          </w:tcPr>
          <w:p>
            <w:pPr>
              <w:jc w:val="left"/>
            </w:pPr>
            <w:r>
              <w:rPr>
                <w:rFonts w:asciiTheme="minorEastAsia" w:eastAsiaTheme="minorEastAsia" w:hAnsiTheme="minorEastAsia"/>
                <w:color w:themeColor="text1" w:val="000000"/>
                <w:kern w:val="0"/>
              </w:rPr>
              <w:t>过去一年</w:t>
            </w:r>
          </w:p>
        </w:tc>
        <w:tc>
          <w:tcPr>
            <w:vAlign w:val="center"/>
          </w:tcPr>
          <w:p>
            <w:pPr>
              <w:jc w:val="center"/>
            </w:pPr>
            <w:r>
              <w:rPr>
                <w:rFonts w:asciiTheme="minorEastAsia" w:eastAsiaTheme="minorEastAsia" w:hAnsiTheme="minorEastAsia"/>
                <w:color w:themeColor="text1" w:val="000000"/>
                <w:kern w:val="0"/>
              </w:rPr>
              <w:t>79.24%</w:t>
            </w:r>
          </w:p>
        </w:tc>
        <w:tc>
          <w:tcPr>
            <w:vAlign w:val="center"/>
          </w:tcPr>
          <w:p>
            <w:pPr>
              <w:jc w:val="center"/>
            </w:pPr>
            <w:r>
              <w:rPr>
                <w:rFonts w:asciiTheme="minorEastAsia" w:eastAsiaTheme="minorEastAsia" w:hAnsiTheme="minorEastAsia"/>
                <w:color w:themeColor="text1" w:val="000000"/>
                <w:kern w:val="0"/>
              </w:rPr>
              <w:t>1.62%</w:t>
            </w:r>
          </w:p>
        </w:tc>
        <w:tc>
          <w:tcPr>
            <w:vAlign w:val="center"/>
          </w:tcPr>
          <w:p>
            <w:pPr>
              <w:jc w:val="center"/>
            </w:pPr>
            <w:r>
              <w:rPr>
                <w:rFonts w:asciiTheme="minorEastAsia" w:eastAsiaTheme="minorEastAsia" w:hAnsiTheme="minorEastAsia"/>
                <w:color w:themeColor="text1" w:val="000000"/>
                <w:kern w:val="0"/>
              </w:rPr>
              <w:t>43.41%</w:t>
            </w:r>
          </w:p>
        </w:tc>
        <w:tc>
          <w:tcPr>
            <w:vAlign w:val="center"/>
          </w:tcPr>
          <w:p>
            <w:pPr>
              <w:jc w:val="center"/>
            </w:pPr>
            <w:r>
              <w:rPr>
                <w:rFonts w:asciiTheme="minorEastAsia" w:eastAsiaTheme="minorEastAsia" w:hAnsiTheme="minorEastAsia"/>
                <w:color w:themeColor="text1" w:val="000000"/>
                <w:kern w:val="0"/>
              </w:rPr>
              <w:t>1.44%</w:t>
            </w:r>
          </w:p>
        </w:tc>
        <w:tc>
          <w:tcPr>
            <w:vAlign w:val="center"/>
          </w:tcPr>
          <w:p>
            <w:pPr>
              <w:jc w:val="center"/>
            </w:pPr>
            <w:r>
              <w:rPr>
                <w:rFonts w:asciiTheme="minorEastAsia" w:eastAsiaTheme="minorEastAsia" w:hAnsiTheme="minorEastAsia"/>
                <w:color w:themeColor="text1" w:val="000000"/>
                <w:kern w:val="0"/>
              </w:rPr>
              <w:t>35.83%</w:t>
            </w:r>
          </w:p>
        </w:tc>
        <w:tc>
          <w:tcPr>
            <w:vAlign w:val="center"/>
          </w:tcPr>
          <w:p>
            <w:pPr>
              <w:jc w:val="center"/>
            </w:pPr>
            <w:r>
              <w:rPr>
                <w:rFonts w:asciiTheme="minorEastAsia" w:eastAsiaTheme="minorEastAsia" w:hAnsiTheme="minorEastAsia"/>
                <w:color w:themeColor="text1" w:val="000000"/>
                <w:kern w:val="0"/>
              </w:rPr>
              <w:t>0.18%</w:t>
            </w:r>
          </w:p>
        </w:tc>
      </w:tr>
      <w:tr>
        <w:tc>
          <w:tcPr>
            <w:vAlign w:val="center"/>
          </w:tcPr>
          <w:p>
            <w:pPr>
              <w:jc w:val="left"/>
            </w:pPr>
            <w:r>
              <w:rPr>
                <w:rFonts w:asciiTheme="minorEastAsia" w:eastAsiaTheme="minorEastAsia" w:hAnsiTheme="minorEastAsia"/>
                <w:color w:themeColor="text1" w:val="000000"/>
                <w:kern w:val="0"/>
              </w:rPr>
              <w:t>过去三年</w:t>
            </w:r>
          </w:p>
        </w:tc>
        <w:tc>
          <w:tcPr>
            <w:vAlign w:val="center"/>
          </w:tcPr>
          <w:p>
            <w:pPr>
              <w:jc w:val="center"/>
            </w:pPr>
            <w:r>
              <w:rPr>
                <w:rFonts w:asciiTheme="minorEastAsia" w:eastAsiaTheme="minorEastAsia" w:hAnsiTheme="minorEastAsia"/>
                <w:color w:themeColor="text1" w:val="000000"/>
                <w:kern w:val="0"/>
              </w:rPr>
              <w:t>191.77%</w:t>
            </w:r>
          </w:p>
        </w:tc>
        <w:tc>
          <w:tcPr>
            <w:vAlign w:val="center"/>
          </w:tcPr>
          <w:p>
            <w:pPr>
              <w:jc w:val="center"/>
            </w:pPr>
            <w:r>
              <w:rPr>
                <w:rFonts w:asciiTheme="minorEastAsia" w:eastAsiaTheme="minorEastAsia" w:hAnsiTheme="minorEastAsia"/>
                <w:color w:themeColor="text1" w:val="000000"/>
                <w:kern w:val="0"/>
              </w:rPr>
              <w:t>1.54%</w:t>
            </w:r>
          </w:p>
        </w:tc>
        <w:tc>
          <w:tcPr>
            <w:vAlign w:val="center"/>
          </w:tcPr>
          <w:p>
            <w:pPr>
              <w:jc w:val="center"/>
            </w:pPr>
            <w:r>
              <w:rPr>
                <w:rFonts w:asciiTheme="minorEastAsia" w:eastAsiaTheme="minorEastAsia" w:hAnsiTheme="minorEastAsia"/>
                <w:color w:themeColor="text1" w:val="000000"/>
                <w:kern w:val="0"/>
              </w:rPr>
              <w:t>43.20%</w:t>
            </w:r>
          </w:p>
        </w:tc>
        <w:tc>
          <w:tcPr>
            <w:vAlign w:val="center"/>
          </w:tcPr>
          <w:p>
            <w:pPr>
              <w:jc w:val="center"/>
            </w:pPr>
            <w:r>
              <w:rPr>
                <w:rFonts w:asciiTheme="minorEastAsia" w:eastAsiaTheme="minorEastAsia" w:hAnsiTheme="minorEastAsia"/>
                <w:color w:themeColor="text1" w:val="000000"/>
                <w:kern w:val="0"/>
              </w:rPr>
              <w:t>1.37%</w:t>
            </w:r>
          </w:p>
        </w:tc>
        <w:tc>
          <w:tcPr>
            <w:vAlign w:val="center"/>
          </w:tcPr>
          <w:p>
            <w:pPr>
              <w:jc w:val="center"/>
            </w:pPr>
            <w:r>
              <w:rPr>
                <w:rFonts w:asciiTheme="minorEastAsia" w:eastAsiaTheme="minorEastAsia" w:hAnsiTheme="minorEastAsia"/>
                <w:color w:themeColor="text1" w:val="000000"/>
                <w:kern w:val="0"/>
              </w:rPr>
              <w:t>148.57%</w:t>
            </w:r>
          </w:p>
        </w:tc>
        <w:tc>
          <w:tcPr>
            <w:vAlign w:val="center"/>
          </w:tcPr>
          <w:p>
            <w:pPr>
              <w:jc w:val="center"/>
            </w:pPr>
            <w:r>
              <w:rPr>
                <w:rFonts w:asciiTheme="minorEastAsia" w:eastAsiaTheme="minorEastAsia" w:hAnsiTheme="minorEastAsia"/>
                <w:color w:themeColor="text1" w:val="000000"/>
                <w:kern w:val="0"/>
              </w:rPr>
              <w:t>0.17%</w:t>
            </w:r>
          </w:p>
        </w:tc>
      </w:tr>
      <w:tr>
        <w:tc>
          <w:tcPr>
            <w:vAlign w:val="center"/>
          </w:tcPr>
          <w:p>
            <w:pPr>
              <w:jc w:val="left"/>
            </w:pPr>
            <w:r>
              <w:rPr>
                <w:rFonts w:asciiTheme="minorEastAsia" w:eastAsiaTheme="minorEastAsia" w:hAnsiTheme="minorEastAsia"/>
                <w:color w:themeColor="text1" w:val="000000"/>
                <w:kern w:val="0"/>
              </w:rPr>
              <w:t>过去五年</w:t>
            </w:r>
          </w:p>
        </w:tc>
        <w:tc>
          <w:tcPr>
            <w:vAlign w:val="center"/>
          </w:tcPr>
          <w:p>
            <w:pPr>
              <w:jc w:val="center"/>
            </w:pPr>
            <w:r>
              <w:rPr>
                <w:rFonts w:asciiTheme="minorEastAsia" w:eastAsiaTheme="minorEastAsia" w:hAnsiTheme="minorEastAsia"/>
                <w:color w:themeColor="text1" w:val="000000"/>
                <w:kern w:val="0"/>
              </w:rPr>
              <w:t>152.31%</w:t>
            </w:r>
          </w:p>
        </w:tc>
        <w:tc>
          <w:tcPr>
            <w:vAlign w:val="center"/>
          </w:tcPr>
          <w:p>
            <w:pPr>
              <w:jc w:val="center"/>
            </w:pPr>
            <w:r>
              <w:rPr>
                <w:rFonts w:asciiTheme="minorEastAsia" w:eastAsiaTheme="minorEastAsia" w:hAnsiTheme="minorEastAsia"/>
                <w:color w:themeColor="text1" w:val="000000"/>
                <w:kern w:val="0"/>
              </w:rPr>
              <w:t>1.52%</w:t>
            </w:r>
          </w:p>
        </w:tc>
        <w:tc>
          <w:tcPr>
            <w:vAlign w:val="center"/>
          </w:tcPr>
          <w:p>
            <w:pPr>
              <w:jc w:val="center"/>
            </w:pPr>
            <w:r>
              <w:rPr>
                <w:rFonts w:asciiTheme="minorEastAsia" w:eastAsiaTheme="minorEastAsia" w:hAnsiTheme="minorEastAsia"/>
                <w:color w:themeColor="text1" w:val="000000"/>
                <w:kern w:val="0"/>
              </w:rPr>
              <w:t>29.04%</w:t>
            </w:r>
          </w:p>
        </w:tc>
        <w:tc>
          <w:tcPr>
            <w:vAlign w:val="center"/>
          </w:tcPr>
          <w:p>
            <w:pPr>
              <w:jc w:val="center"/>
            </w:pPr>
            <w:r>
              <w:rPr>
                <w:rFonts w:asciiTheme="minorEastAsia" w:eastAsiaTheme="minorEastAsia" w:hAnsiTheme="minorEastAsia"/>
                <w:color w:themeColor="text1" w:val="000000"/>
                <w:kern w:val="0"/>
              </w:rPr>
              <w:t>1.28%</w:t>
            </w:r>
          </w:p>
        </w:tc>
        <w:tc>
          <w:tcPr>
            <w:vAlign w:val="center"/>
          </w:tcPr>
          <w:p>
            <w:pPr>
              <w:jc w:val="center"/>
            </w:pPr>
            <w:r>
              <w:rPr>
                <w:rFonts w:asciiTheme="minorEastAsia" w:eastAsiaTheme="minorEastAsia" w:hAnsiTheme="minorEastAsia"/>
                <w:color w:themeColor="text1" w:val="000000"/>
                <w:kern w:val="0"/>
              </w:rPr>
              <w:t>123.27%</w:t>
            </w:r>
          </w:p>
        </w:tc>
        <w:tc>
          <w:tcPr>
            <w:vAlign w:val="center"/>
          </w:tcPr>
          <w:p>
            <w:pPr>
              <w:jc w:val="center"/>
            </w:pPr>
            <w:r>
              <w:rPr>
                <w:rFonts w:asciiTheme="minorEastAsia" w:eastAsiaTheme="minorEastAsia" w:hAnsiTheme="minorEastAsia"/>
                <w:color w:themeColor="text1" w:val="000000"/>
                <w:kern w:val="0"/>
              </w:rPr>
              <w:t>0.24%</w:t>
            </w:r>
          </w:p>
        </w:tc>
      </w:tr>
      <w:tr>
        <w:tc>
          <w:tcPr>
            <w:vAlign w:val="center"/>
          </w:tcPr>
          <w:p>
            <w:pPr>
              <w:jc w:val="left"/>
            </w:pPr>
            <w:r>
              <w:rPr>
                <w:rFonts w:asciiTheme="minorEastAsia" w:eastAsiaTheme="minorEastAsia" w:hAnsiTheme="minorEastAsia"/>
                <w:color w:themeColor="text1" w:val="000000"/>
                <w:kern w:val="0"/>
              </w:rPr>
              <w:t>自基金合同生效起至今</w:t>
            </w:r>
          </w:p>
        </w:tc>
        <w:tc>
          <w:tcPr>
            <w:vAlign w:val="center"/>
          </w:tcPr>
          <w:p>
            <w:pPr>
              <w:jc w:val="center"/>
            </w:pPr>
            <w:r>
              <w:rPr>
                <w:rFonts w:asciiTheme="minorEastAsia" w:eastAsiaTheme="minorEastAsia" w:hAnsiTheme="minorEastAsia"/>
                <w:color w:themeColor="text1" w:val="000000"/>
                <w:kern w:val="0"/>
              </w:rPr>
              <w:t>155.59%</w:t>
            </w:r>
          </w:p>
        </w:tc>
        <w:tc>
          <w:tcPr>
            <w:vAlign w:val="center"/>
          </w:tcPr>
          <w:p>
            <w:pPr>
              <w:jc w:val="center"/>
            </w:pPr>
            <w:r>
              <w:rPr>
                <w:rFonts w:asciiTheme="minorEastAsia" w:eastAsiaTheme="minorEastAsia" w:hAnsiTheme="minorEastAsia"/>
                <w:color w:themeColor="text1" w:val="000000"/>
                <w:kern w:val="0"/>
              </w:rPr>
              <w:t>1.49%</w:t>
            </w:r>
          </w:p>
        </w:tc>
        <w:tc>
          <w:tcPr>
            <w:vAlign w:val="center"/>
          </w:tcPr>
          <w:p>
            <w:pPr>
              <w:jc w:val="center"/>
            </w:pPr>
            <w:r>
              <w:rPr>
                <w:rFonts w:asciiTheme="minorEastAsia" w:eastAsiaTheme="minorEastAsia" w:hAnsiTheme="minorEastAsia"/>
                <w:color w:themeColor="text1" w:val="000000"/>
                <w:kern w:val="0"/>
              </w:rPr>
              <w:t>42.60%</w:t>
            </w:r>
          </w:p>
        </w:tc>
        <w:tc>
          <w:tcPr>
            <w:vAlign w:val="center"/>
          </w:tcPr>
          <w:p>
            <w:pPr>
              <w:jc w:val="center"/>
            </w:pPr>
            <w:r>
              <w:rPr>
                <w:rFonts w:asciiTheme="minorEastAsia" w:eastAsiaTheme="minorEastAsia" w:hAnsiTheme="minorEastAsia"/>
                <w:color w:themeColor="text1" w:val="000000"/>
                <w:kern w:val="0"/>
              </w:rPr>
              <w:t>1.30%</w:t>
            </w:r>
          </w:p>
        </w:tc>
        <w:tc>
          <w:tcPr>
            <w:vAlign w:val="center"/>
          </w:tcPr>
          <w:p>
            <w:pPr>
              <w:jc w:val="center"/>
            </w:pPr>
            <w:r>
              <w:rPr>
                <w:rFonts w:asciiTheme="minorEastAsia" w:eastAsiaTheme="minorEastAsia" w:hAnsiTheme="minorEastAsia"/>
                <w:color w:themeColor="text1" w:val="000000"/>
                <w:kern w:val="0"/>
              </w:rPr>
              <w:t>112.99%</w:t>
            </w:r>
          </w:p>
        </w:tc>
        <w:tc>
          <w:tcPr>
            <w:vAlign w:val="center"/>
          </w:tcPr>
          <w:p>
            <w:pPr>
              <w:jc w:val="center"/>
            </w:pPr>
            <w:r>
              <w:rPr>
                <w:rFonts w:asciiTheme="minorEastAsia" w:eastAsiaTheme="minorEastAsia" w:hAnsiTheme="minorEastAsia"/>
                <w:color w:themeColor="text1" w:val="000000"/>
                <w:kern w:val="0"/>
              </w:rPr>
              <w:t>0.19%</w:t>
            </w:r>
          </w:p>
        </w:tc>
      </w:tr>
    </w:tbl>
    <w:p w14:paraId="11CC28FB"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04CD2E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afe"/>
          <w:rFonts w:hint="eastAsia"/>
          <w:color w:themeColor="text1" w:val="000000"/>
          <w:sz w:val="24"/>
          <w:szCs w:val="24"/>
          <w:shd w:color="auto" w:fill="FFFFFF" w:val="clear"/>
        </w:rPr>
        <w:t/>
      </w:r>
      <w:proofErr w:type="spellStart"/>
      <w:r>
        <w:rPr>
          <w:rStyle w:val="afe"/>
          <w:rFonts w:hint="eastAsia"/>
          <w:color w:themeColor="text1" w:val="000000"/>
          <w:sz w:val="24"/>
          <w:szCs w:val="24"/>
          <w:shd w:color="auto" w:fill="FFFFFF" w:val="clear"/>
        </w:rPr>
        <w:t/>
      </w:r>
      <w:proofErr w:type="spellEnd"/>
      <w:r>
        <w:rPr>
          <w:rStyle w:val="afe"/>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14:paraId="7E434705" w14:textId="77777777" w:rsidR="00D06738" w:rsidRDefault="00454D20">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上投摩根医疗健康股票型证券投资基金</w:t>
      </w:r>
    </w:p>
    <w:p w14:paraId="760894FB" w14:textId="77777777" w:rsidR="00D06738" w:rsidRDefault="00454D20">
      <w:pPr>
        <w:pStyle w:val="ae"/>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14:paraId="42485F4A" w14:textId="77777777" w:rsidR="00D06738" w:rsidRDefault="00454D20">
      <w:pPr>
        <w:pStyle w:val="ae"/>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2015年10月21日</w:t>
      </w:r>
      <w:r>
        <w:rPr>
          <w:rFonts w:asciiTheme="minorEastAsia" w:eastAsiaTheme="minorEastAsia" w:hAnsiTheme="minorEastAsia" w:hint="eastAsia"/>
          <w:color w:themeColor="text1" w:val="000000"/>
        </w:rPr>
        <w:t>至</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2020年12月31日)</w:t>
      </w:r>
    </w:p>
    <w:p w14:paraId="6D7C6855" w14:textId="77777777" w:rsidR="00D06738" w:rsidRDefault="00454D20">
      <w:pPr>
        <w:pStyle w:val="ae"/>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注：本基金合同生效日为2015年10月21日，图示时间段为2015年10月21日至2020年12月31日。</w:t>
      </w:r>
    </w:p>
    <w:p w14:paraId="58BB658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本基金建仓期自2015年10月21日至2016年4月20日，建仓期结束时资产配置比例符合本基金基金合同规定。</w:t>
      </w:r>
    </w:p>
    <w:p w14:paraId="28331EE6" w14:textId="77777777" w:rsidR="00D06738" w:rsidRDefault="00D06738">
      <w:pPr>
        <w:tabs>
          <w:tab w:pos="1800" w:val="left"/>
        </w:tabs>
        <w:spacing w:line="360" w:lineRule="auto"/>
        <w:rPr>
          <w:rFonts w:asciiTheme="minorEastAsia" w:eastAsiaTheme="minorEastAsia" w:hAnsiTheme="minorEastAsia"/>
          <w:color w:themeColor="text1" w:val="000000"/>
          <w:sz w:val="24"/>
          <w:szCs w:val="24"/>
        </w:rPr>
      </w:pPr>
    </w:p>
    <w:p w14:paraId="6B938858" w14:textId="77777777" w:rsidR="00D06738" w:rsidRDefault="00D06738">
      <w:pPr>
        <w:tabs>
          <w:tab w:pos="1800" w:val="left"/>
        </w:tabs>
        <w:spacing w:line="288" w:lineRule="auto"/>
        <w:rPr>
          <w:rFonts w:asciiTheme="minorEastAsia" w:eastAsiaTheme="minorEastAsia" w:hAnsiTheme="minorEastAsia"/>
          <w:color w:themeColor="text1" w:val="000000"/>
          <w:sz w:val="24"/>
          <w:szCs w:val="24"/>
        </w:rPr>
      </w:pPr>
    </w:p>
    <w:p w14:paraId="0B771B4D"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14:paraId="735F051A"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trPr>
          <w:cantSplit/>
          <w:trHeight w:val="292"/>
        </w:trPr>
        <w:tc>
          <w:tcPr>
            <w:tcW w:type="dxa" w:w="851"/>
            <w:vMerge w:val="restart"/>
            <w:vAlign w:val="center"/>
          </w:tcPr>
          <w:p w14:paraId="1F53B620"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14:paraId="697EB0E1"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14:paraId="3C549DFA"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proofErr w:type="gramStart"/>
            <w:r>
              <w:rPr>
                <w:rFonts w:asciiTheme="minorEastAsia" w:cs="宋体" w:eastAsiaTheme="minorEastAsia" w:hAnsiTheme="minorEastAsia" w:hint="eastAsia"/>
                <w:color w:themeColor="text1" w:val="000000"/>
                <w:kern w:val="0"/>
              </w:rPr>
              <w:t>任本基金</w:t>
            </w:r>
            <w:proofErr w:type="gramEnd"/>
            <w:r>
              <w:rPr>
                <w:rFonts w:asciiTheme="minorEastAsia" w:cs="宋体" w:eastAsiaTheme="minorEastAsia" w:hAnsiTheme="minorEastAsia" w:hint="eastAsia"/>
                <w:color w:themeColor="text1" w:val="000000"/>
                <w:kern w:val="0"/>
              </w:rPr>
              <w:t>的基金经理期限</w:t>
            </w:r>
          </w:p>
        </w:tc>
        <w:tc>
          <w:tcPr>
            <w:tcW w:type="dxa" w:w="1417"/>
            <w:vMerge w:val="restart"/>
            <w:vAlign w:val="center"/>
          </w:tcPr>
          <w:p w14:paraId="153D4B6D"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14:paraId="6B8352A3"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14:paraId="12458907" w14:textId="77777777" w:rsidR="00D06738">
        <w:trPr>
          <w:cantSplit/>
        </w:trPr>
        <w:tc>
          <w:tcPr>
            <w:tcW w:type="dxa" w:w="851"/>
            <w:vMerge/>
            <w:vAlign w:val="center"/>
          </w:tcPr>
          <w:p w14:paraId="0E137D74"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850"/>
            <w:vMerge/>
            <w:vAlign w:val="center"/>
          </w:tcPr>
          <w:p w14:paraId="1CC0886F"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14:paraId="213ED421"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14:paraId="025CCC9C"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ign w:val="center"/>
          </w:tcPr>
          <w:p w14:paraId="3D222F40"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2694"/>
            <w:vMerge/>
            <w:vAlign w:val="center"/>
          </w:tcPr>
          <w:p w14:paraId="637B7507" w14:textId="77777777" w:rsidR="00D06738" w:rsidRDefault="00D06738">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方钰涵</w:t>
            </w:r>
          </w:p>
        </w:tc>
        <w:tc>
          <w:tcPr>
            <w:vAlign w:val="center"/>
          </w:tcPr>
          <w:p>
            <w:pPr>
              <w:jc w:val="center"/>
            </w:pPr>
            <w:r>
              <w:rPr>
                <w:rFonts w:asciiTheme="minorEastAsia" w:eastAsiaTheme="minorEastAsia" w:hAnsiTheme="minorEastAsia"/>
                <w:color w:themeColor="text1" w:val="000000"/>
              </w:rPr>
              <w:t>本基金基金经理</w:t>
            </w:r>
          </w:p>
        </w:tc>
        <w:tc>
          <w:tcPr>
            <w:vAlign w:val="center"/>
          </w:tcPr>
          <w:p>
            <w:pPr>
              <w:jc w:val="center"/>
            </w:pPr>
            <w:r>
              <w:rPr>
                <w:rFonts w:asciiTheme="minorEastAsia" w:eastAsiaTheme="minorEastAsia" w:hAnsiTheme="minorEastAsia"/>
                <w:color w:themeColor="text1" w:val="000000"/>
              </w:rPr>
              <w:t>2019-08-16</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8年</w:t>
            </w:r>
          </w:p>
        </w:tc>
        <w:tc>
          <w:tcPr>
            <w:vAlign w:val="center"/>
          </w:tcPr>
          <w:p>
            <w:pPr>
              <w:jc w:val="both"/>
            </w:pPr>
            <w:r>
              <w:rPr>
                <w:rFonts w:asciiTheme="minorEastAsia" w:eastAsiaTheme="minorEastAsia" w:hAnsiTheme="minorEastAsia"/>
                <w:color w:themeColor="text1" w:val="000000"/>
              </w:rPr>
              <w:t>方钰涵女士，2013年3月至2014年8月在兴业证券资产管理有限公司担任研究员；自2014年9月至2015年6月在国泰基金管理有限公司担任研究员；自2015年6月起加入上投摩根基金管理有限公司，先后担任行业专家、基金经理；自2018年8月起担任上投摩根中国生物医药混合型证券投资基金（QDII）（由上投摩根智慧生活灵活配置混合型证券投资基金转型而来）基金经理，自2019年8月起同时担任上投摩根医疗健康股票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 任职日期和离任日期均指根据公司决定确定的聘任日期和解聘日期。</w:t>
      </w:r>
    </w:p>
    <w:p w14:paraId="617FFBB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2. 证券从业的含义遵从行业协会《证券业从业人员资格管理办法》的相关规定。</w:t>
      </w:r>
    </w:p>
    <w:p w14:paraId="4FBEFD2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14:paraId="6D01CD8D"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医疗健康股票型证券投资基金基金合同》的规定。基金经理对个股和投资组合的比例遵循了投资决策委员会的授权限制，基金投资比例符合基金合同和法律法规的要求。</w:t>
      </w:r>
    </w:p>
    <w:p w14:paraId="7937900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39C8B3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14:paraId="0796C6B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E52BB6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w:t>
      </w:r>
    </w:p>
    <w:p w14:paraId="06ECB64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14:paraId="4219F41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	</w:t>
      </w:r>
    </w:p>
    <w:p w14:paraId="78B72EC9"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68AD9F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14:paraId="37D7D562"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回顾2020年四季度，医药行业在国家鼓励创新、压缩仿制品种的政策大方向下，有一定的估值扰动。可以看到，这些现象的背后是国家对于研发非同质化药械的鼓励，且对其临床效果确切有效的重视程度不断提高，这将是我们未来核心的选股标准。</w:t>
      </w:r>
    </w:p>
    <w:p w14:paraId="6E21DA7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展望后市，我们更多看到的是未来将出现的剧烈结构性变动带来的投资机会。2015年至2020年是国家扫清创新障碍的前置年份，而这期间，资本市场、创新人才、中国企业成本和效率红利逐步开始显现，未来10年将是创新的10年。在这样的大背景下，我们将优选受益于创新时代浪潮下的优质赛道（包括CDMO，创新药械等），以医疗消费服务为底仓守正，投早期、投创新增强收益。我们对2021年更多的创新优质标的上市也充满期待。</w:t>
      </w:r>
    </w:p>
    <w:p w14:paraId="23C77E4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14:paraId="3743F1F6"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本报告期上投摩根医疗健康股票份额净值增长率为:12.30%，同期业绩比较基准收益率为:4.10%。</w:t>
      </w:r>
    </w:p>
    <w:p w14:paraId="44A63C7D"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7FECA9F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
      </w:r>
      <w:proofErr w:type="spellStart"/>
      <w:r>
        <w:rPr>
          <w:rFonts w:asciiTheme="minorEastAsia" w:eastAsiaTheme="minorEastAsia" w:hAnsiTheme="minorEastAsia"/>
          <w:b/>
          <w:color w:themeColor="text1" w:val="000000"/>
          <w:kern w:val="0"/>
          <w:sz w:val="24"/>
          <w:szCs w:val="24"/>
        </w:rPr>
        <w:t/>
      </w:r>
      <w:proofErr w:type="spellEnd"/>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14:paraId="35411AB5"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无。</w:t>
      </w:r>
    </w:p>
    <w:p w14:paraId="1DAA7197"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14:paraId="2ED46D8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trPr>
          <w:jc w:val="center"/>
        </w:trPr>
        <w:tc>
          <w:tcPr>
            <w:tcW w:type="dxa" w:w="720"/>
            <w:vAlign w:val="center"/>
          </w:tcPr>
          <w:p w14:paraId="267B5679"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序号</w:t>
            </w:r>
          </w:p>
        </w:tc>
        <w:tc>
          <w:tcPr>
            <w:tcW w:type="dxa" w:w="3357"/>
            <w:vAlign w:val="center"/>
          </w:tcPr>
          <w:p w14:paraId="64B125CA"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项目</w:t>
            </w:r>
          </w:p>
        </w:tc>
        <w:tc>
          <w:tcPr>
            <w:tcW w:type="dxa" w:w="2977"/>
            <w:vAlign w:val="center"/>
          </w:tcPr>
          <w:p w14:paraId="7B039B4F"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金额(元)</w:t>
            </w:r>
          </w:p>
        </w:tc>
        <w:tc>
          <w:tcPr>
            <w:tcW w:type="dxa" w:w="1843"/>
            <w:vAlign w:val="center"/>
          </w:tcPr>
          <w:p w14:paraId="546A193D"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占基金总资产的比例(</w:t>
            </w:r>
            <w:r>
              <w:rPr>
                <w:rFonts w:asciiTheme="minorEastAsia" w:eastAsiaTheme="minorEastAsia" w:hAnsiTheme="minorEastAsia"/>
                <w:color w:themeColor="text1" w:val="000000"/>
                <w:kern w:val="0"/>
              </w:rPr>
              <w:t>%</w:t>
            </w:r>
            <w:r>
              <w:rPr>
                <w:rFonts w:asciiTheme="minorEastAsia" w:eastAsiaTheme="minorEastAsia" w:hAnsiTheme="minorEastAsia" w:hint="eastAsia"/>
                <w:color w:themeColor="text1" w:val="000000"/>
                <w:kern w:val="0"/>
              </w:rPr>
              <w:t>)</w:t>
            </w:r>
          </w:p>
        </w:tc>
      </w:tr>
      <w:tr w14:paraId="2C5F8168" w14:textId="77777777" w:rsidR="00D06738">
        <w:trPr>
          <w:jc w:val="center"/>
        </w:trPr>
        <w:tc>
          <w:tcPr>
            <w:tcW w:type="dxa" w:w="720"/>
            <w:vAlign w:val="center"/>
          </w:tcPr>
          <w:p w14:paraId="790AB27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3357"/>
            <w:vAlign w:val="center"/>
          </w:tcPr>
          <w:p w14:paraId="2A6D52A1"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权益投资</w:t>
            </w:r>
          </w:p>
        </w:tc>
        <w:tc>
          <w:tcPr>
            <w:tcW w:type="dxa" w:w="2977"/>
            <w:vAlign w:val="center"/>
          </w:tcPr>
          <w:p w14:paraId="3F07A46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1,187,254,999.04</w:t>
            </w:r>
          </w:p>
        </w:tc>
        <w:tc>
          <w:tcPr>
            <w:tcW w:type="dxa" w:w="1843"/>
            <w:vAlign w:val="center"/>
          </w:tcPr>
          <w:p w14:paraId="233B134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81.34</w:t>
            </w:r>
          </w:p>
        </w:tc>
      </w:tr>
      <w:tr w14:paraId="2113730F" w14:textId="77777777" w:rsidR="00D06738">
        <w:trPr>
          <w:jc w:val="center"/>
        </w:trPr>
        <w:tc>
          <w:tcPr>
            <w:tcW w:type="dxa" w:w="720"/>
            <w:vAlign w:val="center"/>
          </w:tcPr>
          <w:p w14:paraId="66F43ADC"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2830015"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其中：股票</w:t>
            </w:r>
          </w:p>
        </w:tc>
        <w:tc>
          <w:tcPr>
            <w:tcW w:type="dxa" w:w="2977"/>
            <w:vAlign w:val="center"/>
          </w:tcPr>
          <w:p w14:paraId="36A710A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1,187,254,999.04</w:t>
            </w:r>
          </w:p>
        </w:tc>
        <w:tc>
          <w:tcPr>
            <w:tcW w:type="dxa" w:w="1843"/>
            <w:vAlign w:val="center"/>
          </w:tcPr>
          <w:p w14:paraId="4235B2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81.34</w:t>
            </w:r>
          </w:p>
        </w:tc>
      </w:tr>
      <w:tr w14:paraId="7AF15202" w14:textId="77777777" w:rsidR="00D06738">
        <w:trPr>
          <w:jc w:val="center"/>
        </w:trPr>
        <w:tc>
          <w:tcPr>
            <w:tcW w:type="dxa" w:w="720"/>
            <w:vAlign w:val="center"/>
          </w:tcPr>
          <w:p w14:paraId="0231B762"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3357"/>
            <w:vAlign w:val="center"/>
          </w:tcPr>
          <w:p w14:paraId="4854CF2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固定收益投资</w:t>
            </w:r>
          </w:p>
        </w:tc>
        <w:tc>
          <w:tcPr>
            <w:tcW w:type="dxa" w:w="2977"/>
            <w:vAlign w:val="center"/>
          </w:tcPr>
          <w:p w14:paraId="789C70A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249B755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19D15F90" w14:textId="77777777" w:rsidR="00D06738">
        <w:trPr>
          <w:jc w:val="center"/>
        </w:trPr>
        <w:tc>
          <w:tcPr>
            <w:tcW w:type="dxa" w:w="720"/>
            <w:vAlign w:val="center"/>
          </w:tcPr>
          <w:p w14:paraId="16E41AE7"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E8D347"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其中：债券</w:t>
            </w:r>
          </w:p>
        </w:tc>
        <w:tc>
          <w:tcPr>
            <w:tcW w:type="dxa" w:w="2977"/>
            <w:vAlign w:val="center"/>
          </w:tcPr>
          <w:p w14:paraId="49FE2FF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78238F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2562C15" w14:textId="77777777" w:rsidR="00D06738">
        <w:trPr>
          <w:jc w:val="center"/>
        </w:trPr>
        <w:tc>
          <w:tcPr>
            <w:tcW w:type="dxa" w:w="720"/>
            <w:vAlign w:val="center"/>
          </w:tcPr>
          <w:p w14:paraId="104BD163"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AC6DAD" w14:textId="77777777" w:rsidR="00D06738" w:rsidRDefault="00454D20">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资产支持证券</w:t>
            </w:r>
          </w:p>
        </w:tc>
        <w:tc>
          <w:tcPr>
            <w:tcW w:type="dxa" w:w="2977"/>
            <w:vAlign w:val="center"/>
          </w:tcPr>
          <w:p w14:paraId="3CF84DD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CCF936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hint="eastAsia"/>
                <w:color w:themeColor="text1" w:val="000000"/>
                <w:kern w:val="0"/>
              </w:rPr>
              <w:t>-</w:t>
            </w:r>
          </w:p>
        </w:tc>
      </w:tr>
      <w:tr w14:paraId="3F449325" w14:textId="77777777" w:rsidR="00D06738">
        <w:trPr>
          <w:jc w:val="center"/>
        </w:trPr>
        <w:tc>
          <w:tcPr>
            <w:tcW w:type="dxa" w:w="720"/>
          </w:tcPr>
          <w:p w14:paraId="1EE609C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3</w:t>
            </w:r>
          </w:p>
        </w:tc>
        <w:tc>
          <w:tcPr>
            <w:tcW w:type="dxa" w:w="3357"/>
          </w:tcPr>
          <w:p w14:paraId="7A120390" w14:textId="77777777" w:rsidR="00D06738" w:rsidRDefault="00454D20">
            <w:pPr>
              <w:spacing w:before="29" w:line="360" w:lineRule="auto"/>
              <w:ind w:left="105" w:leftChars="50"/>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贵金属投资</w:t>
            </w:r>
          </w:p>
        </w:tc>
        <w:tc>
          <w:tcPr>
            <w:tcW w:type="dxa" w:w="2977"/>
            <w:vAlign w:val="center"/>
          </w:tcPr>
          <w:p w14:paraId="201F973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76F8BB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r>
      <w:tr w14:paraId="40209BD0" w14:textId="77777777" w:rsidR="00D06738">
        <w:trPr>
          <w:jc w:val="center"/>
        </w:trPr>
        <w:tc>
          <w:tcPr>
            <w:tcW w:type="dxa" w:w="720"/>
            <w:vAlign w:val="center"/>
          </w:tcPr>
          <w:p w14:paraId="44CDCE6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4</w:t>
            </w:r>
          </w:p>
        </w:tc>
        <w:tc>
          <w:tcPr>
            <w:tcW w:type="dxa" w:w="3357"/>
            <w:vAlign w:val="center"/>
          </w:tcPr>
          <w:p w14:paraId="2673343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金融衍生</w:t>
            </w:r>
            <w:proofErr w:type="gramStart"/>
            <w:r>
              <w:rPr>
                <w:rFonts w:asciiTheme="minorEastAsia" w:cs="宋体" w:eastAsiaTheme="minorEastAsia" w:hAnsiTheme="minorEastAsia" w:hint="eastAsia"/>
                <w:color w:themeColor="text1" w:val="000000"/>
                <w:kern w:val="0"/>
              </w:rPr>
              <w:t>品投资</w:t>
            </w:r>
            <w:proofErr w:type="gramEnd"/>
          </w:p>
        </w:tc>
        <w:tc>
          <w:tcPr>
            <w:tcW w:type="dxa" w:w="2977"/>
            <w:vAlign w:val="center"/>
          </w:tcPr>
          <w:p w14:paraId="2CA6AE5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17B3EB0"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9083124" w14:textId="77777777" w:rsidR="00D06738">
        <w:trPr>
          <w:jc w:val="center"/>
        </w:trPr>
        <w:tc>
          <w:tcPr>
            <w:tcW w:type="dxa" w:w="720"/>
            <w:vAlign w:val="center"/>
          </w:tcPr>
          <w:p w14:paraId="3E06450B"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5</w:t>
            </w:r>
          </w:p>
        </w:tc>
        <w:tc>
          <w:tcPr>
            <w:tcW w:type="dxa" w:w="3357"/>
            <w:vAlign w:val="center"/>
          </w:tcPr>
          <w:p w14:paraId="11937F9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买入返售金融资产</w:t>
            </w:r>
          </w:p>
        </w:tc>
        <w:tc>
          <w:tcPr>
            <w:tcW w:type="dxa" w:w="2977"/>
            <w:vAlign w:val="center"/>
          </w:tcPr>
          <w:p w14:paraId="6293112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F06200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5EFCF5A8" w14:textId="77777777" w:rsidR="00D06738">
        <w:trPr>
          <w:jc w:val="center"/>
        </w:trPr>
        <w:tc>
          <w:tcPr>
            <w:tcW w:type="dxa" w:w="720"/>
            <w:vAlign w:val="center"/>
          </w:tcPr>
          <w:p w14:paraId="7A522889"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3CEA16A4"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其中：买断式回购的买入返售金融资产</w:t>
            </w:r>
          </w:p>
        </w:tc>
        <w:tc>
          <w:tcPr>
            <w:tcW w:type="dxa" w:w="2977"/>
            <w:vAlign w:val="center"/>
          </w:tcPr>
          <w:p w14:paraId="7B73699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c>
          <w:tcPr>
            <w:tcW w:type="dxa" w:w="1843"/>
            <w:vAlign w:val="center"/>
          </w:tcPr>
          <w:p w14:paraId="15A7BC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786251D7" w14:textId="77777777" w:rsidR="00D06738">
        <w:trPr>
          <w:jc w:val="center"/>
        </w:trPr>
        <w:tc>
          <w:tcPr>
            <w:tcW w:type="dxa" w:w="720"/>
            <w:vAlign w:val="center"/>
          </w:tcPr>
          <w:p w14:paraId="2969279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6</w:t>
            </w:r>
          </w:p>
        </w:tc>
        <w:tc>
          <w:tcPr>
            <w:tcW w:type="dxa" w:w="3357"/>
            <w:vAlign w:val="center"/>
          </w:tcPr>
          <w:p w14:paraId="421FB0F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银行存款和结算备付金合计</w:t>
            </w:r>
          </w:p>
        </w:tc>
        <w:tc>
          <w:tcPr>
            <w:tcW w:type="dxa" w:w="2977"/>
            <w:vAlign w:val="center"/>
          </w:tcPr>
          <w:p w14:paraId="54D555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253,439,951.79</w:t>
            </w:r>
          </w:p>
        </w:tc>
        <w:tc>
          <w:tcPr>
            <w:tcW w:type="dxa" w:w="1843"/>
            <w:vAlign w:val="center"/>
          </w:tcPr>
          <w:p w14:paraId="174620B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17.36</w:t>
            </w:r>
          </w:p>
        </w:tc>
      </w:tr>
      <w:tr w14:paraId="42ECF5E1" w14:textId="77777777" w:rsidR="00D06738">
        <w:trPr>
          <w:jc w:val="center"/>
        </w:trPr>
        <w:tc>
          <w:tcPr>
            <w:tcW w:type="dxa" w:w="720"/>
            <w:vAlign w:val="center"/>
          </w:tcPr>
          <w:p w14:paraId="59AA2BC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7</w:t>
            </w:r>
          </w:p>
        </w:tc>
        <w:tc>
          <w:tcPr>
            <w:tcW w:type="dxa" w:w="3357"/>
            <w:vAlign w:val="center"/>
          </w:tcPr>
          <w:p w14:paraId="705D6B78"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其他各项资产</w:t>
            </w:r>
          </w:p>
        </w:tc>
        <w:tc>
          <w:tcPr>
            <w:tcW w:type="dxa" w:w="2977"/>
            <w:vAlign w:val="center"/>
          </w:tcPr>
          <w:p w14:paraId="4AF0CB10"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18,938,633.27</w:t>
            </w:r>
          </w:p>
        </w:tc>
        <w:tc>
          <w:tcPr>
            <w:tcW w:type="dxa" w:w="1843"/>
            <w:vAlign w:val="center"/>
          </w:tcPr>
          <w:p w14:paraId="12AAF10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1.30</w:t>
            </w:r>
          </w:p>
        </w:tc>
      </w:tr>
      <w:tr w14:paraId="4D6FFA71" w14:textId="77777777" w:rsidR="00D06738">
        <w:trPr>
          <w:jc w:val="center"/>
        </w:trPr>
        <w:tc>
          <w:tcPr>
            <w:tcW w:type="dxa" w:w="720"/>
            <w:vAlign w:val="center"/>
          </w:tcPr>
          <w:p w14:paraId="17A180E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8</w:t>
            </w:r>
          </w:p>
        </w:tc>
        <w:tc>
          <w:tcPr>
            <w:tcW w:type="dxa" w:w="3357"/>
            <w:vAlign w:val="center"/>
          </w:tcPr>
          <w:p w14:paraId="29DAA7F6"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77"/>
            <w:vAlign w:val="center"/>
          </w:tcPr>
          <w:p w14:paraId="446A48E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1,459,633,584.10</w:t>
            </w:r>
          </w:p>
        </w:tc>
        <w:tc>
          <w:tcPr>
            <w:tcW w:type="dxa" w:w="1843"/>
            <w:vAlign w:val="center"/>
          </w:tcPr>
          <w:p w14:paraId="3C7AC8A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100.00</w:t>
            </w:r>
          </w:p>
        </w:tc>
      </w:tr>
    </w:tbl>
    <w:p w14:paraId="6175743F"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14:paraId="71F975B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14:paraId="0A24FB38" w14:textId="77777777" w:rsidR="00D06738" w:rsidRDefault="00454D20">
      <w:pPr>
        <w:rPr>
          <w:b/>
        </w:rPr>
      </w:pPr>
      <w:r>
        <w:rPr>
          <w:b/>
          <w:color w:themeColor="text1" w:val="000000"/>
        </w:rPr>
        <w:t/>
      </w:r>
      <w:proofErr w:type="spellStart"/>
      <w:r>
        <w:rPr>
          <w:b/>
          <w:color w:themeColor="text1" w:val="000000"/>
        </w:rPr>
        <w:t/>
      </w:r>
      <w:proofErr w:type="spellEnd"/>
      <w:r>
        <w:rPr>
          <w:b/>
          <w:color w:themeColor="text1" w:val="000000"/>
        </w:rPr>
        <w:t/>
      </w:r>
      <w:r>
        <w:rPr>
          <w:rFonts w:eastAsiaTheme="minorEastAsia" w:hint="eastAsia"/>
          <w:b/>
          <w:color w:themeColor="text1" w:val="000000"/>
          <w:kern w:val="0"/>
        </w:rPr>
        <w:t>5.2.1</w:t>
      </w:r>
      <w:r>
        <w:rPr>
          <w:rFonts w:eastAsiaTheme="minorEastAsia" w:hint="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14:paraId="651FF96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B8EF369"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72CB0322" w14:textId="77777777" w:rsidR="00D06738" w:rsidRDefault="00D06738">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5DCD6455" w14:textId="77777777" w:rsidR="00D06738" w:rsidRDefault="00D06738">
            <w:pPr>
              <w:jc w:val="right"/>
              <w:rPr>
                <w:rFonts w:asciiTheme="minorEastAsia" w:cs="宋体" w:eastAsiaTheme="minorEastAsia" w:hAnsiTheme="minorEastAsia"/>
                <w:color w:themeColor="text1" w:val="000000"/>
                <w:kern w:val="0"/>
              </w:rPr>
            </w:pPr>
          </w:p>
        </w:tc>
      </w:tr>
      <w:tr w14:paraId="3470B292"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676,653,324.65</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47.32</w:t>
            </w:r>
          </w:p>
        </w:tc>
      </w:tr>
      <w:tr w14:paraId="53F8CFE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1B8429A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5A56BDE"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24,250,363.22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1.70</w:t>
            </w:r>
          </w:p>
        </w:tc>
      </w:tr>
      <w:tr w14:paraId="68AD7C4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21,426,920.19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1.50</w:t>
            </w:r>
          </w:p>
        </w:tc>
      </w:tr>
      <w:tr w14:paraId="545862F1"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4EB68E1B"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628,772.88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0.04</w:t>
            </w:r>
          </w:p>
        </w:tc>
      </w:tr>
      <w:tr w14:paraId="379675A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3FE1377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111,116.14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0.01</w:t>
            </w:r>
          </w:p>
        </w:tc>
      </w:tr>
      <w:tr w14:paraId="6663031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40,415,205.60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2.83</w:t>
            </w:r>
          </w:p>
        </w:tc>
      </w:tr>
      <w:tr w14:paraId="07EC249A"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218,322,375.16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15.27</w:t>
            </w:r>
          </w:p>
        </w:tc>
      </w:tr>
      <w:tr w14:paraId="69D921F3"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090E46D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r>
      <w:tr w14:paraId="684B91C8"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52,470,765.21</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3.67</w:t>
            </w:r>
          </w:p>
        </w:tc>
      </w:tr>
      <w:tr w14:paraId="58A809B6"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152,976,155.99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10.70</w:t>
            </w:r>
          </w:p>
        </w:tc>
      </w:tr>
      <w:tr w14:paraId="0C10CFD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78F4620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AD397B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1,187,254,999.04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83.02</w:t>
            </w:r>
          </w:p>
        </w:tc>
      </w:tr>
    </w:tbl>
    <w:p w14:paraId="0F45C82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31B4A5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aff4"/>
        <w:tblW w:type="dxa" w:w="8528"/>
        <w:tblLayout w:type="fixed"/>
        <w:tblLook w:firstColumn="1" w:firstRow="1" w:lastColumn="0" w:lastRow="0" w:noHBand="0" w:noVBand="1" w:val="04A0"/>
      </w:tblPr>
      <w:tblGrid>
        <w:gridCol w:w="817"/>
        <w:gridCol w:w="1276"/>
        <w:gridCol w:w="1701"/>
        <w:gridCol w:w="1276"/>
        <w:gridCol w:w="1842"/>
        <w:gridCol w:w="1616"/>
      </w:tblGrid>
      <w:tr w14:paraId="783178E1" w14:textId="77777777" w:rsidR="00D06738">
        <w:tc>
          <w:tcPr>
            <w:tcW w:type="dxa" w:w="817"/>
            <w:vAlign w:val="center"/>
          </w:tcPr>
          <w:p w14:paraId="48FEE55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276"/>
            <w:vAlign w:val="center"/>
          </w:tcPr>
          <w:p w14:paraId="75B0DAE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股票代码</w:t>
            </w:r>
          </w:p>
        </w:tc>
        <w:tc>
          <w:tcPr>
            <w:tcW w:type="dxa" w:w="1701"/>
            <w:vAlign w:val="center"/>
          </w:tcPr>
          <w:p w14:paraId="1CCAA56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股票名称</w:t>
            </w:r>
          </w:p>
        </w:tc>
        <w:tc>
          <w:tcPr>
            <w:tcW w:type="dxa" w:w="1276"/>
            <w:vAlign w:val="center"/>
          </w:tcPr>
          <w:p w14:paraId="253890B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数量(股)</w:t>
            </w:r>
          </w:p>
        </w:tc>
        <w:tc>
          <w:tcPr>
            <w:tcW w:type="dxa" w:w="1842"/>
            <w:vAlign w:val="center"/>
          </w:tcPr>
          <w:p w14:paraId="0614F269"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6"/>
            <w:vAlign w:val="center"/>
          </w:tcPr>
          <w:p w14:paraId="6CA45A8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w:t>
            </w:r>
            <w:r>
              <w:rPr>
                <w:rFonts w:asciiTheme="minorEastAsia" w:cs="宋体" w:eastAsiaTheme="minorEastAsia" w:hAnsiTheme="minorEastAsia" w:hint="eastAsia"/>
                <w:color w:themeColor="text1" w:val="000000"/>
                <w:kern w:val="0"/>
              </w:rPr>
              <w:lastRenderedPageBreak/>
              <w:t>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002821</w:t>
            </w:r>
          </w:p>
        </w:tc>
        <w:tc>
          <w:tcPr>
            <w:vAlign w:val="center"/>
          </w:tcPr>
          <w:p>
            <w:pPr>
              <w:jc w:val="center"/>
            </w:pPr>
            <w:r>
              <w:rPr>
                <w:rFonts w:asciiTheme="minorEastAsia" w:cs="宋体" w:eastAsiaTheme="minorEastAsia" w:hAnsiTheme="minorEastAsia"/>
                <w:color w:themeColor="text1" w:val="000000"/>
                <w:kern w:val="0"/>
              </w:rPr>
              <w:t>凯莱英</w:t>
            </w:r>
          </w:p>
        </w:tc>
        <w:tc>
          <w:tcPr>
            <w:vAlign w:val="center"/>
          </w:tcPr>
          <w:p>
            <w:pPr>
              <w:jc w:val="right"/>
            </w:pPr>
            <w:r>
              <w:rPr>
                <w:rFonts w:asciiTheme="minorEastAsia" w:cs="宋体" w:eastAsiaTheme="minorEastAsia" w:hAnsiTheme="minorEastAsia"/>
                <w:color w:themeColor="text1" w:val="000000"/>
                <w:kern w:val="0"/>
              </w:rPr>
              <w:t>451,451.00</w:t>
            </w:r>
          </w:p>
        </w:tc>
        <w:tc>
          <w:tcPr>
            <w:vAlign w:val="center"/>
          </w:tcPr>
          <w:p>
            <w:pPr>
              <w:jc w:val="right"/>
            </w:pPr>
            <w:r>
              <w:rPr>
                <w:rFonts w:asciiTheme="minorEastAsia" w:cs="宋体" w:eastAsiaTheme="minorEastAsia" w:hAnsiTheme="minorEastAsia"/>
                <w:color w:themeColor="text1" w:val="000000"/>
                <w:kern w:val="0"/>
              </w:rPr>
              <w:t>135,047,052.14</w:t>
            </w:r>
          </w:p>
        </w:tc>
        <w:tc>
          <w:tcPr>
            <w:vAlign w:val="center"/>
          </w:tcPr>
          <w:p>
            <w:pPr>
              <w:jc w:val="right"/>
            </w:pPr>
            <w:r>
              <w:rPr>
                <w:rFonts w:asciiTheme="minorEastAsia" w:cs="宋体" w:eastAsiaTheme="minorEastAsia" w:hAnsiTheme="minorEastAsia"/>
                <w:color w:themeColor="text1" w:val="000000"/>
                <w:kern w:val="0"/>
              </w:rPr>
              <w:t>9.44</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603259</w:t>
            </w:r>
          </w:p>
        </w:tc>
        <w:tc>
          <w:tcPr>
            <w:vAlign w:val="center"/>
          </w:tcPr>
          <w:p>
            <w:pPr>
              <w:jc w:val="center"/>
            </w:pPr>
            <w:r>
              <w:rPr>
                <w:rFonts w:asciiTheme="minorEastAsia" w:cs="宋体" w:eastAsiaTheme="minorEastAsia" w:hAnsiTheme="minorEastAsia"/>
                <w:color w:themeColor="text1" w:val="000000"/>
                <w:kern w:val="0"/>
              </w:rPr>
              <w:t>药明康德</w:t>
            </w:r>
          </w:p>
        </w:tc>
        <w:tc>
          <w:tcPr>
            <w:vAlign w:val="center"/>
          </w:tcPr>
          <w:p>
            <w:pPr>
              <w:jc w:val="right"/>
            </w:pPr>
            <w:r>
              <w:rPr>
                <w:rFonts w:asciiTheme="minorEastAsia" w:cs="宋体" w:eastAsiaTheme="minorEastAsia" w:hAnsiTheme="minorEastAsia"/>
                <w:color w:themeColor="text1" w:val="000000"/>
                <w:kern w:val="0"/>
              </w:rPr>
              <w:t>950,706.00</w:t>
            </w:r>
          </w:p>
        </w:tc>
        <w:tc>
          <w:tcPr>
            <w:vAlign w:val="center"/>
          </w:tcPr>
          <w:p>
            <w:pPr>
              <w:jc w:val="right"/>
            </w:pPr>
            <w:r>
              <w:rPr>
                <w:rFonts w:asciiTheme="minorEastAsia" w:cs="宋体" w:eastAsiaTheme="minorEastAsia" w:hAnsiTheme="minorEastAsia"/>
                <w:color w:themeColor="text1" w:val="000000"/>
                <w:kern w:val="0"/>
              </w:rPr>
              <w:t>128,079,112.32</w:t>
            </w:r>
          </w:p>
        </w:tc>
        <w:tc>
          <w:tcPr>
            <w:vAlign w:val="center"/>
          </w:tcPr>
          <w:p>
            <w:pPr>
              <w:jc w:val="right"/>
            </w:pPr>
            <w:r>
              <w:rPr>
                <w:rFonts w:asciiTheme="minorEastAsia" w:cs="宋体" w:eastAsiaTheme="minorEastAsia" w:hAnsiTheme="minorEastAsia"/>
                <w:color w:themeColor="text1" w:val="000000"/>
                <w:kern w:val="0"/>
              </w:rPr>
              <w:t>8.96</w:t>
            </w:r>
          </w:p>
        </w:tc>
      </w:tr>
      <w:tr>
        <w:tc>
          <w:tcPr>
            <w:vAlign w:val="center"/>
          </w:tcPr>
          <w:p>
            <w:pPr>
              <w:jc w:val="center"/>
            </w:pPr>
            <w:r>
              <w:rPr>
                <w:rFonts w:asciiTheme="minorEastAsia" w:cs="宋体" w:eastAsiaTheme="minorEastAsia" w:hAnsiTheme="minorEastAsia"/>
                <w:color w:themeColor="text1" w:val="000000"/>
                <w:kern w:val="0"/>
              </w:rPr>
              <w:t>3</w:t>
            </w:r>
          </w:p>
        </w:tc>
        <w:tc>
          <w:tcPr>
            <w:vAlign w:val="center"/>
          </w:tcPr>
          <w:p>
            <w:pPr>
              <w:jc w:val="center"/>
            </w:pPr>
            <w:r>
              <w:rPr>
                <w:rFonts w:asciiTheme="minorEastAsia" w:cs="宋体" w:eastAsiaTheme="minorEastAsia" w:hAnsiTheme="minorEastAsia"/>
                <w:color w:themeColor="text1" w:val="000000"/>
                <w:kern w:val="0"/>
              </w:rPr>
              <w:t>300760</w:t>
            </w:r>
          </w:p>
        </w:tc>
        <w:tc>
          <w:tcPr>
            <w:vAlign w:val="center"/>
          </w:tcPr>
          <w:p>
            <w:pPr>
              <w:jc w:val="center"/>
            </w:pPr>
            <w:r>
              <w:rPr>
                <w:rFonts w:asciiTheme="minorEastAsia" w:cs="宋体" w:eastAsiaTheme="minorEastAsia" w:hAnsiTheme="minorEastAsia"/>
                <w:color w:themeColor="text1" w:val="000000"/>
                <w:kern w:val="0"/>
              </w:rPr>
              <w:t>迈瑞医疗</w:t>
            </w:r>
          </w:p>
        </w:tc>
        <w:tc>
          <w:tcPr>
            <w:vAlign w:val="center"/>
          </w:tcPr>
          <w:p>
            <w:pPr>
              <w:jc w:val="right"/>
            </w:pPr>
            <w:r>
              <w:rPr>
                <w:rFonts w:asciiTheme="minorEastAsia" w:cs="宋体" w:eastAsiaTheme="minorEastAsia" w:hAnsiTheme="minorEastAsia"/>
                <w:color w:themeColor="text1" w:val="000000"/>
                <w:kern w:val="0"/>
              </w:rPr>
              <w:t>269,148.00</w:t>
            </w:r>
          </w:p>
        </w:tc>
        <w:tc>
          <w:tcPr>
            <w:vAlign w:val="center"/>
          </w:tcPr>
          <w:p>
            <w:pPr>
              <w:jc w:val="right"/>
            </w:pPr>
            <w:r>
              <w:rPr>
                <w:rFonts w:asciiTheme="minorEastAsia" w:cs="宋体" w:eastAsiaTheme="minorEastAsia" w:hAnsiTheme="minorEastAsia"/>
                <w:color w:themeColor="text1" w:val="000000"/>
                <w:kern w:val="0"/>
              </w:rPr>
              <w:t>114,657,048.00</w:t>
            </w:r>
          </w:p>
        </w:tc>
        <w:tc>
          <w:tcPr>
            <w:vAlign w:val="center"/>
          </w:tcPr>
          <w:p>
            <w:pPr>
              <w:jc w:val="right"/>
            </w:pPr>
            <w:r>
              <w:rPr>
                <w:rFonts w:asciiTheme="minorEastAsia" w:cs="宋体" w:eastAsiaTheme="minorEastAsia" w:hAnsiTheme="minorEastAsia"/>
                <w:color w:themeColor="text1" w:val="000000"/>
                <w:kern w:val="0"/>
              </w:rPr>
              <w:t>8.02</w:t>
            </w:r>
          </w:p>
        </w:tc>
      </w:tr>
      <w:tr>
        <w:tc>
          <w:tcPr>
            <w:vAlign w:val="center"/>
          </w:tcPr>
          <w:p>
            <w:pPr>
              <w:jc w:val="center"/>
            </w:pPr>
            <w:r>
              <w:rPr>
                <w:rFonts w:asciiTheme="minorEastAsia" w:cs="宋体" w:eastAsiaTheme="minorEastAsia" w:hAnsiTheme="minorEastAsia"/>
                <w:color w:themeColor="text1" w:val="000000"/>
                <w:kern w:val="0"/>
              </w:rPr>
              <w:t>4</w:t>
            </w:r>
          </w:p>
        </w:tc>
        <w:tc>
          <w:tcPr>
            <w:vAlign w:val="center"/>
          </w:tcPr>
          <w:p>
            <w:pPr>
              <w:jc w:val="center"/>
            </w:pPr>
            <w:r>
              <w:rPr>
                <w:rFonts w:asciiTheme="minorEastAsia" w:cs="宋体" w:eastAsiaTheme="minorEastAsia" w:hAnsiTheme="minorEastAsia"/>
                <w:color w:themeColor="text1" w:val="000000"/>
                <w:kern w:val="0"/>
              </w:rPr>
              <w:t>300759</w:t>
            </w:r>
          </w:p>
        </w:tc>
        <w:tc>
          <w:tcPr>
            <w:vAlign w:val="center"/>
          </w:tcPr>
          <w:p>
            <w:pPr>
              <w:jc w:val="center"/>
            </w:pPr>
            <w:r>
              <w:rPr>
                <w:rFonts w:asciiTheme="minorEastAsia" w:cs="宋体" w:eastAsiaTheme="minorEastAsia" w:hAnsiTheme="minorEastAsia"/>
                <w:color w:themeColor="text1" w:val="000000"/>
                <w:kern w:val="0"/>
              </w:rPr>
              <w:t>康龙化成</w:t>
            </w:r>
          </w:p>
        </w:tc>
        <w:tc>
          <w:tcPr>
            <w:vAlign w:val="center"/>
          </w:tcPr>
          <w:p>
            <w:pPr>
              <w:jc w:val="right"/>
            </w:pPr>
            <w:r>
              <w:rPr>
                <w:rFonts w:asciiTheme="minorEastAsia" w:cs="宋体" w:eastAsiaTheme="minorEastAsia" w:hAnsiTheme="minorEastAsia"/>
                <w:color w:themeColor="text1" w:val="000000"/>
                <w:kern w:val="0"/>
              </w:rPr>
              <w:t>701,941.00</w:t>
            </w:r>
          </w:p>
        </w:tc>
        <w:tc>
          <w:tcPr>
            <w:vAlign w:val="center"/>
          </w:tcPr>
          <w:p>
            <w:pPr>
              <w:jc w:val="right"/>
            </w:pPr>
            <w:r>
              <w:rPr>
                <w:rFonts w:asciiTheme="minorEastAsia" w:cs="宋体" w:eastAsiaTheme="minorEastAsia" w:hAnsiTheme="minorEastAsia"/>
                <w:color w:themeColor="text1" w:val="000000"/>
                <w:kern w:val="0"/>
              </w:rPr>
              <w:t>84,513,696.40</w:t>
            </w:r>
          </w:p>
        </w:tc>
        <w:tc>
          <w:tcPr>
            <w:vAlign w:val="center"/>
          </w:tcPr>
          <w:p>
            <w:pPr>
              <w:jc w:val="right"/>
            </w:pPr>
            <w:r>
              <w:rPr>
                <w:rFonts w:asciiTheme="minorEastAsia" w:cs="宋体" w:eastAsiaTheme="minorEastAsia" w:hAnsiTheme="minorEastAsia"/>
                <w:color w:themeColor="text1" w:val="000000"/>
                <w:kern w:val="0"/>
              </w:rPr>
              <w:t>5.91</w:t>
            </w:r>
          </w:p>
        </w:tc>
      </w:tr>
      <w:tr>
        <w:tc>
          <w:tcPr>
            <w:vAlign w:val="center"/>
          </w:tcPr>
          <w:p>
            <w:pPr>
              <w:jc w:val="center"/>
            </w:pPr>
            <w:r>
              <w:rPr>
                <w:rFonts w:asciiTheme="minorEastAsia" w:cs="宋体" w:eastAsiaTheme="minorEastAsia" w:hAnsiTheme="minorEastAsia"/>
                <w:color w:themeColor="text1" w:val="000000"/>
                <w:kern w:val="0"/>
              </w:rPr>
              <w:t>5</w:t>
            </w:r>
          </w:p>
        </w:tc>
        <w:tc>
          <w:tcPr>
            <w:vAlign w:val="center"/>
          </w:tcPr>
          <w:p>
            <w:pPr>
              <w:jc w:val="center"/>
            </w:pPr>
            <w:r>
              <w:rPr>
                <w:rFonts w:asciiTheme="minorEastAsia" w:cs="宋体" w:eastAsiaTheme="minorEastAsia" w:hAnsiTheme="minorEastAsia"/>
                <w:color w:themeColor="text1" w:val="000000"/>
                <w:kern w:val="0"/>
              </w:rPr>
              <w:t>300595</w:t>
            </w:r>
          </w:p>
        </w:tc>
        <w:tc>
          <w:tcPr>
            <w:vAlign w:val="center"/>
          </w:tcPr>
          <w:p>
            <w:pPr>
              <w:jc w:val="center"/>
            </w:pPr>
            <w:r>
              <w:rPr>
                <w:rFonts w:asciiTheme="minorEastAsia" w:cs="宋体" w:eastAsiaTheme="minorEastAsia" w:hAnsiTheme="minorEastAsia"/>
                <w:color w:themeColor="text1" w:val="000000"/>
                <w:kern w:val="0"/>
              </w:rPr>
              <w:t>欧普康视</w:t>
            </w:r>
          </w:p>
        </w:tc>
        <w:tc>
          <w:tcPr>
            <w:vAlign w:val="center"/>
          </w:tcPr>
          <w:p>
            <w:pPr>
              <w:jc w:val="right"/>
            </w:pPr>
            <w:r>
              <w:rPr>
                <w:rFonts w:asciiTheme="minorEastAsia" w:cs="宋体" w:eastAsiaTheme="minorEastAsia" w:hAnsiTheme="minorEastAsia"/>
                <w:color w:themeColor="text1" w:val="000000"/>
                <w:kern w:val="0"/>
              </w:rPr>
              <w:t>877,773.00</w:t>
            </w:r>
          </w:p>
        </w:tc>
        <w:tc>
          <w:tcPr>
            <w:vAlign w:val="center"/>
          </w:tcPr>
          <w:p>
            <w:pPr>
              <w:jc w:val="right"/>
            </w:pPr>
            <w:r>
              <w:rPr>
                <w:rFonts w:asciiTheme="minorEastAsia" w:cs="宋体" w:eastAsiaTheme="minorEastAsia" w:hAnsiTheme="minorEastAsia"/>
                <w:color w:themeColor="text1" w:val="000000"/>
                <w:kern w:val="0"/>
              </w:rPr>
              <w:t>71,907,164.16</w:t>
            </w:r>
          </w:p>
        </w:tc>
        <w:tc>
          <w:tcPr>
            <w:vAlign w:val="center"/>
          </w:tcPr>
          <w:p>
            <w:pPr>
              <w:jc w:val="right"/>
            </w:pPr>
            <w:r>
              <w:rPr>
                <w:rFonts w:asciiTheme="minorEastAsia" w:cs="宋体" w:eastAsiaTheme="minorEastAsia" w:hAnsiTheme="minorEastAsia"/>
                <w:color w:themeColor="text1" w:val="000000"/>
                <w:kern w:val="0"/>
              </w:rPr>
              <w:t>5.03</w:t>
            </w:r>
          </w:p>
        </w:tc>
      </w:tr>
      <w:tr>
        <w:tc>
          <w:tcPr>
            <w:vAlign w:val="center"/>
          </w:tcPr>
          <w:p>
            <w:pPr>
              <w:jc w:val="center"/>
            </w:pPr>
            <w:r>
              <w:rPr>
                <w:rFonts w:asciiTheme="minorEastAsia" w:cs="宋体" w:eastAsiaTheme="minorEastAsia" w:hAnsiTheme="minorEastAsia"/>
                <w:color w:themeColor="text1" w:val="000000"/>
                <w:kern w:val="0"/>
              </w:rPr>
              <w:t>6</w:t>
            </w:r>
          </w:p>
        </w:tc>
        <w:tc>
          <w:tcPr>
            <w:vAlign w:val="center"/>
          </w:tcPr>
          <w:p>
            <w:pPr>
              <w:jc w:val="center"/>
            </w:pPr>
            <w:r>
              <w:rPr>
                <w:rFonts w:asciiTheme="minorEastAsia" w:cs="宋体" w:eastAsiaTheme="minorEastAsia" w:hAnsiTheme="minorEastAsia"/>
                <w:color w:themeColor="text1" w:val="000000"/>
                <w:kern w:val="0"/>
              </w:rPr>
              <w:t>300015</w:t>
            </w:r>
          </w:p>
        </w:tc>
        <w:tc>
          <w:tcPr>
            <w:vAlign w:val="center"/>
          </w:tcPr>
          <w:p>
            <w:pPr>
              <w:jc w:val="center"/>
            </w:pPr>
            <w:r>
              <w:rPr>
                <w:rFonts w:asciiTheme="minorEastAsia" w:cs="宋体" w:eastAsiaTheme="minorEastAsia" w:hAnsiTheme="minorEastAsia"/>
                <w:color w:themeColor="text1" w:val="000000"/>
                <w:kern w:val="0"/>
              </w:rPr>
              <w:t>爱尔眼科</w:t>
            </w:r>
          </w:p>
        </w:tc>
        <w:tc>
          <w:tcPr>
            <w:vAlign w:val="center"/>
          </w:tcPr>
          <w:p>
            <w:pPr>
              <w:jc w:val="right"/>
            </w:pPr>
            <w:r>
              <w:rPr>
                <w:rFonts w:asciiTheme="minorEastAsia" w:cs="宋体" w:eastAsiaTheme="minorEastAsia" w:hAnsiTheme="minorEastAsia"/>
                <w:color w:themeColor="text1" w:val="000000"/>
                <w:kern w:val="0"/>
              </w:rPr>
              <w:t>950,030.00</w:t>
            </w:r>
          </w:p>
        </w:tc>
        <w:tc>
          <w:tcPr>
            <w:vAlign w:val="center"/>
          </w:tcPr>
          <w:p>
            <w:pPr>
              <w:jc w:val="right"/>
            </w:pPr>
            <w:r>
              <w:rPr>
                <w:rFonts w:asciiTheme="minorEastAsia" w:cs="宋体" w:eastAsiaTheme="minorEastAsia" w:hAnsiTheme="minorEastAsia"/>
                <w:color w:themeColor="text1" w:val="000000"/>
                <w:kern w:val="0"/>
              </w:rPr>
              <w:t>71,147,746.70</w:t>
            </w:r>
          </w:p>
        </w:tc>
        <w:tc>
          <w:tcPr>
            <w:vAlign w:val="center"/>
          </w:tcPr>
          <w:p>
            <w:pPr>
              <w:jc w:val="right"/>
            </w:pPr>
            <w:r>
              <w:rPr>
                <w:rFonts w:asciiTheme="minorEastAsia" w:cs="宋体" w:eastAsiaTheme="minorEastAsia" w:hAnsiTheme="minorEastAsia"/>
                <w:color w:themeColor="text1" w:val="000000"/>
                <w:kern w:val="0"/>
              </w:rPr>
              <w:t>4.98</w:t>
            </w:r>
          </w:p>
        </w:tc>
      </w:tr>
      <w:tr>
        <w:tc>
          <w:tcPr>
            <w:vAlign w:val="center"/>
          </w:tcPr>
          <w:p>
            <w:pPr>
              <w:jc w:val="center"/>
            </w:pPr>
            <w:r>
              <w:rPr>
                <w:rFonts w:asciiTheme="minorEastAsia" w:cs="宋体" w:eastAsiaTheme="minorEastAsia" w:hAnsiTheme="minorEastAsia"/>
                <w:color w:themeColor="text1" w:val="000000"/>
                <w:kern w:val="0"/>
              </w:rPr>
              <w:t>7</w:t>
            </w:r>
          </w:p>
        </w:tc>
        <w:tc>
          <w:tcPr>
            <w:vAlign w:val="center"/>
          </w:tcPr>
          <w:p>
            <w:pPr>
              <w:jc w:val="center"/>
            </w:pPr>
            <w:r>
              <w:rPr>
                <w:rFonts w:asciiTheme="minorEastAsia" w:cs="宋体" w:eastAsiaTheme="minorEastAsia" w:hAnsiTheme="minorEastAsia"/>
                <w:color w:themeColor="text1" w:val="000000"/>
                <w:kern w:val="0"/>
              </w:rPr>
              <w:t>603882</w:t>
            </w:r>
          </w:p>
        </w:tc>
        <w:tc>
          <w:tcPr>
            <w:vAlign w:val="center"/>
          </w:tcPr>
          <w:p>
            <w:pPr>
              <w:jc w:val="center"/>
            </w:pPr>
            <w:r>
              <w:rPr>
                <w:rFonts w:asciiTheme="minorEastAsia" w:cs="宋体" w:eastAsiaTheme="minorEastAsia" w:hAnsiTheme="minorEastAsia"/>
                <w:color w:themeColor="text1" w:val="000000"/>
                <w:kern w:val="0"/>
              </w:rPr>
              <w:t>金域医学</w:t>
            </w:r>
          </w:p>
        </w:tc>
        <w:tc>
          <w:tcPr>
            <w:vAlign w:val="center"/>
          </w:tcPr>
          <w:p>
            <w:pPr>
              <w:jc w:val="right"/>
            </w:pPr>
            <w:r>
              <w:rPr>
                <w:rFonts w:asciiTheme="minorEastAsia" w:cs="宋体" w:eastAsiaTheme="minorEastAsia" w:hAnsiTheme="minorEastAsia"/>
                <w:color w:themeColor="text1" w:val="000000"/>
                <w:kern w:val="0"/>
              </w:rPr>
              <w:t>442,427.00</w:t>
            </w:r>
          </w:p>
        </w:tc>
        <w:tc>
          <w:tcPr>
            <w:vAlign w:val="center"/>
          </w:tcPr>
          <w:p>
            <w:pPr>
              <w:jc w:val="right"/>
            </w:pPr>
            <w:r>
              <w:rPr>
                <w:rFonts w:asciiTheme="minorEastAsia" w:cs="宋体" w:eastAsiaTheme="minorEastAsia" w:hAnsiTheme="minorEastAsia"/>
                <w:color w:themeColor="text1" w:val="000000"/>
                <w:kern w:val="0"/>
              </w:rPr>
              <w:t>56,683,747.24</w:t>
            </w:r>
          </w:p>
        </w:tc>
        <w:tc>
          <w:tcPr>
            <w:vAlign w:val="center"/>
          </w:tcPr>
          <w:p>
            <w:pPr>
              <w:jc w:val="right"/>
            </w:pPr>
            <w:r>
              <w:rPr>
                <w:rFonts w:asciiTheme="minorEastAsia" w:cs="宋体" w:eastAsiaTheme="minorEastAsia" w:hAnsiTheme="minorEastAsia"/>
                <w:color w:themeColor="text1" w:val="000000"/>
                <w:kern w:val="0"/>
              </w:rPr>
              <w:t>3.96</w:t>
            </w:r>
          </w:p>
        </w:tc>
      </w:tr>
      <w:tr>
        <w:tc>
          <w:tcPr>
            <w:vAlign w:val="center"/>
          </w:tcPr>
          <w:p>
            <w:pPr>
              <w:jc w:val="center"/>
            </w:pPr>
            <w:r>
              <w:rPr>
                <w:rFonts w:asciiTheme="minorEastAsia" w:cs="宋体" w:eastAsiaTheme="minorEastAsia" w:hAnsiTheme="minorEastAsia"/>
                <w:color w:themeColor="text1" w:val="000000"/>
                <w:kern w:val="0"/>
              </w:rPr>
              <w:t>8</w:t>
            </w:r>
          </w:p>
        </w:tc>
        <w:tc>
          <w:tcPr>
            <w:vAlign w:val="center"/>
          </w:tcPr>
          <w:p>
            <w:pPr>
              <w:jc w:val="center"/>
            </w:pPr>
            <w:r>
              <w:rPr>
                <w:rFonts w:asciiTheme="minorEastAsia" w:cs="宋体" w:eastAsiaTheme="minorEastAsia" w:hAnsiTheme="minorEastAsia"/>
                <w:color w:themeColor="text1" w:val="000000"/>
                <w:kern w:val="0"/>
              </w:rPr>
              <w:t>002607</w:t>
            </w:r>
          </w:p>
        </w:tc>
        <w:tc>
          <w:tcPr>
            <w:vAlign w:val="center"/>
          </w:tcPr>
          <w:p>
            <w:pPr>
              <w:jc w:val="center"/>
            </w:pPr>
            <w:r>
              <w:rPr>
                <w:rFonts w:asciiTheme="minorEastAsia" w:cs="宋体" w:eastAsiaTheme="minorEastAsia" w:hAnsiTheme="minorEastAsia"/>
                <w:color w:themeColor="text1" w:val="000000"/>
                <w:kern w:val="0"/>
              </w:rPr>
              <w:t>中公教育</w:t>
            </w:r>
          </w:p>
        </w:tc>
        <w:tc>
          <w:tcPr>
            <w:vAlign w:val="center"/>
          </w:tcPr>
          <w:p>
            <w:pPr>
              <w:jc w:val="right"/>
            </w:pPr>
            <w:r>
              <w:rPr>
                <w:rFonts w:asciiTheme="minorEastAsia" w:cs="宋体" w:eastAsiaTheme="minorEastAsia" w:hAnsiTheme="minorEastAsia"/>
                <w:color w:themeColor="text1" w:val="000000"/>
                <w:kern w:val="0"/>
              </w:rPr>
              <w:t>1,493,617.00</w:t>
            </w:r>
          </w:p>
        </w:tc>
        <w:tc>
          <w:tcPr>
            <w:vAlign w:val="center"/>
          </w:tcPr>
          <w:p>
            <w:pPr>
              <w:jc w:val="right"/>
            </w:pPr>
            <w:r>
              <w:rPr>
                <w:rFonts w:asciiTheme="minorEastAsia" w:cs="宋体" w:eastAsiaTheme="minorEastAsia" w:hAnsiTheme="minorEastAsia"/>
                <w:color w:themeColor="text1" w:val="000000"/>
                <w:kern w:val="0"/>
              </w:rPr>
              <w:t>52,470,765.21</w:t>
            </w:r>
          </w:p>
        </w:tc>
        <w:tc>
          <w:tcPr>
            <w:vAlign w:val="center"/>
          </w:tcPr>
          <w:p>
            <w:pPr>
              <w:jc w:val="right"/>
            </w:pPr>
            <w:r>
              <w:rPr>
                <w:rFonts w:asciiTheme="minorEastAsia" w:cs="宋体" w:eastAsiaTheme="minorEastAsia" w:hAnsiTheme="minorEastAsia"/>
                <w:color w:themeColor="text1" w:val="000000"/>
                <w:kern w:val="0"/>
              </w:rPr>
              <w:t>3.67</w:t>
            </w:r>
          </w:p>
        </w:tc>
      </w:tr>
      <w:tr>
        <w:tc>
          <w:tcPr>
            <w:vAlign w:val="center"/>
          </w:tcPr>
          <w:p>
            <w:pPr>
              <w:jc w:val="center"/>
            </w:pPr>
            <w:r>
              <w:rPr>
                <w:rFonts w:asciiTheme="minorEastAsia" w:cs="宋体" w:eastAsiaTheme="minorEastAsia" w:hAnsiTheme="minorEastAsia"/>
                <w:color w:themeColor="text1" w:val="000000"/>
                <w:kern w:val="0"/>
              </w:rPr>
              <w:t>9</w:t>
            </w:r>
          </w:p>
        </w:tc>
        <w:tc>
          <w:tcPr>
            <w:vAlign w:val="center"/>
          </w:tcPr>
          <w:p>
            <w:pPr>
              <w:jc w:val="center"/>
            </w:pPr>
            <w:r>
              <w:rPr>
                <w:rFonts w:asciiTheme="minorEastAsia" w:cs="宋体" w:eastAsiaTheme="minorEastAsia" w:hAnsiTheme="minorEastAsia"/>
                <w:color w:themeColor="text1" w:val="000000"/>
                <w:kern w:val="0"/>
              </w:rPr>
              <w:t>603707</w:t>
            </w:r>
          </w:p>
        </w:tc>
        <w:tc>
          <w:tcPr>
            <w:vAlign w:val="center"/>
          </w:tcPr>
          <w:p>
            <w:pPr>
              <w:jc w:val="center"/>
            </w:pPr>
            <w:r>
              <w:rPr>
                <w:rFonts w:asciiTheme="minorEastAsia" w:cs="宋体" w:eastAsiaTheme="minorEastAsia" w:hAnsiTheme="minorEastAsia"/>
                <w:color w:themeColor="text1" w:val="000000"/>
                <w:kern w:val="0"/>
              </w:rPr>
              <w:t>健友股份</w:t>
            </w:r>
          </w:p>
        </w:tc>
        <w:tc>
          <w:tcPr>
            <w:vAlign w:val="center"/>
          </w:tcPr>
          <w:p>
            <w:pPr>
              <w:jc w:val="right"/>
            </w:pPr>
            <w:r>
              <w:rPr>
                <w:rFonts w:asciiTheme="minorEastAsia" w:cs="宋体" w:eastAsiaTheme="minorEastAsia" w:hAnsiTheme="minorEastAsia"/>
                <w:color w:themeColor="text1" w:val="000000"/>
                <w:kern w:val="0"/>
              </w:rPr>
              <w:t>1,477,678.00</w:t>
            </w:r>
          </w:p>
        </w:tc>
        <w:tc>
          <w:tcPr>
            <w:vAlign w:val="center"/>
          </w:tcPr>
          <w:p>
            <w:pPr>
              <w:jc w:val="right"/>
            </w:pPr>
            <w:r>
              <w:rPr>
                <w:rFonts w:asciiTheme="minorEastAsia" w:cs="宋体" w:eastAsiaTheme="minorEastAsia" w:hAnsiTheme="minorEastAsia"/>
                <w:color w:themeColor="text1" w:val="000000"/>
                <w:kern w:val="0"/>
              </w:rPr>
              <w:t>51,910,828.14</w:t>
            </w:r>
          </w:p>
        </w:tc>
        <w:tc>
          <w:tcPr>
            <w:vAlign w:val="center"/>
          </w:tcPr>
          <w:p>
            <w:pPr>
              <w:jc w:val="right"/>
            </w:pPr>
            <w:r>
              <w:rPr>
                <w:rFonts w:asciiTheme="minorEastAsia" w:cs="宋体" w:eastAsiaTheme="minorEastAsia" w:hAnsiTheme="minorEastAsia"/>
                <w:color w:themeColor="text1" w:val="000000"/>
                <w:kern w:val="0"/>
              </w:rPr>
              <w:t>3.63</w:t>
            </w:r>
          </w:p>
        </w:tc>
      </w:tr>
      <w:tr>
        <w:tc>
          <w:tcPr>
            <w:vAlign w:val="center"/>
          </w:tcPr>
          <w:p>
            <w:pPr>
              <w:jc w:val="center"/>
            </w:pPr>
            <w:r>
              <w:rPr>
                <w:rFonts w:asciiTheme="minorEastAsia" w:cs="宋体" w:eastAsiaTheme="minorEastAsia" w:hAnsiTheme="minorEastAsia"/>
                <w:color w:themeColor="text1" w:val="000000"/>
                <w:kern w:val="0"/>
              </w:rPr>
              <w:t>10</w:t>
            </w:r>
          </w:p>
        </w:tc>
        <w:tc>
          <w:tcPr>
            <w:vAlign w:val="center"/>
          </w:tcPr>
          <w:p>
            <w:pPr>
              <w:jc w:val="center"/>
            </w:pPr>
            <w:r>
              <w:rPr>
                <w:rFonts w:asciiTheme="minorEastAsia" w:cs="宋体" w:eastAsiaTheme="minorEastAsia" w:hAnsiTheme="minorEastAsia"/>
                <w:color w:themeColor="text1" w:val="000000"/>
                <w:kern w:val="0"/>
              </w:rPr>
              <w:t>603520</w:t>
            </w:r>
          </w:p>
        </w:tc>
        <w:tc>
          <w:tcPr>
            <w:vAlign w:val="center"/>
          </w:tcPr>
          <w:p>
            <w:pPr>
              <w:jc w:val="center"/>
            </w:pPr>
            <w:r>
              <w:rPr>
                <w:rFonts w:asciiTheme="minorEastAsia" w:cs="宋体" w:eastAsiaTheme="minorEastAsia" w:hAnsiTheme="minorEastAsia"/>
                <w:color w:themeColor="text1" w:val="000000"/>
                <w:kern w:val="0"/>
              </w:rPr>
              <w:t>司太立</w:t>
            </w:r>
          </w:p>
        </w:tc>
        <w:tc>
          <w:tcPr>
            <w:vAlign w:val="center"/>
          </w:tcPr>
          <w:p>
            <w:pPr>
              <w:jc w:val="right"/>
            </w:pPr>
            <w:r>
              <w:rPr>
                <w:rFonts w:asciiTheme="minorEastAsia" w:cs="宋体" w:eastAsiaTheme="minorEastAsia" w:hAnsiTheme="minorEastAsia"/>
                <w:color w:themeColor="text1" w:val="000000"/>
                <w:kern w:val="0"/>
              </w:rPr>
              <w:t>658,987.00</w:t>
            </w:r>
          </w:p>
        </w:tc>
        <w:tc>
          <w:tcPr>
            <w:vAlign w:val="center"/>
          </w:tcPr>
          <w:p>
            <w:pPr>
              <w:jc w:val="right"/>
            </w:pPr>
            <w:r>
              <w:rPr>
                <w:rFonts w:asciiTheme="minorEastAsia" w:cs="宋体" w:eastAsiaTheme="minorEastAsia" w:hAnsiTheme="minorEastAsia"/>
                <w:color w:themeColor="text1" w:val="000000"/>
                <w:kern w:val="0"/>
              </w:rPr>
              <w:t>43,381,114.21</w:t>
            </w:r>
          </w:p>
        </w:tc>
        <w:tc>
          <w:tcPr>
            <w:vAlign w:val="center"/>
          </w:tcPr>
          <w:p>
            <w:pPr>
              <w:jc w:val="right"/>
            </w:pPr>
            <w:r>
              <w:rPr>
                <w:rFonts w:asciiTheme="minorEastAsia" w:cs="宋体" w:eastAsiaTheme="minorEastAsia" w:hAnsiTheme="minorEastAsia"/>
                <w:color w:themeColor="text1" w:val="000000"/>
                <w:kern w:val="0"/>
              </w:rPr>
              <w:t>3.03</w:t>
            </w:r>
          </w:p>
        </w:tc>
      </w:tr>
    </w:tbl>
    <w:p w14:paraId="5DBD10B5"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3936D23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p w14:paraId="19B239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6542573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D1805F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p w14:paraId="06FBBA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021C2896"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0D4DC30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lastRenderedPageBreak/>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本基金本报告期末未持有资产支持证券。</w:t>
      </w:r>
    </w:p>
    <w:p w14:paraId="7641962C"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sz w:val="24"/>
          <w:szCs w:val="24"/>
        </w:rPr>
      </w:pPr>
    </w:p>
    <w:p w14:paraId="4D2AFCA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7 报告期末按公允价值占基金资产净值比例大小排序的前五名贵金属投资明细</w:t>
      </w:r>
    </w:p>
    <w:p w14:paraId="5072D892" w14:textId="77777777" w:rsidR="00D06738" w:rsidRDefault="00454D20">
      <w:pPr>
        <w:widowControl/>
        <w:spacing w:line="360" w:lineRule="auto"/>
        <w:jc w:val="left"/>
        <w:rPr>
          <w:rFonts w:ascii="宋体" w:hAnsi="宋体"/>
          <w:color w:themeColor="text1" w:val="000000"/>
        </w:rPr>
      </w:pPr>
      <w:r>
        <w:rPr>
          <w:rFonts w:ascii="宋体" w:hAnsi="宋体"/>
          <w:color w:themeColor="text1" w:val="000000"/>
        </w:rPr>
        <w:t/>
      </w:r>
      <w:proofErr w:type="spellStart"/>
      <w:r>
        <w:rPr>
          <w:rFonts w:ascii="宋体" w:hAnsi="宋体"/>
          <w:color w:themeColor="text1" w:val="000000"/>
        </w:rPr>
        <w:t/>
      </w:r>
      <w:proofErr w:type="gramStart"/>
      <w:r>
        <w:rPr>
          <w:rFonts w:ascii="宋体" w:hAnsi="宋体"/>
          <w:color w:themeColor="text1" w:val="000000"/>
        </w:rPr>
        <w:t/>
      </w:r>
      <w:proofErr w:type="spellEnd"/>
      <w:r>
        <w:rPr>
          <w:rFonts w:ascii="宋体" w:hAnsi="宋体"/>
          <w:color w:themeColor="text1" w:val="000000"/>
        </w:rPr>
        <w:t/>
      </w:r>
      <w:proofErr w:type="spellStart"/>
      <w:proofErr w:type="gramEnd"/>
      <w:r>
        <w:rPr>
          <w:rFonts w:ascii="宋体" w:hAnsi="宋体"/>
          <w:color w:themeColor="text1" w:val="000000"/>
        </w:rPr>
        <w:t/>
      </w:r>
      <w:proofErr w:type="spellEnd"/>
      <w:r>
        <w:rPr>
          <w:rFonts w:ascii="宋体" w:hAnsi="宋体"/>
          <w:color w:themeColor="text1" w:val="000000"/>
        </w:rPr>
        <w:t>本基金本报告期末未持有贵金属。</w:t>
      </w:r>
    </w:p>
    <w:p w14:paraId="60EB37E6"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ACC4ABF"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14:paraId="5CD73A7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本基金本报告期末未持有权证。</w:t>
      </w:r>
    </w:p>
    <w:p w14:paraId="47EB757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2F0769C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5.9 报告期末本基金投资的股指期货交易情况说明</w:t>
      </w:r>
    </w:p>
    <w:p w14:paraId="73A71E08"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本基金本报告期末未持有股指期货。</w:t>
      </w:r>
    </w:p>
    <w:p w14:paraId="6D381369" w14:textId="77777777" w:rsidR="00D06738" w:rsidRDefault="00D06738">
      <w:pPr>
        <w:adjustRightInd w:val="0"/>
        <w:snapToGrid w:val="0"/>
        <w:spacing w:line="360" w:lineRule="exact"/>
        <w:rPr>
          <w:rFonts w:asciiTheme="minorEastAsia" w:eastAsiaTheme="minorEastAsia" w:hAnsiTheme="minorEastAsia"/>
          <w:color w:themeColor="text1" w:val="000000"/>
          <w:sz w:val="24"/>
          <w:szCs w:val="24"/>
        </w:rPr>
      </w:pPr>
    </w:p>
    <w:p w14:paraId="288DDC9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5.10报告期末本基金投资的国债期货交易情况说明</w:t>
      </w:r>
    </w:p>
    <w:p w14:paraId="5490A7F4"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lastRenderedPageBreak/>
        <w:t/>
      </w:r>
      <w:proofErr w:type="spellStart"/>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
      </w:r>
      <w:proofErr w:type="spellEnd"/>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
      </w:r>
      <w:proofErr w:type="spellStart"/>
      <w:proofErr w:type="gramEnd"/>
      <w:r>
        <w:rPr>
          <w:rFonts w:asciiTheme="minorEastAsia" w:eastAsiaTheme="minorEastAsia" w:hAnsiTheme="minorEastAsia"/>
          <w:color w:themeColor="text1" w:val="000000"/>
          <w:sz w:val="24"/>
          <w:szCs w:val="24"/>
        </w:rPr>
        <w:t/>
      </w:r>
      <w:proofErr w:type="spellEnd"/>
      <w:r>
        <w:rPr>
          <w:rFonts w:asciiTheme="minorEastAsia" w:eastAsiaTheme="minorEastAsia" w:hAnsiTheme="minorEastAsia"/>
          <w:color w:themeColor="text1" w:val="000000"/>
          <w:sz w:val="24"/>
          <w:szCs w:val="24"/>
        </w:rPr>
        <w:t>本基金本报告期末未持有国债期货。</w:t>
      </w:r>
    </w:p>
    <w:p w14:paraId="0AD515B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14:paraId="2BAE184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14:paraId="50E6CBC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14:paraId="4124D65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tc>
          <w:tcPr>
            <w:tcW w:type="dxa" w:w="1235"/>
            <w:vAlign w:val="center"/>
          </w:tcPr>
          <w:p w14:paraId="3D402FF5"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2470"/>
            <w:vAlign w:val="center"/>
          </w:tcPr>
          <w:p w14:paraId="627CAE1B"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名称</w:t>
            </w:r>
          </w:p>
        </w:tc>
        <w:tc>
          <w:tcPr>
            <w:tcW w:type="dxa" w:w="4808"/>
            <w:vAlign w:val="center"/>
          </w:tcPr>
          <w:p w14:paraId="6430356C"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金额(元)</w:t>
            </w:r>
          </w:p>
        </w:tc>
      </w:tr>
      <w:tr w14:paraId="2C715D80" w14:textId="77777777" w:rsidR="00D06738">
        <w:tc>
          <w:tcPr>
            <w:tcW w:type="dxa" w:w="1235"/>
            <w:vAlign w:val="center"/>
          </w:tcPr>
          <w:p w14:paraId="117C1A9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2470"/>
            <w:vAlign w:val="center"/>
          </w:tcPr>
          <w:p w14:paraId="61153B9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存出保证金</w:t>
            </w:r>
          </w:p>
        </w:tc>
        <w:tc>
          <w:tcPr>
            <w:tcW w:type="dxa" w:w="4808"/>
            <w:vAlign w:val="center"/>
          </w:tcPr>
          <w:p w14:paraId="069C1229"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604,296.67</w:t>
            </w:r>
          </w:p>
        </w:tc>
      </w:tr>
      <w:tr w14:paraId="3C032846" w14:textId="77777777" w:rsidR="00D06738">
        <w:tc>
          <w:tcPr>
            <w:tcW w:type="dxa" w:w="1235"/>
            <w:vAlign w:val="center"/>
          </w:tcPr>
          <w:p w14:paraId="141CD09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2470"/>
            <w:vAlign w:val="center"/>
          </w:tcPr>
          <w:p w14:paraId="307B0992"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应收证券清算款</w:t>
            </w:r>
          </w:p>
        </w:tc>
        <w:tc>
          <w:tcPr>
            <w:tcW w:type="dxa" w:w="4808"/>
            <w:vAlign w:val="center"/>
          </w:tcPr>
          <w:p w14:paraId="7B2B0246"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176311B8" w14:textId="77777777" w:rsidR="00D06738">
        <w:tc>
          <w:tcPr>
            <w:tcW w:type="dxa" w:w="1235"/>
            <w:vAlign w:val="center"/>
          </w:tcPr>
          <w:p w14:paraId="602CCE2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lastRenderedPageBreak/>
              <w:t>3</w:t>
            </w:r>
          </w:p>
        </w:tc>
        <w:tc>
          <w:tcPr>
            <w:tcW w:type="dxa" w:w="2470"/>
            <w:vAlign w:val="center"/>
          </w:tcPr>
          <w:p w14:paraId="31EEC93A"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应收股利</w:t>
            </w:r>
          </w:p>
        </w:tc>
        <w:tc>
          <w:tcPr>
            <w:tcW w:type="dxa" w:w="4808"/>
            <w:vAlign w:val="center"/>
          </w:tcPr>
          <w:p w14:paraId="30AA7BF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6C0EC699" w14:textId="77777777" w:rsidR="00D06738">
        <w:tc>
          <w:tcPr>
            <w:tcW w:type="dxa" w:w="1235"/>
            <w:vAlign w:val="center"/>
          </w:tcPr>
          <w:p w14:paraId="4EAB88E6"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4</w:t>
            </w:r>
          </w:p>
        </w:tc>
        <w:tc>
          <w:tcPr>
            <w:tcW w:type="dxa" w:w="2470"/>
            <w:vAlign w:val="center"/>
          </w:tcPr>
          <w:p w14:paraId="25AFBD3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应收利息</w:t>
            </w:r>
          </w:p>
        </w:tc>
        <w:tc>
          <w:tcPr>
            <w:tcW w:type="dxa" w:w="4808"/>
            <w:vAlign w:val="center"/>
          </w:tcPr>
          <w:p w14:paraId="61FAC2C4"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26,553.87</w:t>
            </w:r>
          </w:p>
        </w:tc>
      </w:tr>
      <w:tr w14:paraId="617FE4E0" w14:textId="77777777" w:rsidR="00D06738">
        <w:tc>
          <w:tcPr>
            <w:tcW w:type="dxa" w:w="1235"/>
            <w:vAlign w:val="center"/>
          </w:tcPr>
          <w:p w14:paraId="0DE5BCEB"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5</w:t>
            </w:r>
          </w:p>
        </w:tc>
        <w:tc>
          <w:tcPr>
            <w:tcW w:type="dxa" w:w="2470"/>
            <w:vAlign w:val="center"/>
          </w:tcPr>
          <w:p w14:paraId="418D350C"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应收申购款</w:t>
            </w:r>
          </w:p>
        </w:tc>
        <w:tc>
          <w:tcPr>
            <w:tcW w:type="dxa" w:w="4808"/>
            <w:vAlign w:val="center"/>
          </w:tcPr>
          <w:p w14:paraId="6138F79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18,307,782.73</w:t>
            </w:r>
          </w:p>
        </w:tc>
      </w:tr>
      <w:tr w14:paraId="2FF8C6CF" w14:textId="77777777" w:rsidR="00D06738">
        <w:tc>
          <w:tcPr>
            <w:tcW w:type="dxa" w:w="1235"/>
            <w:vAlign w:val="center"/>
          </w:tcPr>
          <w:p w14:paraId="027C50F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6</w:t>
            </w:r>
          </w:p>
        </w:tc>
        <w:tc>
          <w:tcPr>
            <w:tcW w:type="dxa" w:w="2470"/>
            <w:vAlign w:val="center"/>
          </w:tcPr>
          <w:p w14:paraId="763B340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其他应收款</w:t>
            </w:r>
          </w:p>
        </w:tc>
        <w:tc>
          <w:tcPr>
            <w:tcW w:type="dxa" w:w="4808"/>
            <w:vAlign w:val="center"/>
          </w:tcPr>
          <w:p w14:paraId="5846D225"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472C6A37" w14:textId="77777777" w:rsidR="00D06738">
        <w:tc>
          <w:tcPr>
            <w:tcW w:type="dxa" w:w="1235"/>
            <w:vAlign w:val="center"/>
          </w:tcPr>
          <w:p w14:paraId="75EFC63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7</w:t>
            </w:r>
          </w:p>
        </w:tc>
        <w:tc>
          <w:tcPr>
            <w:tcW w:type="dxa" w:w="2470"/>
            <w:vAlign w:val="center"/>
          </w:tcPr>
          <w:p w14:paraId="0A943614" w14:textId="77777777" w:rsidR="00D06738" w:rsidRDefault="00454D20">
            <w:pPr>
              <w:autoSpaceDE w:val="0"/>
              <w:autoSpaceDN w:val="0"/>
              <w:adjustRightInd w:val="0"/>
              <w:spacing w:before="29" w:line="360" w:lineRule="auto"/>
              <w:ind w:left="15"/>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待摊费用</w:t>
            </w:r>
          </w:p>
        </w:tc>
        <w:tc>
          <w:tcPr>
            <w:tcW w:type="dxa" w:w="4808"/>
            <w:vAlign w:val="center"/>
          </w:tcPr>
          <w:p w14:paraId="72EB47BF"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hint="eastAsia"/>
                <w:color w:themeColor="text1" w:val="000000"/>
                <w:kern w:val="0"/>
              </w:rPr>
              <w:t>-</w:t>
            </w:r>
          </w:p>
        </w:tc>
      </w:tr>
      <w:tr w14:paraId="1EB71240" w14:textId="77777777" w:rsidR="00D06738">
        <w:tc>
          <w:tcPr>
            <w:tcW w:type="dxa" w:w="1235"/>
            <w:vAlign w:val="center"/>
          </w:tcPr>
          <w:p w14:paraId="4CA5E701"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8</w:t>
            </w:r>
          </w:p>
        </w:tc>
        <w:tc>
          <w:tcPr>
            <w:tcW w:type="dxa" w:w="2470"/>
            <w:vAlign w:val="center"/>
          </w:tcPr>
          <w:p w14:paraId="139BE609"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4808"/>
            <w:vAlign w:val="center"/>
          </w:tcPr>
          <w:p w14:paraId="5ED4A47C"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3A99357C" w14:textId="77777777" w:rsidR="00D06738">
        <w:tc>
          <w:tcPr>
            <w:tcW w:type="dxa" w:w="1235"/>
            <w:vAlign w:val="center"/>
          </w:tcPr>
          <w:p w14:paraId="7043D59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9</w:t>
            </w:r>
          </w:p>
        </w:tc>
        <w:tc>
          <w:tcPr>
            <w:tcW w:type="dxa" w:w="2470"/>
            <w:vAlign w:val="center"/>
          </w:tcPr>
          <w:p w14:paraId="756733B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4808"/>
            <w:vAlign w:val="center"/>
          </w:tcPr>
          <w:p w14:paraId="1336DBC1"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18,938,633.27</w:t>
            </w:r>
          </w:p>
        </w:tc>
      </w:tr>
    </w:tbl>
    <w:p w14:paraId="4676AA60"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5172EF34"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p w14:paraId="0C2B484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本基金本报告期末未持有处于转股期的可转换债券。</w:t>
      </w:r>
    </w:p>
    <w:p w14:paraId="73809093"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26374DD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14:paraId="7A50238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本基金本报告期末前十名股票中不存在流通受限情况。</w:t>
      </w:r>
    </w:p>
    <w:p w14:paraId="6F6FE44E"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329684B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14:paraId="536D339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因四舍五入原因,投资组合报告中分项之和与合计可能存在尾差。</w:t>
      </w:r>
    </w:p>
    <w:p w14:paraId="1F6232E1"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14:paraId="1546AC98"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w:t>
            </w:r>
            <w:proofErr w:type="gramStart"/>
            <w:r>
              <w:rPr>
                <w:rFonts w:asciiTheme="minorEastAsia" w:cs="宋体" w:eastAsiaTheme="minorEastAsia" w:hAnsiTheme="minorEastAsia" w:hint="eastAsia"/>
                <w:color w:themeColor="text1" w:val="000000"/>
                <w:kern w:val="0"/>
              </w:rPr>
              <w:t>初基金</w:t>
            </w:r>
            <w:proofErr w:type="gramEnd"/>
            <w:r>
              <w:rPr>
                <w:rFonts w:asciiTheme="minorEastAsia" w:cs="宋体" w:eastAsiaTheme="minorEastAsia" w:hAnsiTheme="minorEastAsia" w:hint="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gram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gram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568,900,283.49</w:t>
            </w:r>
          </w:p>
        </w:tc>
      </w:tr>
      <w:tr w14:paraId="464FC419"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132,038,934.92</w:t>
            </w:r>
          </w:p>
        </w:tc>
      </w:tr>
      <w:tr w14:paraId="17EE7B1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141,441,831.20</w:t>
            </w:r>
          </w:p>
        </w:tc>
      </w:tr>
      <w:tr w14:paraId="465F9B6E"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w:t>
            </w:r>
          </w:p>
        </w:tc>
      </w:tr>
      <w:tr w14:paraId="05E8419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hint="eastAsia"/>
                <w:color w:themeColor="text1" w:val="000000"/>
              </w:rPr>
              <w:t>559,497,387.21</w:t>
            </w:r>
          </w:p>
        </w:tc>
      </w:tr>
    </w:tbl>
    <w:p w14:paraId="3C94584F" w14:textId="77777777" w:rsidR="00D06738" w:rsidRDefault="00454D20">
      <w:pPr>
        <w:pStyle w:val="1"/>
        <w:tabs>
          <w:tab w:pos="4156" w:val="center"/>
          <w:tab w:pos="8312" w:val="right"/>
        </w:tabs>
        <w:spacing w:after="312" w:afterLines="100" w:before="312"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w:t>
      </w:r>
      <w:proofErr w:type="gramStart"/>
      <w:r>
        <w:rPr>
          <w:rFonts w:ascii="方正仿宋简体" w:hint="eastAsia"/>
          <w:color w:themeColor="text1" w:val="000000"/>
          <w:sz w:val="24"/>
          <w:szCs w:val="24"/>
        </w:rPr>
        <w:t>固有资金</w:t>
      </w:r>
      <w:proofErr w:type="gramEnd"/>
      <w:r>
        <w:rPr>
          <w:rFonts w:ascii="方正仿宋简体" w:hint="eastAsia"/>
          <w:color w:themeColor="text1" w:val="000000"/>
          <w:sz w:val="24"/>
          <w:szCs w:val="24"/>
        </w:rPr>
        <w:t>投资本基金情况</w:t>
      </w:r>
    </w:p>
    <w:p w14:paraId="220CB641" w14:textId="77777777" w:rsidR="00D06738" w:rsidRDefault="00454D20">
      <w:pPr>
        <w:spacing w:line="360" w:lineRule="auto"/>
        <w:jc w:val="left"/>
        <w:rPr>
          <w:color w:themeColor="text1" w:val="000000"/>
          <w:sz w:val="24"/>
          <w:szCs w:val="24"/>
        </w:rPr>
      </w:pPr>
      <w:r>
        <w:rPr>
          <w:b/>
          <w:color w:themeColor="text1" w:val="000000"/>
          <w:sz w:val="24"/>
        </w:rPr>
        <w:t/>
      </w:r>
      <w:proofErr w:type="spellStart"/>
      <w:r>
        <w:rPr>
          <w:b/>
          <w:color w:themeColor="text1" w:val="000000"/>
          <w:sz w:val="24"/>
        </w:rPr>
        <w:t/>
      </w:r>
      <w:proofErr w:type="gramStart"/>
      <w:r>
        <w:rPr>
          <w:b/>
          <w:color w:themeColor="text1" w:val="000000"/>
          <w:sz w:val="24"/>
        </w:rPr>
        <w:t/>
      </w:r>
      <w:proofErr w:type="spellEnd"/>
      <w:r>
        <w:rPr>
          <w:b/>
          <w:color w:themeColor="text1" w:val="000000"/>
          <w:sz w:val="24"/>
        </w:rPr>
        <w:t/>
      </w:r>
      <w:proofErr w:type="gramEnd"/>
      <w:r>
        <w:rPr>
          <w:b/>
          <w:color w:themeColor="text1" w:val="000000"/>
          <w:sz w:val="24"/>
        </w:rPr>
        <w:t xml:space="preserve">7.1 </w:t>
      </w:r>
      <w:r>
        <w:rPr>
          <w:rFonts w:hint="eastAsia"/>
          <w:b/>
          <w:color w:themeColor="text1" w:val="000000"/>
          <w:sz w:val="24"/>
        </w:rPr>
        <w:t>基金管理人持有本基金份额变动情况</w:t>
      </w:r>
    </w:p>
    <w:p w14:paraId="3105CFED"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
      </w:r>
      <w:proofErr w:type="gramStart"/>
      <w:r>
        <w:rPr>
          <w:rFonts w:asciiTheme="minorEastAsia" w:cs="宋体" w:eastAsiaTheme="minorEastAsia" w:hAnsiTheme="minorEastAsia"/>
          <w:color w:themeColor="text1" w:val="000000"/>
          <w:kern w:val="0"/>
        </w:rPr>
        <w:t/>
      </w:r>
      <w:proofErr w:type="spellStart"/>
      <w:proofErr w:type="gramEnd"/>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无。</w:t>
      </w:r>
    </w:p>
    <w:p w14:paraId="470676A3"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14:paraId="6765BFDC"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14:paraId="457E531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1、中国证监会批准上投摩根医疗健康股票型证券投资基金募集的文件</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2、《上投摩根医疗健康股票型证券投资基金基金合同》</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3、《上投摩根医疗健康股票型证券投资基金托管协议》</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4、法律意见书</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5、基金管理人业务资格批件、营业执照</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6、基金托管人业务资格批件、营业执照</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7、《上投摩根基金管理有限公司开放式基金业务规则》</w:t>
      </w:r>
    </w:p>
    <w:p w14:paraId="1A471A23"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8、中国证监会要求的其他文件</w:t>
      </w:r>
    </w:p>
    <w:p w14:paraId="34C276B3"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3507D88"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14:paraId="61EC8F57"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基金管理人或基金托管人处。</w:t>
      </w:r>
    </w:p>
    <w:p w14:paraId="4B43DAA4"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05279DD9"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14:paraId="5BDF4042"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投资者可在营业时间免费查阅，也可按工本费购买复印件。</w:t>
      </w:r>
    </w:p>
    <w:p w14:paraId="1EB1072F"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86D5C70"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667FD74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173A207"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C1BC673"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309916C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7C0C74F6"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4EFEDF1"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387F1AC"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上投摩根基金管理有限公司</w:t>
      </w:r>
    </w:p>
    <w:p w14:paraId="114F1307"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lastRenderedPageBreak/>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二〇二一年一月二十二日</w:t>
      </w:r>
    </w:p>
    <w:p w14:paraId="2199A838" w14:textId="77777777" w:rsidR="00D06738" w:rsidRDefault="00D06738">
      <w:pPr>
        <w:spacing w:line="360" w:lineRule="auto"/>
        <w:ind w:left="840"/>
        <w:jc w:val="right"/>
        <w:rPr>
          <w:rFonts w:asciiTheme="minorEastAsia" w:eastAsiaTheme="minorEastAsia" w:hAnsiTheme="minorEastAsia"/>
          <w:b/>
          <w:bCs/>
          <w:color w:themeColor="text1" w:val="000000"/>
          <w:sz w:val="24"/>
          <w:szCs w:val="24"/>
        </w:rPr>
      </w:pPr>
    </w:p>
    <w:p w14:paraId="1ED73A6C" w14:textId="77777777" w:rsidR="00D06738" w:rsidRDefault="00D06738">
      <w:pPr>
        <w:rPr>
          <w:rFonts w:asciiTheme="minorEastAsia" w:eastAsiaTheme="minorEastAsia" w:hAnsiTheme="minorEastAsia"/>
          <w:color w:themeColor="text1" w:val="000000"/>
          <w:sz w:val="24"/>
          <w:szCs w:val="24"/>
        </w:rPr>
      </w:pPr>
    </w:p>
    <w:sectPr w:rsidR="00D06738">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A2A4" w14:textId="77777777" w:rsidR="003A7FDA" w:rsidRDefault="003A7FDA">
      <w:r>
        <w:separator/>
      </w:r>
    </w:p>
  </w:endnote>
  <w:endnote w:type="continuationSeparator" w:id="0">
    <w:p w14:paraId="1019A9A1" w14:textId="77777777"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34B446B8" w14:textId="77777777" w:rsidR="003A7FDA" w:rsidRDefault="003A7FDA">
      <w:r>
        <w:separator/>
      </w:r>
    </w:p>
  </w:footnote>
  <w:footnote w:id="0" w:type="continuationSeparator">
    <w:p w14:paraId="2B5985C8" w14:textId="77777777" w:rsidR="003A7FDA" w:rsidRDefault="003A7FD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上投摩根医疗健康股票型证券投资基金</w:t>
    </w:r>
    <w:proofErr w:type="spellStart"/>
    <w:proofErr w:type="gramEnd"/>
    <w:r>
      <w:rPr>
        <w:rFonts w:hint="eastAsia"/>
      </w:rPr>
      <w:t/>
    </w:r>
    <w:proofErr w:type="spellEnd"/>
    <w:r>
      <w:rPr>
        <w:rFonts w:hint="eastAsia"/>
      </w:rPr>
      <w:t>2020年第4季度报告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uiPriority w:val="99"/>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ZHANG ERIC</cp:lastModifiedBy>
  <dcterms:modified xsi:type="dcterms:W3CDTF">2020-09-30T11:10:00Z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