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摩根科技前沿灵活配置混合型证券投资基金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摩根科技前沿混合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001538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1,524,274,722.59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采用定量及定性研究方法，自下而上优选科技前沿主题上市公司，通过严格的风险控制，力争实现基金资产的长期增值。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w:t>
            </w:r>
            <w:r>
              <w:rPr>
                <w:rFonts w:eastAsiaTheme="minorEastAsia"/>
                <w:color w:val="000000" w:themeColor="text1"/>
                <w:kern w:val="0"/>
                <w:szCs w:val="21"/>
              </w:rPr>
              <w:t>个股。</w:t>
            </w:r>
          </w:p>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固定收益类投资策略</w:t>
            </w:r>
          </w:p>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w:t>
            </w:r>
            <w:r>
              <w:rPr>
                <w:rFonts w:eastAsiaTheme="minorEastAsia"/>
                <w:color w:val="000000" w:themeColor="text1"/>
                <w:kern w:val="0"/>
                <w:szCs w:val="21"/>
              </w:rPr>
              <w:t>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w:t>
            </w:r>
            <w:r w:rsidRPr="00B27A29">
              <w:rPr>
                <w:rFonts w:eastAsiaTheme="minorEastAsia"/>
                <w:color w:val="000000" w:themeColor="text1"/>
                <w:kern w:val="0"/>
                <w:szCs w:val="21"/>
              </w:rPr>
              <w:lastRenderedPageBreak/>
              <w:t>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41E3B" w:rsidRDefault="00E13E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001538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014964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1,521,784,533.08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2,490,189.51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-141,312,311.55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-222,942.81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85,511,824.94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94,833.32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0.0411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3,197,199,968.96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5,202,777.89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2.0893</w:t>
            </w:r>
          </w:p>
        </w:tc>
      </w:tr>
    </w:tbl>
    <w:p w:rsidR="00B41E3B" w:rsidRDefault="00E13EA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41E3B">
        <w:tc>
          <w:tcPr>
            <w:tcW w:w="1290" w:type="dxa"/>
            <w:vAlign w:val="center"/>
          </w:tcPr>
          <w:p w:rsidR="00B41E3B" w:rsidRDefault="00E13EA8">
            <w:pPr>
              <w:jc w:val="left"/>
            </w:pPr>
            <w:r>
              <w:rPr>
                <w:rFonts w:eastAsiaTheme="minorEastAsia"/>
                <w:color w:val="000000" w:themeColor="text1"/>
                <w:szCs w:val="21"/>
              </w:rPr>
              <w:t>过去三个月</w:t>
            </w:r>
          </w:p>
        </w:tc>
        <w:tc>
          <w:tcPr>
            <w:tcW w:w="1291" w:type="dxa"/>
            <w:vAlign w:val="center"/>
          </w:tcPr>
          <w:p w:rsidR="00B41E3B" w:rsidRDefault="00E13EA8">
            <w:pPr>
              <w:jc w:val="right"/>
            </w:pPr>
            <w:r>
              <w:rPr>
                <w:rFonts w:eastAsiaTheme="minorEastAsia"/>
                <w:color w:val="000000" w:themeColor="text1"/>
                <w:szCs w:val="21"/>
              </w:rPr>
              <w:t>2.77%</w:t>
            </w:r>
          </w:p>
        </w:tc>
        <w:tc>
          <w:tcPr>
            <w:tcW w:w="1291" w:type="dxa"/>
            <w:vAlign w:val="center"/>
          </w:tcPr>
          <w:p w:rsidR="00B41E3B" w:rsidRDefault="00E13EA8">
            <w:pPr>
              <w:jc w:val="right"/>
            </w:pPr>
            <w:r>
              <w:rPr>
                <w:rFonts w:eastAsiaTheme="minorEastAsia"/>
                <w:color w:val="000000" w:themeColor="text1"/>
                <w:szCs w:val="21"/>
              </w:rPr>
              <w:t>1.01%</w:t>
            </w:r>
          </w:p>
        </w:tc>
        <w:tc>
          <w:tcPr>
            <w:tcW w:w="1291" w:type="dxa"/>
            <w:vAlign w:val="center"/>
          </w:tcPr>
          <w:p w:rsidR="00B41E3B" w:rsidRDefault="00E13EA8">
            <w:pPr>
              <w:jc w:val="right"/>
            </w:pPr>
            <w:r>
              <w:rPr>
                <w:rFonts w:eastAsiaTheme="minorEastAsia"/>
                <w:color w:val="000000" w:themeColor="text1"/>
                <w:szCs w:val="21"/>
              </w:rPr>
              <w:t>3.25%</w:t>
            </w:r>
          </w:p>
        </w:tc>
        <w:tc>
          <w:tcPr>
            <w:tcW w:w="1291" w:type="dxa"/>
            <w:vAlign w:val="center"/>
          </w:tcPr>
          <w:p w:rsidR="00B41E3B" w:rsidRDefault="00E13EA8">
            <w:pPr>
              <w:jc w:val="right"/>
            </w:pPr>
            <w:r>
              <w:rPr>
                <w:rFonts w:eastAsiaTheme="minorEastAsia"/>
                <w:color w:val="000000" w:themeColor="text1"/>
                <w:szCs w:val="21"/>
              </w:rPr>
              <w:t>0.48%</w:t>
            </w:r>
          </w:p>
        </w:tc>
        <w:tc>
          <w:tcPr>
            <w:tcW w:w="1291" w:type="dxa"/>
            <w:vAlign w:val="center"/>
          </w:tcPr>
          <w:p w:rsidR="00B41E3B" w:rsidRDefault="00E13EA8">
            <w:pPr>
              <w:jc w:val="right"/>
            </w:pPr>
            <w:r>
              <w:rPr>
                <w:rFonts w:eastAsiaTheme="minorEastAsia"/>
                <w:color w:val="000000" w:themeColor="text1"/>
                <w:szCs w:val="21"/>
              </w:rPr>
              <w:t>-0.48%</w:t>
            </w:r>
          </w:p>
        </w:tc>
        <w:tc>
          <w:tcPr>
            <w:tcW w:w="1291" w:type="dxa"/>
            <w:vAlign w:val="center"/>
          </w:tcPr>
          <w:p w:rsidR="00B41E3B" w:rsidRDefault="00E13EA8">
            <w:pPr>
              <w:jc w:val="right"/>
            </w:pPr>
            <w:r>
              <w:rPr>
                <w:rFonts w:eastAsiaTheme="minorEastAsia"/>
                <w:color w:val="000000" w:themeColor="text1"/>
                <w:szCs w:val="21"/>
              </w:rPr>
              <w:t>0.53%</w:t>
            </w:r>
          </w:p>
        </w:tc>
      </w:tr>
      <w:tr w:rsidR="00B41E3B">
        <w:tc>
          <w:tcPr>
            <w:tcW w:w="1290" w:type="dxa"/>
            <w:vAlign w:val="center"/>
          </w:tcPr>
          <w:p w:rsidR="00B41E3B" w:rsidRDefault="00E13EA8">
            <w:pPr>
              <w:jc w:val="left"/>
            </w:pPr>
            <w:r>
              <w:rPr>
                <w:rFonts w:eastAsiaTheme="minorEastAsia"/>
                <w:color w:val="000000" w:themeColor="text1"/>
                <w:szCs w:val="21"/>
              </w:rPr>
              <w:t>过去六个月</w:t>
            </w:r>
          </w:p>
        </w:tc>
        <w:tc>
          <w:tcPr>
            <w:tcW w:w="1291" w:type="dxa"/>
            <w:vAlign w:val="center"/>
          </w:tcPr>
          <w:p w:rsidR="00B41E3B" w:rsidRDefault="00E13EA8">
            <w:pPr>
              <w:jc w:val="right"/>
            </w:pPr>
            <w:r>
              <w:rPr>
                <w:rFonts w:eastAsiaTheme="minorEastAsia"/>
                <w:color w:val="000000" w:themeColor="text1"/>
                <w:szCs w:val="21"/>
              </w:rPr>
              <w:t>-3.87%</w:t>
            </w:r>
          </w:p>
        </w:tc>
        <w:tc>
          <w:tcPr>
            <w:tcW w:w="1291" w:type="dxa"/>
            <w:vAlign w:val="center"/>
          </w:tcPr>
          <w:p w:rsidR="00B41E3B" w:rsidRDefault="00E13EA8">
            <w:pPr>
              <w:jc w:val="right"/>
            </w:pPr>
            <w:r>
              <w:rPr>
                <w:rFonts w:eastAsiaTheme="minorEastAsia"/>
                <w:color w:val="000000" w:themeColor="text1"/>
                <w:szCs w:val="21"/>
              </w:rPr>
              <w:t>1.02%</w:t>
            </w:r>
          </w:p>
        </w:tc>
        <w:tc>
          <w:tcPr>
            <w:tcW w:w="1291" w:type="dxa"/>
            <w:vAlign w:val="center"/>
          </w:tcPr>
          <w:p w:rsidR="00B41E3B" w:rsidRDefault="00E13EA8">
            <w:pPr>
              <w:jc w:val="right"/>
            </w:pPr>
            <w:r>
              <w:rPr>
                <w:rFonts w:eastAsiaTheme="minorEastAsia"/>
                <w:color w:val="000000" w:themeColor="text1"/>
                <w:szCs w:val="21"/>
              </w:rPr>
              <w:t>4.33%</w:t>
            </w:r>
          </w:p>
        </w:tc>
        <w:tc>
          <w:tcPr>
            <w:tcW w:w="1291" w:type="dxa"/>
            <w:vAlign w:val="center"/>
          </w:tcPr>
          <w:p w:rsidR="00B41E3B" w:rsidRDefault="00E13EA8">
            <w:pPr>
              <w:jc w:val="right"/>
            </w:pPr>
            <w:r>
              <w:rPr>
                <w:rFonts w:eastAsiaTheme="minorEastAsia"/>
                <w:color w:val="000000" w:themeColor="text1"/>
                <w:szCs w:val="21"/>
              </w:rPr>
              <w:t>0.60%</w:t>
            </w:r>
          </w:p>
        </w:tc>
        <w:tc>
          <w:tcPr>
            <w:tcW w:w="1291" w:type="dxa"/>
            <w:vAlign w:val="center"/>
          </w:tcPr>
          <w:p w:rsidR="00B41E3B" w:rsidRDefault="00E13EA8">
            <w:pPr>
              <w:jc w:val="right"/>
            </w:pPr>
            <w:r>
              <w:rPr>
                <w:rFonts w:eastAsiaTheme="minorEastAsia"/>
                <w:color w:val="000000" w:themeColor="text1"/>
                <w:szCs w:val="21"/>
              </w:rPr>
              <w:t>-8.20%</w:t>
            </w:r>
          </w:p>
        </w:tc>
        <w:tc>
          <w:tcPr>
            <w:tcW w:w="1291" w:type="dxa"/>
            <w:vAlign w:val="center"/>
          </w:tcPr>
          <w:p w:rsidR="00B41E3B" w:rsidRDefault="00E13EA8">
            <w:pPr>
              <w:jc w:val="right"/>
            </w:pPr>
            <w:r>
              <w:rPr>
                <w:rFonts w:eastAsiaTheme="minorEastAsia"/>
                <w:color w:val="000000" w:themeColor="text1"/>
                <w:szCs w:val="21"/>
              </w:rPr>
              <w:t>0.42%</w:t>
            </w:r>
          </w:p>
        </w:tc>
      </w:tr>
      <w:tr w:rsidR="00B41E3B">
        <w:tc>
          <w:tcPr>
            <w:tcW w:w="1290" w:type="dxa"/>
            <w:vAlign w:val="center"/>
          </w:tcPr>
          <w:p w:rsidR="00B41E3B" w:rsidRDefault="00E13EA8">
            <w:pPr>
              <w:jc w:val="left"/>
            </w:pPr>
            <w:r>
              <w:rPr>
                <w:rFonts w:eastAsiaTheme="minorEastAsia"/>
                <w:color w:val="000000" w:themeColor="text1"/>
                <w:szCs w:val="21"/>
              </w:rPr>
              <w:t>过去一年</w:t>
            </w:r>
          </w:p>
        </w:tc>
        <w:tc>
          <w:tcPr>
            <w:tcW w:w="1291" w:type="dxa"/>
            <w:vAlign w:val="center"/>
          </w:tcPr>
          <w:p w:rsidR="00B41E3B" w:rsidRDefault="00E13EA8">
            <w:pPr>
              <w:jc w:val="right"/>
            </w:pPr>
            <w:r>
              <w:rPr>
                <w:rFonts w:eastAsiaTheme="minorEastAsia"/>
                <w:color w:val="000000" w:themeColor="text1"/>
                <w:szCs w:val="21"/>
              </w:rPr>
              <w:t>-18.02%</w:t>
            </w:r>
          </w:p>
        </w:tc>
        <w:tc>
          <w:tcPr>
            <w:tcW w:w="1291" w:type="dxa"/>
            <w:vAlign w:val="center"/>
          </w:tcPr>
          <w:p w:rsidR="00B41E3B" w:rsidRDefault="00E13EA8">
            <w:pPr>
              <w:jc w:val="right"/>
            </w:pPr>
            <w:r>
              <w:rPr>
                <w:rFonts w:eastAsiaTheme="minorEastAsia"/>
                <w:color w:val="000000" w:themeColor="text1"/>
                <w:szCs w:val="21"/>
              </w:rPr>
              <w:t>1.21%</w:t>
            </w:r>
          </w:p>
        </w:tc>
        <w:tc>
          <w:tcPr>
            <w:tcW w:w="1291" w:type="dxa"/>
            <w:vAlign w:val="center"/>
          </w:tcPr>
          <w:p w:rsidR="00B41E3B" w:rsidRDefault="00E13EA8">
            <w:pPr>
              <w:jc w:val="right"/>
            </w:pPr>
            <w:r>
              <w:rPr>
                <w:rFonts w:eastAsiaTheme="minorEastAsia"/>
                <w:color w:val="000000" w:themeColor="text1"/>
                <w:szCs w:val="21"/>
              </w:rPr>
              <w:t>-1.67%</w:t>
            </w:r>
          </w:p>
        </w:tc>
        <w:tc>
          <w:tcPr>
            <w:tcW w:w="1291" w:type="dxa"/>
            <w:vAlign w:val="center"/>
          </w:tcPr>
          <w:p w:rsidR="00B41E3B" w:rsidRDefault="00E13EA8">
            <w:pPr>
              <w:jc w:val="right"/>
            </w:pPr>
            <w:r>
              <w:rPr>
                <w:rFonts w:eastAsiaTheme="minorEastAsia"/>
                <w:color w:val="000000" w:themeColor="text1"/>
                <w:szCs w:val="21"/>
              </w:rPr>
              <w:t>0.67%</w:t>
            </w:r>
          </w:p>
        </w:tc>
        <w:tc>
          <w:tcPr>
            <w:tcW w:w="1291" w:type="dxa"/>
            <w:vAlign w:val="center"/>
          </w:tcPr>
          <w:p w:rsidR="00B41E3B" w:rsidRDefault="00E13EA8">
            <w:pPr>
              <w:jc w:val="right"/>
            </w:pPr>
            <w:r>
              <w:rPr>
                <w:rFonts w:eastAsiaTheme="minorEastAsia"/>
                <w:color w:val="000000" w:themeColor="text1"/>
                <w:szCs w:val="21"/>
              </w:rPr>
              <w:t>-16.35%</w:t>
            </w:r>
          </w:p>
        </w:tc>
        <w:tc>
          <w:tcPr>
            <w:tcW w:w="1291" w:type="dxa"/>
            <w:vAlign w:val="center"/>
          </w:tcPr>
          <w:p w:rsidR="00B41E3B" w:rsidRDefault="00E13EA8">
            <w:pPr>
              <w:jc w:val="right"/>
            </w:pPr>
            <w:r>
              <w:rPr>
                <w:rFonts w:eastAsiaTheme="minorEastAsia"/>
                <w:color w:val="000000" w:themeColor="text1"/>
                <w:szCs w:val="21"/>
              </w:rPr>
              <w:t>0.54%</w:t>
            </w:r>
          </w:p>
        </w:tc>
      </w:tr>
      <w:tr w:rsidR="00B41E3B">
        <w:tc>
          <w:tcPr>
            <w:tcW w:w="1290" w:type="dxa"/>
            <w:vAlign w:val="center"/>
          </w:tcPr>
          <w:p w:rsidR="00B41E3B" w:rsidRDefault="00E13EA8">
            <w:pPr>
              <w:jc w:val="left"/>
            </w:pPr>
            <w:r>
              <w:rPr>
                <w:rFonts w:eastAsiaTheme="minorEastAsia"/>
                <w:color w:val="000000" w:themeColor="text1"/>
                <w:szCs w:val="21"/>
              </w:rPr>
              <w:t>过去三年</w:t>
            </w:r>
          </w:p>
        </w:tc>
        <w:tc>
          <w:tcPr>
            <w:tcW w:w="1291" w:type="dxa"/>
            <w:vAlign w:val="center"/>
          </w:tcPr>
          <w:p w:rsidR="00B41E3B" w:rsidRDefault="00E13EA8">
            <w:pPr>
              <w:jc w:val="right"/>
            </w:pPr>
            <w:r>
              <w:rPr>
                <w:rFonts w:eastAsiaTheme="minorEastAsia"/>
                <w:color w:val="000000" w:themeColor="text1"/>
                <w:szCs w:val="21"/>
              </w:rPr>
              <w:t>35.20%</w:t>
            </w:r>
          </w:p>
        </w:tc>
        <w:tc>
          <w:tcPr>
            <w:tcW w:w="1291" w:type="dxa"/>
            <w:vAlign w:val="center"/>
          </w:tcPr>
          <w:p w:rsidR="00B41E3B" w:rsidRDefault="00E13EA8">
            <w:pPr>
              <w:jc w:val="right"/>
            </w:pPr>
            <w:r>
              <w:rPr>
                <w:rFonts w:eastAsiaTheme="minorEastAsia"/>
                <w:color w:val="000000" w:themeColor="text1"/>
                <w:szCs w:val="21"/>
              </w:rPr>
              <w:t>1.46%</w:t>
            </w:r>
          </w:p>
        </w:tc>
        <w:tc>
          <w:tcPr>
            <w:tcW w:w="1291" w:type="dxa"/>
            <w:vAlign w:val="center"/>
          </w:tcPr>
          <w:p w:rsidR="00B41E3B" w:rsidRDefault="00E13EA8">
            <w:pPr>
              <w:jc w:val="right"/>
            </w:pPr>
            <w:r>
              <w:rPr>
                <w:rFonts w:eastAsiaTheme="minorEastAsia"/>
                <w:color w:val="000000" w:themeColor="text1"/>
                <w:szCs w:val="21"/>
              </w:rPr>
              <w:t>7.91%</w:t>
            </w:r>
          </w:p>
        </w:tc>
        <w:tc>
          <w:tcPr>
            <w:tcW w:w="1291" w:type="dxa"/>
            <w:vAlign w:val="center"/>
          </w:tcPr>
          <w:p w:rsidR="00B41E3B" w:rsidRDefault="00E13EA8">
            <w:pPr>
              <w:jc w:val="right"/>
            </w:pPr>
            <w:r>
              <w:rPr>
                <w:rFonts w:eastAsiaTheme="minorEastAsia"/>
                <w:color w:val="000000" w:themeColor="text1"/>
                <w:szCs w:val="21"/>
              </w:rPr>
              <w:t>0.70%</w:t>
            </w:r>
          </w:p>
        </w:tc>
        <w:tc>
          <w:tcPr>
            <w:tcW w:w="1291" w:type="dxa"/>
            <w:vAlign w:val="center"/>
          </w:tcPr>
          <w:p w:rsidR="00B41E3B" w:rsidRDefault="00E13EA8">
            <w:pPr>
              <w:jc w:val="right"/>
            </w:pPr>
            <w:r>
              <w:rPr>
                <w:rFonts w:eastAsiaTheme="minorEastAsia"/>
                <w:color w:val="000000" w:themeColor="text1"/>
                <w:szCs w:val="21"/>
              </w:rPr>
              <w:t>27.29%</w:t>
            </w:r>
          </w:p>
        </w:tc>
        <w:tc>
          <w:tcPr>
            <w:tcW w:w="1291" w:type="dxa"/>
            <w:vAlign w:val="center"/>
          </w:tcPr>
          <w:p w:rsidR="00B41E3B" w:rsidRDefault="00E13EA8">
            <w:pPr>
              <w:jc w:val="right"/>
            </w:pPr>
            <w:r>
              <w:rPr>
                <w:rFonts w:eastAsiaTheme="minorEastAsia"/>
                <w:color w:val="000000" w:themeColor="text1"/>
                <w:szCs w:val="21"/>
              </w:rPr>
              <w:t>0.76%</w:t>
            </w:r>
          </w:p>
        </w:tc>
      </w:tr>
      <w:tr w:rsidR="00B41E3B">
        <w:tc>
          <w:tcPr>
            <w:tcW w:w="1290" w:type="dxa"/>
            <w:vAlign w:val="center"/>
          </w:tcPr>
          <w:p w:rsidR="00B41E3B" w:rsidRDefault="00E13EA8">
            <w:pPr>
              <w:jc w:val="left"/>
            </w:pPr>
            <w:r>
              <w:rPr>
                <w:rFonts w:eastAsiaTheme="minorEastAsia"/>
                <w:color w:val="000000" w:themeColor="text1"/>
                <w:szCs w:val="21"/>
              </w:rPr>
              <w:t>过去五年</w:t>
            </w:r>
          </w:p>
        </w:tc>
        <w:tc>
          <w:tcPr>
            <w:tcW w:w="1291" w:type="dxa"/>
            <w:vAlign w:val="center"/>
          </w:tcPr>
          <w:p w:rsidR="00B41E3B" w:rsidRDefault="00E13EA8">
            <w:pPr>
              <w:jc w:val="right"/>
            </w:pPr>
            <w:r>
              <w:rPr>
                <w:rFonts w:eastAsiaTheme="minorEastAsia"/>
                <w:color w:val="000000" w:themeColor="text1"/>
                <w:szCs w:val="21"/>
              </w:rPr>
              <w:t>92.93%</w:t>
            </w:r>
          </w:p>
        </w:tc>
        <w:tc>
          <w:tcPr>
            <w:tcW w:w="1291" w:type="dxa"/>
            <w:vAlign w:val="center"/>
          </w:tcPr>
          <w:p w:rsidR="00B41E3B" w:rsidRDefault="00E13EA8">
            <w:pPr>
              <w:jc w:val="right"/>
            </w:pPr>
            <w:r>
              <w:rPr>
                <w:rFonts w:eastAsiaTheme="minorEastAsia"/>
                <w:color w:val="000000" w:themeColor="text1"/>
                <w:szCs w:val="21"/>
              </w:rPr>
              <w:t>1.41%</w:t>
            </w:r>
          </w:p>
        </w:tc>
        <w:tc>
          <w:tcPr>
            <w:tcW w:w="1291" w:type="dxa"/>
            <w:vAlign w:val="center"/>
          </w:tcPr>
          <w:p w:rsidR="00B41E3B" w:rsidRDefault="00E13EA8">
            <w:pPr>
              <w:jc w:val="right"/>
            </w:pPr>
            <w:r>
              <w:rPr>
                <w:rFonts w:eastAsiaTheme="minorEastAsia"/>
                <w:color w:val="000000" w:themeColor="text1"/>
                <w:szCs w:val="21"/>
              </w:rPr>
              <w:t>5.57%</w:t>
            </w:r>
          </w:p>
        </w:tc>
        <w:tc>
          <w:tcPr>
            <w:tcW w:w="1291" w:type="dxa"/>
            <w:vAlign w:val="center"/>
          </w:tcPr>
          <w:p w:rsidR="00B41E3B" w:rsidRDefault="00E13EA8">
            <w:pPr>
              <w:jc w:val="right"/>
            </w:pPr>
            <w:r>
              <w:rPr>
                <w:rFonts w:eastAsiaTheme="minorEastAsia"/>
                <w:color w:val="000000" w:themeColor="text1"/>
                <w:szCs w:val="21"/>
              </w:rPr>
              <w:t>0.76%</w:t>
            </w:r>
          </w:p>
        </w:tc>
        <w:tc>
          <w:tcPr>
            <w:tcW w:w="1291" w:type="dxa"/>
            <w:vAlign w:val="center"/>
          </w:tcPr>
          <w:p w:rsidR="00B41E3B" w:rsidRDefault="00E13EA8">
            <w:pPr>
              <w:jc w:val="right"/>
            </w:pPr>
            <w:r>
              <w:rPr>
                <w:rFonts w:eastAsiaTheme="minorEastAsia"/>
                <w:color w:val="000000" w:themeColor="text1"/>
                <w:szCs w:val="21"/>
              </w:rPr>
              <w:t>87.36%</w:t>
            </w:r>
          </w:p>
        </w:tc>
        <w:tc>
          <w:tcPr>
            <w:tcW w:w="1291" w:type="dxa"/>
            <w:vAlign w:val="center"/>
          </w:tcPr>
          <w:p w:rsidR="00B41E3B" w:rsidRDefault="00E13EA8">
            <w:pPr>
              <w:jc w:val="right"/>
            </w:pPr>
            <w:r>
              <w:rPr>
                <w:rFonts w:eastAsiaTheme="minorEastAsia"/>
                <w:color w:val="000000" w:themeColor="text1"/>
                <w:szCs w:val="21"/>
              </w:rPr>
              <w:t>0.65%</w:t>
            </w:r>
          </w:p>
        </w:tc>
      </w:tr>
      <w:tr w:rsidR="00B41E3B">
        <w:tc>
          <w:tcPr>
            <w:tcW w:w="1290" w:type="dxa"/>
            <w:vAlign w:val="center"/>
          </w:tcPr>
          <w:p w:rsidR="00B41E3B" w:rsidRDefault="00E13EA8">
            <w:pPr>
              <w:jc w:val="left"/>
            </w:pPr>
            <w:r>
              <w:rPr>
                <w:rFonts w:eastAsiaTheme="minorEastAsia"/>
                <w:color w:val="000000" w:themeColor="text1"/>
                <w:szCs w:val="21"/>
              </w:rPr>
              <w:t>自基金合同生效起至今</w:t>
            </w:r>
          </w:p>
        </w:tc>
        <w:tc>
          <w:tcPr>
            <w:tcW w:w="1291" w:type="dxa"/>
            <w:vAlign w:val="center"/>
          </w:tcPr>
          <w:p w:rsidR="00B41E3B" w:rsidRDefault="00E13EA8">
            <w:pPr>
              <w:jc w:val="right"/>
            </w:pPr>
            <w:r>
              <w:rPr>
                <w:rFonts w:eastAsiaTheme="minorEastAsia"/>
                <w:color w:val="000000" w:themeColor="text1"/>
                <w:szCs w:val="21"/>
              </w:rPr>
              <w:t>110.10%</w:t>
            </w:r>
          </w:p>
        </w:tc>
        <w:tc>
          <w:tcPr>
            <w:tcW w:w="1291" w:type="dxa"/>
            <w:vAlign w:val="center"/>
          </w:tcPr>
          <w:p w:rsidR="00B41E3B" w:rsidRDefault="00E13EA8">
            <w:pPr>
              <w:jc w:val="right"/>
            </w:pPr>
            <w:r>
              <w:rPr>
                <w:rFonts w:eastAsiaTheme="minorEastAsia"/>
                <w:color w:val="000000" w:themeColor="text1"/>
                <w:szCs w:val="21"/>
              </w:rPr>
              <w:t>1.43%</w:t>
            </w:r>
          </w:p>
        </w:tc>
        <w:tc>
          <w:tcPr>
            <w:tcW w:w="1291" w:type="dxa"/>
            <w:vAlign w:val="center"/>
          </w:tcPr>
          <w:p w:rsidR="00B41E3B" w:rsidRDefault="00E13EA8">
            <w:pPr>
              <w:jc w:val="right"/>
            </w:pPr>
            <w:r>
              <w:rPr>
                <w:rFonts w:eastAsiaTheme="minorEastAsia"/>
                <w:color w:val="000000" w:themeColor="text1"/>
                <w:szCs w:val="21"/>
              </w:rPr>
              <w:t>6.19%</w:t>
            </w:r>
          </w:p>
        </w:tc>
        <w:tc>
          <w:tcPr>
            <w:tcW w:w="1291" w:type="dxa"/>
            <w:vAlign w:val="center"/>
          </w:tcPr>
          <w:p w:rsidR="00B41E3B" w:rsidRDefault="00E13EA8">
            <w:pPr>
              <w:jc w:val="right"/>
            </w:pPr>
            <w:r>
              <w:rPr>
                <w:rFonts w:eastAsiaTheme="minorEastAsia"/>
                <w:color w:val="000000" w:themeColor="text1"/>
                <w:szCs w:val="21"/>
              </w:rPr>
              <w:t>0.82%</w:t>
            </w:r>
          </w:p>
        </w:tc>
        <w:tc>
          <w:tcPr>
            <w:tcW w:w="1291" w:type="dxa"/>
            <w:vAlign w:val="center"/>
          </w:tcPr>
          <w:p w:rsidR="00B41E3B" w:rsidRDefault="00E13EA8">
            <w:pPr>
              <w:jc w:val="right"/>
            </w:pPr>
            <w:r>
              <w:rPr>
                <w:rFonts w:eastAsiaTheme="minorEastAsia"/>
                <w:color w:val="000000" w:themeColor="text1"/>
                <w:szCs w:val="21"/>
              </w:rPr>
              <w:t>103.91%</w:t>
            </w:r>
          </w:p>
        </w:tc>
        <w:tc>
          <w:tcPr>
            <w:tcW w:w="1291" w:type="dxa"/>
            <w:vAlign w:val="center"/>
          </w:tcPr>
          <w:p w:rsidR="00B41E3B" w:rsidRDefault="00E13EA8">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41E3B">
        <w:tc>
          <w:tcPr>
            <w:tcW w:w="1290" w:type="dxa"/>
            <w:vAlign w:val="center"/>
          </w:tcPr>
          <w:p w:rsidR="00B41E3B" w:rsidRDefault="00E13EA8">
            <w:pPr>
              <w:jc w:val="left"/>
            </w:pPr>
            <w:r>
              <w:rPr>
                <w:rFonts w:eastAsiaTheme="minorEastAsia"/>
                <w:color w:val="000000" w:themeColor="text1"/>
                <w:szCs w:val="21"/>
              </w:rPr>
              <w:t>过去三个月</w:t>
            </w:r>
          </w:p>
        </w:tc>
        <w:tc>
          <w:tcPr>
            <w:tcW w:w="1291" w:type="dxa"/>
            <w:vAlign w:val="center"/>
          </w:tcPr>
          <w:p w:rsidR="00B41E3B" w:rsidRDefault="00E13EA8">
            <w:pPr>
              <w:jc w:val="right"/>
            </w:pPr>
            <w:r>
              <w:rPr>
                <w:rFonts w:eastAsiaTheme="minorEastAsia"/>
                <w:color w:val="000000" w:themeColor="text1"/>
                <w:szCs w:val="21"/>
              </w:rPr>
              <w:t>2.64%</w:t>
            </w:r>
          </w:p>
        </w:tc>
        <w:tc>
          <w:tcPr>
            <w:tcW w:w="1291" w:type="dxa"/>
            <w:vAlign w:val="center"/>
          </w:tcPr>
          <w:p w:rsidR="00B41E3B" w:rsidRDefault="00E13EA8">
            <w:pPr>
              <w:jc w:val="right"/>
            </w:pPr>
            <w:r>
              <w:rPr>
                <w:rFonts w:eastAsiaTheme="minorEastAsia"/>
                <w:color w:val="000000" w:themeColor="text1"/>
                <w:szCs w:val="21"/>
              </w:rPr>
              <w:t>1.01%</w:t>
            </w:r>
          </w:p>
        </w:tc>
        <w:tc>
          <w:tcPr>
            <w:tcW w:w="1291" w:type="dxa"/>
            <w:vAlign w:val="center"/>
          </w:tcPr>
          <w:p w:rsidR="00B41E3B" w:rsidRDefault="00E13EA8">
            <w:pPr>
              <w:jc w:val="right"/>
            </w:pPr>
            <w:r>
              <w:rPr>
                <w:rFonts w:eastAsiaTheme="minorEastAsia"/>
                <w:color w:val="000000" w:themeColor="text1"/>
                <w:szCs w:val="21"/>
              </w:rPr>
              <w:t>3.25%</w:t>
            </w:r>
          </w:p>
        </w:tc>
        <w:tc>
          <w:tcPr>
            <w:tcW w:w="1291" w:type="dxa"/>
            <w:vAlign w:val="center"/>
          </w:tcPr>
          <w:p w:rsidR="00B41E3B" w:rsidRDefault="00E13EA8">
            <w:pPr>
              <w:jc w:val="right"/>
            </w:pPr>
            <w:r>
              <w:rPr>
                <w:rFonts w:eastAsiaTheme="minorEastAsia"/>
                <w:color w:val="000000" w:themeColor="text1"/>
                <w:szCs w:val="21"/>
              </w:rPr>
              <w:t>0.48%</w:t>
            </w:r>
          </w:p>
        </w:tc>
        <w:tc>
          <w:tcPr>
            <w:tcW w:w="1291" w:type="dxa"/>
            <w:vAlign w:val="center"/>
          </w:tcPr>
          <w:p w:rsidR="00B41E3B" w:rsidRDefault="00E13EA8">
            <w:pPr>
              <w:jc w:val="right"/>
            </w:pPr>
            <w:r>
              <w:rPr>
                <w:rFonts w:eastAsiaTheme="minorEastAsia"/>
                <w:color w:val="000000" w:themeColor="text1"/>
                <w:szCs w:val="21"/>
              </w:rPr>
              <w:t>-0.61%</w:t>
            </w:r>
          </w:p>
        </w:tc>
        <w:tc>
          <w:tcPr>
            <w:tcW w:w="1291" w:type="dxa"/>
            <w:vAlign w:val="center"/>
          </w:tcPr>
          <w:p w:rsidR="00B41E3B" w:rsidRDefault="00E13EA8">
            <w:pPr>
              <w:jc w:val="right"/>
            </w:pPr>
            <w:r>
              <w:rPr>
                <w:rFonts w:eastAsiaTheme="minorEastAsia"/>
                <w:color w:val="000000" w:themeColor="text1"/>
                <w:szCs w:val="21"/>
              </w:rPr>
              <w:t>0.53%</w:t>
            </w:r>
          </w:p>
        </w:tc>
      </w:tr>
      <w:tr w:rsidR="00B41E3B">
        <w:tc>
          <w:tcPr>
            <w:tcW w:w="1290" w:type="dxa"/>
            <w:vAlign w:val="center"/>
          </w:tcPr>
          <w:p w:rsidR="00B41E3B" w:rsidRDefault="00E13EA8">
            <w:pPr>
              <w:jc w:val="left"/>
            </w:pPr>
            <w:r>
              <w:rPr>
                <w:rFonts w:eastAsiaTheme="minorEastAsia"/>
                <w:color w:val="000000" w:themeColor="text1"/>
                <w:szCs w:val="21"/>
              </w:rPr>
              <w:t>过去六个月</w:t>
            </w:r>
          </w:p>
        </w:tc>
        <w:tc>
          <w:tcPr>
            <w:tcW w:w="1291" w:type="dxa"/>
            <w:vAlign w:val="center"/>
          </w:tcPr>
          <w:p w:rsidR="00B41E3B" w:rsidRDefault="00E13EA8">
            <w:pPr>
              <w:jc w:val="right"/>
            </w:pPr>
            <w:r>
              <w:rPr>
                <w:rFonts w:eastAsiaTheme="minorEastAsia"/>
                <w:color w:val="000000" w:themeColor="text1"/>
                <w:szCs w:val="21"/>
              </w:rPr>
              <w:t>-4.10%</w:t>
            </w:r>
          </w:p>
        </w:tc>
        <w:tc>
          <w:tcPr>
            <w:tcW w:w="1291" w:type="dxa"/>
            <w:vAlign w:val="center"/>
          </w:tcPr>
          <w:p w:rsidR="00B41E3B" w:rsidRDefault="00E13EA8">
            <w:pPr>
              <w:jc w:val="right"/>
            </w:pPr>
            <w:r>
              <w:rPr>
                <w:rFonts w:eastAsiaTheme="minorEastAsia"/>
                <w:color w:val="000000" w:themeColor="text1"/>
                <w:szCs w:val="21"/>
              </w:rPr>
              <w:t>1.02%</w:t>
            </w:r>
          </w:p>
        </w:tc>
        <w:tc>
          <w:tcPr>
            <w:tcW w:w="1291" w:type="dxa"/>
            <w:vAlign w:val="center"/>
          </w:tcPr>
          <w:p w:rsidR="00B41E3B" w:rsidRDefault="00E13EA8">
            <w:pPr>
              <w:jc w:val="right"/>
            </w:pPr>
            <w:r>
              <w:rPr>
                <w:rFonts w:eastAsiaTheme="minorEastAsia"/>
                <w:color w:val="000000" w:themeColor="text1"/>
                <w:szCs w:val="21"/>
              </w:rPr>
              <w:t>4.33%</w:t>
            </w:r>
          </w:p>
        </w:tc>
        <w:tc>
          <w:tcPr>
            <w:tcW w:w="1291" w:type="dxa"/>
            <w:vAlign w:val="center"/>
          </w:tcPr>
          <w:p w:rsidR="00B41E3B" w:rsidRDefault="00E13EA8">
            <w:pPr>
              <w:jc w:val="right"/>
            </w:pPr>
            <w:r>
              <w:rPr>
                <w:rFonts w:eastAsiaTheme="minorEastAsia"/>
                <w:color w:val="000000" w:themeColor="text1"/>
                <w:szCs w:val="21"/>
              </w:rPr>
              <w:t>0.60%</w:t>
            </w:r>
          </w:p>
        </w:tc>
        <w:tc>
          <w:tcPr>
            <w:tcW w:w="1291" w:type="dxa"/>
            <w:vAlign w:val="center"/>
          </w:tcPr>
          <w:p w:rsidR="00B41E3B" w:rsidRDefault="00E13EA8">
            <w:pPr>
              <w:jc w:val="right"/>
            </w:pPr>
            <w:r>
              <w:rPr>
                <w:rFonts w:eastAsiaTheme="minorEastAsia"/>
                <w:color w:val="000000" w:themeColor="text1"/>
                <w:szCs w:val="21"/>
              </w:rPr>
              <w:t>-8.43%</w:t>
            </w:r>
          </w:p>
        </w:tc>
        <w:tc>
          <w:tcPr>
            <w:tcW w:w="1291" w:type="dxa"/>
            <w:vAlign w:val="center"/>
          </w:tcPr>
          <w:p w:rsidR="00B41E3B" w:rsidRDefault="00E13EA8">
            <w:pPr>
              <w:jc w:val="right"/>
            </w:pPr>
            <w:r>
              <w:rPr>
                <w:rFonts w:eastAsiaTheme="minorEastAsia"/>
                <w:color w:val="000000" w:themeColor="text1"/>
                <w:szCs w:val="21"/>
              </w:rPr>
              <w:t>0.42%</w:t>
            </w:r>
          </w:p>
        </w:tc>
      </w:tr>
      <w:tr w:rsidR="00B41E3B">
        <w:tc>
          <w:tcPr>
            <w:tcW w:w="1290" w:type="dxa"/>
            <w:vAlign w:val="center"/>
          </w:tcPr>
          <w:p w:rsidR="00B41E3B" w:rsidRDefault="00E13EA8">
            <w:pPr>
              <w:jc w:val="left"/>
            </w:pPr>
            <w:r>
              <w:rPr>
                <w:rFonts w:eastAsiaTheme="minorEastAsia"/>
                <w:color w:val="000000" w:themeColor="text1"/>
                <w:szCs w:val="21"/>
              </w:rPr>
              <w:t>过去一年</w:t>
            </w:r>
          </w:p>
        </w:tc>
        <w:tc>
          <w:tcPr>
            <w:tcW w:w="1291" w:type="dxa"/>
            <w:vAlign w:val="center"/>
          </w:tcPr>
          <w:p w:rsidR="00B41E3B" w:rsidRDefault="00E13EA8">
            <w:pPr>
              <w:jc w:val="right"/>
            </w:pPr>
            <w:r>
              <w:rPr>
                <w:rFonts w:eastAsiaTheme="minorEastAsia"/>
                <w:color w:val="000000" w:themeColor="text1"/>
                <w:szCs w:val="21"/>
              </w:rPr>
              <w:t>-18.42%</w:t>
            </w:r>
          </w:p>
        </w:tc>
        <w:tc>
          <w:tcPr>
            <w:tcW w:w="1291" w:type="dxa"/>
            <w:vAlign w:val="center"/>
          </w:tcPr>
          <w:p w:rsidR="00B41E3B" w:rsidRDefault="00E13EA8">
            <w:pPr>
              <w:jc w:val="right"/>
            </w:pPr>
            <w:r>
              <w:rPr>
                <w:rFonts w:eastAsiaTheme="minorEastAsia"/>
                <w:color w:val="000000" w:themeColor="text1"/>
                <w:szCs w:val="21"/>
              </w:rPr>
              <w:t>1.21%</w:t>
            </w:r>
          </w:p>
        </w:tc>
        <w:tc>
          <w:tcPr>
            <w:tcW w:w="1291" w:type="dxa"/>
            <w:vAlign w:val="center"/>
          </w:tcPr>
          <w:p w:rsidR="00B41E3B" w:rsidRDefault="00E13EA8">
            <w:pPr>
              <w:jc w:val="right"/>
            </w:pPr>
            <w:r>
              <w:rPr>
                <w:rFonts w:eastAsiaTheme="minorEastAsia"/>
                <w:color w:val="000000" w:themeColor="text1"/>
                <w:szCs w:val="21"/>
              </w:rPr>
              <w:t>-1.67%</w:t>
            </w:r>
          </w:p>
        </w:tc>
        <w:tc>
          <w:tcPr>
            <w:tcW w:w="1291" w:type="dxa"/>
            <w:vAlign w:val="center"/>
          </w:tcPr>
          <w:p w:rsidR="00B41E3B" w:rsidRDefault="00E13EA8">
            <w:pPr>
              <w:jc w:val="right"/>
            </w:pPr>
            <w:r>
              <w:rPr>
                <w:rFonts w:eastAsiaTheme="minorEastAsia"/>
                <w:color w:val="000000" w:themeColor="text1"/>
                <w:szCs w:val="21"/>
              </w:rPr>
              <w:t>0.67%</w:t>
            </w:r>
          </w:p>
        </w:tc>
        <w:tc>
          <w:tcPr>
            <w:tcW w:w="1291" w:type="dxa"/>
            <w:vAlign w:val="center"/>
          </w:tcPr>
          <w:p w:rsidR="00B41E3B" w:rsidRDefault="00E13EA8">
            <w:pPr>
              <w:jc w:val="right"/>
            </w:pPr>
            <w:r>
              <w:rPr>
                <w:rFonts w:eastAsiaTheme="minorEastAsia"/>
                <w:color w:val="000000" w:themeColor="text1"/>
                <w:szCs w:val="21"/>
              </w:rPr>
              <w:t>-16.75%</w:t>
            </w:r>
          </w:p>
        </w:tc>
        <w:tc>
          <w:tcPr>
            <w:tcW w:w="1291" w:type="dxa"/>
            <w:vAlign w:val="center"/>
          </w:tcPr>
          <w:p w:rsidR="00B41E3B" w:rsidRDefault="00E13EA8">
            <w:pPr>
              <w:jc w:val="right"/>
            </w:pPr>
            <w:r>
              <w:rPr>
                <w:rFonts w:eastAsiaTheme="minorEastAsia"/>
                <w:color w:val="000000" w:themeColor="text1"/>
                <w:szCs w:val="21"/>
              </w:rPr>
              <w:t>0.54%</w:t>
            </w:r>
          </w:p>
        </w:tc>
      </w:tr>
      <w:tr w:rsidR="00B41E3B">
        <w:tc>
          <w:tcPr>
            <w:tcW w:w="1290" w:type="dxa"/>
            <w:vAlign w:val="center"/>
          </w:tcPr>
          <w:p w:rsidR="00B41E3B" w:rsidRDefault="00E13EA8">
            <w:pPr>
              <w:jc w:val="left"/>
            </w:pPr>
            <w:r>
              <w:rPr>
                <w:rFonts w:eastAsiaTheme="minorEastAsia"/>
                <w:color w:val="000000" w:themeColor="text1"/>
                <w:szCs w:val="21"/>
              </w:rPr>
              <w:t>过去三年</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r>
      <w:tr w:rsidR="00B41E3B">
        <w:tc>
          <w:tcPr>
            <w:tcW w:w="1290" w:type="dxa"/>
            <w:vAlign w:val="center"/>
          </w:tcPr>
          <w:p w:rsidR="00B41E3B" w:rsidRDefault="00E13EA8">
            <w:pPr>
              <w:jc w:val="left"/>
            </w:pPr>
            <w:r>
              <w:rPr>
                <w:rFonts w:eastAsiaTheme="minorEastAsia"/>
                <w:color w:val="000000" w:themeColor="text1"/>
                <w:szCs w:val="21"/>
              </w:rPr>
              <w:t>过去五年</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c>
          <w:tcPr>
            <w:tcW w:w="1291" w:type="dxa"/>
            <w:vAlign w:val="center"/>
          </w:tcPr>
          <w:p w:rsidR="00B41E3B" w:rsidRDefault="00E13EA8">
            <w:pPr>
              <w:jc w:val="right"/>
            </w:pPr>
            <w:r>
              <w:rPr>
                <w:rFonts w:eastAsiaTheme="minorEastAsia"/>
                <w:color w:val="000000" w:themeColor="text1"/>
                <w:szCs w:val="21"/>
              </w:rPr>
              <w:t>-</w:t>
            </w:r>
          </w:p>
        </w:tc>
      </w:tr>
      <w:tr w:rsidR="00B41E3B">
        <w:tc>
          <w:tcPr>
            <w:tcW w:w="1290" w:type="dxa"/>
            <w:vAlign w:val="center"/>
          </w:tcPr>
          <w:p w:rsidR="00B41E3B" w:rsidRDefault="00E13EA8">
            <w:pPr>
              <w:jc w:val="left"/>
            </w:pPr>
            <w:r>
              <w:rPr>
                <w:rFonts w:eastAsiaTheme="minorEastAsia"/>
                <w:color w:val="000000" w:themeColor="text1"/>
                <w:szCs w:val="21"/>
              </w:rPr>
              <w:t>自基金合同生效起至今</w:t>
            </w:r>
          </w:p>
        </w:tc>
        <w:tc>
          <w:tcPr>
            <w:tcW w:w="1291" w:type="dxa"/>
            <w:vAlign w:val="center"/>
          </w:tcPr>
          <w:p w:rsidR="00B41E3B" w:rsidRDefault="00E13EA8">
            <w:pPr>
              <w:jc w:val="right"/>
            </w:pPr>
            <w:r>
              <w:rPr>
                <w:rFonts w:eastAsiaTheme="minorEastAsia"/>
                <w:color w:val="000000" w:themeColor="text1"/>
                <w:szCs w:val="21"/>
              </w:rPr>
              <w:t>-28.67%</w:t>
            </w:r>
          </w:p>
        </w:tc>
        <w:tc>
          <w:tcPr>
            <w:tcW w:w="1291" w:type="dxa"/>
            <w:vAlign w:val="center"/>
          </w:tcPr>
          <w:p w:rsidR="00B41E3B" w:rsidRDefault="00E13EA8">
            <w:pPr>
              <w:jc w:val="right"/>
            </w:pPr>
            <w:r>
              <w:rPr>
                <w:rFonts w:eastAsiaTheme="minorEastAsia"/>
                <w:color w:val="000000" w:themeColor="text1"/>
                <w:szCs w:val="21"/>
              </w:rPr>
              <w:t>1.28%</w:t>
            </w:r>
          </w:p>
        </w:tc>
        <w:tc>
          <w:tcPr>
            <w:tcW w:w="1291" w:type="dxa"/>
            <w:vAlign w:val="center"/>
          </w:tcPr>
          <w:p w:rsidR="00B41E3B" w:rsidRDefault="00E13EA8">
            <w:pPr>
              <w:jc w:val="right"/>
            </w:pPr>
            <w:r>
              <w:rPr>
                <w:rFonts w:eastAsiaTheme="minorEastAsia"/>
                <w:color w:val="000000" w:themeColor="text1"/>
                <w:szCs w:val="21"/>
              </w:rPr>
              <w:t>-7.21%</w:t>
            </w:r>
          </w:p>
        </w:tc>
        <w:tc>
          <w:tcPr>
            <w:tcW w:w="1291" w:type="dxa"/>
            <w:vAlign w:val="center"/>
          </w:tcPr>
          <w:p w:rsidR="00B41E3B" w:rsidRDefault="00E13EA8">
            <w:pPr>
              <w:jc w:val="right"/>
            </w:pPr>
            <w:r>
              <w:rPr>
                <w:rFonts w:eastAsiaTheme="minorEastAsia"/>
                <w:color w:val="000000" w:themeColor="text1"/>
                <w:szCs w:val="21"/>
              </w:rPr>
              <w:t>0.72%</w:t>
            </w:r>
          </w:p>
        </w:tc>
        <w:tc>
          <w:tcPr>
            <w:tcW w:w="1291" w:type="dxa"/>
            <w:vAlign w:val="center"/>
          </w:tcPr>
          <w:p w:rsidR="00B41E3B" w:rsidRDefault="00E13EA8">
            <w:pPr>
              <w:jc w:val="right"/>
            </w:pPr>
            <w:r>
              <w:rPr>
                <w:rFonts w:eastAsiaTheme="minorEastAsia"/>
                <w:color w:val="000000" w:themeColor="text1"/>
                <w:szCs w:val="21"/>
              </w:rPr>
              <w:t>-21.46%</w:t>
            </w:r>
          </w:p>
        </w:tc>
        <w:tc>
          <w:tcPr>
            <w:tcW w:w="1291" w:type="dxa"/>
            <w:vAlign w:val="center"/>
          </w:tcPr>
          <w:p w:rsidR="00B41E3B" w:rsidRDefault="00E13EA8">
            <w:pPr>
              <w:jc w:val="right"/>
            </w:pPr>
            <w:r>
              <w:rPr>
                <w:rFonts w:eastAsiaTheme="minorEastAsia"/>
                <w:color w:val="000000" w:themeColor="text1"/>
                <w:szCs w:val="21"/>
              </w:rPr>
              <w:t>0.56%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摩根科技前沿灵活配置混合型证券投资基金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．摩根科技前沿混合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．摩根科技前沿混合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41E3B">
        <w:tc>
          <w:tcPr>
            <w:tcW w:w="952" w:type="dxa"/>
            <w:vAlign w:val="center"/>
          </w:tcPr>
          <w:p w:rsidR="00B41E3B" w:rsidRDefault="00E13EA8">
            <w:pPr>
              <w:jc w:val="center"/>
            </w:pPr>
            <w:r>
              <w:rPr>
                <w:rFonts w:eastAsiaTheme="minorEastAsia"/>
                <w:color w:val="000000" w:themeColor="text1"/>
                <w:szCs w:val="21"/>
              </w:rPr>
              <w:t>李德辉</w:t>
            </w:r>
          </w:p>
        </w:tc>
        <w:tc>
          <w:tcPr>
            <w:tcW w:w="930" w:type="dxa"/>
            <w:vAlign w:val="center"/>
          </w:tcPr>
          <w:p w:rsidR="00B41E3B" w:rsidRDefault="00E13EA8">
            <w:pPr>
              <w:jc w:val="center"/>
            </w:pPr>
            <w:r>
              <w:rPr>
                <w:rFonts w:eastAsiaTheme="minorEastAsia"/>
                <w:color w:val="000000" w:themeColor="text1"/>
                <w:szCs w:val="21"/>
              </w:rPr>
              <w:t>本基金基金经理</w:t>
            </w:r>
          </w:p>
        </w:tc>
        <w:tc>
          <w:tcPr>
            <w:tcW w:w="1210" w:type="dxa"/>
            <w:vAlign w:val="center"/>
          </w:tcPr>
          <w:p w:rsidR="00B41E3B" w:rsidRDefault="00E13EA8">
            <w:pPr>
              <w:jc w:val="center"/>
            </w:pPr>
            <w:r>
              <w:rPr>
                <w:rFonts w:eastAsiaTheme="minorEastAsia"/>
                <w:color w:val="000000" w:themeColor="text1"/>
                <w:szCs w:val="21"/>
              </w:rPr>
              <w:t>2016-11-18</w:t>
            </w:r>
          </w:p>
        </w:tc>
        <w:tc>
          <w:tcPr>
            <w:tcW w:w="1309" w:type="dxa"/>
            <w:vAlign w:val="center"/>
          </w:tcPr>
          <w:p w:rsidR="00B41E3B" w:rsidRDefault="00E13EA8">
            <w:pPr>
              <w:jc w:val="center"/>
            </w:pPr>
            <w:r>
              <w:rPr>
                <w:rFonts w:eastAsiaTheme="minorEastAsia"/>
                <w:color w:val="000000" w:themeColor="text1"/>
                <w:szCs w:val="21"/>
              </w:rPr>
              <w:t>-</w:t>
            </w:r>
          </w:p>
        </w:tc>
        <w:tc>
          <w:tcPr>
            <w:tcW w:w="1254" w:type="dxa"/>
            <w:vAlign w:val="center"/>
          </w:tcPr>
          <w:p w:rsidR="00B41E3B" w:rsidRDefault="00E13EA8">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B41E3B" w:rsidRDefault="00E13EA8">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B41E3B" w:rsidRDefault="00E13EA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8,666,591,743.44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21,320,790.07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8,687,912,533.51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一季度市场整体震荡上行，春</w:t>
      </w:r>
      <w:r>
        <w:rPr>
          <w:rFonts w:eastAsiaTheme="minorEastAsia"/>
          <w:color w:val="000000" w:themeColor="text1"/>
          <w:szCs w:val="21"/>
        </w:rPr>
        <w:t>节前市场交易经济强复苏预期，但春节后基本面发生一定程度修正，市场风格也随之发生较大变化，由于</w:t>
      </w:r>
      <w:r>
        <w:rPr>
          <w:rFonts w:eastAsiaTheme="minorEastAsia"/>
          <w:color w:val="000000" w:themeColor="text1"/>
          <w:szCs w:val="21"/>
        </w:rPr>
        <w:t>AI</w:t>
      </w:r>
      <w:r>
        <w:rPr>
          <w:rFonts w:eastAsiaTheme="minorEastAsia"/>
          <w:color w:val="000000" w:themeColor="text1"/>
          <w:szCs w:val="21"/>
        </w:rPr>
        <w:t>推动</w:t>
      </w:r>
      <w:r>
        <w:rPr>
          <w:rFonts w:eastAsiaTheme="minorEastAsia"/>
          <w:color w:val="000000" w:themeColor="text1"/>
          <w:szCs w:val="21"/>
        </w:rPr>
        <w:t>TMT</w:t>
      </w:r>
      <w:r>
        <w:rPr>
          <w:rFonts w:eastAsiaTheme="minorEastAsia"/>
          <w:color w:val="000000" w:themeColor="text1"/>
          <w:szCs w:val="21"/>
        </w:rPr>
        <w:t>板块春节后走势较强。本基金期初配置集中于新能源、消费、电子等方向，春节之后表现较弱，期间我们增持了</w:t>
      </w:r>
      <w:r>
        <w:rPr>
          <w:rFonts w:eastAsiaTheme="minorEastAsia"/>
          <w:color w:val="000000" w:themeColor="text1"/>
          <w:szCs w:val="21"/>
        </w:rPr>
        <w:t>AI</w:t>
      </w:r>
      <w:r>
        <w:rPr>
          <w:rFonts w:eastAsiaTheme="minorEastAsia"/>
          <w:color w:val="000000" w:themeColor="text1"/>
          <w:szCs w:val="21"/>
        </w:rPr>
        <w:t>相关的通信板块，减持部分新能源仓位，整体绩效回到中位数水平。</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对于二季度展望，我们认为经济弱复苏，多数股票处于相对较低位置，收益和风险的性价比较高。我们寻找更有产业前景的行业以及其中优秀的个股，期望能有更好的表现。</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我们关注如下行业：</w:t>
      </w:r>
      <w:r w:rsidRPr="00B27A29">
        <w:rPr>
          <w:rFonts w:eastAsiaTheme="minorEastAsia"/>
          <w:color w:val="000000" w:themeColor="text1"/>
          <w:szCs w:val="21"/>
        </w:rPr>
        <w:t>1</w:t>
      </w:r>
      <w:r w:rsidRPr="00B27A29">
        <w:rPr>
          <w:rFonts w:eastAsiaTheme="minorEastAsia"/>
          <w:color w:val="000000" w:themeColor="text1"/>
          <w:szCs w:val="21"/>
        </w:rPr>
        <w:t>）科技：</w:t>
      </w:r>
      <w:r w:rsidRPr="00B27A29">
        <w:rPr>
          <w:rFonts w:eastAsiaTheme="minorEastAsia"/>
          <w:color w:val="000000" w:themeColor="text1"/>
          <w:szCs w:val="21"/>
        </w:rPr>
        <w:t>ChatGPT</w:t>
      </w:r>
      <w:r w:rsidRPr="00B27A29">
        <w:rPr>
          <w:rFonts w:eastAsiaTheme="minorEastAsia"/>
          <w:color w:val="000000" w:themeColor="text1"/>
          <w:szCs w:val="21"/>
        </w:rPr>
        <w:t>的出现是</w:t>
      </w:r>
      <w:r w:rsidRPr="00B27A29">
        <w:rPr>
          <w:rFonts w:eastAsiaTheme="minorEastAsia"/>
          <w:color w:val="000000" w:themeColor="text1"/>
          <w:szCs w:val="21"/>
        </w:rPr>
        <w:t>AI</w:t>
      </w:r>
      <w:r w:rsidRPr="00B27A29">
        <w:rPr>
          <w:rFonts w:eastAsiaTheme="minorEastAsia"/>
          <w:color w:val="000000" w:themeColor="text1"/>
          <w:szCs w:val="21"/>
        </w:rPr>
        <w:t>发展的划时代突破，堪比新的</w:t>
      </w:r>
      <w:r w:rsidRPr="00B27A29">
        <w:rPr>
          <w:rFonts w:eastAsiaTheme="minorEastAsia"/>
          <w:color w:val="000000" w:themeColor="text1"/>
          <w:szCs w:val="21"/>
        </w:rPr>
        <w:t>“</w:t>
      </w:r>
      <w:r w:rsidRPr="00B27A29">
        <w:rPr>
          <w:rFonts w:eastAsiaTheme="minorEastAsia"/>
          <w:color w:val="000000" w:themeColor="text1"/>
          <w:szCs w:val="21"/>
        </w:rPr>
        <w:t>工业革命</w:t>
      </w:r>
      <w:r w:rsidRPr="00B27A29">
        <w:rPr>
          <w:rFonts w:eastAsiaTheme="minorEastAsia"/>
          <w:color w:val="000000" w:themeColor="text1"/>
          <w:szCs w:val="21"/>
        </w:rPr>
        <w:t>”</w:t>
      </w:r>
      <w:r w:rsidRPr="00B27A29">
        <w:rPr>
          <w:rFonts w:eastAsiaTheme="minorEastAsia"/>
          <w:color w:val="000000" w:themeColor="text1"/>
          <w:szCs w:val="21"/>
        </w:rPr>
        <w:t>，极大提升生产效率，也将改变很多行业的格局，未来充满机遇和挑战。这里面投资机会体现在算力、算法、应用等各个领域，目前具备大模型能力的公司估计是全世界的几大巨头公司，然而垂直领域公司如果有专业数据、且有开发中型模型的能力，仍可以实现较好的效果。由于</w:t>
      </w:r>
      <w:r w:rsidRPr="00B27A29">
        <w:rPr>
          <w:rFonts w:eastAsiaTheme="minorEastAsia"/>
          <w:color w:val="000000" w:themeColor="text1"/>
          <w:szCs w:val="21"/>
        </w:rPr>
        <w:t>AI</w:t>
      </w:r>
      <w:r w:rsidRPr="00B27A29">
        <w:rPr>
          <w:rFonts w:eastAsiaTheme="minorEastAsia"/>
          <w:color w:val="000000" w:themeColor="text1"/>
          <w:szCs w:val="21"/>
        </w:rPr>
        <w:t>目前处于变革的前夜，很多公司的能见度不高，我们优选卡位清晰、有垂直数据、有应用场景、</w:t>
      </w:r>
      <w:r w:rsidRPr="00B27A29">
        <w:rPr>
          <w:rFonts w:eastAsiaTheme="minorEastAsia"/>
          <w:color w:val="000000" w:themeColor="text1"/>
          <w:szCs w:val="21"/>
        </w:rPr>
        <w:lastRenderedPageBreak/>
        <w:t>有大模型能力的软件和互联网公司，以及受益于算力提升明显的光模块、交换机等通信公司。诚然目前</w:t>
      </w:r>
      <w:r w:rsidRPr="00B27A29">
        <w:rPr>
          <w:rFonts w:eastAsiaTheme="minorEastAsia"/>
          <w:color w:val="000000" w:themeColor="text1"/>
          <w:szCs w:val="21"/>
        </w:rPr>
        <w:t>AI</w:t>
      </w:r>
      <w:r w:rsidRPr="00B27A29">
        <w:rPr>
          <w:rFonts w:eastAsiaTheme="minorEastAsia"/>
          <w:color w:val="000000" w:themeColor="text1"/>
          <w:szCs w:val="21"/>
        </w:rPr>
        <w:t>这些标的短期看不到业绩的大幅体现，但是今年更多的是判断公司产品能力和卡位优势，这影响未来行业格局，胜出的公司仍将机会巨大。</w:t>
      </w:r>
      <w:r w:rsidRPr="00B27A29">
        <w:rPr>
          <w:rFonts w:eastAsiaTheme="minorEastAsia"/>
          <w:color w:val="000000" w:themeColor="text1"/>
          <w:szCs w:val="21"/>
        </w:rPr>
        <w:t>2</w:t>
      </w:r>
      <w:r w:rsidRPr="00B27A29">
        <w:rPr>
          <w:rFonts w:eastAsiaTheme="minorEastAsia"/>
          <w:color w:val="000000" w:themeColor="text1"/>
          <w:szCs w:val="21"/>
        </w:rPr>
        <w:t>）新能源：新能源车渗透率快速提升，但未来仍有较大增长，长期看仍是不错的行业，今年短期面临风险是价格战过大和行业洗牌，我们仍看好壁垒较高的电池企业。</w:t>
      </w:r>
      <w:r w:rsidRPr="00B27A29">
        <w:rPr>
          <w:rFonts w:eastAsiaTheme="minorEastAsia"/>
          <w:color w:val="000000" w:themeColor="text1"/>
          <w:szCs w:val="21"/>
        </w:rPr>
        <w:t>3</w:t>
      </w:r>
      <w:r w:rsidRPr="00B27A29">
        <w:rPr>
          <w:rFonts w:eastAsiaTheme="minorEastAsia"/>
          <w:color w:val="000000" w:themeColor="text1"/>
          <w:szCs w:val="21"/>
        </w:rPr>
        <w:t>）消费：今年以来报复性出行、餐饮等消费恢复得较好，其他耐用消费品相对一般，可能跟收入预期有一定关系，我们关注基本面稳健的白酒板块。</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:2.77%</w:t>
      </w:r>
      <w:r>
        <w:rPr>
          <w:rFonts w:eastAsiaTheme="minorEastAsia"/>
          <w:color w:val="000000" w:themeColor="text1"/>
          <w:szCs w:val="21"/>
        </w:rPr>
        <w:t>，同期业绩比较基准收益</w:t>
      </w:r>
      <w:r>
        <w:rPr>
          <w:rFonts w:eastAsiaTheme="minorEastAsia"/>
          <w:color w:val="000000" w:themeColor="text1"/>
          <w:szCs w:val="21"/>
        </w:rPr>
        <w:t>率为</w:t>
      </w:r>
      <w:r>
        <w:rPr>
          <w:rFonts w:eastAsiaTheme="minorEastAsia"/>
          <w:color w:val="000000" w:themeColor="text1"/>
          <w:szCs w:val="21"/>
        </w:rPr>
        <w:t>:3.25%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:2.64%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2,713,364,527.95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2,713,364,527.95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590,061,257.47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2,153,672.71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3,305,579,458.13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7,491,075.50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2,089,878,171.26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965,174.74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37,359,256.42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514,270,499.51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46,245,097.52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2,924,208.00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7,780,905.00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6,450,140.00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2,713,364,527.95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84.73</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41E3B">
        <w:tc>
          <w:tcPr>
            <w:tcW w:w="817" w:type="dxa"/>
            <w:vAlign w:val="center"/>
          </w:tcPr>
          <w:p w:rsidR="00B41E3B" w:rsidRDefault="00E13EA8">
            <w:pPr>
              <w:jc w:val="center"/>
            </w:pPr>
            <w:r>
              <w:rPr>
                <w:rFonts w:eastAsiaTheme="minorEastAsia"/>
                <w:kern w:val="0"/>
                <w:szCs w:val="21"/>
              </w:rPr>
              <w:lastRenderedPageBreak/>
              <w:t>1</w:t>
            </w:r>
          </w:p>
        </w:tc>
        <w:tc>
          <w:tcPr>
            <w:tcW w:w="1276" w:type="dxa"/>
            <w:vAlign w:val="center"/>
          </w:tcPr>
          <w:p w:rsidR="00B41E3B" w:rsidRDefault="00E13EA8">
            <w:pPr>
              <w:jc w:val="center"/>
            </w:pPr>
            <w:r>
              <w:rPr>
                <w:rFonts w:eastAsiaTheme="minorEastAsia"/>
                <w:kern w:val="0"/>
                <w:szCs w:val="21"/>
              </w:rPr>
              <w:t>300750</w:t>
            </w:r>
          </w:p>
        </w:tc>
        <w:tc>
          <w:tcPr>
            <w:tcW w:w="1701" w:type="dxa"/>
            <w:vAlign w:val="center"/>
          </w:tcPr>
          <w:p w:rsidR="00B41E3B" w:rsidRDefault="00E13EA8">
            <w:pPr>
              <w:jc w:val="center"/>
            </w:pPr>
            <w:r>
              <w:rPr>
                <w:rFonts w:eastAsiaTheme="minorEastAsia"/>
                <w:kern w:val="0"/>
                <w:szCs w:val="21"/>
              </w:rPr>
              <w:t>宁德时代</w:t>
            </w:r>
          </w:p>
        </w:tc>
        <w:tc>
          <w:tcPr>
            <w:tcW w:w="1276" w:type="dxa"/>
            <w:vAlign w:val="center"/>
          </w:tcPr>
          <w:p w:rsidR="00B41E3B" w:rsidRDefault="00E13EA8">
            <w:pPr>
              <w:jc w:val="right"/>
            </w:pPr>
            <w:r>
              <w:rPr>
                <w:rFonts w:eastAsiaTheme="minorEastAsia"/>
                <w:kern w:val="0"/>
                <w:szCs w:val="21"/>
              </w:rPr>
              <w:t>471,325.00</w:t>
            </w:r>
          </w:p>
        </w:tc>
        <w:tc>
          <w:tcPr>
            <w:tcW w:w="1842" w:type="dxa"/>
            <w:vAlign w:val="center"/>
          </w:tcPr>
          <w:p w:rsidR="00B41E3B" w:rsidRDefault="00E13EA8">
            <w:pPr>
              <w:jc w:val="right"/>
            </w:pPr>
            <w:r>
              <w:rPr>
                <w:rFonts w:eastAsiaTheme="minorEastAsia"/>
                <w:kern w:val="0"/>
                <w:szCs w:val="21"/>
              </w:rPr>
              <w:t>191,381,516.25</w:t>
            </w:r>
          </w:p>
        </w:tc>
        <w:tc>
          <w:tcPr>
            <w:tcW w:w="1616" w:type="dxa"/>
            <w:vAlign w:val="center"/>
          </w:tcPr>
          <w:p w:rsidR="00B41E3B" w:rsidRDefault="00E13EA8">
            <w:pPr>
              <w:jc w:val="right"/>
            </w:pPr>
            <w:r>
              <w:rPr>
                <w:rFonts w:eastAsiaTheme="minorEastAsia"/>
                <w:kern w:val="0"/>
                <w:szCs w:val="21"/>
              </w:rPr>
              <w:t>5.98</w:t>
            </w:r>
          </w:p>
        </w:tc>
      </w:tr>
      <w:tr w:rsidR="00B41E3B">
        <w:tc>
          <w:tcPr>
            <w:tcW w:w="817" w:type="dxa"/>
            <w:vAlign w:val="center"/>
          </w:tcPr>
          <w:p w:rsidR="00B41E3B" w:rsidRDefault="00E13EA8">
            <w:pPr>
              <w:jc w:val="center"/>
            </w:pPr>
            <w:r>
              <w:rPr>
                <w:rFonts w:eastAsiaTheme="minorEastAsia"/>
                <w:kern w:val="0"/>
                <w:szCs w:val="21"/>
              </w:rPr>
              <w:t>2</w:t>
            </w:r>
          </w:p>
        </w:tc>
        <w:tc>
          <w:tcPr>
            <w:tcW w:w="1276" w:type="dxa"/>
            <w:vAlign w:val="center"/>
          </w:tcPr>
          <w:p w:rsidR="00B41E3B" w:rsidRDefault="00E13EA8">
            <w:pPr>
              <w:jc w:val="center"/>
            </w:pPr>
            <w:r>
              <w:rPr>
                <w:rFonts w:eastAsiaTheme="minorEastAsia"/>
                <w:kern w:val="0"/>
                <w:szCs w:val="21"/>
              </w:rPr>
              <w:t>600519</w:t>
            </w:r>
          </w:p>
        </w:tc>
        <w:tc>
          <w:tcPr>
            <w:tcW w:w="1701" w:type="dxa"/>
            <w:vAlign w:val="center"/>
          </w:tcPr>
          <w:p w:rsidR="00B41E3B" w:rsidRDefault="00E13EA8">
            <w:pPr>
              <w:jc w:val="center"/>
            </w:pPr>
            <w:r>
              <w:rPr>
                <w:rFonts w:eastAsiaTheme="minorEastAsia"/>
                <w:kern w:val="0"/>
                <w:szCs w:val="21"/>
              </w:rPr>
              <w:t>贵州茅台</w:t>
            </w:r>
          </w:p>
        </w:tc>
        <w:tc>
          <w:tcPr>
            <w:tcW w:w="1276" w:type="dxa"/>
            <w:vAlign w:val="center"/>
          </w:tcPr>
          <w:p w:rsidR="00B41E3B" w:rsidRDefault="00E13EA8">
            <w:pPr>
              <w:jc w:val="right"/>
            </w:pPr>
            <w:r>
              <w:rPr>
                <w:rFonts w:eastAsiaTheme="minorEastAsia"/>
                <w:kern w:val="0"/>
                <w:szCs w:val="21"/>
              </w:rPr>
              <w:t>104,092.00</w:t>
            </w:r>
          </w:p>
        </w:tc>
        <w:tc>
          <w:tcPr>
            <w:tcW w:w="1842" w:type="dxa"/>
            <w:vAlign w:val="center"/>
          </w:tcPr>
          <w:p w:rsidR="00B41E3B" w:rsidRDefault="00E13EA8">
            <w:pPr>
              <w:jc w:val="right"/>
            </w:pPr>
            <w:r>
              <w:rPr>
                <w:rFonts w:eastAsiaTheme="minorEastAsia"/>
                <w:kern w:val="0"/>
                <w:szCs w:val="21"/>
              </w:rPr>
              <w:t>189,447,440.00</w:t>
            </w:r>
          </w:p>
        </w:tc>
        <w:tc>
          <w:tcPr>
            <w:tcW w:w="1616" w:type="dxa"/>
            <w:vAlign w:val="center"/>
          </w:tcPr>
          <w:p w:rsidR="00B41E3B" w:rsidRDefault="00E13EA8">
            <w:pPr>
              <w:jc w:val="right"/>
            </w:pPr>
            <w:r>
              <w:rPr>
                <w:rFonts w:eastAsiaTheme="minorEastAsia"/>
                <w:kern w:val="0"/>
                <w:szCs w:val="21"/>
              </w:rPr>
              <w:t>5.92</w:t>
            </w:r>
          </w:p>
        </w:tc>
      </w:tr>
      <w:tr w:rsidR="00B41E3B">
        <w:tc>
          <w:tcPr>
            <w:tcW w:w="817" w:type="dxa"/>
            <w:vAlign w:val="center"/>
          </w:tcPr>
          <w:p w:rsidR="00B41E3B" w:rsidRDefault="00E13EA8">
            <w:pPr>
              <w:jc w:val="center"/>
            </w:pPr>
            <w:r>
              <w:rPr>
                <w:rFonts w:eastAsiaTheme="minorEastAsia"/>
                <w:kern w:val="0"/>
                <w:szCs w:val="21"/>
              </w:rPr>
              <w:t>3</w:t>
            </w:r>
          </w:p>
        </w:tc>
        <w:tc>
          <w:tcPr>
            <w:tcW w:w="1276" w:type="dxa"/>
            <w:vAlign w:val="center"/>
          </w:tcPr>
          <w:p w:rsidR="00B41E3B" w:rsidRDefault="00E13EA8">
            <w:pPr>
              <w:jc w:val="center"/>
            </w:pPr>
            <w:r>
              <w:rPr>
                <w:rFonts w:eastAsiaTheme="minorEastAsia"/>
                <w:kern w:val="0"/>
                <w:szCs w:val="21"/>
              </w:rPr>
              <w:t>000063</w:t>
            </w:r>
          </w:p>
        </w:tc>
        <w:tc>
          <w:tcPr>
            <w:tcW w:w="1701" w:type="dxa"/>
            <w:vAlign w:val="center"/>
          </w:tcPr>
          <w:p w:rsidR="00B41E3B" w:rsidRDefault="00E13EA8">
            <w:pPr>
              <w:jc w:val="center"/>
            </w:pPr>
            <w:r>
              <w:rPr>
                <w:rFonts w:eastAsiaTheme="minorEastAsia"/>
                <w:kern w:val="0"/>
                <w:szCs w:val="21"/>
              </w:rPr>
              <w:t>中兴通讯</w:t>
            </w:r>
          </w:p>
        </w:tc>
        <w:tc>
          <w:tcPr>
            <w:tcW w:w="1276" w:type="dxa"/>
            <w:vAlign w:val="center"/>
          </w:tcPr>
          <w:p w:rsidR="00B41E3B" w:rsidRDefault="00E13EA8">
            <w:pPr>
              <w:jc w:val="right"/>
            </w:pPr>
            <w:r>
              <w:rPr>
                <w:rFonts w:eastAsiaTheme="minorEastAsia"/>
                <w:kern w:val="0"/>
                <w:szCs w:val="21"/>
              </w:rPr>
              <w:t>4,492,300.00</w:t>
            </w:r>
          </w:p>
        </w:tc>
        <w:tc>
          <w:tcPr>
            <w:tcW w:w="1842" w:type="dxa"/>
            <w:vAlign w:val="center"/>
          </w:tcPr>
          <w:p w:rsidR="00B41E3B" w:rsidRDefault="00E13EA8">
            <w:pPr>
              <w:jc w:val="right"/>
            </w:pPr>
            <w:r>
              <w:rPr>
                <w:rFonts w:eastAsiaTheme="minorEastAsia"/>
                <w:kern w:val="0"/>
                <w:szCs w:val="21"/>
              </w:rPr>
              <w:t>146,269,288.00</w:t>
            </w:r>
          </w:p>
        </w:tc>
        <w:tc>
          <w:tcPr>
            <w:tcW w:w="1616" w:type="dxa"/>
            <w:vAlign w:val="center"/>
          </w:tcPr>
          <w:p w:rsidR="00B41E3B" w:rsidRDefault="00E13EA8">
            <w:pPr>
              <w:jc w:val="right"/>
            </w:pPr>
            <w:r>
              <w:rPr>
                <w:rFonts w:eastAsiaTheme="minorEastAsia"/>
                <w:kern w:val="0"/>
                <w:szCs w:val="21"/>
              </w:rPr>
              <w:t>4.57</w:t>
            </w:r>
          </w:p>
        </w:tc>
      </w:tr>
      <w:tr w:rsidR="00B41E3B">
        <w:tc>
          <w:tcPr>
            <w:tcW w:w="817" w:type="dxa"/>
            <w:vAlign w:val="center"/>
          </w:tcPr>
          <w:p w:rsidR="00B41E3B" w:rsidRDefault="00E13EA8">
            <w:pPr>
              <w:jc w:val="center"/>
            </w:pPr>
            <w:r>
              <w:rPr>
                <w:rFonts w:eastAsiaTheme="minorEastAsia"/>
                <w:kern w:val="0"/>
                <w:szCs w:val="21"/>
              </w:rPr>
              <w:t>4</w:t>
            </w:r>
          </w:p>
        </w:tc>
        <w:tc>
          <w:tcPr>
            <w:tcW w:w="1276" w:type="dxa"/>
            <w:vAlign w:val="center"/>
          </w:tcPr>
          <w:p w:rsidR="00B41E3B" w:rsidRDefault="00E13EA8">
            <w:pPr>
              <w:jc w:val="center"/>
            </w:pPr>
            <w:r>
              <w:rPr>
                <w:rFonts w:eastAsiaTheme="minorEastAsia"/>
                <w:kern w:val="0"/>
                <w:szCs w:val="21"/>
              </w:rPr>
              <w:t>300308</w:t>
            </w:r>
          </w:p>
        </w:tc>
        <w:tc>
          <w:tcPr>
            <w:tcW w:w="1701" w:type="dxa"/>
            <w:vAlign w:val="center"/>
          </w:tcPr>
          <w:p w:rsidR="00B41E3B" w:rsidRDefault="00E13EA8">
            <w:pPr>
              <w:jc w:val="center"/>
            </w:pPr>
            <w:r>
              <w:rPr>
                <w:rFonts w:eastAsiaTheme="minorEastAsia"/>
                <w:kern w:val="0"/>
                <w:szCs w:val="21"/>
              </w:rPr>
              <w:t>中际旭创</w:t>
            </w:r>
          </w:p>
        </w:tc>
        <w:tc>
          <w:tcPr>
            <w:tcW w:w="1276" w:type="dxa"/>
            <w:vAlign w:val="center"/>
          </w:tcPr>
          <w:p w:rsidR="00B41E3B" w:rsidRDefault="00E13EA8">
            <w:pPr>
              <w:jc w:val="right"/>
            </w:pPr>
            <w:r>
              <w:rPr>
                <w:rFonts w:eastAsiaTheme="minorEastAsia"/>
                <w:kern w:val="0"/>
                <w:szCs w:val="21"/>
              </w:rPr>
              <w:t>2,210,805.00</w:t>
            </w:r>
          </w:p>
        </w:tc>
        <w:tc>
          <w:tcPr>
            <w:tcW w:w="1842" w:type="dxa"/>
            <w:vAlign w:val="center"/>
          </w:tcPr>
          <w:p w:rsidR="00B41E3B" w:rsidRDefault="00E13EA8">
            <w:pPr>
              <w:jc w:val="right"/>
            </w:pPr>
            <w:r>
              <w:rPr>
                <w:rFonts w:eastAsiaTheme="minorEastAsia"/>
                <w:kern w:val="0"/>
                <w:szCs w:val="21"/>
              </w:rPr>
              <w:t>130,216,414.50</w:t>
            </w:r>
          </w:p>
        </w:tc>
        <w:tc>
          <w:tcPr>
            <w:tcW w:w="1616" w:type="dxa"/>
            <w:vAlign w:val="center"/>
          </w:tcPr>
          <w:p w:rsidR="00B41E3B" w:rsidRDefault="00E13EA8">
            <w:pPr>
              <w:jc w:val="right"/>
            </w:pPr>
            <w:r>
              <w:rPr>
                <w:rFonts w:eastAsiaTheme="minorEastAsia"/>
                <w:kern w:val="0"/>
                <w:szCs w:val="21"/>
              </w:rPr>
              <w:t>4.07</w:t>
            </w:r>
          </w:p>
        </w:tc>
      </w:tr>
      <w:tr w:rsidR="00B41E3B">
        <w:tc>
          <w:tcPr>
            <w:tcW w:w="817" w:type="dxa"/>
            <w:vAlign w:val="center"/>
          </w:tcPr>
          <w:p w:rsidR="00B41E3B" w:rsidRDefault="00E13EA8">
            <w:pPr>
              <w:jc w:val="center"/>
            </w:pPr>
            <w:r>
              <w:rPr>
                <w:rFonts w:eastAsiaTheme="minorEastAsia"/>
                <w:kern w:val="0"/>
                <w:szCs w:val="21"/>
              </w:rPr>
              <w:t>5</w:t>
            </w:r>
          </w:p>
        </w:tc>
        <w:tc>
          <w:tcPr>
            <w:tcW w:w="1276" w:type="dxa"/>
            <w:vAlign w:val="center"/>
          </w:tcPr>
          <w:p w:rsidR="00B41E3B" w:rsidRDefault="00E13EA8">
            <w:pPr>
              <w:jc w:val="center"/>
            </w:pPr>
            <w:r>
              <w:rPr>
                <w:rFonts w:eastAsiaTheme="minorEastAsia"/>
                <w:kern w:val="0"/>
                <w:szCs w:val="21"/>
              </w:rPr>
              <w:t>002463</w:t>
            </w:r>
          </w:p>
        </w:tc>
        <w:tc>
          <w:tcPr>
            <w:tcW w:w="1701" w:type="dxa"/>
            <w:vAlign w:val="center"/>
          </w:tcPr>
          <w:p w:rsidR="00B41E3B" w:rsidRDefault="00E13EA8">
            <w:pPr>
              <w:jc w:val="center"/>
            </w:pPr>
            <w:r>
              <w:rPr>
                <w:rFonts w:eastAsiaTheme="minorEastAsia"/>
                <w:kern w:val="0"/>
                <w:szCs w:val="21"/>
              </w:rPr>
              <w:t>沪电股份</w:t>
            </w:r>
          </w:p>
        </w:tc>
        <w:tc>
          <w:tcPr>
            <w:tcW w:w="1276" w:type="dxa"/>
            <w:vAlign w:val="center"/>
          </w:tcPr>
          <w:p w:rsidR="00B41E3B" w:rsidRDefault="00E13EA8">
            <w:pPr>
              <w:jc w:val="right"/>
            </w:pPr>
            <w:r>
              <w:rPr>
                <w:rFonts w:eastAsiaTheme="minorEastAsia"/>
                <w:kern w:val="0"/>
                <w:szCs w:val="21"/>
              </w:rPr>
              <w:t>5,140,024.00</w:t>
            </w:r>
          </w:p>
        </w:tc>
        <w:tc>
          <w:tcPr>
            <w:tcW w:w="1842" w:type="dxa"/>
            <w:vAlign w:val="center"/>
          </w:tcPr>
          <w:p w:rsidR="00B41E3B" w:rsidRDefault="00E13EA8">
            <w:pPr>
              <w:jc w:val="right"/>
            </w:pPr>
            <w:r>
              <w:rPr>
                <w:rFonts w:eastAsiaTheme="minorEastAsia"/>
                <w:kern w:val="0"/>
                <w:szCs w:val="21"/>
              </w:rPr>
              <w:t>110,459,115.76</w:t>
            </w:r>
          </w:p>
        </w:tc>
        <w:tc>
          <w:tcPr>
            <w:tcW w:w="1616" w:type="dxa"/>
            <w:vAlign w:val="center"/>
          </w:tcPr>
          <w:p w:rsidR="00B41E3B" w:rsidRDefault="00E13EA8">
            <w:pPr>
              <w:jc w:val="right"/>
            </w:pPr>
            <w:r>
              <w:rPr>
                <w:rFonts w:eastAsiaTheme="minorEastAsia"/>
                <w:kern w:val="0"/>
                <w:szCs w:val="21"/>
              </w:rPr>
              <w:t>3.45</w:t>
            </w:r>
          </w:p>
        </w:tc>
      </w:tr>
      <w:tr w:rsidR="00B41E3B">
        <w:tc>
          <w:tcPr>
            <w:tcW w:w="817" w:type="dxa"/>
            <w:vAlign w:val="center"/>
          </w:tcPr>
          <w:p w:rsidR="00B41E3B" w:rsidRDefault="00E13EA8">
            <w:pPr>
              <w:jc w:val="center"/>
            </w:pPr>
            <w:r>
              <w:rPr>
                <w:rFonts w:eastAsiaTheme="minorEastAsia"/>
                <w:kern w:val="0"/>
                <w:szCs w:val="21"/>
              </w:rPr>
              <w:t>6</w:t>
            </w:r>
          </w:p>
        </w:tc>
        <w:tc>
          <w:tcPr>
            <w:tcW w:w="1276" w:type="dxa"/>
            <w:vAlign w:val="center"/>
          </w:tcPr>
          <w:p w:rsidR="00B41E3B" w:rsidRDefault="00E13EA8">
            <w:pPr>
              <w:jc w:val="center"/>
            </w:pPr>
            <w:r>
              <w:rPr>
                <w:rFonts w:eastAsiaTheme="minorEastAsia"/>
                <w:kern w:val="0"/>
                <w:szCs w:val="21"/>
              </w:rPr>
              <w:t>000858</w:t>
            </w:r>
          </w:p>
        </w:tc>
        <w:tc>
          <w:tcPr>
            <w:tcW w:w="1701" w:type="dxa"/>
            <w:vAlign w:val="center"/>
          </w:tcPr>
          <w:p w:rsidR="00B41E3B" w:rsidRDefault="00E13EA8">
            <w:pPr>
              <w:jc w:val="center"/>
            </w:pPr>
            <w:r>
              <w:rPr>
                <w:rFonts w:eastAsiaTheme="minorEastAsia"/>
                <w:kern w:val="0"/>
                <w:szCs w:val="21"/>
              </w:rPr>
              <w:t>五粮液</w:t>
            </w:r>
          </w:p>
        </w:tc>
        <w:tc>
          <w:tcPr>
            <w:tcW w:w="1276" w:type="dxa"/>
            <w:vAlign w:val="center"/>
          </w:tcPr>
          <w:p w:rsidR="00B41E3B" w:rsidRDefault="00E13EA8">
            <w:pPr>
              <w:jc w:val="right"/>
            </w:pPr>
            <w:r>
              <w:rPr>
                <w:rFonts w:eastAsiaTheme="minorEastAsia"/>
                <w:kern w:val="0"/>
                <w:szCs w:val="21"/>
              </w:rPr>
              <w:t>520,516.00</w:t>
            </w:r>
          </w:p>
        </w:tc>
        <w:tc>
          <w:tcPr>
            <w:tcW w:w="1842" w:type="dxa"/>
            <w:vAlign w:val="center"/>
          </w:tcPr>
          <w:p w:rsidR="00B41E3B" w:rsidRDefault="00E13EA8">
            <w:pPr>
              <w:jc w:val="right"/>
            </w:pPr>
            <w:r>
              <w:rPr>
                <w:rFonts w:eastAsiaTheme="minorEastAsia"/>
                <w:kern w:val="0"/>
                <w:szCs w:val="21"/>
              </w:rPr>
              <w:t>102,541,652.00</w:t>
            </w:r>
          </w:p>
        </w:tc>
        <w:tc>
          <w:tcPr>
            <w:tcW w:w="1616" w:type="dxa"/>
            <w:vAlign w:val="center"/>
          </w:tcPr>
          <w:p w:rsidR="00B41E3B" w:rsidRDefault="00E13EA8">
            <w:pPr>
              <w:jc w:val="right"/>
            </w:pPr>
            <w:r>
              <w:rPr>
                <w:rFonts w:eastAsiaTheme="minorEastAsia"/>
                <w:kern w:val="0"/>
                <w:szCs w:val="21"/>
              </w:rPr>
              <w:t>3.20</w:t>
            </w:r>
          </w:p>
        </w:tc>
      </w:tr>
      <w:tr w:rsidR="00B41E3B">
        <w:tc>
          <w:tcPr>
            <w:tcW w:w="817" w:type="dxa"/>
            <w:vAlign w:val="center"/>
          </w:tcPr>
          <w:p w:rsidR="00B41E3B" w:rsidRDefault="00E13EA8">
            <w:pPr>
              <w:jc w:val="center"/>
            </w:pPr>
            <w:r>
              <w:rPr>
                <w:rFonts w:eastAsiaTheme="minorEastAsia"/>
                <w:kern w:val="0"/>
                <w:szCs w:val="21"/>
              </w:rPr>
              <w:t>7</w:t>
            </w:r>
          </w:p>
        </w:tc>
        <w:tc>
          <w:tcPr>
            <w:tcW w:w="1276" w:type="dxa"/>
            <w:vAlign w:val="center"/>
          </w:tcPr>
          <w:p w:rsidR="00B41E3B" w:rsidRDefault="00E13EA8">
            <w:pPr>
              <w:jc w:val="center"/>
            </w:pPr>
            <w:r>
              <w:rPr>
                <w:rFonts w:eastAsiaTheme="minorEastAsia"/>
                <w:kern w:val="0"/>
                <w:szCs w:val="21"/>
              </w:rPr>
              <w:t>300124</w:t>
            </w:r>
          </w:p>
        </w:tc>
        <w:tc>
          <w:tcPr>
            <w:tcW w:w="1701" w:type="dxa"/>
            <w:vAlign w:val="center"/>
          </w:tcPr>
          <w:p w:rsidR="00B41E3B" w:rsidRDefault="00E13EA8">
            <w:pPr>
              <w:jc w:val="center"/>
            </w:pPr>
            <w:r>
              <w:rPr>
                <w:rFonts w:eastAsiaTheme="minorEastAsia"/>
                <w:kern w:val="0"/>
                <w:szCs w:val="21"/>
              </w:rPr>
              <w:t>汇川技术</w:t>
            </w:r>
          </w:p>
        </w:tc>
        <w:tc>
          <w:tcPr>
            <w:tcW w:w="1276" w:type="dxa"/>
            <w:vAlign w:val="center"/>
          </w:tcPr>
          <w:p w:rsidR="00B41E3B" w:rsidRDefault="00E13EA8">
            <w:pPr>
              <w:jc w:val="right"/>
            </w:pPr>
            <w:r>
              <w:rPr>
                <w:rFonts w:eastAsiaTheme="minorEastAsia"/>
                <w:kern w:val="0"/>
                <w:szCs w:val="21"/>
              </w:rPr>
              <w:t>1,356,737.00</w:t>
            </w:r>
          </w:p>
        </w:tc>
        <w:tc>
          <w:tcPr>
            <w:tcW w:w="1842" w:type="dxa"/>
            <w:vAlign w:val="center"/>
          </w:tcPr>
          <w:p w:rsidR="00B41E3B" w:rsidRDefault="00E13EA8">
            <w:pPr>
              <w:jc w:val="right"/>
            </w:pPr>
            <w:r>
              <w:rPr>
                <w:rFonts w:eastAsiaTheme="minorEastAsia"/>
                <w:kern w:val="0"/>
                <w:szCs w:val="21"/>
              </w:rPr>
              <w:t>95,378,611.10</w:t>
            </w:r>
          </w:p>
        </w:tc>
        <w:tc>
          <w:tcPr>
            <w:tcW w:w="1616" w:type="dxa"/>
            <w:vAlign w:val="center"/>
          </w:tcPr>
          <w:p w:rsidR="00B41E3B" w:rsidRDefault="00E13EA8">
            <w:pPr>
              <w:jc w:val="right"/>
            </w:pPr>
            <w:r>
              <w:rPr>
                <w:rFonts w:eastAsiaTheme="minorEastAsia"/>
                <w:kern w:val="0"/>
                <w:szCs w:val="21"/>
              </w:rPr>
              <w:t>2.98</w:t>
            </w:r>
          </w:p>
        </w:tc>
      </w:tr>
      <w:tr w:rsidR="00B41E3B">
        <w:tc>
          <w:tcPr>
            <w:tcW w:w="817" w:type="dxa"/>
            <w:vAlign w:val="center"/>
          </w:tcPr>
          <w:p w:rsidR="00B41E3B" w:rsidRDefault="00E13EA8">
            <w:pPr>
              <w:jc w:val="center"/>
            </w:pPr>
            <w:r>
              <w:rPr>
                <w:rFonts w:eastAsiaTheme="minorEastAsia"/>
                <w:kern w:val="0"/>
                <w:szCs w:val="21"/>
              </w:rPr>
              <w:t>8</w:t>
            </w:r>
          </w:p>
        </w:tc>
        <w:tc>
          <w:tcPr>
            <w:tcW w:w="1276" w:type="dxa"/>
            <w:vAlign w:val="center"/>
          </w:tcPr>
          <w:p w:rsidR="00B41E3B" w:rsidRDefault="00E13EA8">
            <w:pPr>
              <w:jc w:val="center"/>
            </w:pPr>
            <w:r>
              <w:rPr>
                <w:rFonts w:eastAsiaTheme="minorEastAsia"/>
                <w:kern w:val="0"/>
                <w:szCs w:val="21"/>
              </w:rPr>
              <w:t>000938</w:t>
            </w:r>
          </w:p>
        </w:tc>
        <w:tc>
          <w:tcPr>
            <w:tcW w:w="1701" w:type="dxa"/>
            <w:vAlign w:val="center"/>
          </w:tcPr>
          <w:p w:rsidR="00B41E3B" w:rsidRDefault="00E13EA8">
            <w:pPr>
              <w:jc w:val="center"/>
            </w:pPr>
            <w:r>
              <w:rPr>
                <w:rFonts w:eastAsiaTheme="minorEastAsia"/>
                <w:kern w:val="0"/>
                <w:szCs w:val="21"/>
              </w:rPr>
              <w:t>紫光股份</w:t>
            </w:r>
          </w:p>
        </w:tc>
        <w:tc>
          <w:tcPr>
            <w:tcW w:w="1276" w:type="dxa"/>
            <w:vAlign w:val="center"/>
          </w:tcPr>
          <w:p w:rsidR="00B41E3B" w:rsidRDefault="00E13EA8">
            <w:pPr>
              <w:jc w:val="right"/>
            </w:pPr>
            <w:r>
              <w:rPr>
                <w:rFonts w:eastAsiaTheme="minorEastAsia"/>
                <w:kern w:val="0"/>
                <w:szCs w:val="21"/>
              </w:rPr>
              <w:t>3,208,722.00</w:t>
            </w:r>
          </w:p>
        </w:tc>
        <w:tc>
          <w:tcPr>
            <w:tcW w:w="1842" w:type="dxa"/>
            <w:vAlign w:val="center"/>
          </w:tcPr>
          <w:p w:rsidR="00B41E3B" w:rsidRDefault="00E13EA8">
            <w:pPr>
              <w:jc w:val="right"/>
            </w:pPr>
            <w:r>
              <w:rPr>
                <w:rFonts w:eastAsiaTheme="minorEastAsia"/>
                <w:kern w:val="0"/>
                <w:szCs w:val="21"/>
              </w:rPr>
              <w:t>93,983,467.38</w:t>
            </w:r>
          </w:p>
        </w:tc>
        <w:tc>
          <w:tcPr>
            <w:tcW w:w="1616" w:type="dxa"/>
            <w:vAlign w:val="center"/>
          </w:tcPr>
          <w:p w:rsidR="00B41E3B" w:rsidRDefault="00E13EA8">
            <w:pPr>
              <w:jc w:val="right"/>
            </w:pPr>
            <w:r>
              <w:rPr>
                <w:rFonts w:eastAsiaTheme="minorEastAsia"/>
                <w:kern w:val="0"/>
                <w:szCs w:val="21"/>
              </w:rPr>
              <w:t>2.93</w:t>
            </w:r>
          </w:p>
        </w:tc>
      </w:tr>
      <w:tr w:rsidR="00B41E3B">
        <w:tc>
          <w:tcPr>
            <w:tcW w:w="817" w:type="dxa"/>
            <w:vAlign w:val="center"/>
          </w:tcPr>
          <w:p w:rsidR="00B41E3B" w:rsidRDefault="00E13EA8">
            <w:pPr>
              <w:jc w:val="center"/>
            </w:pPr>
            <w:r>
              <w:rPr>
                <w:rFonts w:eastAsiaTheme="minorEastAsia"/>
                <w:kern w:val="0"/>
                <w:szCs w:val="21"/>
              </w:rPr>
              <w:t>9</w:t>
            </w:r>
          </w:p>
        </w:tc>
        <w:tc>
          <w:tcPr>
            <w:tcW w:w="1276" w:type="dxa"/>
            <w:vAlign w:val="center"/>
          </w:tcPr>
          <w:p w:rsidR="00B41E3B" w:rsidRDefault="00E13EA8">
            <w:pPr>
              <w:jc w:val="center"/>
            </w:pPr>
            <w:r>
              <w:rPr>
                <w:rFonts w:eastAsiaTheme="minorEastAsia"/>
                <w:kern w:val="0"/>
                <w:szCs w:val="21"/>
              </w:rPr>
              <w:t>002230</w:t>
            </w:r>
          </w:p>
        </w:tc>
        <w:tc>
          <w:tcPr>
            <w:tcW w:w="1701" w:type="dxa"/>
            <w:vAlign w:val="center"/>
          </w:tcPr>
          <w:p w:rsidR="00B41E3B" w:rsidRDefault="00E13EA8">
            <w:pPr>
              <w:jc w:val="center"/>
            </w:pPr>
            <w:r>
              <w:rPr>
                <w:rFonts w:eastAsiaTheme="minorEastAsia"/>
                <w:kern w:val="0"/>
                <w:szCs w:val="21"/>
              </w:rPr>
              <w:t>科大讯飞</w:t>
            </w:r>
          </w:p>
        </w:tc>
        <w:tc>
          <w:tcPr>
            <w:tcW w:w="1276" w:type="dxa"/>
            <w:vAlign w:val="center"/>
          </w:tcPr>
          <w:p w:rsidR="00B41E3B" w:rsidRDefault="00E13EA8">
            <w:pPr>
              <w:jc w:val="right"/>
            </w:pPr>
            <w:r>
              <w:rPr>
                <w:rFonts w:eastAsiaTheme="minorEastAsia"/>
                <w:kern w:val="0"/>
                <w:szCs w:val="21"/>
              </w:rPr>
              <w:t>1,402,900.00</w:t>
            </w:r>
          </w:p>
        </w:tc>
        <w:tc>
          <w:tcPr>
            <w:tcW w:w="1842" w:type="dxa"/>
            <w:vAlign w:val="center"/>
          </w:tcPr>
          <w:p w:rsidR="00B41E3B" w:rsidRDefault="00E13EA8">
            <w:pPr>
              <w:jc w:val="right"/>
            </w:pPr>
            <w:r>
              <w:rPr>
                <w:rFonts w:eastAsiaTheme="minorEastAsia"/>
                <w:kern w:val="0"/>
                <w:szCs w:val="21"/>
              </w:rPr>
              <w:t>89,336,672.00</w:t>
            </w:r>
          </w:p>
        </w:tc>
        <w:tc>
          <w:tcPr>
            <w:tcW w:w="1616" w:type="dxa"/>
            <w:vAlign w:val="center"/>
          </w:tcPr>
          <w:p w:rsidR="00B41E3B" w:rsidRDefault="00E13EA8">
            <w:pPr>
              <w:jc w:val="right"/>
            </w:pPr>
            <w:r>
              <w:rPr>
                <w:rFonts w:eastAsiaTheme="minorEastAsia"/>
                <w:kern w:val="0"/>
                <w:szCs w:val="21"/>
              </w:rPr>
              <w:t>2.79</w:t>
            </w:r>
          </w:p>
        </w:tc>
      </w:tr>
      <w:tr w:rsidR="00B41E3B">
        <w:tc>
          <w:tcPr>
            <w:tcW w:w="817" w:type="dxa"/>
            <w:vAlign w:val="center"/>
          </w:tcPr>
          <w:p w:rsidR="00B41E3B" w:rsidRDefault="00E13EA8">
            <w:pPr>
              <w:jc w:val="center"/>
            </w:pPr>
            <w:r>
              <w:rPr>
                <w:rFonts w:eastAsiaTheme="minorEastAsia"/>
                <w:kern w:val="0"/>
                <w:szCs w:val="21"/>
              </w:rPr>
              <w:t>10</w:t>
            </w:r>
          </w:p>
        </w:tc>
        <w:tc>
          <w:tcPr>
            <w:tcW w:w="1276" w:type="dxa"/>
            <w:vAlign w:val="center"/>
          </w:tcPr>
          <w:p w:rsidR="00B41E3B" w:rsidRDefault="00E13EA8">
            <w:pPr>
              <w:jc w:val="center"/>
            </w:pPr>
            <w:r>
              <w:rPr>
                <w:rFonts w:eastAsiaTheme="minorEastAsia"/>
                <w:kern w:val="0"/>
                <w:szCs w:val="21"/>
              </w:rPr>
              <w:t>688111</w:t>
            </w:r>
          </w:p>
        </w:tc>
        <w:tc>
          <w:tcPr>
            <w:tcW w:w="1701" w:type="dxa"/>
            <w:vAlign w:val="center"/>
          </w:tcPr>
          <w:p w:rsidR="00B41E3B" w:rsidRDefault="00E13EA8">
            <w:pPr>
              <w:jc w:val="center"/>
            </w:pPr>
            <w:r>
              <w:rPr>
                <w:rFonts w:eastAsiaTheme="minorEastAsia"/>
                <w:kern w:val="0"/>
                <w:szCs w:val="21"/>
              </w:rPr>
              <w:t>金山办公</w:t>
            </w:r>
          </w:p>
        </w:tc>
        <w:tc>
          <w:tcPr>
            <w:tcW w:w="1276" w:type="dxa"/>
            <w:vAlign w:val="center"/>
          </w:tcPr>
          <w:p w:rsidR="00B41E3B" w:rsidRDefault="00E13EA8">
            <w:pPr>
              <w:jc w:val="right"/>
            </w:pPr>
            <w:r>
              <w:rPr>
                <w:rFonts w:eastAsiaTheme="minorEastAsia"/>
                <w:kern w:val="0"/>
                <w:szCs w:val="21"/>
              </w:rPr>
              <w:t>181,019.00</w:t>
            </w:r>
          </w:p>
        </w:tc>
        <w:tc>
          <w:tcPr>
            <w:tcW w:w="1842" w:type="dxa"/>
            <w:vAlign w:val="center"/>
          </w:tcPr>
          <w:p w:rsidR="00B41E3B" w:rsidRDefault="00E13EA8">
            <w:pPr>
              <w:jc w:val="right"/>
            </w:pPr>
            <w:r>
              <w:rPr>
                <w:rFonts w:eastAsiaTheme="minorEastAsia"/>
                <w:kern w:val="0"/>
                <w:szCs w:val="21"/>
              </w:rPr>
              <w:t>85,621,987.00</w:t>
            </w:r>
          </w:p>
        </w:tc>
        <w:tc>
          <w:tcPr>
            <w:tcW w:w="1616" w:type="dxa"/>
            <w:vAlign w:val="center"/>
          </w:tcPr>
          <w:p w:rsidR="00B41E3B" w:rsidRDefault="00E13EA8">
            <w:pPr>
              <w:jc w:val="right"/>
            </w:pPr>
            <w:r>
              <w:rPr>
                <w:rFonts w:eastAsiaTheme="minorEastAsia"/>
                <w:kern w:val="0"/>
                <w:szCs w:val="21"/>
              </w:rPr>
              <w:t>2.67</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915,143.05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1,238,529.66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2,153,672.71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1,537,262,579.93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2,100,949.18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55,239,512.84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1,474,772.61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70,717,559.69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1,085,532.28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1,521,784,533.08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2,490,189.51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《摩根科技前沿灵活配置混合型证券投资基金基金合同》；</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《摩根科技前沿灵活配置混合型证券投资基金托管协议》；</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B41E3B" w:rsidRDefault="00E13EA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13EA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13EA8">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13EA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摩根科技前沿灵活配置混合型证券投资基金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1E3B"/>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3EA8"/>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EA6E2-0194-4565-87D0-1E43831A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1199</Words>
  <Characters>6838</Characters>
  <Application>Microsoft Office Word</Application>
  <DocSecurity>0</DocSecurity>
  <Lines>56</Lines>
  <Paragraphs>16</Paragraphs>
  <ScaleCrop>false</ScaleCrop>
  <Company>TRT. Ltd. Co.</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2023-04-20T06:27:00Z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