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body>
    <w:p w14:paraId="44C15BAA"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48E65E7A"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48C3405E"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05892C05"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7A6A756F"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61281750" w14:textId="77777777" w:rsidR="00D06738" w:rsidRDefault="00454D20">
      <w:pPr>
        <w:spacing w:line="360" w:lineRule="auto"/>
        <w:jc w:val="center"/>
        <w:rPr>
          <w:rFonts w:asciiTheme="minorEastAsia" w:eastAsiaTheme="minorEastAsia" w:hAnsiTheme="minorEastAsia"/>
          <w:b/>
          <w:color w:themeColor="text1" w:val="000000"/>
          <w:sz w:val="36"/>
          <w:szCs w:val="36"/>
        </w:rPr>
      </w:pPr>
      <w:r>
        <w:rPr>
          <w:rFonts w:asciiTheme="minorEastAsia" w:eastAsiaTheme="minorEastAsia" w:hAnsiTheme="minorEastAsia" w:hint="eastAsia"/>
          <w:b/>
          <w:color w:themeColor="text1" w:val="000000"/>
          <w:sz w:val="36"/>
          <w:szCs w:val="36"/>
        </w:rPr>
        <w:t/>
      </w:r>
      <w:proofErr w:type="spellStart"/>
      <w:r>
        <w:rPr>
          <w:rFonts w:asciiTheme="minorEastAsia" w:eastAsiaTheme="minorEastAsia" w:hAnsiTheme="minorEastAsia"/>
          <w:b/>
          <w:color w:themeColor="text1" w:val="000000"/>
          <w:sz w:val="36"/>
          <w:szCs w:val="36"/>
        </w:rPr>
        <w:t/>
      </w:r>
      <w:r>
        <w:rPr>
          <w:rFonts w:asciiTheme="minorEastAsia" w:eastAsiaTheme="minorEastAsia" w:hAnsiTheme="minorEastAsia" w:hint="eastAsia"/>
          <w:b/>
          <w:color w:themeColor="text1" w:val="000000"/>
          <w:sz w:val="36"/>
          <w:szCs w:val="36"/>
        </w:rPr>
        <w:t/>
      </w:r>
      <w:r>
        <w:rPr>
          <w:rFonts w:asciiTheme="minorEastAsia" w:eastAsiaTheme="minorEastAsia" w:hAnsiTheme="minorEastAsia"/>
          <w:b/>
          <w:color w:themeColor="text1" w:val="000000"/>
          <w:sz w:val="36"/>
          <w:szCs w:val="36"/>
        </w:rPr>
        <w:t/>
      </w:r>
      <w:proofErr w:type="spellEnd"/>
      <w:r>
        <w:rPr>
          <w:rFonts w:asciiTheme="minorEastAsia" w:eastAsiaTheme="minorEastAsia" w:hAnsiTheme="minorEastAsia" w:hint="eastAsia"/>
          <w:b/>
          <w:color w:themeColor="text1" w:val="000000"/>
          <w:sz w:val="36"/>
          <w:szCs w:val="36"/>
        </w:rPr>
        <w:t>上投摩根科技前沿灵活配置混合型证券投资基金</w:t>
      </w:r>
    </w:p>
    <w:p w14:paraId="5A1338CB" w14:textId="77777777" w:rsidR="00D06738" w:rsidRDefault="00454D20">
      <w:pPr>
        <w:spacing w:line="360" w:lineRule="auto"/>
        <w:jc w:val="center"/>
        <w:rPr>
          <w:rFonts w:asciiTheme="minorEastAsia" w:eastAsiaTheme="minorEastAsia" w:hAnsiTheme="minorEastAsia"/>
          <w:b/>
          <w:color w:themeColor="text1" w:val="000000"/>
          <w:sz w:val="36"/>
          <w:szCs w:val="36"/>
        </w:rPr>
      </w:pPr>
      <w:r>
        <w:rPr>
          <w:rFonts w:asciiTheme="minorEastAsia" w:eastAsiaTheme="minorEastAsia" w:hAnsiTheme="minorEastAsia" w:hint="eastAsia"/>
          <w:b/>
          <w:color w:themeColor="text1" w:val="000000"/>
          <w:sz w:val="36"/>
          <w:szCs w:val="36"/>
        </w:rPr>
        <w:t/>
      </w:r>
      <w:proofErr w:type="spellStart"/>
      <w:r>
        <w:rPr>
          <w:rFonts w:asciiTheme="minorEastAsia" w:eastAsiaTheme="minorEastAsia" w:hAnsiTheme="minorEastAsia" w:hint="eastAsia"/>
          <w:b/>
          <w:color w:themeColor="text1" w:val="000000"/>
          <w:sz w:val="36"/>
          <w:szCs w:val="36"/>
        </w:rPr>
        <w:t/>
      </w:r>
      <w:proofErr w:type="spellEnd"/>
      <w:r>
        <w:rPr>
          <w:rFonts w:asciiTheme="minorEastAsia" w:eastAsiaTheme="minorEastAsia" w:hAnsiTheme="minorEastAsia" w:hint="eastAsia"/>
          <w:b/>
          <w:color w:themeColor="text1" w:val="000000"/>
          <w:sz w:val="36"/>
          <w:szCs w:val="36"/>
        </w:rPr>
        <w:t>2021年第1季度报告</w:t>
      </w:r>
    </w:p>
    <w:p w14:paraId="2E76B0B1" w14:textId="77777777" w:rsidR="00D06738" w:rsidRDefault="00454D20">
      <w:pPr>
        <w:spacing w:line="360" w:lineRule="auto"/>
        <w:jc w:val="center"/>
        <w:rPr>
          <w:rFonts w:asciiTheme="minorEastAsia" w:eastAsiaTheme="minorEastAsia" w:hAnsiTheme="minorEastAsia"/>
          <w:b/>
          <w:color w:themeColor="text1" w:val="000000"/>
          <w:sz w:val="24"/>
          <w:szCs w:val="24"/>
        </w:rPr>
      </w:pPr>
      <w:r>
        <w:rPr>
          <w:rFonts w:asciiTheme="minorEastAsia" w:eastAsiaTheme="minorEastAsia" w:hAnsiTheme="minorEastAsia"/>
          <w:b/>
          <w:color w:themeColor="text1" w:val="000000"/>
          <w:sz w:val="24"/>
          <w:szCs w:val="24"/>
        </w:rPr>
        <w:t/>
      </w:r>
      <w:proofErr w:type="spellStart"/>
      <w:r>
        <w:rPr>
          <w:rFonts w:asciiTheme="minorEastAsia" w:eastAsiaTheme="minorEastAsia" w:hAnsiTheme="minorEastAsia"/>
          <w:b/>
          <w:color w:themeColor="text1" w:val="000000"/>
          <w:sz w:val="24"/>
          <w:szCs w:val="24"/>
        </w:rPr>
        <w:t/>
      </w:r>
      <w:proofErr w:type="spellEnd"/>
      <w:r>
        <w:rPr>
          <w:rFonts w:asciiTheme="minorEastAsia" w:eastAsiaTheme="minorEastAsia" w:hAnsiTheme="minorEastAsia"/>
          <w:b/>
          <w:color w:themeColor="text1" w:val="000000"/>
          <w:sz w:val="24"/>
          <w:szCs w:val="24"/>
        </w:rPr>
        <w:t>2021年3月31日</w:t>
      </w:r>
    </w:p>
    <w:p w14:paraId="1A655430"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3C5B7FC4"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1D41633D"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7088D740"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4CB6A604"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160BB35C"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59EC83F9"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618FC018"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62C95459"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60B5CF4B"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39DE5ED7"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22E93BD8"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68A989DC"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4B1AA632" w14:textId="77777777" w:rsidR="00D06738" w:rsidRDefault="00D06738">
      <w:pPr>
        <w:spacing w:line="360" w:lineRule="auto"/>
        <w:rPr>
          <w:rFonts w:asciiTheme="minorEastAsia" w:eastAsiaTheme="minorEastAsia" w:hAnsiTheme="minorEastAsia"/>
          <w:b/>
          <w:bCs/>
          <w:color w:themeColor="text1" w:val="000000"/>
          <w:sz w:val="24"/>
          <w:szCs w:val="24"/>
        </w:rPr>
      </w:pPr>
    </w:p>
    <w:p w14:paraId="5866ADDF" w14:textId="77777777" w:rsidR="00D06738" w:rsidRDefault="00454D20">
      <w:pPr>
        <w:spacing w:line="360" w:lineRule="auto"/>
        <w:ind w:firstLine="2168" w:firstLineChars="900"/>
        <w:rPr>
          <w:rFonts w:asciiTheme="minorEastAsia" w:eastAsiaTheme="minorEastAsia" w:hAnsiTheme="minorEastAsia"/>
          <w:b/>
          <w:color w:themeColor="text1" w:val="000000"/>
          <w:sz w:val="24"/>
          <w:szCs w:val="24"/>
        </w:rPr>
      </w:pPr>
      <w:r>
        <w:rPr>
          <w:rFonts w:asciiTheme="minorEastAsia" w:eastAsiaTheme="minorEastAsia" w:hAnsiTheme="minorEastAsia" w:hint="eastAsia"/>
          <w:b/>
          <w:color w:themeColor="text1" w:val="000000"/>
          <w:sz w:val="24"/>
          <w:szCs w:val="24"/>
        </w:rPr>
        <w:t>基金管理人：</w:t>
      </w:r>
      <w:r>
        <w:rPr>
          <w:rFonts w:asciiTheme="minorEastAsia" w:eastAsiaTheme="minorEastAsia" w:hAnsiTheme="minorEastAsia"/>
          <w:b/>
          <w:color w:themeColor="text1" w:val="000000"/>
          <w:sz w:val="24"/>
          <w:szCs w:val="24"/>
        </w:rPr>
        <w:t/>
      </w:r>
      <w:proofErr w:type="spellStart"/>
      <w:r>
        <w:rPr>
          <w:rFonts w:asciiTheme="minorEastAsia" w:eastAsiaTheme="minorEastAsia" w:hAnsiTheme="minorEastAsia"/>
          <w:b/>
          <w:color w:themeColor="text1" w:val="000000"/>
          <w:sz w:val="24"/>
          <w:szCs w:val="24"/>
        </w:rPr>
        <w:t/>
      </w:r>
      <w:proofErr w:type="spellEnd"/>
      <w:r>
        <w:rPr>
          <w:rFonts w:asciiTheme="minorEastAsia" w:eastAsiaTheme="minorEastAsia" w:hAnsiTheme="minorEastAsia"/>
          <w:b/>
          <w:color w:themeColor="text1" w:val="000000"/>
          <w:sz w:val="24"/>
          <w:szCs w:val="24"/>
        </w:rPr>
        <w:t>上投摩根基金管理有限公司</w:t>
      </w:r>
    </w:p>
    <w:p w14:paraId="76291874" w14:textId="77777777" w:rsidR="00D06738" w:rsidRDefault="00454D20">
      <w:pPr>
        <w:spacing w:line="360" w:lineRule="auto"/>
        <w:ind w:firstLine="2168" w:firstLineChars="900"/>
        <w:rPr>
          <w:rFonts w:asciiTheme="minorEastAsia" w:eastAsiaTheme="minorEastAsia" w:hAnsiTheme="minorEastAsia"/>
          <w:b/>
          <w:color w:themeColor="text1" w:val="000000"/>
          <w:sz w:val="24"/>
          <w:szCs w:val="24"/>
        </w:rPr>
      </w:pPr>
      <w:r>
        <w:rPr>
          <w:rFonts w:asciiTheme="minorEastAsia" w:eastAsiaTheme="minorEastAsia" w:hAnsiTheme="minorEastAsia" w:hint="eastAsia"/>
          <w:b/>
          <w:color w:themeColor="text1" w:val="000000"/>
          <w:sz w:val="24"/>
          <w:szCs w:val="24"/>
        </w:rPr>
        <w:t>基金托管人：</w:t>
      </w:r>
      <w:r>
        <w:rPr>
          <w:rFonts w:asciiTheme="minorEastAsia" w:eastAsiaTheme="minorEastAsia" w:hAnsiTheme="minorEastAsia"/>
          <w:b/>
          <w:color w:themeColor="text1" w:val="000000"/>
          <w:sz w:val="24"/>
          <w:szCs w:val="24"/>
        </w:rPr>
        <w:t/>
      </w:r>
      <w:proofErr w:type="spellStart"/>
      <w:r>
        <w:rPr>
          <w:rFonts w:asciiTheme="minorEastAsia" w:eastAsiaTheme="minorEastAsia" w:hAnsiTheme="minorEastAsia"/>
          <w:b/>
          <w:color w:themeColor="text1" w:val="000000"/>
          <w:sz w:val="24"/>
          <w:szCs w:val="24"/>
        </w:rPr>
        <w:t/>
      </w:r>
      <w:proofErr w:type="spellEnd"/>
      <w:r>
        <w:rPr>
          <w:rFonts w:asciiTheme="minorEastAsia" w:eastAsiaTheme="minorEastAsia" w:hAnsiTheme="minorEastAsia"/>
          <w:b/>
          <w:color w:themeColor="text1" w:val="000000"/>
          <w:sz w:val="24"/>
          <w:szCs w:val="24"/>
        </w:rPr>
        <w:t>中国银行股份有限公司</w:t>
      </w:r>
    </w:p>
    <w:p w14:paraId="219C0F2E" w14:textId="77777777" w:rsidR="00D06738" w:rsidRDefault="00454D20">
      <w:pPr>
        <w:spacing w:line="360" w:lineRule="auto"/>
        <w:ind w:firstLine="2168" w:firstLineChars="900"/>
        <w:rPr>
          <w:rFonts w:asciiTheme="minorEastAsia" w:eastAsiaTheme="minorEastAsia" w:hAnsiTheme="minorEastAsia"/>
          <w:b/>
          <w:color w:themeColor="text1" w:val="000000"/>
          <w:sz w:val="24"/>
          <w:szCs w:val="24"/>
        </w:rPr>
        <w:sectPr w:rsidR="00D06738">
          <w:headerReference r:id="rId8" w:type="default"/>
          <w:footerReference r:id="rId9" w:type="default"/>
          <w:pgSz w:h="15840" w:w="11926"/>
          <w:pgMar w:bottom="851" w:footer="992" w:gutter="0" w:header="851" w:left="1418" w:right="1418" w:top="1418"/>
          <w:cols w:space="720"/>
        </w:sectPr>
      </w:pPr>
      <w:r>
        <w:rPr>
          <w:rFonts w:asciiTheme="minorEastAsia" w:eastAsiaTheme="minorEastAsia" w:hAnsiTheme="minorEastAsia" w:hint="eastAsia"/>
          <w:b/>
          <w:color w:themeColor="text1" w:val="000000"/>
          <w:sz w:val="24"/>
          <w:szCs w:val="24"/>
        </w:rPr>
        <w:t>报告送出日期：</w:t>
      </w:r>
      <w:r>
        <w:rPr>
          <w:rFonts w:asciiTheme="minorEastAsia" w:eastAsiaTheme="minorEastAsia" w:hAnsiTheme="minorEastAsia"/>
          <w:b/>
          <w:color w:themeColor="text1" w:val="000000"/>
          <w:sz w:val="24"/>
          <w:szCs w:val="24"/>
        </w:rPr>
        <w:t/>
      </w:r>
      <w:proofErr w:type="spellStart"/>
      <w:r>
        <w:rPr>
          <w:rFonts w:asciiTheme="minorEastAsia" w:eastAsiaTheme="minorEastAsia" w:hAnsiTheme="minorEastAsia" w:hint="eastAsia"/>
          <w:b/>
          <w:color w:themeColor="text1" w:val="000000"/>
          <w:sz w:val="24"/>
          <w:szCs w:val="24"/>
        </w:rPr>
        <w:t/>
      </w:r>
      <w:proofErr w:type="spellEnd"/>
      <w:r>
        <w:rPr>
          <w:rFonts w:asciiTheme="minorEastAsia" w:eastAsiaTheme="minorEastAsia" w:hAnsiTheme="minorEastAsia"/>
          <w:b/>
          <w:color w:themeColor="text1" w:val="000000"/>
          <w:sz w:val="24"/>
          <w:szCs w:val="24"/>
        </w:rPr>
        <w:t>二〇二一年四月二十二日</w:t>
      </w:r>
    </w:p>
    <w:p w14:paraId="7AFF270F" w14:textId="77777777" w:rsidR="00D06738" w:rsidRDefault="00454D20">
      <w:pPr>
        <w:pStyle w:val="1"/>
        <w:spacing w:after="312" w:afterLines="100" w:before="312" w:beforeLines="100" w:line="360" w:lineRule="auto"/>
        <w:jc w:val="center"/>
        <w:rPr>
          <w:rFonts w:asciiTheme="minorEastAsia" w:eastAsiaTheme="minorEastAsia" w:hAnsiTheme="minorEastAsia"/>
          <w:b w:val="0"/>
          <w:bCs w:val="0"/>
          <w:color w:themeColor="text1" w:val="000000"/>
          <w:kern w:val="0"/>
          <w:sz w:val="24"/>
          <w:szCs w:val="24"/>
        </w:rPr>
      </w:pPr>
      <w:r>
        <w:rPr>
          <w:rFonts w:asciiTheme="minorEastAsia" w:eastAsiaTheme="minorEastAsia" w:hAnsiTheme="minorEastAsia" w:hint="eastAsia"/>
          <w:color w:themeColor="text1" w:val="000000"/>
          <w:kern w:val="0"/>
          <w:sz w:val="24"/>
          <w:szCs w:val="24"/>
        </w:rPr>
        <w:lastRenderedPageBreak/>
        <w:t>§</w:t>
      </w:r>
      <w:r>
        <w:rPr>
          <w:rFonts w:asciiTheme="minorEastAsia" w:eastAsiaTheme="minorEastAsia" w:hAnsiTheme="minorEastAsia"/>
          <w:color w:themeColor="text1" w:val="000000"/>
          <w:kern w:val="0"/>
          <w:sz w:val="24"/>
          <w:szCs w:val="24"/>
        </w:rPr>
        <w:t xml:space="preserve">1  </w:t>
      </w:r>
      <w:r>
        <w:rPr>
          <w:rFonts w:asciiTheme="minorEastAsia" w:eastAsiaTheme="minorEastAsia" w:hAnsiTheme="minorEastAsia" w:hint="eastAsia"/>
          <w:color w:themeColor="text1" w:val="000000"/>
          <w:kern w:val="0"/>
          <w:sz w:val="24"/>
          <w:szCs w:val="24"/>
        </w:rPr>
        <w:t>重要提示</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基金管理人的董事会及董事保证本报告所载资料不存在虚假记载、误导性陈述或重大遗漏，并对其内容的真实性、准确性和完整性承担个别及连带责任。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基金托管人中国银行股份有限公司根据本基金合同规定，于2021年4月21日复核了本报告中的财务指标、净值表现和投资组合报告等内容，保证复核内容不存在虚假记载、误导性陈述或者重大遗漏。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基金管理人承诺以诚实信用、勤勉尽责的原则管理和运用基金资产，但不保证基金一定盈利。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基金的过往业绩并不代表其未来表现。投资有风险，投资者在作出投资决策前应仔细阅读本基金的招募说明书。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本报告中财务资料未经审计。</w:t>
      </w:r>
    </w:p>
    <w:p w14:paraId="298A5200"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本报告期自2021年1月1日起至3月31日止。</w:t>
      </w:r>
    </w:p>
    <w:p w14:paraId="3A78A50A"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2  </w:t>
      </w:r>
      <w:r>
        <w:rPr>
          <w:rFonts w:asciiTheme="minorEastAsia" w:eastAsiaTheme="minorEastAsia" w:hAnsiTheme="minorEastAsia" w:hint="eastAsia"/>
          <w:color w:themeColor="text1" w:val="000000"/>
          <w:kern w:val="0"/>
          <w:sz w:val="24"/>
          <w:szCs w:val="24"/>
        </w:rPr>
        <w:t>基金产品概况</w:t>
      </w:r>
    </w:p>
    <w:tbl>
      <w:tblPr>
        <w:tblW w:type="dxa" w:w="831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2835"/>
        <w:gridCol w:w="2739"/>
        <w:gridCol w:w="2740"/>
      </w:tblGrid>
      <w:tr w14:paraId="0D826A0C" w14:textId="77777777" w:rsidR="00D06738">
        <w:tc>
          <w:tcPr>
            <w:tcW w:type="dxa" w:w="2835"/>
            <w:vAlign w:val="center"/>
          </w:tcPr>
          <w:p w14:paraId="41603EB5"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基金简称</w:t>
            </w:r>
          </w:p>
        </w:tc>
        <w:tc>
          <w:tcPr>
            <w:tcW w:type="dxa" w:w="5479"/>
            <w:gridSpan w:val="2"/>
            <w:vAlign w:val="center"/>
          </w:tcPr>
          <w:p w14:paraId="245289EF"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上投摩根科技前沿混合</w:t>
            </w:r>
          </w:p>
        </w:tc>
      </w:tr>
      <w:tr w14:paraId="6487C456" w14:textId="77777777" w:rsidR="00D06738">
        <w:tc>
          <w:tcPr>
            <w:tcW w:type="dxa" w:w="2835"/>
            <w:tcBorders>
              <w:top w:color="auto" w:space="0" w:sz="4" w:val="single"/>
              <w:left w:color="auto" w:space="0" w:sz="4" w:val="single"/>
              <w:bottom w:color="auto" w:space="0" w:sz="4" w:val="single"/>
              <w:right w:color="auto" w:space="0" w:sz="4" w:val="single"/>
            </w:tcBorders>
            <w:vAlign w:val="center"/>
          </w:tcPr>
          <w:p w14:paraId="6BDFC5CF" w14:textId="77777777" w:rsidR="00D06738" w:rsidRDefault="00454D20">
            <w:pPr>
              <w:adjustRightInd w:val="0"/>
              <w:spacing w:before="29" w:line="360" w:lineRule="auto"/>
              <w:ind w:left="17"/>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基金主代码</w:t>
            </w:r>
          </w:p>
        </w:tc>
        <w:tc>
          <w:tcPr>
            <w:tcW w:type="dxa" w:w="5479"/>
            <w:gridSpan w:val="2"/>
            <w:tcBorders>
              <w:top w:color="auto" w:space="0" w:sz="4" w:val="single"/>
              <w:left w:color="auto" w:space="0" w:sz="4" w:val="single"/>
              <w:bottom w:color="auto" w:space="0" w:sz="4" w:val="single"/>
              <w:right w:color="auto" w:space="0" w:sz="4" w:val="single"/>
            </w:tcBorders>
            <w:vAlign w:val="center"/>
          </w:tcPr>
          <w:p w14:paraId="02B49369"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
            </w:r>
            <w:proofErr w:type="spellStart"/>
            <w:r>
              <w:rPr>
                <w:rFonts w:asciiTheme="minorEastAsia" w:eastAsiaTheme="minorEastAsia" w:hAnsiTheme="minorEastAsia" w:hint="eastAsia"/>
                <w:color w:themeColor="text1" w:val="000000"/>
                <w:kern w:val="0"/>
              </w:rPr>
              <w:t/>
            </w:r>
            <w:proofErr w:type="spellEnd"/>
            <w:r>
              <w:rPr>
                <w:rFonts w:asciiTheme="minorEastAsia" w:eastAsiaTheme="minorEastAsia" w:hAnsiTheme="minorEastAsia" w:hint="eastAsia"/>
                <w:color w:themeColor="text1" w:val="000000"/>
                <w:kern w:val="0"/>
              </w:rPr>
              <w:t>001538</w:t>
            </w:r>
          </w:p>
        </w:tc>
      </w:tr>
      <w:tr w14:paraId="2443AB88" w14:textId="77777777" w:rsidR="00D06738">
        <w:tc>
          <w:tcPr>
            <w:tcW w:type="dxa" w:w="2835"/>
            <w:tcBorders>
              <w:top w:color="auto" w:space="0" w:sz="4" w:val="single"/>
              <w:left w:color="auto" w:space="0" w:sz="4" w:val="single"/>
              <w:bottom w:color="auto" w:space="0" w:sz="4" w:val="single"/>
              <w:right w:color="auto" w:space="0" w:sz="4" w:val="single"/>
            </w:tcBorders>
            <w:vAlign w:val="center"/>
          </w:tcPr>
          <w:p w14:paraId="478402FE" w14:textId="77777777" w:rsidR="00D06738" w:rsidRDefault="00454D20">
            <w:pPr>
              <w:adjustRightInd w:val="0"/>
              <w:spacing w:before="29" w:line="360" w:lineRule="auto"/>
              <w:ind w:left="17"/>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交易代码</w:t>
            </w:r>
          </w:p>
        </w:tc>
        <w:tc>
          <w:tcPr>
            <w:tcW w:type="dxa" w:w="5479"/>
            <w:gridSpan w:val="2"/>
            <w:tcBorders>
              <w:top w:color="auto" w:space="0" w:sz="4" w:val="single"/>
              <w:left w:color="auto" w:space="0" w:sz="4" w:val="single"/>
              <w:bottom w:color="auto" w:space="0" w:sz="4" w:val="single"/>
              <w:right w:color="auto" w:space="0" w:sz="4" w:val="single"/>
            </w:tcBorders>
            <w:vAlign w:val="center"/>
          </w:tcPr>
          <w:p w14:paraId="2E739C65"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hint="eastAsia"/>
                <w:color w:themeColor="text1" w:val="000000"/>
                <w:kern w:val="0"/>
              </w:rPr>
              <w:t/>
            </w:r>
            <w:proofErr w:type="spellEnd"/>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hint="eastAsia"/>
                <w:color w:themeColor="text1" w:val="000000"/>
                <w:kern w:val="0"/>
              </w:rPr>
              <w:t/>
            </w:r>
            <w:proofErr w:type="gramStart"/>
            <w:r>
              <w:rPr>
                <w:rFonts w:asciiTheme="minorEastAsia" w:cs="宋体" w:eastAsiaTheme="minorEastAsia" w:hAnsiTheme="minorEastAsia" w:hint="eastAsia"/>
                <w:color w:themeColor="text1" w:val="000000"/>
                <w:kern w:val="0"/>
              </w:rPr>
              <w:t/>
            </w:r>
            <w:proofErr w:type="spellEnd"/>
            <w:r>
              <w:rPr>
                <w:rFonts w:asciiTheme="minorEastAsia" w:cs="宋体" w:eastAsiaTheme="minorEastAsia" w:hAnsiTheme="minorEastAsia" w:hint="eastAsia"/>
                <w:color w:themeColor="text1" w:val="000000"/>
                <w:kern w:val="0"/>
              </w:rPr>
              <w:t/>
            </w:r>
            <w:proofErr w:type="spellStart"/>
            <w:proofErr w:type="gramEnd"/>
            <w:r>
              <w:rPr>
                <w:rFonts w:asciiTheme="minorEastAsia" w:cs="宋体" w:eastAsiaTheme="minorEastAsia" w:hAnsiTheme="minorEastAsia" w:hint="eastAsia"/>
                <w:color w:themeColor="text1" w:val="000000"/>
                <w:kern w:val="0"/>
              </w:rPr>
              <w:t/>
            </w:r>
            <w:proofErr w:type="spellEnd"/>
            <w:r>
              <w:rPr>
                <w:rFonts w:asciiTheme="minorEastAsia" w:cs="宋体" w:eastAsiaTheme="minorEastAsia" w:hAnsiTheme="minorEastAsia" w:hint="eastAsia"/>
                <w:color w:themeColor="text1" w:val="000000"/>
                <w:kern w:val="0"/>
              </w:rPr>
              <w:t>001538</w:t>
            </w:r>
          </w:p>
        </w:tc>
      </w:tr>
      <w:tr w14:paraId="7AF1FD7C" w14:textId="77777777" w:rsidR="00D06738">
        <w:tc>
          <w:tcPr>
            <w:tcW w:type="dxa" w:w="2835"/>
            <w:vAlign w:val="center"/>
          </w:tcPr>
          <w:p w14:paraId="042D4F2C"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基金运作方式</w:t>
            </w:r>
          </w:p>
        </w:tc>
        <w:tc>
          <w:tcPr>
            <w:tcW w:type="dxa" w:w="5479"/>
            <w:gridSpan w:val="2"/>
            <w:vAlign w:val="center"/>
          </w:tcPr>
          <w:p w14:paraId="594303B4"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契约型开放式</w:t>
            </w:r>
          </w:p>
        </w:tc>
      </w:tr>
      <w:tr w14:paraId="5E254ABC" w14:textId="77777777" w:rsidR="00D06738">
        <w:tc>
          <w:tcPr>
            <w:tcW w:type="dxa" w:w="2835"/>
            <w:vAlign w:val="center"/>
          </w:tcPr>
          <w:p w14:paraId="309669DF"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基金合同生效日</w:t>
            </w:r>
          </w:p>
        </w:tc>
        <w:tc>
          <w:tcPr>
            <w:tcW w:type="dxa" w:w="5479"/>
            <w:gridSpan w:val="2"/>
            <w:vAlign w:val="center"/>
          </w:tcPr>
          <w:p w14:paraId="1568522D"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2015年7月9日</w:t>
            </w:r>
          </w:p>
        </w:tc>
      </w:tr>
      <w:tr w14:paraId="06DF9713" w14:textId="77777777" w:rsidR="00D06738">
        <w:tc>
          <w:tcPr>
            <w:tcW w:type="dxa" w:w="2835"/>
            <w:vAlign w:val="center"/>
          </w:tcPr>
          <w:p w14:paraId="57B0E596"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报告期末基金份额总额</w:t>
            </w:r>
          </w:p>
        </w:tc>
        <w:tc>
          <w:tcPr>
            <w:tcW w:type="dxa" w:w="5479"/>
            <w:gridSpan w:val="2"/>
            <w:vAlign w:val="center"/>
          </w:tcPr>
          <w:p w14:paraId="38649CC9"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2,208,469,665.55</w:t>
            </w:r>
            <w:r>
              <w:rPr>
                <w:rFonts w:asciiTheme="minorEastAsia" w:eastAsiaTheme="minorEastAsia" w:hAnsiTheme="minorEastAsia" w:hint="eastAsia"/>
                <w:color w:themeColor="text1" w:val="000000"/>
                <w:kern w:val="0"/>
              </w:rPr>
              <w:t>份</w:t>
            </w:r>
          </w:p>
        </w:tc>
      </w:tr>
      <w:tr w14:paraId="03D1AE98" w14:textId="77777777" w:rsidR="00D06738">
        <w:tc>
          <w:tcPr>
            <w:tcW w:type="dxa" w:w="2835"/>
            <w:vAlign w:val="center"/>
          </w:tcPr>
          <w:p w14:paraId="4AB37564"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投资目标</w:t>
            </w:r>
          </w:p>
        </w:tc>
        <w:tc>
          <w:tcPr>
            <w:tcW w:type="dxa" w:w="5479"/>
            <w:gridSpan w:val="2"/>
            <w:vAlign w:val="center"/>
          </w:tcPr>
          <w:p w14:paraId="61AB4DB9"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采用定量及定性研究方法，自下而上优选科技前沿主题上市公司，通过严格的风险控制，力争实现基金资产的长期增值。</w:t>
            </w:r>
          </w:p>
        </w:tc>
      </w:tr>
      <w:tr w14:paraId="0CFEC550" w14:textId="77777777" w:rsidR="00D06738">
        <w:tc>
          <w:tcPr>
            <w:tcW w:type="dxa" w:w="2835"/>
            <w:vAlign w:val="center"/>
          </w:tcPr>
          <w:p w14:paraId="1E239E6A"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投资策略</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将通过系统和深入的基本面研究，密切关注处于科技前沿，通过高精尖科学技术为经济发展带来新增长点的相关行业及公司，重点投资于科技前沿主题相关行业的上市公司，分享中国经济增长模式转变带来的投资机会。</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在行业配置层面，本基金将从行业生命周期、行业景气度、行业竞争格局等多角度，综合评估各个行业的投资价值，对基金资产在行业间分配进行安排。</w:t>
            </w:r>
          </w:p>
          <w:p w14:paraId="57810DE4"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在个股选择层面，本基金将主要采用“自下而上”的方法，在备选行业内部通过定量与定性相结合的分析方法，综合分析上市公司的业绩质量、成长性和估值水平等，精选具有良好成长性、估值合理的个股。</w:t>
            </w:r>
          </w:p>
        </w:tc>
      </w:tr>
      <w:tr w14:paraId="43AD7C9F" w14:textId="77777777" w:rsidR="00D06738">
        <w:tc>
          <w:tcPr>
            <w:tcW w:type="dxa" w:w="2835"/>
            <w:vAlign w:val="center"/>
          </w:tcPr>
          <w:p w14:paraId="24E44D9B"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业绩比较基准</w:t>
            </w:r>
          </w:p>
        </w:tc>
        <w:tc>
          <w:tcPr>
            <w:tcW w:type="dxa" w:w="5479"/>
            <w:gridSpan w:val="2"/>
            <w:vAlign w:val="center"/>
          </w:tcPr>
          <w:p w14:paraId="6581E7FB"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中证800指数收益率*60%+中债总指数收益率*40%</w:t>
            </w:r>
          </w:p>
        </w:tc>
      </w:tr>
      <w:tr w14:paraId="42EA0DB3" w14:textId="77777777" w:rsidR="00D06738">
        <w:tc>
          <w:tcPr>
            <w:tcW w:type="dxa" w:w="2835"/>
            <w:vAlign w:val="center"/>
          </w:tcPr>
          <w:p w14:paraId="7192C3F0"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风险收益特征</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本基金属于混合型基金产品，预期风险和收益水平高于债券型基金和货币市场基金，低于股票型基金，属于较高风险收益水平的基金产品。</w:t>
            </w:r>
          </w:p>
          <w:p w14:paraId="2673C8C6"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根据2017年7月1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14:paraId="0A4AF1AB" w14:textId="77777777" w:rsidR="00D06738">
        <w:tc>
          <w:tcPr>
            <w:tcW w:type="dxa" w:w="2835"/>
            <w:vAlign w:val="center"/>
          </w:tcPr>
          <w:p w14:paraId="281C6797"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基金管理人</w:t>
            </w:r>
          </w:p>
        </w:tc>
        <w:tc>
          <w:tcPr>
            <w:tcW w:type="dxa" w:w="5479"/>
            <w:gridSpan w:val="2"/>
            <w:vAlign w:val="center"/>
          </w:tcPr>
          <w:p w14:paraId="64BEE458"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上投摩根基金管理有限公司</w:t>
            </w:r>
          </w:p>
        </w:tc>
      </w:tr>
      <w:tr w14:paraId="76894E86" w14:textId="77777777" w:rsidR="00D06738">
        <w:tc>
          <w:tcPr>
            <w:tcW w:type="dxa" w:w="2835"/>
            <w:vAlign w:val="center"/>
          </w:tcPr>
          <w:p w14:paraId="7825DD99"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基金托管人</w:t>
            </w:r>
          </w:p>
        </w:tc>
        <w:tc>
          <w:tcPr>
            <w:tcW w:type="dxa" w:w="5479"/>
            <w:gridSpan w:val="2"/>
            <w:vAlign w:val="center"/>
          </w:tcPr>
          <w:p w14:paraId="5FB3246D"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中国银行股份有限公司</w:t>
            </w:r>
          </w:p>
        </w:tc>
      </w:tr>
    </w:tbl>
    <w:p w14:paraId="0FD2B1FF"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3  </w:t>
      </w:r>
      <w:r>
        <w:rPr>
          <w:rFonts w:asciiTheme="minorEastAsia" w:eastAsiaTheme="minorEastAsia" w:hAnsiTheme="minorEastAsia" w:hint="eastAsia"/>
          <w:color w:themeColor="text1" w:val="000000"/>
          <w:kern w:val="0"/>
          <w:sz w:val="24"/>
          <w:szCs w:val="24"/>
        </w:rPr>
        <w:t>主要财务指标和基金净值表现</w:t>
      </w:r>
    </w:p>
    <w:p w14:paraId="210337B7"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3.1 </w:t>
      </w:r>
      <w:r>
        <w:rPr>
          <w:rFonts w:asciiTheme="minorEastAsia" w:eastAsiaTheme="minorEastAsia" w:hAnsiTheme="minorEastAsia" w:hint="eastAsia"/>
          <w:b/>
          <w:bCs/>
          <w:color w:themeColor="text1" w:val="000000"/>
          <w:kern w:val="0"/>
          <w:sz w:val="24"/>
          <w:szCs w:val="24"/>
        </w:rPr>
        <w:t>主要财务指标</w:t>
      </w:r>
    </w:p>
    <w:p w14:paraId="137D242D"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lastRenderedPageBreak/>
        <w:t>单位：人民币元</w:t>
      </w:r>
    </w:p>
    <w:tbl>
      <w:tblPr>
        <w:tblW w:type="dxa" w:w="836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3402"/>
        <w:gridCol w:w="2552"/>
        <w:gridCol w:w="2410"/>
      </w:tblGrid>
      <w:tr w14:paraId="18A1FB51" w14:textId="77777777" w:rsidR="00D06738">
        <w:tc>
          <w:tcPr>
            <w:tcW w:type="dxa" w:w="3402"/>
            <w:vAlign w:val="center"/>
          </w:tcPr>
          <w:p w14:paraId="42E18AC5" w14:textId="77777777" w:rsidR="00D06738" w:rsidRDefault="00454D20">
            <w:pPr>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主要财务指标</w:t>
            </w: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
            </w:r>
          </w:p>
        </w:tc>
        <w:tc>
          <w:tcPr>
            <w:tcW w:type="dxa" w:w="4962"/>
            <w:hMerge w:val="restart"/>
            <w:vAlign w:val="center"/>
          </w:tcPr>
          <w:p w14:paraId="619578C9" w14:textId="77777777" w:rsidR="00D06738" w:rsidRDefault="00454D20">
            <w:pPr>
              <w:adjustRightInd w:val="0"/>
              <w:spacing w:before="29" w:line="360" w:lineRule="auto"/>
              <w:ind w:left="17"/>
              <w:jc w:val="center"/>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报告期</w:t>
            </w:r>
          </w:p>
          <w:p w14:paraId="3E47B353" w14:textId="77777777" w:rsidR="00D06738" w:rsidRDefault="00454D20">
            <w:pPr>
              <w:adjustRightInd w:val="0"/>
              <w:spacing w:before="29" w:line="360" w:lineRule="auto"/>
              <w:ind w:left="17"/>
              <w:jc w:val="center"/>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rPr>
              <w:t>(</w:t>
            </w: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2021年1月1日-</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2021年3月31日</w:t>
            </w:r>
            <w:r>
              <w:rPr>
                <w:rFonts w:asciiTheme="minorEastAsia" w:cs="宋体" w:eastAsiaTheme="minorEastAsia" w:hAnsiTheme="minorEastAsia" w:hint="eastAsia"/>
                <w:color w:themeColor="text1" w:val="000000"/>
              </w:rPr>
              <w:t>)</w:t>
            </w:r>
          </w:p>
        </w:tc>
        <w:tc>
          <w:tcPr>
            <w:tcW w:type="dxa" w:w="2410"/>
            <w:hMerge/>
            <w:vAlign w:val="center"/>
          </w:tcPr>
          <w:p w14:paraId="5FB75E1A" w14:textId="77777777" w:rsidR="00D06738" w:rsidRDefault="00454D20">
            <w:pPr>
              <w:adjustRightInd w:val="0"/>
              <w:spacing w:before="29" w:line="360" w:lineRule="auto"/>
              <w:ind w:left="17"/>
              <w:jc w:val="center"/>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上期金额</w:t>
            </w: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p>
        </w:tc>
      </w:tr>
      <w:tr w14:paraId="221834C8" w14:textId="77777777" w:rsidR="00D06738">
        <w:tc>
          <w:tcPr>
            <w:tcW w:type="dxa" w:w="3402"/>
            <w:vAlign w:val="center"/>
          </w:tcPr>
          <w:p w14:paraId="19330D2C"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1.</w:t>
            </w:r>
            <w:r>
              <w:rPr>
                <w:rFonts w:asciiTheme="minorEastAsia" w:cs="宋体" w:eastAsiaTheme="minorEastAsia" w:hAnsiTheme="minorEastAsia" w:hint="eastAsia"/>
                <w:color w:themeColor="text1" w:val="000000"/>
                <w:kern w:val="0"/>
              </w:rPr>
              <w:t>本期已实现收益</w:t>
            </w:r>
          </w:p>
        </w:tc>
        <w:tc>
          <w:tcPr>
            <w:tcW w:type="dxa" w:w="4962"/>
            <w:hMerge w:val="restart"/>
            <w:vAlign w:val="center"/>
          </w:tcPr>
          <w:p w14:paraId="568D140B"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210,711,591.66</w:t>
            </w:r>
          </w:p>
        </w:tc>
        <w:tc>
          <w:tcPr>
            <w:tcW w:type="dxa" w:w="2410"/>
            <w:hMerge/>
            <w:vAlign w:val="center"/>
          </w:tcPr>
          <w:p w14:paraId="7D46D9A3"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14:paraId="10AEC81A" w14:textId="77777777" w:rsidR="00D06738">
        <w:tc>
          <w:tcPr>
            <w:tcW w:type="dxa" w:w="3402"/>
            <w:vAlign w:val="center"/>
          </w:tcPr>
          <w:p w14:paraId="15ADAC28"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2.</w:t>
            </w:r>
            <w:r>
              <w:rPr>
                <w:rFonts w:asciiTheme="minorEastAsia" w:cs="宋体" w:eastAsiaTheme="minorEastAsia" w:hAnsiTheme="minorEastAsia" w:hint="eastAsia"/>
                <w:color w:themeColor="text1" w:val="000000"/>
                <w:kern w:val="0"/>
              </w:rPr>
              <w:t>本期利润</w:t>
            </w:r>
          </w:p>
        </w:tc>
        <w:tc>
          <w:tcPr>
            <w:tcW w:type="dxa" w:w="4962"/>
            <w:hMerge w:val="restart"/>
            <w:vAlign w:val="center"/>
          </w:tcPr>
          <w:p w14:paraId="42B249A8"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color w:themeColor="text1" w:val="000000"/>
              </w:rPr>
              <w:t>-440,025,566.85</w:t>
            </w:r>
          </w:p>
        </w:tc>
        <w:tc>
          <w:tcPr>
            <w:tcW w:type="dxa" w:w="2410"/>
            <w:hMerge/>
            <w:vAlign w:val="center"/>
          </w:tcPr>
          <w:p w14:paraId="4CC084AD"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14:paraId="5C8E1F6F" w14:textId="77777777" w:rsidR="00D06738">
        <w:tc>
          <w:tcPr>
            <w:tcW w:type="dxa" w:w="3402"/>
            <w:vAlign w:val="center"/>
          </w:tcPr>
          <w:p w14:paraId="1C3F4C76"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3.</w:t>
            </w:r>
            <w:r>
              <w:rPr>
                <w:rFonts w:asciiTheme="minorEastAsia" w:cs="宋体" w:eastAsiaTheme="minorEastAsia" w:hAnsiTheme="minorEastAsia" w:hint="eastAsia"/>
                <w:color w:themeColor="text1" w:val="000000"/>
                <w:kern w:val="0"/>
              </w:rPr>
              <w:t>加权平均基金份额本期利润</w:t>
            </w:r>
          </w:p>
        </w:tc>
        <w:tc>
          <w:tcPr>
            <w:tcW w:type="dxa" w:w="4962"/>
            <w:hMerge w:val="restart"/>
            <w:vAlign w:val="center"/>
          </w:tcPr>
          <w:p w14:paraId="43651B7D"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color w:themeColor="text1" w:val="000000"/>
              </w:rPr>
              <w:t>-0.2056</w:t>
            </w:r>
          </w:p>
        </w:tc>
        <w:tc>
          <w:tcPr>
            <w:tcW w:type="dxa" w:w="2410"/>
            <w:hMerge/>
            <w:vAlign w:val="center"/>
          </w:tcPr>
          <w:p w14:paraId="18DC7556"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14:paraId="19975AED" w14:textId="77777777" w:rsidR="00D06738">
        <w:tc>
          <w:tcPr>
            <w:tcW w:type="dxa" w:w="3402"/>
            <w:vAlign w:val="center"/>
          </w:tcPr>
          <w:p w14:paraId="5358D232"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4.</w:t>
            </w:r>
            <w:r>
              <w:rPr>
                <w:rFonts w:asciiTheme="minorEastAsia" w:cs="宋体" w:eastAsiaTheme="minorEastAsia" w:hAnsiTheme="minorEastAsia" w:hint="eastAsia"/>
                <w:color w:themeColor="text1" w:val="000000"/>
                <w:kern w:val="0"/>
              </w:rPr>
              <w:t>期末基金资产净值</w:t>
            </w:r>
          </w:p>
        </w:tc>
        <w:tc>
          <w:tcPr>
            <w:tcW w:type="dxa" w:w="4962"/>
            <w:hMerge w:val="restart"/>
            <w:vAlign w:val="center"/>
          </w:tcPr>
          <w:p w14:paraId="11849F16"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color w:themeColor="text1" w:val="000000"/>
              </w:rPr>
              <w:t>6,228,007,650.28</w:t>
            </w:r>
          </w:p>
        </w:tc>
        <w:tc>
          <w:tcPr>
            <w:tcW w:type="dxa" w:w="2410"/>
            <w:hMerge/>
            <w:vAlign w:val="center"/>
          </w:tcPr>
          <w:p w14:paraId="27D7B715"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14:paraId="5BC36451" w14:textId="77777777" w:rsidR="00D06738">
        <w:trPr>
          <w:trHeight w:val="158"/>
        </w:trPr>
        <w:tc>
          <w:tcPr>
            <w:tcW w:type="dxa" w:w="3402"/>
            <w:vAlign w:val="center"/>
          </w:tcPr>
          <w:p w14:paraId="5E87F5B6"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5.</w:t>
            </w:r>
            <w:r>
              <w:rPr>
                <w:rFonts w:asciiTheme="minorEastAsia" w:cs="宋体" w:eastAsiaTheme="minorEastAsia" w:hAnsiTheme="minorEastAsia" w:hint="eastAsia"/>
                <w:color w:themeColor="text1" w:val="000000"/>
                <w:kern w:val="0"/>
              </w:rPr>
              <w:t>期末基金份额净值</w:t>
            </w:r>
          </w:p>
        </w:tc>
        <w:tc>
          <w:tcPr>
            <w:tcW w:type="dxa" w:w="4962"/>
            <w:hMerge w:val="restart"/>
            <w:vAlign w:val="center"/>
          </w:tcPr>
          <w:p w14:paraId="20EA2920"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color w:themeColor="text1" w:val="000000"/>
              </w:rPr>
              <w:t>2.8201</w:t>
            </w:r>
          </w:p>
        </w:tc>
        <w:tc>
          <w:tcPr>
            <w:tcW w:type="dxa" w:w="2410"/>
            <w:hMerge/>
            <w:vAlign w:val="center"/>
          </w:tcPr>
          <w:p w14:paraId="52387A94"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bl>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注：本期已实现收益指基金本期利息收入、投资收益、其他收入(不含公允价值变动收益)扣除相关费用后的余额，本期利润为本期已实现收益加上本期公允价值变动收益。</w:t>
      </w:r>
    </w:p>
    <w:p w14:paraId="71EC6E7C"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上述基金业绩指标不包括持有人认购或交易基金的各项费用（例如，开放式基金的申购赎回费、红利再投资费、基金转换费等），计入费用后实际收益水平要低于所列数字。</w:t>
      </w:r>
    </w:p>
    <w:p w14:paraId="16577CF1"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3560E0A0"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3.2 </w:t>
      </w:r>
      <w:r>
        <w:rPr>
          <w:rFonts w:asciiTheme="minorEastAsia" w:eastAsiaTheme="minorEastAsia" w:hAnsiTheme="minorEastAsia" w:hint="eastAsia"/>
          <w:b/>
          <w:bCs/>
          <w:color w:themeColor="text1" w:val="000000"/>
          <w:kern w:val="0"/>
          <w:sz w:val="24"/>
          <w:szCs w:val="24"/>
        </w:rPr>
        <w:t>基金净值表现</w:t>
      </w:r>
    </w:p>
    <w:p w14:paraId="60962101" w14:textId="77777777" w:rsidR="00D06738" w:rsidRDefault="00454D20">
      <w:pPr>
        <w:autoSpaceDE w:val="0"/>
        <w:autoSpaceDN w:val="0"/>
        <w:adjustRightInd w:val="0"/>
        <w:spacing w:line="360" w:lineRule="auto"/>
        <w:jc w:val="left"/>
        <w:rPr>
          <w:rFonts w:asciiTheme="minorEastAsia" w:cs="宋体"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3.2.1 </w:t>
      </w:r>
      <w:r>
        <w:rPr>
          <w:rFonts w:asciiTheme="minorEastAsia" w:cs="宋体" w:eastAsiaTheme="minorEastAsia" w:hAnsiTheme="minorEastAsia" w:hint="eastAsia"/>
          <w:b/>
          <w:bCs/>
          <w:color w:themeColor="text1" w:val="000000"/>
          <w:kern w:val="0"/>
          <w:sz w:val="24"/>
          <w:szCs w:val="24"/>
        </w:rPr>
        <w:t>本报告</w:t>
      </w:r>
      <w:proofErr w:type="gramStart"/>
      <w:r>
        <w:rPr>
          <w:rFonts w:asciiTheme="minorEastAsia" w:cs="宋体" w:eastAsiaTheme="minorEastAsia" w:hAnsiTheme="minorEastAsia" w:hint="eastAsia"/>
          <w:b/>
          <w:bCs/>
          <w:color w:themeColor="text1" w:val="000000"/>
          <w:kern w:val="0"/>
          <w:sz w:val="24"/>
          <w:szCs w:val="24"/>
        </w:rPr>
        <w:t>期基金</w:t>
      </w:r>
      <w:proofErr w:type="gramEnd"/>
      <w:r>
        <w:rPr>
          <w:rFonts w:asciiTheme="minorEastAsia" w:cs="宋体" w:eastAsiaTheme="minorEastAsia" w:hAnsiTheme="minorEastAsia" w:hint="eastAsia"/>
          <w:b/>
          <w:bCs/>
          <w:color w:themeColor="text1" w:val="000000"/>
          <w:kern w:val="0"/>
          <w:sz w:val="24"/>
          <w:szCs w:val="24"/>
        </w:rPr>
        <w:t>份额净值增长率及其与同期业绩比较基准收益率的比较</w:t>
      </w:r>
    </w:p>
    <w:tbl>
      <w:tblPr>
        <w:tblStyle w:val="aff4"/>
        <w:tblW w:type="dxa" w:w="8420"/>
        <w:tblInd w:type="dxa" w:w="108"/>
        <w:tblLayout w:type="fixed"/>
        <w:tblLook w:firstColumn="1" w:firstRow="1" w:lastColumn="0" w:lastRow="0" w:noHBand="0" w:noVBand="1" w:val="04A0"/>
      </w:tblPr>
      <w:tblGrid>
        <w:gridCol w:w="1395"/>
        <w:gridCol w:w="1092"/>
        <w:gridCol w:w="1161"/>
        <w:gridCol w:w="1181"/>
        <w:gridCol w:w="1188"/>
        <w:gridCol w:w="1199"/>
        <w:gridCol w:w="1204"/>
      </w:tblGrid>
      <w:tr w14:paraId="3CB029CE" w14:textId="77777777" w:rsidR="00D06738">
        <w:tc>
          <w:tcPr>
            <w:tcW w:type="dxa" w:w="1395"/>
            <w:vAlign w:val="center"/>
          </w:tcPr>
          <w:p w14:paraId="7A7D1D1E"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阶段</w:t>
            </w:r>
            <w:proofErr w:type="spellStart"/>
            <w:r>
              <w:rPr>
                <w:rFonts w:asciiTheme="minorEastAsia" w:cs="Arial" w:eastAsiaTheme="minorEastAsia" w:hAnsiTheme="minorEastAsia" w:hint="eastAsia"/>
                <w:color w:themeColor="text1" w:val="000000"/>
                <w:kern w:val="0"/>
              </w:rPr>
              <w:t/>
            </w:r>
            <w:proofErr w:type="spellEnd"/>
            <w:r>
              <w:rPr>
                <w:rFonts w:asciiTheme="minorEastAsia" w:cs="Arial" w:eastAsiaTheme="minorEastAsia" w:hAnsiTheme="minorEastAsia" w:hint="eastAsia"/>
                <w:color w:themeColor="text1" w:val="000000"/>
                <w:kern w:val="0"/>
              </w:rPr>
              <w:t/>
            </w:r>
          </w:p>
        </w:tc>
        <w:tc>
          <w:tcPr>
            <w:tcW w:type="dxa" w:w="1092"/>
            <w:vAlign w:val="center"/>
          </w:tcPr>
          <w:p w14:paraId="2CD30E79"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净值增长率①</w:t>
            </w:r>
          </w:p>
        </w:tc>
        <w:tc>
          <w:tcPr>
            <w:tcW w:type="dxa" w:w="1161"/>
            <w:vAlign w:val="center"/>
          </w:tcPr>
          <w:p w14:paraId="37DEF420"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净值增长率标准差②</w:t>
            </w:r>
          </w:p>
        </w:tc>
        <w:tc>
          <w:tcPr>
            <w:tcW w:type="dxa" w:w="1181"/>
            <w:vAlign w:val="center"/>
          </w:tcPr>
          <w:p w14:paraId="7F4843FE"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业绩比较基准收益率③</w:t>
            </w:r>
          </w:p>
        </w:tc>
        <w:tc>
          <w:tcPr>
            <w:tcW w:type="dxa" w:w="1188"/>
            <w:vAlign w:val="center"/>
          </w:tcPr>
          <w:p w14:paraId="12655559"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业绩比较基准收益率标准差④</w:t>
            </w:r>
          </w:p>
        </w:tc>
        <w:tc>
          <w:tcPr>
            <w:tcW w:type="dxa" w:w="1199"/>
            <w:vAlign w:val="center"/>
          </w:tcPr>
          <w:p w14:paraId="5487E45D"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①</w:t>
            </w:r>
            <w:r>
              <w:rPr>
                <w:rFonts w:asciiTheme="minorEastAsia" w:cs="Arial" w:eastAsiaTheme="minorEastAsia" w:hAnsiTheme="minorEastAsia"/>
                <w:color w:themeColor="text1" w:val="000000"/>
                <w:kern w:val="0"/>
              </w:rPr>
              <w:t>-</w:t>
            </w:r>
            <w:r>
              <w:rPr>
                <w:rFonts w:asciiTheme="minorEastAsia" w:cs="Arial" w:eastAsiaTheme="minorEastAsia" w:hAnsiTheme="minorEastAsia" w:hint="eastAsia"/>
                <w:color w:themeColor="text1" w:val="000000"/>
                <w:kern w:val="0"/>
              </w:rPr>
              <w:t>③</w:t>
            </w:r>
          </w:p>
        </w:tc>
        <w:tc>
          <w:tcPr>
            <w:tcW w:type="dxa" w:w="1204"/>
            <w:vAlign w:val="center"/>
          </w:tcPr>
          <w:p w14:paraId="7C50A3FD"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②</w:t>
            </w:r>
            <w:r>
              <w:rPr>
                <w:rFonts w:asciiTheme="minorEastAsia" w:cs="Arial" w:eastAsiaTheme="minorEastAsia" w:hAnsiTheme="minorEastAsia"/>
                <w:color w:themeColor="text1" w:val="000000"/>
                <w:kern w:val="0"/>
              </w:rPr>
              <w:t>-</w:t>
            </w:r>
            <w:r>
              <w:rPr>
                <w:rFonts w:asciiTheme="minorEastAsia" w:cs="Arial" w:eastAsiaTheme="minorEastAsia" w:hAnsiTheme="minorEastAsia" w:hint="eastAsia"/>
                <w:color w:themeColor="text1" w:val="000000"/>
                <w:kern w:val="0"/>
              </w:rPr>
              <w:t>④</w:t>
            </w:r>
          </w:p>
        </w:tc>
      </w:tr>
      <w:tr>
        <w:tc>
          <w:tcPr>
            <w:vAlign w:val="center"/>
          </w:tcPr>
          <w:p>
            <w:pPr>
              <w:jc w:val="left"/>
            </w:pPr>
            <w:r>
              <w:rPr>
                <w:rFonts w:asciiTheme="minorEastAsia" w:eastAsiaTheme="minorEastAsia" w:hAnsiTheme="minorEastAsia"/>
                <w:color w:themeColor="text1" w:val="000000"/>
                <w:kern w:val="0"/>
              </w:rPr>
              <w:t>过去三个月</w:t>
            </w:r>
          </w:p>
        </w:tc>
        <w:tc>
          <w:tcPr>
            <w:vAlign w:val="center"/>
          </w:tcPr>
          <w:p>
            <w:pPr>
              <w:jc w:val="center"/>
            </w:pPr>
            <w:r>
              <w:rPr>
                <w:rFonts w:asciiTheme="minorEastAsia" w:eastAsiaTheme="minorEastAsia" w:hAnsiTheme="minorEastAsia"/>
                <w:color w:themeColor="text1" w:val="000000"/>
                <w:kern w:val="0"/>
              </w:rPr>
              <w:t>-5.24%</w:t>
            </w:r>
          </w:p>
        </w:tc>
        <w:tc>
          <w:tcPr>
            <w:vAlign w:val="center"/>
          </w:tcPr>
          <w:p>
            <w:pPr>
              <w:jc w:val="center"/>
            </w:pPr>
            <w:r>
              <w:rPr>
                <w:rFonts w:asciiTheme="minorEastAsia" w:eastAsiaTheme="minorEastAsia" w:hAnsiTheme="minorEastAsia"/>
                <w:color w:themeColor="text1" w:val="000000"/>
                <w:kern w:val="0"/>
              </w:rPr>
              <w:t>1.93%</w:t>
            </w:r>
          </w:p>
        </w:tc>
        <w:tc>
          <w:tcPr>
            <w:vAlign w:val="center"/>
          </w:tcPr>
          <w:p>
            <w:pPr>
              <w:jc w:val="center"/>
            </w:pPr>
            <w:r>
              <w:rPr>
                <w:rFonts w:asciiTheme="minorEastAsia" w:eastAsiaTheme="minorEastAsia" w:hAnsiTheme="minorEastAsia"/>
                <w:color w:themeColor="text1" w:val="000000"/>
                <w:kern w:val="0"/>
              </w:rPr>
              <w:t>-1.78%</w:t>
            </w:r>
          </w:p>
        </w:tc>
        <w:tc>
          <w:tcPr>
            <w:vAlign w:val="center"/>
          </w:tcPr>
          <w:p>
            <w:pPr>
              <w:jc w:val="center"/>
            </w:pPr>
            <w:r>
              <w:rPr>
                <w:rFonts w:asciiTheme="minorEastAsia" w:eastAsiaTheme="minorEastAsia" w:hAnsiTheme="minorEastAsia"/>
                <w:color w:themeColor="text1" w:val="000000"/>
                <w:kern w:val="0"/>
              </w:rPr>
              <w:t>0.89%</w:t>
            </w:r>
          </w:p>
        </w:tc>
        <w:tc>
          <w:tcPr>
            <w:vAlign w:val="center"/>
          </w:tcPr>
          <w:p>
            <w:pPr>
              <w:jc w:val="center"/>
            </w:pPr>
            <w:r>
              <w:rPr>
                <w:rFonts w:asciiTheme="minorEastAsia" w:eastAsiaTheme="minorEastAsia" w:hAnsiTheme="minorEastAsia"/>
                <w:color w:themeColor="text1" w:val="000000"/>
                <w:kern w:val="0"/>
              </w:rPr>
              <w:t>-3.46%</w:t>
            </w:r>
          </w:p>
        </w:tc>
        <w:tc>
          <w:tcPr>
            <w:vAlign w:val="center"/>
          </w:tcPr>
          <w:p>
            <w:pPr>
              <w:jc w:val="center"/>
            </w:pPr>
            <w:r>
              <w:rPr>
                <w:rFonts w:asciiTheme="minorEastAsia" w:eastAsiaTheme="minorEastAsia" w:hAnsiTheme="minorEastAsia"/>
                <w:color w:themeColor="text1" w:val="000000"/>
                <w:kern w:val="0"/>
              </w:rPr>
              <w:t>1.04%</w:t>
            </w:r>
          </w:p>
        </w:tc>
      </w:tr>
      <w:tr>
        <w:tc>
          <w:tcPr>
            <w:vAlign w:val="center"/>
          </w:tcPr>
          <w:p>
            <w:pPr>
              <w:jc w:val="left"/>
            </w:pPr>
            <w:r>
              <w:rPr>
                <w:rFonts w:asciiTheme="minorEastAsia" w:eastAsiaTheme="minorEastAsia" w:hAnsiTheme="minorEastAsia"/>
                <w:color w:themeColor="text1" w:val="000000"/>
                <w:kern w:val="0"/>
              </w:rPr>
              <w:t>过去六个月</w:t>
            </w:r>
          </w:p>
        </w:tc>
        <w:tc>
          <w:tcPr>
            <w:vAlign w:val="center"/>
          </w:tcPr>
          <w:p>
            <w:pPr>
              <w:jc w:val="center"/>
            </w:pPr>
            <w:r>
              <w:rPr>
                <w:rFonts w:asciiTheme="minorEastAsia" w:eastAsiaTheme="minorEastAsia" w:hAnsiTheme="minorEastAsia"/>
                <w:color w:themeColor="text1" w:val="000000"/>
                <w:kern w:val="0"/>
              </w:rPr>
              <w:t>12.87%</w:t>
            </w:r>
          </w:p>
        </w:tc>
        <w:tc>
          <w:tcPr>
            <w:vAlign w:val="center"/>
          </w:tcPr>
          <w:p>
            <w:pPr>
              <w:jc w:val="center"/>
            </w:pPr>
            <w:r>
              <w:rPr>
                <w:rFonts w:asciiTheme="minorEastAsia" w:eastAsiaTheme="minorEastAsia" w:hAnsiTheme="minorEastAsia"/>
                <w:color w:themeColor="text1" w:val="000000"/>
                <w:kern w:val="0"/>
              </w:rPr>
              <w:t>1.63%</w:t>
            </w:r>
          </w:p>
        </w:tc>
        <w:tc>
          <w:tcPr>
            <w:vAlign w:val="center"/>
          </w:tcPr>
          <w:p>
            <w:pPr>
              <w:jc w:val="center"/>
            </w:pPr>
            <w:r>
              <w:rPr>
                <w:rFonts w:asciiTheme="minorEastAsia" w:eastAsiaTheme="minorEastAsia" w:hAnsiTheme="minorEastAsia"/>
                <w:color w:themeColor="text1" w:val="000000"/>
                <w:kern w:val="0"/>
              </w:rPr>
              <w:t>5.04%</w:t>
            </w:r>
          </w:p>
        </w:tc>
        <w:tc>
          <w:tcPr>
            <w:vAlign w:val="center"/>
          </w:tcPr>
          <w:p>
            <w:pPr>
              <w:jc w:val="center"/>
            </w:pPr>
            <w:r>
              <w:rPr>
                <w:rFonts w:asciiTheme="minorEastAsia" w:eastAsiaTheme="minorEastAsia" w:hAnsiTheme="minorEastAsia"/>
                <w:color w:themeColor="text1" w:val="000000"/>
                <w:kern w:val="0"/>
              </w:rPr>
              <w:t>0.76%</w:t>
            </w:r>
          </w:p>
        </w:tc>
        <w:tc>
          <w:tcPr>
            <w:vAlign w:val="center"/>
          </w:tcPr>
          <w:p>
            <w:pPr>
              <w:jc w:val="center"/>
            </w:pPr>
            <w:r>
              <w:rPr>
                <w:rFonts w:asciiTheme="minorEastAsia" w:eastAsiaTheme="minorEastAsia" w:hAnsiTheme="minorEastAsia"/>
                <w:color w:themeColor="text1" w:val="000000"/>
                <w:kern w:val="0"/>
              </w:rPr>
              <w:t>7.83%</w:t>
            </w:r>
          </w:p>
        </w:tc>
        <w:tc>
          <w:tcPr>
            <w:vAlign w:val="center"/>
          </w:tcPr>
          <w:p>
            <w:pPr>
              <w:jc w:val="center"/>
            </w:pPr>
            <w:r>
              <w:rPr>
                <w:rFonts w:asciiTheme="minorEastAsia" w:eastAsiaTheme="minorEastAsia" w:hAnsiTheme="minorEastAsia"/>
                <w:color w:themeColor="text1" w:val="000000"/>
                <w:kern w:val="0"/>
              </w:rPr>
              <w:t>0.87%</w:t>
            </w:r>
          </w:p>
        </w:tc>
      </w:tr>
      <w:tr>
        <w:tc>
          <w:tcPr>
            <w:vAlign w:val="center"/>
          </w:tcPr>
          <w:p>
            <w:pPr>
              <w:jc w:val="left"/>
            </w:pPr>
            <w:r>
              <w:rPr>
                <w:rFonts w:asciiTheme="minorEastAsia" w:eastAsiaTheme="minorEastAsia" w:hAnsiTheme="minorEastAsia"/>
                <w:color w:themeColor="text1" w:val="000000"/>
                <w:kern w:val="0"/>
              </w:rPr>
              <w:t>过去一年</w:t>
            </w:r>
          </w:p>
        </w:tc>
        <w:tc>
          <w:tcPr>
            <w:vAlign w:val="center"/>
          </w:tcPr>
          <w:p>
            <w:pPr>
              <w:jc w:val="center"/>
            </w:pPr>
            <w:r>
              <w:rPr>
                <w:rFonts w:asciiTheme="minorEastAsia" w:eastAsiaTheme="minorEastAsia" w:hAnsiTheme="minorEastAsia"/>
                <w:color w:themeColor="text1" w:val="000000"/>
                <w:kern w:val="0"/>
              </w:rPr>
              <w:t>81.47%</w:t>
            </w:r>
          </w:p>
        </w:tc>
        <w:tc>
          <w:tcPr>
            <w:vAlign w:val="center"/>
          </w:tcPr>
          <w:p>
            <w:pPr>
              <w:jc w:val="center"/>
            </w:pPr>
            <w:r>
              <w:rPr>
                <w:rFonts w:asciiTheme="minorEastAsia" w:eastAsiaTheme="minorEastAsia" w:hAnsiTheme="minorEastAsia"/>
                <w:color w:themeColor="text1" w:val="000000"/>
                <w:kern w:val="0"/>
              </w:rPr>
              <w:t>1.58%</w:t>
            </w:r>
          </w:p>
        </w:tc>
        <w:tc>
          <w:tcPr>
            <w:vAlign w:val="center"/>
          </w:tcPr>
          <w:p>
            <w:pPr>
              <w:jc w:val="center"/>
            </w:pPr>
            <w:r>
              <w:rPr>
                <w:rFonts w:asciiTheme="minorEastAsia" w:eastAsiaTheme="minorEastAsia" w:hAnsiTheme="minorEastAsia"/>
                <w:color w:themeColor="text1" w:val="000000"/>
                <w:kern w:val="0"/>
              </w:rPr>
              <w:t>19.14%</w:t>
            </w:r>
          </w:p>
        </w:tc>
        <w:tc>
          <w:tcPr>
            <w:vAlign w:val="center"/>
          </w:tcPr>
          <w:p>
            <w:pPr>
              <w:jc w:val="center"/>
            </w:pPr>
            <w:r>
              <w:rPr>
                <w:rFonts w:asciiTheme="minorEastAsia" w:eastAsiaTheme="minorEastAsia" w:hAnsiTheme="minorEastAsia"/>
                <w:color w:themeColor="text1" w:val="000000"/>
                <w:kern w:val="0"/>
              </w:rPr>
              <w:t>0.77%</w:t>
            </w:r>
          </w:p>
        </w:tc>
        <w:tc>
          <w:tcPr>
            <w:vAlign w:val="center"/>
          </w:tcPr>
          <w:p>
            <w:pPr>
              <w:jc w:val="center"/>
            </w:pPr>
            <w:r>
              <w:rPr>
                <w:rFonts w:asciiTheme="minorEastAsia" w:eastAsiaTheme="minorEastAsia" w:hAnsiTheme="minorEastAsia"/>
                <w:color w:themeColor="text1" w:val="000000"/>
                <w:kern w:val="0"/>
              </w:rPr>
              <w:t>62.33%</w:t>
            </w:r>
          </w:p>
        </w:tc>
        <w:tc>
          <w:tcPr>
            <w:vAlign w:val="center"/>
          </w:tcPr>
          <w:p>
            <w:pPr>
              <w:jc w:val="center"/>
            </w:pPr>
            <w:r>
              <w:rPr>
                <w:rFonts w:asciiTheme="minorEastAsia" w:eastAsiaTheme="minorEastAsia" w:hAnsiTheme="minorEastAsia"/>
                <w:color w:themeColor="text1" w:val="000000"/>
                <w:kern w:val="0"/>
              </w:rPr>
              <w:t>0.81%</w:t>
            </w:r>
          </w:p>
        </w:tc>
      </w:tr>
      <w:tr>
        <w:tc>
          <w:tcPr>
            <w:vAlign w:val="center"/>
          </w:tcPr>
          <w:p>
            <w:pPr>
              <w:jc w:val="left"/>
            </w:pPr>
            <w:r>
              <w:rPr>
                <w:rFonts w:asciiTheme="minorEastAsia" w:eastAsiaTheme="minorEastAsia" w:hAnsiTheme="minorEastAsia"/>
                <w:color w:themeColor="text1" w:val="000000"/>
                <w:kern w:val="0"/>
              </w:rPr>
              <w:t>过去三年</w:t>
            </w:r>
          </w:p>
        </w:tc>
        <w:tc>
          <w:tcPr>
            <w:vAlign w:val="center"/>
          </w:tcPr>
          <w:p>
            <w:pPr>
              <w:jc w:val="center"/>
            </w:pPr>
            <w:r>
              <w:rPr>
                <w:rFonts w:asciiTheme="minorEastAsia" w:eastAsiaTheme="minorEastAsia" w:hAnsiTheme="minorEastAsia"/>
                <w:color w:themeColor="text1" w:val="000000"/>
                <w:kern w:val="0"/>
              </w:rPr>
              <w:t>158.96%</w:t>
            </w:r>
          </w:p>
        </w:tc>
        <w:tc>
          <w:tcPr>
            <w:vAlign w:val="center"/>
          </w:tcPr>
          <w:p>
            <w:pPr>
              <w:jc w:val="center"/>
            </w:pPr>
            <w:r>
              <w:rPr>
                <w:rFonts w:asciiTheme="minorEastAsia" w:eastAsiaTheme="minorEastAsia" w:hAnsiTheme="minorEastAsia"/>
                <w:color w:themeColor="text1" w:val="000000"/>
                <w:kern w:val="0"/>
              </w:rPr>
              <w:t>1.42%</w:t>
            </w:r>
          </w:p>
        </w:tc>
        <w:tc>
          <w:tcPr>
            <w:vAlign w:val="center"/>
          </w:tcPr>
          <w:p>
            <w:pPr>
              <w:jc w:val="center"/>
            </w:pPr>
            <w:r>
              <w:rPr>
                <w:rFonts w:asciiTheme="minorEastAsia" w:eastAsiaTheme="minorEastAsia" w:hAnsiTheme="minorEastAsia"/>
                <w:color w:themeColor="text1" w:val="000000"/>
                <w:kern w:val="0"/>
              </w:rPr>
              <w:t>15.67%</w:t>
            </w:r>
          </w:p>
        </w:tc>
        <w:tc>
          <w:tcPr>
            <w:vAlign w:val="center"/>
          </w:tcPr>
          <w:p>
            <w:pPr>
              <w:jc w:val="center"/>
            </w:pPr>
            <w:r>
              <w:rPr>
                <w:rFonts w:asciiTheme="minorEastAsia" w:eastAsiaTheme="minorEastAsia" w:hAnsiTheme="minorEastAsia"/>
                <w:color w:themeColor="text1" w:val="000000"/>
                <w:kern w:val="0"/>
              </w:rPr>
              <w:t>0.82%</w:t>
            </w:r>
          </w:p>
        </w:tc>
        <w:tc>
          <w:tcPr>
            <w:vAlign w:val="center"/>
          </w:tcPr>
          <w:p>
            <w:pPr>
              <w:jc w:val="center"/>
            </w:pPr>
            <w:r>
              <w:rPr>
                <w:rFonts w:asciiTheme="minorEastAsia" w:eastAsiaTheme="minorEastAsia" w:hAnsiTheme="minorEastAsia"/>
                <w:color w:themeColor="text1" w:val="000000"/>
                <w:kern w:val="0"/>
              </w:rPr>
              <w:t>143.29%</w:t>
            </w:r>
          </w:p>
        </w:tc>
        <w:tc>
          <w:tcPr>
            <w:vAlign w:val="center"/>
          </w:tcPr>
          <w:p>
            <w:pPr>
              <w:jc w:val="center"/>
            </w:pPr>
            <w:r>
              <w:rPr>
                <w:rFonts w:asciiTheme="minorEastAsia" w:eastAsiaTheme="minorEastAsia" w:hAnsiTheme="minorEastAsia"/>
                <w:color w:themeColor="text1" w:val="000000"/>
                <w:kern w:val="0"/>
              </w:rPr>
              <w:t>0.60%</w:t>
            </w:r>
          </w:p>
        </w:tc>
      </w:tr>
      <w:tr>
        <w:tc>
          <w:tcPr>
            <w:vAlign w:val="center"/>
          </w:tcPr>
          <w:p>
            <w:pPr>
              <w:jc w:val="left"/>
            </w:pPr>
            <w:r>
              <w:rPr>
                <w:rFonts w:asciiTheme="minorEastAsia" w:eastAsiaTheme="minorEastAsia" w:hAnsiTheme="minorEastAsia"/>
                <w:color w:themeColor="text1" w:val="000000"/>
                <w:kern w:val="0"/>
              </w:rPr>
              <w:t>过去五年</w:t>
            </w:r>
          </w:p>
        </w:tc>
        <w:tc>
          <w:tcPr>
            <w:vAlign w:val="center"/>
          </w:tcPr>
          <w:p>
            <w:pPr>
              <w:jc w:val="center"/>
            </w:pPr>
            <w:r>
              <w:rPr>
                <w:rFonts w:asciiTheme="minorEastAsia" w:eastAsiaTheme="minorEastAsia" w:hAnsiTheme="minorEastAsia"/>
                <w:color w:themeColor="text1" w:val="000000"/>
                <w:kern w:val="0"/>
              </w:rPr>
              <w:t>192.24%</w:t>
            </w:r>
          </w:p>
        </w:tc>
        <w:tc>
          <w:tcPr>
            <w:vAlign w:val="center"/>
          </w:tcPr>
          <w:p>
            <w:pPr>
              <w:jc w:val="center"/>
            </w:pPr>
            <w:r>
              <w:rPr>
                <w:rFonts w:asciiTheme="minorEastAsia" w:eastAsiaTheme="minorEastAsia" w:hAnsiTheme="minorEastAsia"/>
                <w:color w:themeColor="text1" w:val="000000"/>
                <w:kern w:val="0"/>
              </w:rPr>
              <w:t>1.31%</w:t>
            </w:r>
          </w:p>
        </w:tc>
        <w:tc>
          <w:tcPr>
            <w:vAlign w:val="center"/>
          </w:tcPr>
          <w:p>
            <w:pPr>
              <w:jc w:val="center"/>
            </w:pPr>
            <w:r>
              <w:rPr>
                <w:rFonts w:asciiTheme="minorEastAsia" w:eastAsiaTheme="minorEastAsia" w:hAnsiTheme="minorEastAsia"/>
                <w:color w:themeColor="text1" w:val="000000"/>
                <w:kern w:val="0"/>
              </w:rPr>
              <w:t>24.19%</w:t>
            </w:r>
          </w:p>
        </w:tc>
        <w:tc>
          <w:tcPr>
            <w:vAlign w:val="center"/>
          </w:tcPr>
          <w:p>
            <w:pPr>
              <w:jc w:val="center"/>
            </w:pPr>
            <w:r>
              <w:rPr>
                <w:rFonts w:asciiTheme="minorEastAsia" w:eastAsiaTheme="minorEastAsia" w:hAnsiTheme="minorEastAsia"/>
                <w:color w:themeColor="text1" w:val="000000"/>
                <w:kern w:val="0"/>
              </w:rPr>
              <w:t>0.71%</w:t>
            </w:r>
          </w:p>
        </w:tc>
        <w:tc>
          <w:tcPr>
            <w:vAlign w:val="center"/>
          </w:tcPr>
          <w:p>
            <w:pPr>
              <w:jc w:val="center"/>
            </w:pPr>
            <w:r>
              <w:rPr>
                <w:rFonts w:asciiTheme="minorEastAsia" w:eastAsiaTheme="minorEastAsia" w:hAnsiTheme="minorEastAsia"/>
                <w:color w:themeColor="text1" w:val="000000"/>
                <w:kern w:val="0"/>
              </w:rPr>
              <w:t>168.05%</w:t>
            </w:r>
          </w:p>
        </w:tc>
        <w:tc>
          <w:tcPr>
            <w:vAlign w:val="center"/>
          </w:tcPr>
          <w:p>
            <w:pPr>
              <w:jc w:val="center"/>
            </w:pPr>
            <w:r>
              <w:rPr>
                <w:rFonts w:asciiTheme="minorEastAsia" w:eastAsiaTheme="minorEastAsia" w:hAnsiTheme="minorEastAsia"/>
                <w:color w:themeColor="text1" w:val="000000"/>
                <w:kern w:val="0"/>
              </w:rPr>
              <w:t>0.60%</w:t>
            </w:r>
          </w:p>
        </w:tc>
      </w:tr>
      <w:tr>
        <w:tc>
          <w:tcPr>
            <w:vAlign w:val="center"/>
          </w:tcPr>
          <w:p>
            <w:pPr>
              <w:jc w:val="left"/>
            </w:pPr>
            <w:r>
              <w:rPr>
                <w:rFonts w:asciiTheme="minorEastAsia" w:eastAsiaTheme="minorEastAsia" w:hAnsiTheme="minorEastAsia"/>
                <w:color w:themeColor="text1" w:val="000000"/>
                <w:kern w:val="0"/>
              </w:rPr>
              <w:t>自基金合同生效起至今</w:t>
            </w:r>
          </w:p>
        </w:tc>
        <w:tc>
          <w:tcPr>
            <w:vAlign w:val="center"/>
          </w:tcPr>
          <w:p>
            <w:pPr>
              <w:jc w:val="center"/>
            </w:pPr>
            <w:r>
              <w:rPr>
                <w:rFonts w:asciiTheme="minorEastAsia" w:eastAsiaTheme="minorEastAsia" w:hAnsiTheme="minorEastAsia"/>
                <w:color w:themeColor="text1" w:val="000000"/>
                <w:kern w:val="0"/>
              </w:rPr>
              <w:t>182.01%</w:t>
            </w:r>
          </w:p>
        </w:tc>
        <w:tc>
          <w:tcPr>
            <w:vAlign w:val="center"/>
          </w:tcPr>
          <w:p>
            <w:pPr>
              <w:jc w:val="center"/>
            </w:pPr>
            <w:r>
              <w:rPr>
                <w:rFonts w:asciiTheme="minorEastAsia" w:eastAsiaTheme="minorEastAsia" w:hAnsiTheme="minorEastAsia"/>
                <w:color w:themeColor="text1" w:val="000000"/>
                <w:kern w:val="0"/>
              </w:rPr>
              <w:t>1.45%</w:t>
            </w:r>
          </w:p>
        </w:tc>
        <w:tc>
          <w:tcPr>
            <w:vAlign w:val="center"/>
          </w:tcPr>
          <w:p>
            <w:pPr>
              <w:jc w:val="center"/>
            </w:pPr>
            <w:r>
              <w:rPr>
                <w:rFonts w:asciiTheme="minorEastAsia" w:eastAsiaTheme="minorEastAsia" w:hAnsiTheme="minorEastAsia"/>
                <w:color w:themeColor="text1" w:val="000000"/>
                <w:kern w:val="0"/>
              </w:rPr>
              <w:t>16.56%</w:t>
            </w:r>
          </w:p>
        </w:tc>
        <w:tc>
          <w:tcPr>
            <w:vAlign w:val="center"/>
          </w:tcPr>
          <w:p>
            <w:pPr>
              <w:jc w:val="center"/>
            </w:pPr>
            <w:r>
              <w:rPr>
                <w:rFonts w:asciiTheme="minorEastAsia" w:eastAsiaTheme="minorEastAsia" w:hAnsiTheme="minorEastAsia"/>
                <w:color w:themeColor="text1" w:val="000000"/>
                <w:kern w:val="0"/>
              </w:rPr>
              <w:t>0.87%</w:t>
            </w:r>
          </w:p>
        </w:tc>
        <w:tc>
          <w:tcPr>
            <w:vAlign w:val="center"/>
          </w:tcPr>
          <w:p>
            <w:pPr>
              <w:jc w:val="center"/>
            </w:pPr>
            <w:r>
              <w:rPr>
                <w:rFonts w:asciiTheme="minorEastAsia" w:eastAsiaTheme="minorEastAsia" w:hAnsiTheme="minorEastAsia"/>
                <w:color w:themeColor="text1" w:val="000000"/>
                <w:kern w:val="0"/>
              </w:rPr>
              <w:t>165.45%</w:t>
            </w:r>
          </w:p>
        </w:tc>
        <w:tc>
          <w:tcPr>
            <w:vAlign w:val="center"/>
          </w:tcPr>
          <w:p>
            <w:pPr>
              <w:jc w:val="center"/>
            </w:pPr>
            <w:r>
              <w:rPr>
                <w:rFonts w:asciiTheme="minorEastAsia" w:eastAsiaTheme="minorEastAsia" w:hAnsiTheme="minorEastAsia"/>
                <w:color w:themeColor="text1" w:val="000000"/>
                <w:kern w:val="0"/>
              </w:rPr>
              <w:t>0.58%</w:t>
            </w:r>
          </w:p>
        </w:tc>
      </w:tr>
    </w:tbl>
    <w:p w14:paraId="11CC28FB"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604CD2E3"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3.2.2</w:t>
      </w:r>
      <w:r>
        <w:rPr>
          <w:rStyle w:val="afe"/>
          <w:rFonts w:hint="eastAsia"/>
          <w:color w:themeColor="text1" w:val="000000"/>
          <w:sz w:val="24"/>
          <w:szCs w:val="24"/>
          <w:shd w:color="auto" w:fill="FFFFFF" w:val="clear"/>
        </w:rPr>
        <w:t/>
      </w:r>
      <w:proofErr w:type="spellStart"/>
      <w:r>
        <w:rPr>
          <w:rStyle w:val="afe"/>
          <w:rFonts w:hint="eastAsia"/>
          <w:color w:themeColor="text1" w:val="000000"/>
          <w:sz w:val="24"/>
          <w:szCs w:val="24"/>
          <w:shd w:color="auto" w:fill="FFFFFF" w:val="clear"/>
        </w:rPr>
        <w:t/>
      </w:r>
      <w:proofErr w:type="spellEnd"/>
      <w:r>
        <w:rPr>
          <w:rStyle w:val="afe"/>
          <w:rFonts w:hint="eastAsia"/>
          <w:color w:themeColor="text1" w:val="000000"/>
          <w:sz w:val="24"/>
          <w:szCs w:val="24"/>
          <w:shd w:color="auto" w:fill="FFFFFF" w:val="clear"/>
        </w:rPr>
        <w:t>自基金合同生效以来</w:t>
      </w:r>
      <w:r>
        <w:rPr>
          <w:rFonts w:asciiTheme="minorEastAsia" w:eastAsiaTheme="minorEastAsia" w:hAnsiTheme="minorEastAsia" w:hint="eastAsia"/>
          <w:b/>
          <w:bCs/>
          <w:color w:themeColor="text1" w:val="000000"/>
          <w:kern w:val="0"/>
          <w:sz w:val="24"/>
          <w:szCs w:val="24"/>
        </w:rPr>
        <w:t>基金累计净值增长率变动及其与同期业绩比较基准收益率变动的比较</w:t>
      </w:r>
    </w:p>
    <w:p w14:paraId="7E434705" w14:textId="77777777" w:rsidR="00D06738" w:rsidRDefault="00454D20">
      <w:pPr>
        <w:spacing w:line="360" w:lineRule="auto"/>
        <w:jc w:val="center"/>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上投摩根科技前沿灵活配置混合型证券投资基金</w:t>
      </w:r>
    </w:p>
    <w:p w14:paraId="760894FB" w14:textId="77777777" w:rsidR="00D06738" w:rsidRDefault="00454D20">
      <w:pPr>
        <w:pStyle w:val="ae"/>
        <w:snapToGrid w:val="0"/>
        <w:spacing w:line="360" w:lineRule="auto"/>
        <w:jc w:val="center"/>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累计净值增长率与业绩比较基准收益率历史走势对比图</w:t>
      </w:r>
    </w:p>
    <w:p w14:paraId="42485F4A" w14:textId="77777777" w:rsidR="00D06738" w:rsidRDefault="00454D20">
      <w:pPr>
        <w:pStyle w:val="ae"/>
        <w:snapToGrid w:val="0"/>
        <w:spacing w:line="360" w:lineRule="auto"/>
        <w:ind w:firstLine="480"/>
        <w:jc w:val="center"/>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rPr>
        <w:t>(</w:t>
      </w: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2015年7月9日</w:t>
      </w:r>
      <w:r>
        <w:rPr>
          <w:rFonts w:asciiTheme="minorEastAsia" w:eastAsiaTheme="minorEastAsia" w:hAnsiTheme="minorEastAsia" w:hint="eastAsia"/>
          <w:color w:themeColor="text1" w:val="000000"/>
        </w:rPr>
        <w:t>至</w:t>
      </w:r>
      <w:proofErr w:type="spell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2021年3月31日)</w:t>
      </w:r>
    </w:p>
    <w:p w14:paraId="6D7C6855" w14:textId="77777777" w:rsidR="00D06738" w:rsidRDefault="00454D20">
      <w:pPr>
        <w:pStyle w:val="ae"/>
        <w:snapToGrid w:val="0"/>
        <w:spacing w:before="120" w:line="360" w:lineRule="auto"/>
        <w:jc w:val="center"/>
        <w:rPr>
          <w:rFonts w:asciiTheme="minorEastAsia" w:eastAsiaTheme="minorEastAsia" w:hAnsiTheme="minorEastAsia"/>
          <w:color w:themeColor="text1" w:val="000000"/>
          <w:sz w:val="24"/>
          <w:szCs w:val="24"/>
        </w:rPr>
      </w:pPr>
      <w:r>
        <w:rPr>
          <w:rFonts w:asciiTheme="minorEastAsia" w:eastAsiaTheme="minorEastAsia" w:hAnsiTheme="minorEastAsia"/>
          <w:noProof/>
          <w:color w:themeColor="text1" w:val="000000"/>
          <w:sz w:val="24"/>
          <w:szCs w:val="24"/>
        </w:rPr>
        <w:drawing>
          <wp:inline distB="0" distL="0" distR="0" distT="0" wp14:anchorId="41E8FF0D" wp14:editId="228D69F2">
            <wp:extent cx="5276850" cy="3086100"/>
            <wp:effectExtent b="0" l="0" r="0" t="0"/>
            <wp:docPr descr="D:\浏览器下载\走势图柱状图\走势图1.jpg"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1.jpg" id="1" name="图片 1"/>
                    <pic:cNvPicPr>
                      <a:picLocks noChangeArrowheads="1" noChangeAspect="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注：本基金合同生效日为2015年7月9日，图示的时间段为合同生效日至本报告期末。</w:t>
      </w:r>
    </w:p>
    <w:p w14:paraId="58BB6589"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本基金建仓期为本基金合同生效日起6个月，建仓期结束时资产配置比例符合本基金基金合同规定。</w:t>
      </w:r>
    </w:p>
    <w:p w14:paraId="28331EE6" w14:textId="77777777" w:rsidR="00D06738" w:rsidRDefault="00D06738">
      <w:pPr>
        <w:tabs>
          <w:tab w:pos="1800" w:val="left"/>
        </w:tabs>
        <w:spacing w:line="360" w:lineRule="auto"/>
        <w:rPr>
          <w:rFonts w:asciiTheme="minorEastAsia" w:eastAsiaTheme="minorEastAsia" w:hAnsiTheme="minorEastAsia"/>
          <w:color w:themeColor="text1" w:val="000000"/>
          <w:sz w:val="24"/>
          <w:szCs w:val="24"/>
        </w:rPr>
      </w:pPr>
    </w:p>
    <w:p w14:paraId="6B938858" w14:textId="77777777" w:rsidR="00D06738" w:rsidRDefault="00D06738">
      <w:pPr>
        <w:tabs>
          <w:tab w:pos="1800" w:val="left"/>
        </w:tabs>
        <w:spacing w:line="288" w:lineRule="auto"/>
        <w:rPr>
          <w:rFonts w:asciiTheme="minorEastAsia" w:eastAsiaTheme="minorEastAsia" w:hAnsiTheme="minorEastAsia"/>
          <w:color w:themeColor="text1" w:val="000000"/>
          <w:sz w:val="24"/>
          <w:szCs w:val="24"/>
        </w:rPr>
      </w:pPr>
    </w:p>
    <w:p w14:paraId="0B771B4D"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4  </w:t>
      </w:r>
      <w:r>
        <w:rPr>
          <w:rFonts w:asciiTheme="minorEastAsia" w:eastAsiaTheme="minorEastAsia" w:hAnsiTheme="minorEastAsia" w:hint="eastAsia"/>
          <w:color w:themeColor="text1" w:val="000000"/>
          <w:kern w:val="0"/>
          <w:sz w:val="24"/>
          <w:szCs w:val="24"/>
        </w:rPr>
        <w:t>管理人报告</w:t>
      </w:r>
    </w:p>
    <w:p w14:paraId="735F051A"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4.1 </w:t>
      </w:r>
      <w:r>
        <w:rPr>
          <w:rFonts w:asciiTheme="minorEastAsia" w:eastAsiaTheme="minorEastAsia" w:hAnsiTheme="minorEastAsia" w:hint="eastAsia"/>
          <w:b/>
          <w:bCs/>
          <w:color w:themeColor="text1" w:val="000000"/>
          <w:kern w:val="0"/>
          <w:sz w:val="24"/>
          <w:szCs w:val="24"/>
        </w:rPr>
        <w:t>基金经理(或基金经理小组)简介</w:t>
      </w:r>
    </w:p>
    <w:tbl>
      <w:tblPr>
        <w:tblW w:type="dxa" w:w="8931"/>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51"/>
        <w:gridCol w:w="850"/>
        <w:gridCol w:w="1560"/>
        <w:gridCol w:w="1559"/>
        <w:gridCol w:w="1417"/>
        <w:gridCol w:w="2694"/>
      </w:tblGrid>
      <w:tr w14:paraId="28062057" w14:textId="77777777" w:rsidR="00D06738">
        <w:trPr>
          <w:cantSplit/>
          <w:trHeight w:val="292"/>
        </w:trPr>
        <w:tc>
          <w:tcPr>
            <w:tcW w:type="dxa" w:w="851"/>
            <w:vMerge w:val="restart"/>
            <w:vAlign w:val="center"/>
          </w:tcPr>
          <w:p w14:paraId="1F53B620" w14:textId="77777777" w:rsidR="00D06738" w:rsidRDefault="00454D20">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姓名</w:t>
            </w:r>
          </w:p>
        </w:tc>
        <w:tc>
          <w:tcPr>
            <w:tcW w:type="dxa" w:w="850"/>
            <w:vMerge w:val="restart"/>
            <w:vAlign w:val="center"/>
          </w:tcPr>
          <w:p w14:paraId="697EB0E1" w14:textId="77777777" w:rsidR="00D06738" w:rsidRDefault="00454D20">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职务</w:t>
            </w:r>
          </w:p>
        </w:tc>
        <w:tc>
          <w:tcPr>
            <w:tcW w:type="dxa" w:w="3119"/>
            <w:gridSpan w:val="2"/>
            <w:vAlign w:val="center"/>
          </w:tcPr>
          <w:p w14:paraId="3C549DFA"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proofErr w:type="gramStart"/>
            <w:r>
              <w:rPr>
                <w:rFonts w:asciiTheme="minorEastAsia" w:cs="宋体" w:eastAsiaTheme="minorEastAsia" w:hAnsiTheme="minorEastAsia" w:hint="eastAsia"/>
                <w:color w:themeColor="text1" w:val="000000"/>
                <w:kern w:val="0"/>
              </w:rPr>
              <w:t>任本基金</w:t>
            </w:r>
            <w:proofErr w:type="gramEnd"/>
            <w:r>
              <w:rPr>
                <w:rFonts w:asciiTheme="minorEastAsia" w:cs="宋体" w:eastAsiaTheme="minorEastAsia" w:hAnsiTheme="minorEastAsia" w:hint="eastAsia"/>
                <w:color w:themeColor="text1" w:val="000000"/>
                <w:kern w:val="0"/>
              </w:rPr>
              <w:t>的基金经理期限</w:t>
            </w:r>
          </w:p>
        </w:tc>
        <w:tc>
          <w:tcPr>
            <w:tcW w:type="dxa" w:w="1417"/>
            <w:vMerge w:val="restart"/>
            <w:vAlign w:val="center"/>
          </w:tcPr>
          <w:p w14:paraId="153D4B6D"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证券从业年限</w:t>
            </w:r>
          </w:p>
        </w:tc>
        <w:tc>
          <w:tcPr>
            <w:tcW w:type="dxa" w:w="2694"/>
            <w:vMerge w:val="restart"/>
            <w:vAlign w:val="center"/>
          </w:tcPr>
          <w:p w14:paraId="6B8352A3" w14:textId="77777777" w:rsidR="00D06738" w:rsidRDefault="00454D20">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说明</w:t>
            </w:r>
          </w:p>
        </w:tc>
      </w:tr>
      <w:tr w14:paraId="12458907" w14:textId="77777777" w:rsidR="00D06738">
        <w:trPr>
          <w:cantSplit/>
        </w:trPr>
        <w:tc>
          <w:tcPr>
            <w:tcW w:type="dxa" w:w="851"/>
            <w:vMerge/>
            <w:vAlign w:val="center"/>
          </w:tcPr>
          <w:p w14:paraId="0E137D74" w14:textId="77777777" w:rsidR="00D06738" w:rsidRDefault="00D06738">
            <w:pPr>
              <w:widowControl/>
              <w:spacing w:line="360" w:lineRule="auto"/>
              <w:jc w:val="left"/>
              <w:rPr>
                <w:rFonts w:asciiTheme="minorEastAsia" w:eastAsiaTheme="minorEastAsia" w:hAnsiTheme="minorEastAsia"/>
                <w:color w:themeColor="text1" w:val="000000"/>
                <w:kern w:val="0"/>
              </w:rPr>
            </w:pPr>
          </w:p>
        </w:tc>
        <w:tc>
          <w:tcPr>
            <w:tcW w:type="dxa" w:w="850"/>
            <w:vMerge/>
            <w:vAlign w:val="center"/>
          </w:tcPr>
          <w:p w14:paraId="1CC0886F" w14:textId="77777777" w:rsidR="00D06738" w:rsidRDefault="00D06738">
            <w:pPr>
              <w:widowControl/>
              <w:spacing w:line="360" w:lineRule="auto"/>
              <w:jc w:val="left"/>
              <w:rPr>
                <w:rFonts w:asciiTheme="minorEastAsia" w:eastAsiaTheme="minorEastAsia" w:hAnsiTheme="minorEastAsia"/>
                <w:color w:themeColor="text1" w:val="000000"/>
                <w:kern w:val="0"/>
              </w:rPr>
            </w:pPr>
          </w:p>
        </w:tc>
        <w:tc>
          <w:tcPr>
            <w:tcW w:type="dxa" w:w="1560"/>
            <w:vAlign w:val="center"/>
          </w:tcPr>
          <w:p w14:paraId="213ED421" w14:textId="77777777" w:rsidR="00D06738" w:rsidRDefault="00454D20">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任职日期</w:t>
            </w:r>
          </w:p>
        </w:tc>
        <w:tc>
          <w:tcPr>
            <w:tcW w:type="dxa" w:w="1559"/>
            <w:vAlign w:val="center"/>
          </w:tcPr>
          <w:p w14:paraId="025CCC9C" w14:textId="77777777" w:rsidR="00D06738" w:rsidRDefault="00454D20">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离任日期</w:t>
            </w:r>
          </w:p>
        </w:tc>
        <w:tc>
          <w:tcPr>
            <w:tcW w:type="dxa" w:w="1417"/>
            <w:vMerge/>
            <w:vAlign w:val="center"/>
          </w:tcPr>
          <w:p w14:paraId="3D222F40" w14:textId="77777777" w:rsidR="00D06738" w:rsidRDefault="00D06738">
            <w:pPr>
              <w:widowControl/>
              <w:spacing w:line="360" w:lineRule="auto"/>
              <w:jc w:val="left"/>
              <w:rPr>
                <w:rFonts w:asciiTheme="minorEastAsia" w:eastAsiaTheme="minorEastAsia" w:hAnsiTheme="minorEastAsia"/>
                <w:color w:themeColor="text1" w:val="000000"/>
                <w:kern w:val="0"/>
              </w:rPr>
            </w:pPr>
          </w:p>
        </w:tc>
        <w:tc>
          <w:tcPr>
            <w:tcW w:type="dxa" w:w="2694"/>
            <w:vMerge/>
            <w:vAlign w:val="center"/>
          </w:tcPr>
          <w:p w14:paraId="637B7507" w14:textId="77777777" w:rsidR="00D06738" w:rsidRDefault="00D06738">
            <w:pPr>
              <w:widowControl/>
              <w:spacing w:line="360" w:lineRule="auto"/>
              <w:jc w:val="left"/>
              <w:rPr>
                <w:rFonts w:asciiTheme="minorEastAsia" w:eastAsiaTheme="minorEastAsia" w:hAnsiTheme="minorEastAsia"/>
                <w:color w:themeColor="text1" w:val="000000"/>
                <w:kern w:val="0"/>
              </w:rPr>
            </w:pPr>
          </w:p>
        </w:tc>
      </w:tr>
      <w:tr>
        <w:tc>
          <w:tcPr>
            <w:vAlign w:val="center"/>
          </w:tcPr>
          <w:p>
            <w:pPr>
              <w:jc w:val="center"/>
            </w:pPr>
            <w:r>
              <w:rPr>
                <w:rFonts w:asciiTheme="minorEastAsia" w:eastAsiaTheme="minorEastAsia" w:hAnsiTheme="minorEastAsia"/>
                <w:color w:themeColor="text1" w:val="000000"/>
              </w:rPr>
              <w:t>李德辉</w:t>
            </w:r>
          </w:p>
        </w:tc>
        <w:tc>
          <w:tcPr>
            <w:vAlign w:val="center"/>
          </w:tcPr>
          <w:p>
            <w:pPr>
              <w:jc w:val="center"/>
            </w:pPr>
            <w:r>
              <w:rPr>
                <w:rFonts w:asciiTheme="minorEastAsia" w:eastAsiaTheme="minorEastAsia" w:hAnsiTheme="minorEastAsia"/>
                <w:color w:themeColor="text1" w:val="000000"/>
              </w:rPr>
              <w:t>本基金基金经理</w:t>
            </w:r>
          </w:p>
        </w:tc>
        <w:tc>
          <w:tcPr>
            <w:vAlign w:val="center"/>
          </w:tcPr>
          <w:p>
            <w:pPr>
              <w:jc w:val="center"/>
            </w:pPr>
            <w:r>
              <w:rPr>
                <w:rFonts w:asciiTheme="minorEastAsia" w:eastAsiaTheme="minorEastAsia" w:hAnsiTheme="minorEastAsia"/>
                <w:color w:themeColor="text1" w:val="000000"/>
              </w:rPr>
              <w:t>2016-11-18</w:t>
            </w:r>
          </w:p>
        </w:tc>
        <w:tc>
          <w:tcPr>
            <w:vAlign w:val="center"/>
          </w:tcPr>
          <w:p>
            <w:pPr>
              <w:jc w:val="center"/>
            </w:pPr>
            <w:r>
              <w:rPr>
                <w:rFonts w:asciiTheme="minorEastAsia" w:eastAsiaTheme="minorEastAsia" w:hAnsiTheme="minorEastAsia"/>
                <w:color w:themeColor="text1" w:val="000000"/>
              </w:rPr>
              <w:t>-</w:t>
            </w:r>
          </w:p>
        </w:tc>
        <w:tc>
          <w:tcPr>
            <w:vAlign w:val="center"/>
          </w:tcPr>
          <w:p>
            <w:pPr>
              <w:jc w:val="center"/>
            </w:pPr>
            <w:r>
              <w:rPr>
                <w:rFonts w:asciiTheme="minorEastAsia" w:eastAsiaTheme="minorEastAsia" w:hAnsiTheme="minorEastAsia"/>
                <w:color w:themeColor="text1" w:val="000000"/>
              </w:rPr>
              <w:t>9年</w:t>
            </w:r>
          </w:p>
        </w:tc>
        <w:tc>
          <w:tcPr>
            <w:vAlign w:val="center"/>
          </w:tcPr>
          <w:p>
            <w:pPr>
              <w:jc w:val="both"/>
            </w:pPr>
            <w:r>
              <w:rPr>
                <w:rFonts w:asciiTheme="minorEastAsia" w:eastAsiaTheme="minorEastAsia" w:hAnsiTheme="minorEastAsia"/>
                <w:color w:themeColor="text1" w:val="000000"/>
              </w:rPr>
              <w:t>李德辉先生，上海交通大学生物医学工程博士，2012年7月至2014年7月在农银汇理基金管理有限公司担任研究员。自2014年8月起加入上投摩根基金管理有限公司，先后担任研究员、行业专家兼基金经理助理、基金经理、高级基金经理。自2016年11月起担任上投摩根科技前沿灵活配置混合型证券投资基金基金经理，2018年3月至2019年7月同时担任上投摩根安全战略股票型证券投资基金基金经理及上投摩根双核平衡混合型证券投资基金基金经理，自2018年6月起同时担任上投摩根卓越制造股票型证券投资基金基金经理，自2019年3月起同时担任上投摩根智选30混合型证券投资基金基金经理，自2020年1月起同时担任上投摩根慧选成长股票型证券投资基金基金经理，自2020年9月起同时担任上投摩根慧见两年持有期混合型证券投资基金基金经理。</w:t>
            </w:r>
          </w:p>
        </w:tc>
      </w:tr>
    </w:tbl>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注：1.任职日期和离任日期均指根据公司决定确定的聘任日期和解聘日期。</w:t>
      </w:r>
    </w:p>
    <w:p w14:paraId="617FFBB9"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gramEnd"/>
      <w:r>
        <w:rPr>
          <w:rFonts w:asciiTheme="minorEastAsia" w:eastAsiaTheme="minorEastAsia" w:hAnsiTheme="minorEastAsia"/>
          <w:color w:themeColor="text1" w:val="000000"/>
        </w:rPr>
        <w:t>2.证券从业的含义遵从行业协会《证券业从业人员资格管理办法》的相关规定。</w:t>
      </w:r>
    </w:p>
    <w:p w14:paraId="4FBEFD21"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4.2 </w:t>
      </w:r>
      <w:r>
        <w:rPr>
          <w:rFonts w:asciiTheme="minorEastAsia" w:eastAsiaTheme="minorEastAsia" w:hAnsiTheme="minorEastAsia" w:hint="eastAsia"/>
          <w:b/>
          <w:bCs/>
          <w:color w:themeColor="text1" w:val="000000"/>
          <w:kern w:val="0"/>
          <w:sz w:val="24"/>
          <w:szCs w:val="24"/>
        </w:rPr>
        <w:t>管理人对报告期内本基金运作遵规守信情况的说明</w:t>
      </w:r>
    </w:p>
    <w:p w14:paraId="6D01CD8D"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在本报告期内，基金管理人不存在损害基金份额持有人利益的行为，勤勉尽责地为基金份额持有人谋求利益。基金管理人遵守了《证券投资基金法》及其他有关法律法规、《上投摩根科技前沿灵活配置混合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14:paraId="79379002"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639C8B3E"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4.3 </w:t>
      </w:r>
      <w:r>
        <w:rPr>
          <w:rFonts w:asciiTheme="minorEastAsia" w:eastAsiaTheme="minorEastAsia" w:hAnsiTheme="minorEastAsia" w:hint="eastAsia"/>
          <w:b/>
          <w:bCs/>
          <w:color w:themeColor="text1" w:val="000000"/>
          <w:kern w:val="0"/>
          <w:sz w:val="24"/>
          <w:szCs w:val="24"/>
        </w:rPr>
        <w:t>公平交易专项说明</w:t>
      </w:r>
    </w:p>
    <w:p w14:paraId="0796C6BB"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 xml:space="preserve">4.3.1 </w:t>
      </w:r>
      <w:r>
        <w:rPr>
          <w:rFonts w:asciiTheme="minorEastAsia" w:eastAsiaTheme="minorEastAsia" w:hAnsiTheme="minorEastAsia" w:hint="eastAsia"/>
          <w:color w:themeColor="text1" w:val="000000"/>
          <w:sz w:val="24"/>
          <w:szCs w:val="24"/>
        </w:rPr>
        <w:t>公平交易制度的执行情况</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14:paraId="3E52BB6A"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报告期内，通过对不同投资组合之间的收益率差异比较、对同向交易和反向交易的交易时机和交易价差监控分析，未发现整体公平交易执行出现异常的情况。</w:t>
      </w:r>
    </w:p>
    <w:p w14:paraId="06ECB64A"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 xml:space="preserve">4.3.2 </w:t>
      </w:r>
      <w:r>
        <w:rPr>
          <w:rFonts w:asciiTheme="minorEastAsia" w:eastAsiaTheme="minorEastAsia" w:hAnsiTheme="minorEastAsia" w:hint="eastAsia"/>
          <w:color w:themeColor="text1" w:val="000000"/>
          <w:sz w:val="24"/>
          <w:szCs w:val="24"/>
        </w:rPr>
        <w:t>异常交易行为的专项说明</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报告期内，通过对交易价格、交易时间、交易方向等的分析，未发现有可能导致不公平交易和利益输送的异常交易行为。</w:t>
      </w:r>
    </w:p>
    <w:p w14:paraId="4219F41F"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所有投资组合参与的交易所公开竞价同日反向交易成交较少的单边交易量超过该证券当日成交量的5%的情形：无。</w:t>
      </w:r>
    </w:p>
    <w:p w14:paraId="78B72EC9" w14:textId="77777777" w:rsidR="00D06738" w:rsidRDefault="00D06738">
      <w:pPr>
        <w:spacing w:line="360" w:lineRule="auto"/>
        <w:ind w:firstLine="480" w:firstLineChars="200"/>
        <w:rPr>
          <w:rFonts w:asciiTheme="minorEastAsia" w:eastAsiaTheme="minorEastAsia" w:hAnsiTheme="minorEastAsia"/>
          <w:color w:themeColor="text1" w:val="000000"/>
          <w:sz w:val="24"/>
          <w:szCs w:val="24"/>
        </w:rPr>
      </w:pPr>
    </w:p>
    <w:p w14:paraId="268AD9F2"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4.4 </w:t>
      </w:r>
      <w:r>
        <w:rPr>
          <w:rFonts w:asciiTheme="minorEastAsia" w:eastAsiaTheme="minorEastAsia" w:hAnsiTheme="minorEastAsia" w:hint="eastAsia"/>
          <w:b/>
          <w:bCs/>
          <w:color w:themeColor="text1" w:val="000000"/>
          <w:kern w:val="0"/>
          <w:sz w:val="24"/>
          <w:szCs w:val="24"/>
        </w:rPr>
        <w:t>报告期内基金的投资策略和业绩表现说明</w:t>
      </w:r>
    </w:p>
    <w:p w14:paraId="37D7D562"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cs="宋体" w:eastAsiaTheme="minorEastAsia" w:hAnsiTheme="minorEastAsia"/>
          <w:color w:themeColor="text1" w:val="000000"/>
          <w:sz w:val="24"/>
          <w:szCs w:val="24"/>
        </w:rPr>
        <w:t>4.4.1</w:t>
      </w:r>
      <w:r>
        <w:rPr>
          <w:rFonts w:asciiTheme="minorEastAsia" w:cs="宋体" w:eastAsiaTheme="minorEastAsia" w:hAnsiTheme="minorEastAsia" w:hint="eastAsia"/>
          <w:color w:themeColor="text1" w:val="000000"/>
          <w:sz w:val="24"/>
          <w:szCs w:val="24"/>
        </w:rPr>
        <w:t>报告期内基金投资策略和运作分析</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2021年一季度权益市场波动较大，市场担心流动性、货币政策收缩预期以及整个市场相对位置较高。本基金由于结构相对偏重核心资产，导致业绩跑输市场。</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展望二季度，我们认为大概率宏观经济和流动性都是从高位区域回到长期合理区域，这个过程可能影响部分公司的盈利预期和估值水平，前期市场下跌已反映了部分预期，但未来可能仍有一些不确定性。从长期潜在预期回报看，目前市场大部分市值较大、质地优良的核心资产年化回报属于中低水平，较过去两年有较大幅度下降，但中长期看仍是不差的资产。组合管理方面，我们将采取更均衡的行业配置，兼顾确定性的核心资产和低估值的价值股，平衡组合风格和波动。</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我们中长期看好的成长赛道仍为科技、新能源汽车、医药、消费等行业。科技行业，我们仍看好传统有较强网络效应的互联网公司，同时看好新兴有较强创新能力的软件或半导体公司。新能源汽车行业，看好电动化和智能化的普及，希望能布局一些有潜质的公司。医药行业，人口老龄化带来总需求增加，但是支付能力又相对不足，需要选择有较强创新能力或者需求来自海外的公司来应对不确定性。消费行业，我们看好成熟赛道的优质龙头公司，同时积极挖掘新兴赛道的潜力公司，因为年轻人会带来新的品牌崛起。短周期我们偏防御选择一些公用事业和金融等低估值资产。</w:t>
      </w:r>
    </w:p>
    <w:p w14:paraId="6E21DA7A"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个股选择上，我们坚持供给端有壁垒和需求端有增长两个维度，希望通过优秀公司的韧性来降低行业需求的波动性风险，力争获取长期稳定超额收益。</w:t>
      </w:r>
    </w:p>
    <w:p w14:paraId="23C77E45"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cs="宋体" w:eastAsiaTheme="minorEastAsia" w:hAnsiTheme="minorEastAsia"/>
          <w:color w:themeColor="text1" w:val="000000"/>
          <w:sz w:val="24"/>
          <w:szCs w:val="24"/>
        </w:rPr>
        <w:t>4.4.2</w:t>
      </w:r>
      <w:r>
        <w:rPr>
          <w:rFonts w:asciiTheme="minorEastAsia" w:cs="宋体" w:eastAsiaTheme="minorEastAsia" w:hAnsiTheme="minorEastAsia" w:hint="eastAsia"/>
          <w:color w:themeColor="text1" w:val="000000"/>
          <w:sz w:val="24"/>
          <w:szCs w:val="24"/>
        </w:rPr>
        <w:t>报告期内基金的业绩表现</w:t>
      </w:r>
    </w:p>
    <w:p w14:paraId="3743F1F6"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本报告期上投摩根科技前沿混合份额净值增长率为:-5.24%，同期业绩比较基准收益率为:-1.78%。</w:t>
      </w:r>
    </w:p>
    <w:p w14:paraId="44A63C7D" w14:textId="77777777" w:rsidR="00D06738" w:rsidRDefault="00D06738">
      <w:pPr>
        <w:spacing w:line="360" w:lineRule="auto"/>
        <w:ind w:firstLine="480" w:firstLineChars="200"/>
        <w:rPr>
          <w:rFonts w:asciiTheme="minorEastAsia" w:eastAsiaTheme="minorEastAsia" w:hAnsiTheme="minorEastAsia"/>
          <w:color w:themeColor="text1" w:val="000000"/>
          <w:sz w:val="24"/>
          <w:szCs w:val="24"/>
        </w:rPr>
      </w:pPr>
    </w:p>
    <w:p w14:paraId="7FECA9F5"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b/>
          <w:color w:themeColor="text1" w:val="000000"/>
          <w:kern w:val="0"/>
          <w:sz w:val="24"/>
          <w:szCs w:val="24"/>
        </w:rPr>
        <w:t/>
      </w:r>
      <w:proofErr w:type="spellStart"/>
      <w:r>
        <w:rPr>
          <w:rFonts w:asciiTheme="minorEastAsia" w:eastAsiaTheme="minorEastAsia" w:hAnsiTheme="minorEastAsia"/>
          <w:b/>
          <w:color w:themeColor="text1" w:val="000000"/>
          <w:kern w:val="0"/>
          <w:sz w:val="24"/>
          <w:szCs w:val="24"/>
        </w:rPr>
        <w:t/>
      </w:r>
      <w:proofErr w:type="spellEnd"/>
      <w:r>
        <w:rPr>
          <w:rFonts w:asciiTheme="minorEastAsia" w:eastAsiaTheme="minorEastAsia" w:hAnsiTheme="minorEastAsia"/>
          <w:b/>
          <w:color w:themeColor="text1" w:val="000000"/>
          <w:kern w:val="0"/>
          <w:sz w:val="24"/>
          <w:szCs w:val="24"/>
        </w:rPr>
        <w:t>4</w:t>
      </w:r>
      <w:r>
        <w:rPr>
          <w:rFonts w:asciiTheme="minorEastAsia" w:eastAsiaTheme="minorEastAsia" w:hAnsiTheme="minorEastAsia" w:hint="eastAsia"/>
          <w:b/>
          <w:color w:themeColor="text1" w:val="000000"/>
          <w:kern w:val="0"/>
          <w:sz w:val="24"/>
          <w:szCs w:val="24"/>
        </w:rPr>
        <w:t>.5报告期内基金持有人数或基金资产净值预警说明</w:t>
      </w:r>
    </w:p>
    <w:p w14:paraId="35411AB5"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eastAsiaTheme="minorEastAsia" w:hAnsiTheme="minorEastAsia"/>
          <w:color w:themeColor="text1" w:val="000000"/>
        </w:rPr>
        <w:t/>
      </w:r>
      <w:r>
        <w:rPr>
          <w:rFonts w:asciiTheme="minorEastAsia" w:eastAsiaTheme="minorEastAsia" w:hAnsiTheme="minorEastAsia"/>
          <w:color w:themeColor="text1" w:val="000000"/>
          <w:kern w:val="0"/>
        </w:rPr>
        <w:t>无。</w:t>
      </w:r>
    </w:p>
    <w:p w14:paraId="1DAA7197"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lastRenderedPageBreak/>
        <w:t>§5</w:t>
      </w:r>
      <w:r>
        <w:rPr>
          <w:rFonts w:asciiTheme="minorEastAsia" w:eastAsiaTheme="minorEastAsia" w:hAnsiTheme="minorEastAsia"/>
          <w:color w:themeColor="text1" w:val="000000"/>
          <w:kern w:val="0"/>
          <w:sz w:val="24"/>
          <w:szCs w:val="24"/>
        </w:rPr>
        <w:t xml:space="preserve">  </w:t>
      </w:r>
      <w:r>
        <w:rPr>
          <w:rFonts w:asciiTheme="minorEastAsia" w:eastAsiaTheme="minorEastAsia" w:hAnsiTheme="minorEastAsia" w:hint="eastAsia"/>
          <w:color w:themeColor="text1" w:val="000000"/>
          <w:kern w:val="0"/>
          <w:sz w:val="24"/>
          <w:szCs w:val="24"/>
        </w:rPr>
        <w:t>投资组合报告</w:t>
      </w:r>
    </w:p>
    <w:p w14:paraId="2ED46D8C"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5.1 </w:t>
      </w:r>
      <w:r>
        <w:rPr>
          <w:rFonts w:asciiTheme="minorEastAsia" w:eastAsiaTheme="minorEastAsia" w:hAnsiTheme="minorEastAsia" w:hint="eastAsia"/>
          <w:b/>
          <w:bCs/>
          <w:color w:themeColor="text1" w:val="000000"/>
          <w:kern w:val="0"/>
          <w:sz w:val="24"/>
          <w:szCs w:val="24"/>
        </w:rPr>
        <w:t>报告期末基金资产组合情况</w:t>
      </w:r>
    </w:p>
    <w:tbl>
      <w:tblPr>
        <w:tblStyle w:val="aff4"/>
        <w:tblW w:type="dxa" w:w="8897"/>
        <w:jc w:val="center"/>
        <w:tblLayout w:type="fixed"/>
        <w:tblLook w:firstColumn="1" w:firstRow="1" w:lastColumn="0" w:lastRow="0" w:noHBand="0" w:noVBand="1" w:val="04A0"/>
      </w:tblPr>
      <w:tblGrid>
        <w:gridCol w:w="720"/>
        <w:gridCol w:w="3357"/>
        <w:gridCol w:w="2977"/>
        <w:gridCol w:w="1843"/>
      </w:tblGrid>
      <w:tr w14:paraId="0557169A" w14:textId="77777777" w:rsidR="00D06738">
        <w:trPr>
          <w:jc w:val="center"/>
        </w:trPr>
        <w:tc>
          <w:tcPr>
            <w:tcW w:type="dxa" w:w="720"/>
            <w:vAlign w:val="center"/>
          </w:tcPr>
          <w:p w14:paraId="267B5679"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序号</w:t>
            </w:r>
          </w:p>
        </w:tc>
        <w:tc>
          <w:tcPr>
            <w:tcW w:type="dxa" w:w="3357"/>
            <w:vAlign w:val="center"/>
          </w:tcPr>
          <w:p w14:paraId="64B125CA"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项目</w:t>
            </w:r>
          </w:p>
        </w:tc>
        <w:tc>
          <w:tcPr>
            <w:tcW w:type="dxa" w:w="2977"/>
            <w:vAlign w:val="center"/>
          </w:tcPr>
          <w:p w14:paraId="7B039B4F"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金额(元)</w:t>
            </w:r>
          </w:p>
        </w:tc>
        <w:tc>
          <w:tcPr>
            <w:tcW w:type="dxa" w:w="1843"/>
            <w:vAlign w:val="center"/>
          </w:tcPr>
          <w:p w14:paraId="546A193D"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占基金总资产的比例(</w:t>
            </w:r>
            <w:r>
              <w:rPr>
                <w:rFonts w:asciiTheme="minorEastAsia" w:eastAsiaTheme="minorEastAsia" w:hAnsiTheme="minorEastAsia"/>
                <w:color w:themeColor="text1" w:val="000000"/>
                <w:kern w:val="0"/>
              </w:rPr>
              <w:t>%</w:t>
            </w:r>
            <w:r>
              <w:rPr>
                <w:rFonts w:asciiTheme="minorEastAsia" w:eastAsiaTheme="minorEastAsia" w:hAnsiTheme="minorEastAsia" w:hint="eastAsia"/>
                <w:color w:themeColor="text1" w:val="000000"/>
                <w:kern w:val="0"/>
              </w:rPr>
              <w:t>)</w:t>
            </w:r>
          </w:p>
        </w:tc>
      </w:tr>
      <w:tr w14:paraId="2C5F8168" w14:textId="77777777" w:rsidR="00D06738">
        <w:trPr>
          <w:jc w:val="center"/>
        </w:trPr>
        <w:tc>
          <w:tcPr>
            <w:tcW w:type="dxa" w:w="720"/>
            <w:vAlign w:val="center"/>
          </w:tcPr>
          <w:p w14:paraId="790AB276"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1</w:t>
            </w:r>
          </w:p>
        </w:tc>
        <w:tc>
          <w:tcPr>
            <w:tcW w:type="dxa" w:w="3357"/>
            <w:vAlign w:val="center"/>
          </w:tcPr>
          <w:p w14:paraId="2A6D52A1"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权益投资</w:t>
            </w:r>
          </w:p>
        </w:tc>
        <w:tc>
          <w:tcPr>
            <w:tcW w:type="dxa" w:w="2977"/>
            <w:vAlign w:val="center"/>
          </w:tcPr>
          <w:p w14:paraId="3F07A469"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4,401,474,364.44</w:t>
            </w:r>
          </w:p>
        </w:tc>
        <w:tc>
          <w:tcPr>
            <w:tcW w:type="dxa" w:w="1843"/>
            <w:vAlign w:val="center"/>
          </w:tcPr>
          <w:p w14:paraId="233B1348"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68.55</w:t>
            </w:r>
          </w:p>
        </w:tc>
      </w:tr>
      <w:tr w14:paraId="2113730F" w14:textId="77777777" w:rsidR="00D06738">
        <w:trPr>
          <w:jc w:val="center"/>
        </w:trPr>
        <w:tc>
          <w:tcPr>
            <w:tcW w:type="dxa" w:w="720"/>
            <w:vAlign w:val="center"/>
          </w:tcPr>
          <w:p w14:paraId="66F43ADC" w14:textId="77777777" w:rsidR="00D06738" w:rsidRDefault="00D06738">
            <w:pPr>
              <w:spacing w:before="29" w:line="360" w:lineRule="auto"/>
              <w:ind w:left="17"/>
              <w:jc w:val="center"/>
              <w:rPr>
                <w:rFonts w:asciiTheme="minorEastAsia" w:eastAsiaTheme="minorEastAsia" w:hAnsiTheme="minorEastAsia"/>
                <w:color w:themeColor="text1" w:val="000000"/>
                <w:kern w:val="0"/>
              </w:rPr>
            </w:pPr>
          </w:p>
        </w:tc>
        <w:tc>
          <w:tcPr>
            <w:tcW w:type="dxa" w:w="3357"/>
            <w:vAlign w:val="center"/>
          </w:tcPr>
          <w:p w14:paraId="42830015"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其中：股票</w:t>
            </w:r>
          </w:p>
        </w:tc>
        <w:tc>
          <w:tcPr>
            <w:tcW w:type="dxa" w:w="2977"/>
            <w:vAlign w:val="center"/>
          </w:tcPr>
          <w:p w14:paraId="36A710A1"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4,401,474,364.44</w:t>
            </w:r>
          </w:p>
        </w:tc>
        <w:tc>
          <w:tcPr>
            <w:tcW w:type="dxa" w:w="1843"/>
            <w:vAlign w:val="center"/>
          </w:tcPr>
          <w:p w14:paraId="4235B2A6"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68.55</w:t>
            </w:r>
          </w:p>
        </w:tc>
      </w:tr>
      <w:tr w14:paraId="7AF15202" w14:textId="77777777" w:rsidR="00D06738">
        <w:trPr>
          <w:jc w:val="center"/>
        </w:trPr>
        <w:tc>
          <w:tcPr>
            <w:tcW w:type="dxa" w:w="720"/>
            <w:vAlign w:val="center"/>
          </w:tcPr>
          <w:p w14:paraId="0231B762"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2</w:t>
            </w:r>
          </w:p>
        </w:tc>
        <w:tc>
          <w:tcPr>
            <w:tcW w:type="dxa" w:w="3357"/>
            <w:vAlign w:val="center"/>
          </w:tcPr>
          <w:p w14:paraId="4854CF2B"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固定收益投资</w:t>
            </w:r>
          </w:p>
        </w:tc>
        <w:tc>
          <w:tcPr>
            <w:tcW w:type="dxa" w:w="2977"/>
            <w:vAlign w:val="center"/>
          </w:tcPr>
          <w:p w14:paraId="789C70AC"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249B7557"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19D15F90" w14:textId="77777777" w:rsidR="00D06738">
        <w:trPr>
          <w:jc w:val="center"/>
        </w:trPr>
        <w:tc>
          <w:tcPr>
            <w:tcW w:type="dxa" w:w="720"/>
            <w:vAlign w:val="center"/>
          </w:tcPr>
          <w:p w14:paraId="16E41AE7" w14:textId="77777777" w:rsidR="00D06738" w:rsidRDefault="00D06738">
            <w:pPr>
              <w:spacing w:before="29" w:line="360" w:lineRule="auto"/>
              <w:ind w:left="17"/>
              <w:jc w:val="center"/>
              <w:rPr>
                <w:rFonts w:asciiTheme="minorEastAsia" w:eastAsiaTheme="minorEastAsia" w:hAnsiTheme="minorEastAsia"/>
                <w:color w:themeColor="text1" w:val="000000"/>
                <w:kern w:val="0"/>
              </w:rPr>
            </w:pPr>
          </w:p>
        </w:tc>
        <w:tc>
          <w:tcPr>
            <w:tcW w:type="dxa" w:w="3357"/>
            <w:vAlign w:val="center"/>
          </w:tcPr>
          <w:p w14:paraId="47E8D347"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其中：债券</w:t>
            </w:r>
          </w:p>
        </w:tc>
        <w:tc>
          <w:tcPr>
            <w:tcW w:type="dxa" w:w="2977"/>
            <w:vAlign w:val="center"/>
          </w:tcPr>
          <w:p w14:paraId="49FE2FF2"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378238FF"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62562C15" w14:textId="77777777" w:rsidR="00D06738">
        <w:trPr>
          <w:jc w:val="center"/>
        </w:trPr>
        <w:tc>
          <w:tcPr>
            <w:tcW w:type="dxa" w:w="720"/>
            <w:vAlign w:val="center"/>
          </w:tcPr>
          <w:p w14:paraId="104BD163" w14:textId="77777777" w:rsidR="00D06738" w:rsidRDefault="00D06738">
            <w:pPr>
              <w:spacing w:before="29" w:line="360" w:lineRule="auto"/>
              <w:ind w:left="17"/>
              <w:jc w:val="center"/>
              <w:rPr>
                <w:rFonts w:asciiTheme="minorEastAsia" w:eastAsiaTheme="minorEastAsia" w:hAnsiTheme="minorEastAsia"/>
                <w:color w:themeColor="text1" w:val="000000"/>
                <w:kern w:val="0"/>
              </w:rPr>
            </w:pPr>
          </w:p>
        </w:tc>
        <w:tc>
          <w:tcPr>
            <w:tcW w:type="dxa" w:w="3357"/>
            <w:vAlign w:val="center"/>
          </w:tcPr>
          <w:p w14:paraId="47AC6DAD" w14:textId="77777777" w:rsidR="00D06738" w:rsidRDefault="00454D20">
            <w:pPr>
              <w:autoSpaceDE w:val="0"/>
              <w:autoSpaceDN w:val="0"/>
              <w:adjustRightInd w:val="0"/>
              <w:spacing w:before="29" w:line="360" w:lineRule="auto"/>
              <w:ind w:firstLine="525" w:firstLineChars="250"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资产支持证券</w:t>
            </w:r>
          </w:p>
        </w:tc>
        <w:tc>
          <w:tcPr>
            <w:tcW w:type="dxa" w:w="2977"/>
            <w:vAlign w:val="center"/>
          </w:tcPr>
          <w:p w14:paraId="3CF84DDB"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1CCF9364"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color w:themeColor="text1" w:val="000000"/>
                <w:kern w:val="0"/>
              </w:rPr>
              <w:lastRenderedPageBreak/>
              <w:t/>
            </w:r>
            <w:r>
              <w:rPr>
                <w:rFonts w:asciiTheme="minorEastAsia" w:cs="宋体" w:eastAsiaTheme="minorEastAsia" w:hAnsiTheme="minorEastAsia" w:hint="eastAsia"/>
                <w:color w:themeColor="text1" w:val="000000"/>
                <w:kern w:val="0"/>
              </w:rPr>
              <w:t>-</w:t>
            </w:r>
          </w:p>
        </w:tc>
      </w:tr>
      <w:tr w14:paraId="3F449325" w14:textId="77777777" w:rsidR="00D06738">
        <w:trPr>
          <w:jc w:val="center"/>
        </w:trPr>
        <w:tc>
          <w:tcPr>
            <w:tcW w:type="dxa" w:w="720"/>
          </w:tcPr>
          <w:p w14:paraId="1EE609C8"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lastRenderedPageBreak/>
              <w:t>3</w:t>
            </w:r>
          </w:p>
        </w:tc>
        <w:tc>
          <w:tcPr>
            <w:tcW w:type="dxa" w:w="3357"/>
          </w:tcPr>
          <w:p w14:paraId="7A120390" w14:textId="77777777" w:rsidR="00D06738" w:rsidRDefault="00454D20">
            <w:pPr>
              <w:spacing w:before="29" w:line="360" w:lineRule="auto"/>
              <w:ind w:left="105" w:leftChars="50"/>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贵金属投资</w:t>
            </w:r>
          </w:p>
        </w:tc>
        <w:tc>
          <w:tcPr>
            <w:tcW w:type="dxa" w:w="2977"/>
            <w:vAlign w:val="center"/>
          </w:tcPr>
          <w:p w14:paraId="201F9736"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76F8BBAB"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r>
      <w:tr w14:paraId="40209BD0" w14:textId="77777777" w:rsidR="00D06738">
        <w:trPr>
          <w:jc w:val="center"/>
        </w:trPr>
        <w:tc>
          <w:tcPr>
            <w:tcW w:type="dxa" w:w="720"/>
            <w:vAlign w:val="center"/>
          </w:tcPr>
          <w:p w14:paraId="44CDCE61"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4</w:t>
            </w:r>
          </w:p>
        </w:tc>
        <w:tc>
          <w:tcPr>
            <w:tcW w:type="dxa" w:w="3357"/>
            <w:vAlign w:val="center"/>
          </w:tcPr>
          <w:p w14:paraId="26733435"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金融衍生</w:t>
            </w:r>
            <w:proofErr w:type="gramStart"/>
            <w:r>
              <w:rPr>
                <w:rFonts w:asciiTheme="minorEastAsia" w:cs="宋体" w:eastAsiaTheme="minorEastAsia" w:hAnsiTheme="minorEastAsia" w:hint="eastAsia"/>
                <w:color w:themeColor="text1" w:val="000000"/>
                <w:kern w:val="0"/>
              </w:rPr>
              <w:t>品投资</w:t>
            </w:r>
            <w:proofErr w:type="gramEnd"/>
          </w:p>
        </w:tc>
        <w:tc>
          <w:tcPr>
            <w:tcW w:type="dxa" w:w="2977"/>
            <w:vAlign w:val="center"/>
          </w:tcPr>
          <w:p w14:paraId="2CA6AE58"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117B3EB0"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69083124" w14:textId="77777777" w:rsidR="00D06738">
        <w:trPr>
          <w:jc w:val="center"/>
        </w:trPr>
        <w:tc>
          <w:tcPr>
            <w:tcW w:type="dxa" w:w="720"/>
            <w:vAlign w:val="center"/>
          </w:tcPr>
          <w:p w14:paraId="3E06450B"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5</w:t>
            </w:r>
          </w:p>
        </w:tc>
        <w:tc>
          <w:tcPr>
            <w:tcW w:type="dxa" w:w="3357"/>
            <w:vAlign w:val="center"/>
          </w:tcPr>
          <w:p w14:paraId="11937F9B"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买入返售金融资产</w:t>
            </w:r>
          </w:p>
        </w:tc>
        <w:tc>
          <w:tcPr>
            <w:tcW w:type="dxa" w:w="2977"/>
            <w:vAlign w:val="center"/>
          </w:tcPr>
          <w:p w14:paraId="62931128"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3F06200C"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5EFCF5A8" w14:textId="77777777" w:rsidR="00D06738">
        <w:trPr>
          <w:jc w:val="center"/>
        </w:trPr>
        <w:tc>
          <w:tcPr>
            <w:tcW w:type="dxa" w:w="720"/>
            <w:vAlign w:val="center"/>
          </w:tcPr>
          <w:p w14:paraId="7A522889" w14:textId="77777777" w:rsidR="00D06738" w:rsidRDefault="00D06738">
            <w:pPr>
              <w:spacing w:before="29" w:line="360" w:lineRule="auto"/>
              <w:ind w:left="17"/>
              <w:jc w:val="center"/>
              <w:rPr>
                <w:rFonts w:asciiTheme="minorEastAsia" w:eastAsiaTheme="minorEastAsia" w:hAnsiTheme="minorEastAsia"/>
                <w:color w:themeColor="text1" w:val="000000"/>
                <w:kern w:val="0"/>
              </w:rPr>
            </w:pPr>
          </w:p>
        </w:tc>
        <w:tc>
          <w:tcPr>
            <w:tcW w:type="dxa" w:w="3357"/>
            <w:vAlign w:val="center"/>
          </w:tcPr>
          <w:p w14:paraId="3CEA16A4"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其中：买断式回购的买入返售金融资产</w:t>
            </w:r>
          </w:p>
        </w:tc>
        <w:tc>
          <w:tcPr>
            <w:tcW w:type="dxa" w:w="2977"/>
            <w:vAlign w:val="center"/>
          </w:tcPr>
          <w:p w14:paraId="7B73699E"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c>
          <w:tcPr>
            <w:tcW w:type="dxa" w:w="1843"/>
            <w:vAlign w:val="center"/>
          </w:tcPr>
          <w:p w14:paraId="15A7BCA6"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786251D7" w14:textId="77777777" w:rsidR="00D06738">
        <w:trPr>
          <w:jc w:val="center"/>
        </w:trPr>
        <w:tc>
          <w:tcPr>
            <w:tcW w:type="dxa" w:w="720"/>
            <w:vAlign w:val="center"/>
          </w:tcPr>
          <w:p w14:paraId="29692791"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6</w:t>
            </w:r>
          </w:p>
        </w:tc>
        <w:tc>
          <w:tcPr>
            <w:tcW w:type="dxa" w:w="3357"/>
            <w:vAlign w:val="center"/>
          </w:tcPr>
          <w:p w14:paraId="421FB0FB"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银行存款和结算备付金合计</w:t>
            </w:r>
          </w:p>
        </w:tc>
        <w:tc>
          <w:tcPr>
            <w:tcW w:type="dxa" w:w="2977"/>
            <w:vAlign w:val="center"/>
          </w:tcPr>
          <w:p w14:paraId="54D555B7"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1,736,995,273.63</w:t>
            </w:r>
          </w:p>
        </w:tc>
        <w:tc>
          <w:tcPr>
            <w:tcW w:type="dxa" w:w="1843"/>
            <w:vAlign w:val="center"/>
          </w:tcPr>
          <w:p w14:paraId="174620BB"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27.05</w:t>
            </w:r>
          </w:p>
        </w:tc>
      </w:tr>
      <w:tr w14:paraId="42ECF5E1" w14:textId="77777777" w:rsidR="00D06738">
        <w:trPr>
          <w:jc w:val="center"/>
        </w:trPr>
        <w:tc>
          <w:tcPr>
            <w:tcW w:type="dxa" w:w="720"/>
            <w:vAlign w:val="center"/>
          </w:tcPr>
          <w:p w14:paraId="59AA2BC1"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r>
              <w:rPr>
                <w:rFonts w:asciiTheme="minorEastAsia" w:eastAsiaTheme="minorEastAsia" w:hAnsiTheme="minorEastAsia" w:hint="eastAsia"/>
                <w:color w:themeColor="text1" w:val="000000"/>
                <w:kern w:val="0"/>
              </w:rPr>
              <w:t/>
            </w:r>
            <w:r>
              <w:rPr>
                <w:rFonts w:asciiTheme="minorEastAsia" w:eastAsiaTheme="minorEastAsia" w:hAnsiTheme="minorEastAsia"/>
                <w:color w:themeColor="text1" w:val="000000"/>
                <w:kern w:val="0"/>
              </w:rPr>
              <w:t>7</w:t>
            </w:r>
          </w:p>
        </w:tc>
        <w:tc>
          <w:tcPr>
            <w:tcW w:type="dxa" w:w="3357"/>
            <w:vAlign w:val="center"/>
          </w:tcPr>
          <w:p w14:paraId="705D6B78" w14:textId="77777777" w:rsidR="00D06738" w:rsidRDefault="00454D20">
            <w:pPr>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其他各项资产</w:t>
            </w:r>
          </w:p>
        </w:tc>
        <w:tc>
          <w:tcPr>
            <w:tcW w:type="dxa" w:w="2977"/>
            <w:vAlign w:val="center"/>
          </w:tcPr>
          <w:p w14:paraId="4AF0CB10"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282,309,147.75</w:t>
            </w:r>
          </w:p>
        </w:tc>
        <w:tc>
          <w:tcPr>
            <w:tcW w:type="dxa" w:w="1843"/>
            <w:vAlign w:val="center"/>
          </w:tcPr>
          <w:p w14:paraId="12AAF10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4.40</w:t>
            </w:r>
          </w:p>
        </w:tc>
      </w:tr>
      <w:tr w14:paraId="4D6FFA71" w14:textId="77777777" w:rsidR="00D06738">
        <w:trPr>
          <w:jc w:val="center"/>
        </w:trPr>
        <w:tc>
          <w:tcPr>
            <w:tcW w:type="dxa" w:w="720"/>
            <w:vAlign w:val="center"/>
          </w:tcPr>
          <w:p w14:paraId="17A180E6"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r>
              <w:rPr>
                <w:rFonts w:asciiTheme="minorEastAsia" w:eastAsiaTheme="minorEastAsia" w:hAnsiTheme="minorEastAsia" w:hint="eastAsia"/>
                <w:color w:themeColor="text1" w:val="000000"/>
                <w:kern w:val="0"/>
              </w:rPr>
              <w:t/>
            </w:r>
            <w:r>
              <w:rPr>
                <w:rFonts w:asciiTheme="minorEastAsia" w:eastAsiaTheme="minorEastAsia" w:hAnsiTheme="minorEastAsia"/>
                <w:color w:themeColor="text1" w:val="000000"/>
                <w:kern w:val="0"/>
              </w:rPr>
              <w:t>8</w:t>
            </w:r>
          </w:p>
        </w:tc>
        <w:tc>
          <w:tcPr>
            <w:tcW w:type="dxa" w:w="3357"/>
            <w:vAlign w:val="center"/>
          </w:tcPr>
          <w:p w14:paraId="29DAA7F6" w14:textId="77777777" w:rsidR="00D06738" w:rsidRDefault="00454D20">
            <w:pPr>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合计</w:t>
            </w:r>
          </w:p>
        </w:tc>
        <w:tc>
          <w:tcPr>
            <w:tcW w:type="dxa" w:w="2977"/>
            <w:vAlign w:val="center"/>
          </w:tcPr>
          <w:p w14:paraId="446A48E1"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6,420,778,785.82</w:t>
            </w:r>
          </w:p>
        </w:tc>
        <w:tc>
          <w:tcPr>
            <w:tcW w:type="dxa" w:w="1843"/>
            <w:vAlign w:val="center"/>
          </w:tcPr>
          <w:p w14:paraId="3C7AC8A3"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100.00</w:t>
            </w:r>
          </w:p>
        </w:tc>
      </w:tr>
    </w:tbl>
    <w:p w14:paraId="6175743F" w14:textId="77777777" w:rsidR="00D06738" w:rsidRDefault="00D06738">
      <w:pPr>
        <w:autoSpaceDE w:val="0"/>
        <w:autoSpaceDN w:val="0"/>
        <w:adjustRightInd w:val="0"/>
        <w:spacing w:line="360" w:lineRule="auto"/>
        <w:jc w:val="left"/>
        <w:rPr>
          <w:rFonts w:asciiTheme="minorEastAsia" w:cs="宋体" w:eastAsiaTheme="minorEastAsia" w:hAnsiTheme="minorEastAsia"/>
          <w:color w:themeColor="text1" w:val="000000"/>
          <w:sz w:val="24"/>
          <w:szCs w:val="24"/>
        </w:rPr>
      </w:pPr>
    </w:p>
    <w:p w14:paraId="71F975B1"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5.2 </w:t>
      </w:r>
      <w:r>
        <w:rPr>
          <w:rFonts w:asciiTheme="minorEastAsia" w:eastAsiaTheme="minorEastAsia" w:hAnsiTheme="minorEastAsia" w:hint="eastAsia"/>
          <w:b/>
          <w:bCs/>
          <w:color w:themeColor="text1" w:val="000000"/>
          <w:kern w:val="0"/>
          <w:sz w:val="24"/>
          <w:szCs w:val="24"/>
        </w:rPr>
        <w:t>报告期末按行业分类的股票投资组合</w:t>
      </w:r>
    </w:p>
    <w:p w14:paraId="0A24FB38" w14:textId="77777777" w:rsidR="00D06738" w:rsidRDefault="00454D20">
      <w:pPr>
        <w:rPr>
          <w:b/>
        </w:rPr>
      </w:pPr>
      <w:r>
        <w:rPr>
          <w:b/>
          <w:color w:themeColor="text1" w:val="000000"/>
        </w:rPr>
        <w:t/>
      </w:r>
      <w:proofErr w:type="spellStart"/>
      <w:r>
        <w:rPr>
          <w:b/>
          <w:color w:themeColor="text1" w:val="000000"/>
        </w:rPr>
        <w:t/>
      </w:r>
      <w:proofErr w:type="spellEnd"/>
      <w:r>
        <w:rPr>
          <w:b/>
          <w:color w:themeColor="text1" w:val="000000"/>
        </w:rPr>
        <w:t/>
      </w:r>
      <w:r>
        <w:rPr>
          <w:rFonts w:eastAsiaTheme="minorEastAsia" w:hint="eastAsia"/>
          <w:b/>
          <w:color w:themeColor="text1" w:val="000000"/>
          <w:kern w:val="0"/>
        </w:rPr>
        <w:t>5.2.1</w:t>
      </w:r>
      <w:r>
        <w:rPr>
          <w:rFonts w:eastAsiaTheme="minorEastAsia" w:hint="eastAsia"/>
          <w:b/>
          <w:color w:themeColor="text1" w:val="000000"/>
          <w:kern w:val="0"/>
        </w:rPr>
        <w:t>报告期末按行业分类的境内股票投资组合</w:t>
      </w:r>
    </w:p>
    <w:tbl>
      <w:tblPr>
        <w:tblW w:type="dxa" w:w="8731"/>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left w:type="dxa" w:w="0"/>
          <w:right w:type="dxa" w:w="0"/>
        </w:tblCellMar>
        <w:tblLook w:firstColumn="1" w:firstRow="1" w:lastColumn="0" w:lastRow="0" w:noHBand="0" w:noVBand="1" w:val="04A0"/>
      </w:tblPr>
      <w:tblGrid>
        <w:gridCol w:w="540"/>
        <w:gridCol w:w="3691"/>
        <w:gridCol w:w="2852"/>
        <w:gridCol w:w="1648"/>
      </w:tblGrid>
      <w:tr w14:paraId="72F29E24" w14:textId="77777777" w:rsidR="00D06738">
        <w:trPr>
          <w:trHeight w:val="390"/>
        </w:trPr>
        <w:tc>
          <w:tcPr>
            <w:tcW w:type="dxa" w:w="540"/>
            <w:tcBorders>
              <w:top w:color="000000" w:space="0" w:sz="4" w:val="single"/>
              <w:left w:color="000000" w:space="0" w:sz="4" w:val="single"/>
              <w:bottom w:color="000000" w:space="0" w:sz="4" w:val="single"/>
              <w:right w:color="000000" w:space="0" w:sz="4" w:val="single"/>
            </w:tcBorders>
            <w:vAlign w:val="center"/>
          </w:tcPr>
          <w:p w14:paraId="47C646D2"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代码</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C97B7F7"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行业类别</w:t>
            </w:r>
          </w:p>
        </w:tc>
        <w:tc>
          <w:tcPr>
            <w:tcW w:type="dxa" w:w="2852"/>
            <w:tcBorders>
              <w:top w:color="000000" w:space="0" w:sz="4" w:val="single"/>
              <w:left w:color="auto" w:space="0" w:sz="4" w:val="single"/>
              <w:bottom w:color="000000" w:space="0" w:sz="4" w:val="single"/>
              <w:right w:color="000000" w:space="0" w:sz="4" w:val="single"/>
            </w:tcBorders>
            <w:vAlign w:val="center"/>
          </w:tcPr>
          <w:p w14:paraId="037931C3"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公允价值（元）</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B76ADB3"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占基金资产净值比例（％）</w:t>
            </w:r>
          </w:p>
        </w:tc>
      </w:tr>
      <w:tr w14:paraId="651FF96F"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0A9BD6B"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A</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6AD492E7"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农、林、牧、渔业</w:t>
            </w:r>
          </w:p>
        </w:tc>
        <w:tc>
          <w:tcPr>
            <w:tcW w:type="dxa" w:w="2852"/>
            <w:tcBorders>
              <w:top w:color="000000" w:space="0" w:sz="4" w:val="single"/>
              <w:left w:color="auto" w:space="0" w:sz="4" w:val="single"/>
              <w:bottom w:color="000000" w:space="0" w:sz="4" w:val="single"/>
              <w:right w:color="000000" w:space="0" w:sz="4" w:val="single"/>
            </w:tcBorders>
            <w:vAlign w:val="center"/>
          </w:tcPr>
          <w:p w14:paraId="78148A5F" w14:textId="77777777" w:rsidR="00D06738" w:rsidRDefault="00454D20">
            <w:pPr>
              <w:autoSpaceDE w:val="0"/>
              <w:autoSpaceDN w:val="0"/>
              <w:adjustRightInd w:val="0"/>
              <w:spacing w:before="29" w:line="360" w:lineRule="auto"/>
              <w:ind w:left="15"/>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70D526D" w14:textId="77777777" w:rsidR="00D06738" w:rsidRDefault="00454D20">
            <w:pPr>
              <w:autoSpaceDE w:val="0"/>
              <w:autoSpaceDN w:val="0"/>
              <w:adjustRightInd w:val="0"/>
              <w:spacing w:before="29" w:line="360" w:lineRule="auto"/>
              <w:ind w:left="15"/>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2B8EF369"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6B10F5D"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B</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1A715D0"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采矿业</w:t>
            </w:r>
          </w:p>
        </w:tc>
        <w:tc>
          <w:tcPr>
            <w:tcW w:type="dxa" w:w="2852"/>
            <w:tcBorders>
              <w:top w:color="000000" w:space="0" w:sz="4" w:val="single"/>
              <w:left w:color="auto" w:space="0" w:sz="4" w:val="single"/>
              <w:bottom w:color="000000" w:space="0" w:sz="4" w:val="single"/>
              <w:right w:color="000000" w:space="0" w:sz="4" w:val="single"/>
            </w:tcBorders>
            <w:vAlign w:val="center"/>
          </w:tcPr>
          <w:p w14:paraId="21FC9ACA"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118,979,307.00</w:t>
            </w:r>
          </w:p>
          <w:p w14:paraId="72CB0322" w14:textId="77777777" w:rsidR="00D06738" w:rsidRDefault="00D06738">
            <w:pPr>
              <w:jc w:val="right"/>
              <w:rPr>
                <w:rFonts w:asciiTheme="minorEastAsia" w:cs="宋体" w:eastAsiaTheme="minorEastAsia" w:hAnsiTheme="minorEastAsia"/>
                <w:color w:themeColor="text1" w:val="000000"/>
                <w:kern w:val="0"/>
              </w:rPr>
            </w:pP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14421B1"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1.91</w:t>
            </w:r>
          </w:p>
          <w:p w14:paraId="5DCD6455" w14:textId="77777777" w:rsidR="00D06738" w:rsidRDefault="00D06738">
            <w:pPr>
              <w:jc w:val="right"/>
              <w:rPr>
                <w:rFonts w:asciiTheme="minorEastAsia" w:cs="宋体" w:eastAsiaTheme="minorEastAsia" w:hAnsiTheme="minorEastAsia"/>
                <w:color w:themeColor="text1" w:val="000000"/>
                <w:kern w:val="0"/>
              </w:rPr>
            </w:pPr>
          </w:p>
        </w:tc>
      </w:tr>
      <w:tr w14:paraId="3470B292"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61CD784"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C</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B84AAA9"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制造业</w:t>
            </w:r>
          </w:p>
        </w:tc>
        <w:tc>
          <w:tcPr>
            <w:tcW w:type="dxa" w:w="2852"/>
            <w:tcBorders>
              <w:top w:color="000000" w:space="0" w:sz="4" w:val="single"/>
              <w:left w:color="auto" w:space="0" w:sz="4" w:val="single"/>
              <w:bottom w:color="000000" w:space="0" w:sz="4" w:val="single"/>
              <w:right w:color="000000" w:space="0" w:sz="4" w:val="single"/>
            </w:tcBorders>
            <w:vAlign w:val="center"/>
          </w:tcPr>
          <w:p w14:paraId="6B93E8B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2,755,284,424.23</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4538DB9"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44.24</w:t>
            </w:r>
          </w:p>
        </w:tc>
      </w:tr>
      <w:tr w14:paraId="53F8CFEC"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27F6600"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D</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4C78FB78"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电力、热力、燃气及水生产和供应业</w:t>
            </w:r>
          </w:p>
        </w:tc>
        <w:tc>
          <w:tcPr>
            <w:tcW w:type="dxa" w:w="2852"/>
            <w:tcBorders>
              <w:top w:color="000000" w:space="0" w:sz="4" w:val="single"/>
              <w:left w:color="auto" w:space="0" w:sz="4" w:val="single"/>
              <w:bottom w:color="000000" w:space="0" w:sz="4" w:val="single"/>
              <w:right w:color="000000" w:space="0" w:sz="4" w:val="single"/>
            </w:tcBorders>
            <w:vAlign w:val="center"/>
          </w:tcPr>
          <w:p w14:paraId="585412E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447,076,371.28</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C65AF0A"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7.18</w:t>
            </w:r>
          </w:p>
        </w:tc>
      </w:tr>
      <w:tr w14:paraId="1B8429AC"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B4D80E8"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lastRenderedPageBreak/>
              <w:t>E</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756F489"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建筑业</w:t>
            </w:r>
          </w:p>
        </w:tc>
        <w:tc>
          <w:tcPr>
            <w:tcW w:type="dxa" w:w="2852"/>
            <w:tcBorders>
              <w:top w:color="000000" w:space="0" w:sz="4" w:val="single"/>
              <w:left w:color="auto" w:space="0" w:sz="4" w:val="single"/>
              <w:bottom w:color="000000" w:space="0" w:sz="4" w:val="single"/>
              <w:right w:color="000000" w:space="0" w:sz="4" w:val="single"/>
            </w:tcBorders>
            <w:vAlign w:val="center"/>
          </w:tcPr>
          <w:p w14:paraId="1DF004B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16,472.16</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BF184E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0.00</w:t>
            </w:r>
          </w:p>
        </w:tc>
      </w:tr>
      <w:tr w14:paraId="25A56BDE"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83F7537"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F</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5808EA0"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批发和零售业</w:t>
            </w:r>
          </w:p>
        </w:tc>
        <w:tc>
          <w:tcPr>
            <w:tcW w:type="dxa" w:w="2852"/>
            <w:tcBorders>
              <w:top w:color="000000" w:space="0" w:sz="4" w:val="single"/>
              <w:left w:color="auto" w:space="0" w:sz="4" w:val="single"/>
              <w:bottom w:color="000000" w:space="0" w:sz="4" w:val="single"/>
              <w:right w:color="000000" w:space="0" w:sz="4" w:val="single"/>
            </w:tcBorders>
            <w:vAlign w:val="center"/>
          </w:tcPr>
          <w:p w14:paraId="5FEC938C"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12,580.00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1E552C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0.00</w:t>
            </w:r>
          </w:p>
        </w:tc>
      </w:tr>
      <w:tr w14:paraId="68AD7C4C"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627F9BD"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G</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6A4BC8C"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交通运输、仓储和邮政业</w:t>
            </w:r>
          </w:p>
        </w:tc>
        <w:tc>
          <w:tcPr>
            <w:tcW w:type="dxa" w:w="2852"/>
            <w:tcBorders>
              <w:top w:color="000000" w:space="0" w:sz="4" w:val="single"/>
              <w:left w:color="auto" w:space="0" w:sz="4" w:val="single"/>
              <w:bottom w:color="000000" w:space="0" w:sz="4" w:val="single"/>
              <w:right w:color="000000" w:space="0" w:sz="4" w:val="single"/>
            </w:tcBorders>
            <w:vAlign w:val="center"/>
          </w:tcPr>
          <w:p w14:paraId="08E22E7D"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81E2CE7"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14:paraId="545862F1"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2865C67"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H</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793D1BB"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住宿和餐饮业</w:t>
            </w:r>
          </w:p>
        </w:tc>
        <w:tc>
          <w:tcPr>
            <w:tcW w:type="dxa" w:w="2852"/>
            <w:tcBorders>
              <w:top w:color="000000" w:space="0" w:sz="4" w:val="single"/>
              <w:left w:color="auto" w:space="0" w:sz="4" w:val="single"/>
              <w:bottom w:color="000000" w:space="0" w:sz="4" w:val="single"/>
              <w:right w:color="000000" w:space="0" w:sz="4" w:val="single"/>
            </w:tcBorders>
            <w:vAlign w:val="center"/>
          </w:tcPr>
          <w:p w14:paraId="5CE1C581"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C62C62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4EB68E1B"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DD887CC"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I</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6DE8B8D"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信息传输、软件和信息技术服务业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329C9663"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310,799,159.80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C42189A"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4.99</w:t>
            </w:r>
          </w:p>
        </w:tc>
      </w:tr>
      <w:tr w14:paraId="379675A7"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C768A8F"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J</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AAE673D"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金融业</w:t>
            </w:r>
          </w:p>
        </w:tc>
        <w:tc>
          <w:tcPr>
            <w:tcW w:type="dxa" w:w="2852"/>
            <w:tcBorders>
              <w:top w:color="000000" w:space="0" w:sz="4" w:val="single"/>
              <w:left w:color="auto" w:space="0" w:sz="4" w:val="single"/>
              <w:bottom w:color="000000" w:space="0" w:sz="4" w:val="single"/>
              <w:right w:color="000000" w:space="0" w:sz="4" w:val="single"/>
            </w:tcBorders>
            <w:vAlign w:val="center"/>
          </w:tcPr>
          <w:p w14:paraId="0FBB8074"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30,482,814.02</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73BAE32"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0.49</w:t>
            </w:r>
          </w:p>
        </w:tc>
      </w:tr>
      <w:tr w14:paraId="3FE1377D"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22C5811"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K</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A3B5A32"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房地产业</w:t>
            </w:r>
          </w:p>
        </w:tc>
        <w:tc>
          <w:tcPr>
            <w:tcW w:type="dxa" w:w="2852"/>
            <w:tcBorders>
              <w:top w:color="000000" w:space="0" w:sz="4" w:val="single"/>
              <w:left w:color="auto" w:space="0" w:sz="4" w:val="single"/>
              <w:bottom w:color="000000" w:space="0" w:sz="4" w:val="single"/>
              <w:right w:color="000000" w:space="0" w:sz="4" w:val="single"/>
            </w:tcBorders>
            <w:vAlign w:val="center"/>
          </w:tcPr>
          <w:p w14:paraId="71FFF7B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108,331.32</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3CF399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0.00</w:t>
            </w:r>
          </w:p>
        </w:tc>
      </w:tr>
      <w:tr w14:paraId="66630310"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E1A83E3"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L</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A426E43"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租赁和商务服务业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018CCF2B"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322,254,491.52</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1F45B6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5.17</w:t>
            </w:r>
          </w:p>
        </w:tc>
      </w:tr>
      <w:tr w14:paraId="07EC249A"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F796C31"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M</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0388132"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科学研究和技术服务业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42C13C7F"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288,881,548.60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A3AAC2E"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4.64</w:t>
            </w:r>
          </w:p>
        </w:tc>
      </w:tr>
      <w:tr w14:paraId="69D921F3"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944CACA"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N</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F246C9E"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水利、环境和公共设施管理业</w:t>
            </w:r>
          </w:p>
        </w:tc>
        <w:tc>
          <w:tcPr>
            <w:tcW w:type="dxa" w:w="2852"/>
            <w:tcBorders>
              <w:top w:color="000000" w:space="0" w:sz="4" w:val="single"/>
              <w:left w:color="auto" w:space="0" w:sz="4" w:val="single"/>
              <w:bottom w:color="000000" w:space="0" w:sz="4" w:val="single"/>
              <w:right w:color="000000" w:space="0" w:sz="4" w:val="single"/>
            </w:tcBorders>
            <w:vAlign w:val="center"/>
          </w:tcPr>
          <w:p w14:paraId="2367BCF2"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1,086,751.08</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DC857B2"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0.02</w:t>
            </w:r>
          </w:p>
        </w:tc>
      </w:tr>
      <w:tr w14:paraId="090E46DF"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9F862C2"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O</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8F19380"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居民服务、修理和其他服务业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46B48C5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7789C3B"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asciiTheme="minorEastAsia" w:cs="宋体" w:eastAsiaTheme="minorEastAsia" w:hAnsiTheme="minorEastAsia"/>
                <w:color w:themeColor="text1" w:val="000000"/>
                <w:kern w:val="0"/>
              </w:rPr>
              <w:lastRenderedPageBreak/>
              <w:t/>
            </w:r>
            <w:proofErr w:type="spellEnd"/>
            <w:r>
              <w:rPr>
                <w:rFonts w:asciiTheme="minorEastAsia" w:cs="宋体" w:eastAsiaTheme="minorEastAsia" w:hAnsiTheme="minorEastAsia"/>
                <w:color w:themeColor="text1" w:val="000000"/>
                <w:kern w:val="0"/>
              </w:rPr>
              <w:t>-</w:t>
            </w:r>
          </w:p>
        </w:tc>
      </w:tr>
      <w:tr w14:paraId="684B91C8"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3C19EC6"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lastRenderedPageBreak/>
              <w:t>P</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5F4C987"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教育</w:t>
            </w:r>
          </w:p>
        </w:tc>
        <w:tc>
          <w:tcPr>
            <w:tcW w:type="dxa" w:w="2852"/>
            <w:tcBorders>
              <w:top w:color="000000" w:space="0" w:sz="4" w:val="single"/>
              <w:left w:color="auto" w:space="0" w:sz="4" w:val="single"/>
              <w:bottom w:color="000000" w:space="0" w:sz="4" w:val="single"/>
              <w:right w:color="000000" w:space="0" w:sz="4" w:val="single"/>
            </w:tcBorders>
            <w:vAlign w:val="center"/>
          </w:tcPr>
          <w:p w14:paraId="0AE4115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A7A1384"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58A809B6"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62495E6"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Q</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4977624"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卫生和社会工作</w:t>
            </w:r>
          </w:p>
        </w:tc>
        <w:tc>
          <w:tcPr>
            <w:tcW w:type="dxa" w:w="2852"/>
            <w:tcBorders>
              <w:top w:color="000000" w:space="0" w:sz="4" w:val="single"/>
              <w:left w:color="auto" w:space="0" w:sz="4" w:val="single"/>
              <w:bottom w:color="000000" w:space="0" w:sz="4" w:val="single"/>
              <w:right w:color="000000" w:space="0" w:sz="4" w:val="single"/>
            </w:tcBorders>
            <w:vAlign w:val="center"/>
          </w:tcPr>
          <w:p w14:paraId="319C17E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126,437,619.00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C4D9DB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2.03</w:t>
            </w:r>
          </w:p>
        </w:tc>
      </w:tr>
      <w:tr w14:paraId="0C10CFD7"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189669B"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R</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4F3219D4"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文化、体育和娱乐业</w:t>
            </w:r>
          </w:p>
        </w:tc>
        <w:tc>
          <w:tcPr>
            <w:tcW w:type="dxa" w:w="2852"/>
            <w:tcBorders>
              <w:top w:color="000000" w:space="0" w:sz="4" w:val="single"/>
              <w:left w:color="auto" w:space="0" w:sz="4" w:val="single"/>
              <w:bottom w:color="000000" w:space="0" w:sz="4" w:val="single"/>
              <w:right w:color="000000" w:space="0" w:sz="4" w:val="single"/>
            </w:tcBorders>
            <w:vAlign w:val="center"/>
          </w:tcPr>
          <w:p w14:paraId="5015CBD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54,494.43</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F3980D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0.00</w:t>
            </w:r>
          </w:p>
        </w:tc>
      </w:tr>
      <w:tr w14:paraId="78F46200"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C0217D6"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S</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7595770"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综合</w:t>
            </w:r>
          </w:p>
        </w:tc>
        <w:tc>
          <w:tcPr>
            <w:tcW w:type="dxa" w:w="2852"/>
            <w:tcBorders>
              <w:top w:color="000000" w:space="0" w:sz="4" w:val="single"/>
              <w:left w:color="auto" w:space="0" w:sz="4" w:val="single"/>
              <w:bottom w:color="000000" w:space="0" w:sz="4" w:val="single"/>
              <w:right w:color="000000" w:space="0" w:sz="4" w:val="single"/>
            </w:tcBorders>
            <w:vAlign w:val="center"/>
          </w:tcPr>
          <w:p w14:paraId="397C56B4"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2170A5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5AD397BD"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2609568" w14:textId="77777777" w:rsidR="00D06738" w:rsidRDefault="00D06738">
            <w:pPr>
              <w:adjustRightInd w:val="0"/>
              <w:snapToGrid w:val="0"/>
              <w:spacing w:line="400" w:lineRule="exact"/>
              <w:jc w:val="center"/>
              <w:rPr>
                <w:rFonts w:asciiTheme="minorEastAsia" w:cs="宋体" w:eastAsiaTheme="minorEastAsia" w:hAnsiTheme="minorEastAsia"/>
                <w:color w:themeColor="text1" w:val="000000"/>
                <w:kern w:val="0"/>
              </w:rPr>
            </w:pP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E5096EA"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合计</w:t>
            </w:r>
          </w:p>
        </w:tc>
        <w:tc>
          <w:tcPr>
            <w:tcW w:type="dxa" w:w="2852"/>
            <w:tcBorders>
              <w:top w:color="000000" w:space="0" w:sz="4" w:val="single"/>
              <w:left w:color="auto" w:space="0" w:sz="4" w:val="single"/>
              <w:bottom w:color="000000" w:space="0" w:sz="4" w:val="single"/>
              <w:right w:color="000000" w:space="0" w:sz="4" w:val="single"/>
            </w:tcBorders>
            <w:vAlign w:val="center"/>
          </w:tcPr>
          <w:p w14:paraId="54BA6A92"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4,401,474,364.44</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E973B8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70.67</w:t>
            </w:r>
          </w:p>
        </w:tc>
      </w:tr>
    </w:tbl>
    <w:p w14:paraId="0F45C821"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031B4A52"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5.3 </w:t>
      </w:r>
      <w:r>
        <w:rPr>
          <w:rFonts w:asciiTheme="minorEastAsia" w:eastAsiaTheme="minorEastAsia" w:hAnsiTheme="minorEastAsia" w:hint="eastAsia"/>
          <w:b/>
          <w:bCs/>
          <w:color w:themeColor="text1" w:val="000000"/>
          <w:kern w:val="0"/>
          <w:sz w:val="24"/>
          <w:szCs w:val="24"/>
        </w:rPr>
        <w:t>报告期末按公允价值占基金资产净值比例大小排序的前十名股票投资明细</w:t>
      </w:r>
    </w:p>
    <w:tbl>
      <w:tblPr>
        <w:tblStyle w:val="aff4"/>
        <w:tblW w:type="dxa" w:w="8528"/>
        <w:tblLayout w:type="fixed"/>
        <w:tblLook w:firstColumn="1" w:firstRow="1" w:lastColumn="0" w:lastRow="0" w:noHBand="0" w:noVBand="1" w:val="04A0"/>
      </w:tblPr>
      <w:tblGrid>
        <w:gridCol w:w="817"/>
        <w:gridCol w:w="1276"/>
        <w:gridCol w:w="1701"/>
        <w:gridCol w:w="1276"/>
        <w:gridCol w:w="1842"/>
        <w:gridCol w:w="1616"/>
      </w:tblGrid>
      <w:tr w14:paraId="783178E1" w14:textId="77777777" w:rsidR="00D06738">
        <w:tc>
          <w:tcPr>
            <w:tcW w:type="dxa" w:w="817"/>
            <w:vAlign w:val="center"/>
          </w:tcPr>
          <w:p w14:paraId="48FEE555"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序号</w:t>
            </w:r>
          </w:p>
        </w:tc>
        <w:tc>
          <w:tcPr>
            <w:tcW w:type="dxa" w:w="1276"/>
            <w:vAlign w:val="center"/>
          </w:tcPr>
          <w:p w14:paraId="75B0DAE6"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股票代码</w:t>
            </w:r>
          </w:p>
        </w:tc>
        <w:tc>
          <w:tcPr>
            <w:tcW w:type="dxa" w:w="1701"/>
            <w:vAlign w:val="center"/>
          </w:tcPr>
          <w:p w14:paraId="1CCAA56A"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股票名称</w:t>
            </w:r>
          </w:p>
        </w:tc>
        <w:tc>
          <w:tcPr>
            <w:tcW w:type="dxa" w:w="1276"/>
            <w:vAlign w:val="center"/>
          </w:tcPr>
          <w:p w14:paraId="253890BA"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数量(股)</w:t>
            </w:r>
          </w:p>
        </w:tc>
        <w:tc>
          <w:tcPr>
            <w:tcW w:type="dxa" w:w="1842"/>
            <w:vAlign w:val="center"/>
          </w:tcPr>
          <w:p w14:paraId="0614F269" w14:textId="77777777" w:rsidR="00D06738" w:rsidRDefault="00454D20">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公允价值</w:t>
            </w:r>
            <w:r>
              <w:rPr>
                <w:rFonts w:asciiTheme="minorEastAsia" w:cs="宋体" w:eastAsiaTheme="minorEastAsia" w:hAnsiTheme="minorEastAsia"/>
                <w:color w:themeColor="text1" w:val="000000"/>
                <w:kern w:val="0"/>
              </w:rPr>
              <w:t>(</w:t>
            </w:r>
            <w:r>
              <w:rPr>
                <w:rFonts w:asciiTheme="minorEastAsia" w:cs="宋体" w:eastAsiaTheme="minorEastAsia" w:hAnsiTheme="minorEastAsia" w:hint="eastAsia"/>
                <w:color w:themeColor="text1" w:val="000000"/>
                <w:kern w:val="0"/>
              </w:rPr>
              <w:t>元</w:t>
            </w:r>
            <w:r>
              <w:rPr>
                <w:rFonts w:asciiTheme="minorEastAsia" w:cs="宋体" w:eastAsiaTheme="minorEastAsia" w:hAnsiTheme="minorEastAsia"/>
                <w:color w:themeColor="text1" w:val="000000"/>
                <w:kern w:val="0"/>
              </w:rPr>
              <w:t>)</w:t>
            </w:r>
          </w:p>
        </w:tc>
        <w:tc>
          <w:tcPr>
            <w:tcW w:type="dxa" w:w="1616"/>
            <w:vAlign w:val="center"/>
          </w:tcPr>
          <w:p w14:paraId="6CA45A84"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占基金资产净</w:t>
            </w:r>
            <w:r>
              <w:rPr>
                <w:rFonts w:asciiTheme="minorEastAsia" w:cs="宋体" w:eastAsiaTheme="minorEastAsia" w:hAnsiTheme="minorEastAsia" w:hint="eastAsia"/>
                <w:color w:themeColor="text1" w:val="000000"/>
                <w:kern w:val="0"/>
              </w:rPr>
              <w:lastRenderedPageBreak/>
              <w:t>值比例(％)</w:t>
            </w:r>
          </w:p>
        </w:tc>
      </w:tr>
      <w:tr>
        <w:tc>
          <w:tcPr>
            <w:vAlign w:val="center"/>
          </w:tcPr>
          <w:p>
            <w:pPr>
              <w:jc w:val="center"/>
            </w:pPr>
            <w:r>
              <w:rPr>
                <w:rFonts w:asciiTheme="minorEastAsia" w:cs="宋体" w:eastAsiaTheme="minorEastAsia" w:hAnsiTheme="minorEastAsia"/>
                <w:color w:themeColor="text1" w:val="000000"/>
                <w:kern w:val="0"/>
              </w:rPr>
              <w:t>1</w:t>
            </w:r>
          </w:p>
        </w:tc>
        <w:tc>
          <w:tcPr>
            <w:vAlign w:val="center"/>
          </w:tcPr>
          <w:p>
            <w:pPr>
              <w:jc w:val="center"/>
            </w:pPr>
            <w:r>
              <w:rPr>
                <w:rFonts w:asciiTheme="minorEastAsia" w:cs="宋体" w:eastAsiaTheme="minorEastAsia" w:hAnsiTheme="minorEastAsia"/>
                <w:color w:themeColor="text1" w:val="000000"/>
                <w:kern w:val="0"/>
              </w:rPr>
              <w:t>600900</w:t>
            </w:r>
          </w:p>
        </w:tc>
        <w:tc>
          <w:tcPr>
            <w:vAlign w:val="center"/>
          </w:tcPr>
          <w:p>
            <w:pPr>
              <w:jc w:val="center"/>
            </w:pPr>
            <w:r>
              <w:rPr>
                <w:rFonts w:asciiTheme="minorEastAsia" w:cs="宋体" w:eastAsiaTheme="minorEastAsia" w:hAnsiTheme="minorEastAsia"/>
                <w:color w:themeColor="text1" w:val="000000"/>
                <w:kern w:val="0"/>
              </w:rPr>
              <w:t>长江电力</w:t>
            </w:r>
          </w:p>
        </w:tc>
        <w:tc>
          <w:tcPr>
            <w:vAlign w:val="center"/>
          </w:tcPr>
          <w:p>
            <w:pPr>
              <w:jc w:val="right"/>
            </w:pPr>
            <w:r>
              <w:rPr>
                <w:rFonts w:asciiTheme="minorEastAsia" w:cs="宋体" w:eastAsiaTheme="minorEastAsia" w:hAnsiTheme="minorEastAsia"/>
                <w:color w:themeColor="text1" w:val="000000"/>
                <w:kern w:val="0"/>
              </w:rPr>
              <w:t>17,555,264.00</w:t>
            </w:r>
          </w:p>
        </w:tc>
        <w:tc>
          <w:tcPr>
            <w:vAlign w:val="center"/>
          </w:tcPr>
          <w:p>
            <w:pPr>
              <w:jc w:val="right"/>
            </w:pPr>
            <w:r>
              <w:rPr>
                <w:rFonts w:asciiTheme="minorEastAsia" w:cs="宋体" w:eastAsiaTheme="minorEastAsia" w:hAnsiTheme="minorEastAsia"/>
                <w:color w:themeColor="text1" w:val="000000"/>
                <w:kern w:val="0"/>
              </w:rPr>
              <w:t>376,384,860.16</w:t>
            </w:r>
          </w:p>
        </w:tc>
        <w:tc>
          <w:tcPr>
            <w:vAlign w:val="center"/>
          </w:tcPr>
          <w:p>
            <w:pPr>
              <w:jc w:val="right"/>
            </w:pPr>
            <w:r>
              <w:rPr>
                <w:rFonts w:asciiTheme="minorEastAsia" w:cs="宋体" w:eastAsiaTheme="minorEastAsia" w:hAnsiTheme="minorEastAsia"/>
                <w:color w:themeColor="text1" w:val="000000"/>
                <w:kern w:val="0"/>
              </w:rPr>
              <w:t>6.04</w:t>
            </w:r>
          </w:p>
        </w:tc>
      </w:tr>
      <w:tr>
        <w:tc>
          <w:tcPr>
            <w:vAlign w:val="center"/>
          </w:tcPr>
          <w:p>
            <w:pPr>
              <w:jc w:val="center"/>
            </w:pPr>
            <w:r>
              <w:rPr>
                <w:rFonts w:asciiTheme="minorEastAsia" w:cs="宋体" w:eastAsiaTheme="minorEastAsia" w:hAnsiTheme="minorEastAsia"/>
                <w:color w:themeColor="text1" w:val="000000"/>
                <w:kern w:val="0"/>
              </w:rPr>
              <w:t>2</w:t>
            </w:r>
          </w:p>
        </w:tc>
        <w:tc>
          <w:tcPr>
            <w:vAlign w:val="center"/>
          </w:tcPr>
          <w:p>
            <w:pPr>
              <w:jc w:val="center"/>
            </w:pPr>
            <w:r>
              <w:rPr>
                <w:rFonts w:asciiTheme="minorEastAsia" w:cs="宋体" w:eastAsiaTheme="minorEastAsia" w:hAnsiTheme="minorEastAsia"/>
                <w:color w:themeColor="text1" w:val="000000"/>
                <w:kern w:val="0"/>
              </w:rPr>
              <w:t>600519</w:t>
            </w:r>
          </w:p>
        </w:tc>
        <w:tc>
          <w:tcPr>
            <w:vAlign w:val="center"/>
          </w:tcPr>
          <w:p>
            <w:pPr>
              <w:jc w:val="center"/>
            </w:pPr>
            <w:r>
              <w:rPr>
                <w:rFonts w:asciiTheme="minorEastAsia" w:cs="宋体" w:eastAsiaTheme="minorEastAsia" w:hAnsiTheme="minorEastAsia"/>
                <w:color w:themeColor="text1" w:val="000000"/>
                <w:kern w:val="0"/>
              </w:rPr>
              <w:t>贵州茅台</w:t>
            </w:r>
          </w:p>
        </w:tc>
        <w:tc>
          <w:tcPr>
            <w:vAlign w:val="center"/>
          </w:tcPr>
          <w:p>
            <w:pPr>
              <w:jc w:val="right"/>
            </w:pPr>
            <w:r>
              <w:rPr>
                <w:rFonts w:asciiTheme="minorEastAsia" w:cs="宋体" w:eastAsiaTheme="minorEastAsia" w:hAnsiTheme="minorEastAsia"/>
                <w:color w:themeColor="text1" w:val="000000"/>
                <w:kern w:val="0"/>
              </w:rPr>
              <w:t>161,098.00</w:t>
            </w:r>
          </w:p>
        </w:tc>
        <w:tc>
          <w:tcPr>
            <w:vAlign w:val="center"/>
          </w:tcPr>
          <w:p>
            <w:pPr>
              <w:jc w:val="right"/>
            </w:pPr>
            <w:r>
              <w:rPr>
                <w:rFonts w:asciiTheme="minorEastAsia" w:cs="宋体" w:eastAsiaTheme="minorEastAsia" w:hAnsiTheme="minorEastAsia"/>
                <w:color w:themeColor="text1" w:val="000000"/>
                <w:kern w:val="0"/>
              </w:rPr>
              <w:t>323,645,882.00</w:t>
            </w:r>
          </w:p>
        </w:tc>
        <w:tc>
          <w:tcPr>
            <w:vAlign w:val="center"/>
          </w:tcPr>
          <w:p>
            <w:pPr>
              <w:jc w:val="right"/>
            </w:pPr>
            <w:r>
              <w:rPr>
                <w:rFonts w:asciiTheme="minorEastAsia" w:cs="宋体" w:eastAsiaTheme="minorEastAsia" w:hAnsiTheme="minorEastAsia"/>
                <w:color w:themeColor="text1" w:val="000000"/>
                <w:kern w:val="0"/>
              </w:rPr>
              <w:t>5.20</w:t>
            </w:r>
          </w:p>
        </w:tc>
      </w:tr>
      <w:tr>
        <w:tc>
          <w:tcPr>
            <w:vAlign w:val="center"/>
          </w:tcPr>
          <w:p>
            <w:pPr>
              <w:jc w:val="center"/>
            </w:pPr>
            <w:r>
              <w:rPr>
                <w:rFonts w:asciiTheme="minorEastAsia" w:cs="宋体" w:eastAsiaTheme="minorEastAsia" w:hAnsiTheme="minorEastAsia"/>
                <w:color w:themeColor="text1" w:val="000000"/>
                <w:kern w:val="0"/>
              </w:rPr>
              <w:t>3</w:t>
            </w:r>
          </w:p>
        </w:tc>
        <w:tc>
          <w:tcPr>
            <w:vAlign w:val="center"/>
          </w:tcPr>
          <w:p>
            <w:pPr>
              <w:jc w:val="center"/>
            </w:pPr>
            <w:r>
              <w:rPr>
                <w:rFonts w:asciiTheme="minorEastAsia" w:cs="宋体" w:eastAsiaTheme="minorEastAsia" w:hAnsiTheme="minorEastAsia"/>
                <w:color w:themeColor="text1" w:val="000000"/>
                <w:kern w:val="0"/>
              </w:rPr>
              <w:t>601888</w:t>
            </w:r>
          </w:p>
        </w:tc>
        <w:tc>
          <w:tcPr>
            <w:vAlign w:val="center"/>
          </w:tcPr>
          <w:p>
            <w:pPr>
              <w:jc w:val="center"/>
            </w:pPr>
            <w:r>
              <w:rPr>
                <w:rFonts w:asciiTheme="minorEastAsia" w:cs="宋体" w:eastAsiaTheme="minorEastAsia" w:hAnsiTheme="minorEastAsia"/>
                <w:color w:themeColor="text1" w:val="000000"/>
                <w:kern w:val="0"/>
              </w:rPr>
              <w:t>中国中免</w:t>
            </w:r>
          </w:p>
        </w:tc>
        <w:tc>
          <w:tcPr>
            <w:vAlign w:val="center"/>
          </w:tcPr>
          <w:p>
            <w:pPr>
              <w:jc w:val="right"/>
            </w:pPr>
            <w:r>
              <w:rPr>
                <w:rFonts w:asciiTheme="minorEastAsia" w:cs="宋体" w:eastAsiaTheme="minorEastAsia" w:hAnsiTheme="minorEastAsia"/>
                <w:color w:themeColor="text1" w:val="000000"/>
                <w:kern w:val="0"/>
              </w:rPr>
              <w:t>1,052,844.00</w:t>
            </w:r>
          </w:p>
        </w:tc>
        <w:tc>
          <w:tcPr>
            <w:vAlign w:val="center"/>
          </w:tcPr>
          <w:p>
            <w:pPr>
              <w:jc w:val="right"/>
            </w:pPr>
            <w:r>
              <w:rPr>
                <w:rFonts w:asciiTheme="minorEastAsia" w:cs="宋体" w:eastAsiaTheme="minorEastAsia" w:hAnsiTheme="minorEastAsia"/>
                <w:color w:themeColor="text1" w:val="000000"/>
                <w:kern w:val="0"/>
              </w:rPr>
              <w:t>322,254,491.52</w:t>
            </w:r>
          </w:p>
        </w:tc>
        <w:tc>
          <w:tcPr>
            <w:vAlign w:val="center"/>
          </w:tcPr>
          <w:p>
            <w:pPr>
              <w:jc w:val="right"/>
            </w:pPr>
            <w:r>
              <w:rPr>
                <w:rFonts w:asciiTheme="minorEastAsia" w:cs="宋体" w:eastAsiaTheme="minorEastAsia" w:hAnsiTheme="minorEastAsia"/>
                <w:color w:themeColor="text1" w:val="000000"/>
                <w:kern w:val="0"/>
              </w:rPr>
              <w:t>5.17</w:t>
            </w:r>
          </w:p>
        </w:tc>
      </w:tr>
      <w:tr>
        <w:tc>
          <w:tcPr>
            <w:vAlign w:val="center"/>
          </w:tcPr>
          <w:p>
            <w:pPr>
              <w:jc w:val="center"/>
            </w:pPr>
            <w:r>
              <w:rPr>
                <w:rFonts w:asciiTheme="minorEastAsia" w:cs="宋体" w:eastAsiaTheme="minorEastAsia" w:hAnsiTheme="minorEastAsia"/>
                <w:color w:themeColor="text1" w:val="000000"/>
                <w:kern w:val="0"/>
              </w:rPr>
              <w:t>4</w:t>
            </w:r>
          </w:p>
        </w:tc>
        <w:tc>
          <w:tcPr>
            <w:vAlign w:val="center"/>
          </w:tcPr>
          <w:p>
            <w:pPr>
              <w:jc w:val="center"/>
            </w:pPr>
            <w:r>
              <w:rPr>
                <w:rFonts w:asciiTheme="minorEastAsia" w:cs="宋体" w:eastAsiaTheme="minorEastAsia" w:hAnsiTheme="minorEastAsia"/>
                <w:color w:themeColor="text1" w:val="000000"/>
                <w:kern w:val="0"/>
              </w:rPr>
              <w:t>603259</w:t>
            </w:r>
          </w:p>
        </w:tc>
        <w:tc>
          <w:tcPr>
            <w:vAlign w:val="center"/>
          </w:tcPr>
          <w:p>
            <w:pPr>
              <w:jc w:val="center"/>
            </w:pPr>
            <w:r>
              <w:rPr>
                <w:rFonts w:asciiTheme="minorEastAsia" w:cs="宋体" w:eastAsiaTheme="minorEastAsia" w:hAnsiTheme="minorEastAsia"/>
                <w:color w:themeColor="text1" w:val="000000"/>
                <w:kern w:val="0"/>
              </w:rPr>
              <w:t>药明康德</w:t>
            </w:r>
          </w:p>
        </w:tc>
        <w:tc>
          <w:tcPr>
            <w:vAlign w:val="center"/>
          </w:tcPr>
          <w:p>
            <w:pPr>
              <w:jc w:val="right"/>
            </w:pPr>
            <w:r>
              <w:rPr>
                <w:rFonts w:asciiTheme="minorEastAsia" w:cs="宋体" w:eastAsiaTheme="minorEastAsia" w:hAnsiTheme="minorEastAsia"/>
                <w:color w:themeColor="text1" w:val="000000"/>
                <w:kern w:val="0"/>
              </w:rPr>
              <w:t>2,059,087.00</w:t>
            </w:r>
          </w:p>
        </w:tc>
        <w:tc>
          <w:tcPr>
            <w:vAlign w:val="center"/>
          </w:tcPr>
          <w:p>
            <w:pPr>
              <w:jc w:val="right"/>
            </w:pPr>
            <w:r>
              <w:rPr>
                <w:rFonts w:asciiTheme="minorEastAsia" w:cs="宋体" w:eastAsiaTheme="minorEastAsia" w:hAnsiTheme="minorEastAsia"/>
                <w:color w:themeColor="text1" w:val="000000"/>
                <w:kern w:val="0"/>
              </w:rPr>
              <w:t>288,683,997.40</w:t>
            </w:r>
          </w:p>
        </w:tc>
        <w:tc>
          <w:tcPr>
            <w:vAlign w:val="center"/>
          </w:tcPr>
          <w:p>
            <w:pPr>
              <w:jc w:val="right"/>
            </w:pPr>
            <w:r>
              <w:rPr>
                <w:rFonts w:asciiTheme="minorEastAsia" w:cs="宋体" w:eastAsiaTheme="minorEastAsia" w:hAnsiTheme="minorEastAsia"/>
                <w:color w:themeColor="text1" w:val="000000"/>
                <w:kern w:val="0"/>
              </w:rPr>
              <w:t>4.64</w:t>
            </w:r>
          </w:p>
        </w:tc>
      </w:tr>
      <w:tr>
        <w:tc>
          <w:tcPr>
            <w:vAlign w:val="center"/>
          </w:tcPr>
          <w:p>
            <w:pPr>
              <w:jc w:val="center"/>
            </w:pPr>
            <w:r>
              <w:rPr>
                <w:rFonts w:asciiTheme="minorEastAsia" w:cs="宋体" w:eastAsiaTheme="minorEastAsia" w:hAnsiTheme="minorEastAsia"/>
                <w:color w:themeColor="text1" w:val="000000"/>
                <w:kern w:val="0"/>
              </w:rPr>
              <w:t>5</w:t>
            </w:r>
          </w:p>
        </w:tc>
        <w:tc>
          <w:tcPr>
            <w:vAlign w:val="center"/>
          </w:tcPr>
          <w:p>
            <w:pPr>
              <w:jc w:val="center"/>
            </w:pPr>
            <w:r>
              <w:rPr>
                <w:rFonts w:asciiTheme="minorEastAsia" w:cs="宋体" w:eastAsiaTheme="minorEastAsia" w:hAnsiTheme="minorEastAsia"/>
                <w:color w:themeColor="text1" w:val="000000"/>
                <w:kern w:val="0"/>
              </w:rPr>
              <w:t>000333</w:t>
            </w:r>
          </w:p>
        </w:tc>
        <w:tc>
          <w:tcPr>
            <w:vAlign w:val="center"/>
          </w:tcPr>
          <w:p>
            <w:pPr>
              <w:jc w:val="center"/>
            </w:pPr>
            <w:r>
              <w:rPr>
                <w:rFonts w:asciiTheme="minorEastAsia" w:cs="宋体" w:eastAsiaTheme="minorEastAsia" w:hAnsiTheme="minorEastAsia"/>
                <w:color w:themeColor="text1" w:val="000000"/>
                <w:kern w:val="0"/>
              </w:rPr>
              <w:t>美的集团</w:t>
            </w:r>
          </w:p>
        </w:tc>
        <w:tc>
          <w:tcPr>
            <w:vAlign w:val="center"/>
          </w:tcPr>
          <w:p>
            <w:pPr>
              <w:jc w:val="right"/>
            </w:pPr>
            <w:r>
              <w:rPr>
                <w:rFonts w:asciiTheme="minorEastAsia" w:cs="宋体" w:eastAsiaTheme="minorEastAsia" w:hAnsiTheme="minorEastAsia"/>
                <w:color w:themeColor="text1" w:val="000000"/>
                <w:kern w:val="0"/>
              </w:rPr>
              <w:t>3,374,956.00</w:t>
            </w:r>
          </w:p>
        </w:tc>
        <w:tc>
          <w:tcPr>
            <w:vAlign w:val="center"/>
          </w:tcPr>
          <w:p>
            <w:pPr>
              <w:jc w:val="right"/>
            </w:pPr>
            <w:r>
              <w:rPr>
                <w:rFonts w:asciiTheme="minorEastAsia" w:cs="宋体" w:eastAsiaTheme="minorEastAsia" w:hAnsiTheme="minorEastAsia"/>
                <w:color w:themeColor="text1" w:val="000000"/>
                <w:kern w:val="0"/>
              </w:rPr>
              <w:t>277,522,631.88</w:t>
            </w:r>
          </w:p>
        </w:tc>
        <w:tc>
          <w:tcPr>
            <w:vAlign w:val="center"/>
          </w:tcPr>
          <w:p>
            <w:pPr>
              <w:jc w:val="right"/>
            </w:pPr>
            <w:r>
              <w:rPr>
                <w:rFonts w:asciiTheme="minorEastAsia" w:cs="宋体" w:eastAsiaTheme="minorEastAsia" w:hAnsiTheme="minorEastAsia"/>
                <w:color w:themeColor="text1" w:val="000000"/>
                <w:kern w:val="0"/>
              </w:rPr>
              <w:t>4.46</w:t>
            </w:r>
          </w:p>
        </w:tc>
      </w:tr>
      <w:tr>
        <w:tc>
          <w:tcPr>
            <w:vAlign w:val="center"/>
          </w:tcPr>
          <w:p>
            <w:pPr>
              <w:jc w:val="center"/>
            </w:pPr>
            <w:r>
              <w:rPr>
                <w:rFonts w:asciiTheme="minorEastAsia" w:cs="宋体" w:eastAsiaTheme="minorEastAsia" w:hAnsiTheme="minorEastAsia"/>
                <w:color w:themeColor="text1" w:val="000000"/>
                <w:kern w:val="0"/>
              </w:rPr>
              <w:t>6</w:t>
            </w:r>
          </w:p>
        </w:tc>
        <w:tc>
          <w:tcPr>
            <w:vAlign w:val="center"/>
          </w:tcPr>
          <w:p>
            <w:pPr>
              <w:jc w:val="center"/>
            </w:pPr>
            <w:r>
              <w:rPr>
                <w:rFonts w:asciiTheme="minorEastAsia" w:cs="宋体" w:eastAsiaTheme="minorEastAsia" w:hAnsiTheme="minorEastAsia"/>
                <w:color w:themeColor="text1" w:val="000000"/>
                <w:kern w:val="0"/>
              </w:rPr>
              <w:t>600031</w:t>
            </w:r>
          </w:p>
        </w:tc>
        <w:tc>
          <w:tcPr>
            <w:vAlign w:val="center"/>
          </w:tcPr>
          <w:p>
            <w:pPr>
              <w:jc w:val="center"/>
            </w:pPr>
            <w:r>
              <w:rPr>
                <w:rFonts w:asciiTheme="minorEastAsia" w:cs="宋体" w:eastAsiaTheme="minorEastAsia" w:hAnsiTheme="minorEastAsia"/>
                <w:color w:themeColor="text1" w:val="000000"/>
                <w:kern w:val="0"/>
              </w:rPr>
              <w:t>三一重工</w:t>
            </w:r>
          </w:p>
        </w:tc>
        <w:tc>
          <w:tcPr>
            <w:vAlign w:val="center"/>
          </w:tcPr>
          <w:p>
            <w:pPr>
              <w:jc w:val="right"/>
            </w:pPr>
            <w:r>
              <w:rPr>
                <w:rFonts w:asciiTheme="minorEastAsia" w:cs="宋体" w:eastAsiaTheme="minorEastAsia" w:hAnsiTheme="minorEastAsia"/>
                <w:color w:themeColor="text1" w:val="000000"/>
                <w:kern w:val="0"/>
              </w:rPr>
              <w:t>7,750,908.00</w:t>
            </w:r>
          </w:p>
        </w:tc>
        <w:tc>
          <w:tcPr>
            <w:vAlign w:val="center"/>
          </w:tcPr>
          <w:p>
            <w:pPr>
              <w:jc w:val="right"/>
            </w:pPr>
            <w:r>
              <w:rPr>
                <w:rFonts w:asciiTheme="minorEastAsia" w:cs="宋体" w:eastAsiaTheme="minorEastAsia" w:hAnsiTheme="minorEastAsia"/>
                <w:color w:themeColor="text1" w:val="000000"/>
                <w:kern w:val="0"/>
              </w:rPr>
              <w:t>264,693,508.20</w:t>
            </w:r>
          </w:p>
        </w:tc>
        <w:tc>
          <w:tcPr>
            <w:vAlign w:val="center"/>
          </w:tcPr>
          <w:p>
            <w:pPr>
              <w:jc w:val="right"/>
            </w:pPr>
            <w:r>
              <w:rPr>
                <w:rFonts w:asciiTheme="minorEastAsia" w:cs="宋体" w:eastAsiaTheme="minorEastAsia" w:hAnsiTheme="minorEastAsia"/>
                <w:color w:themeColor="text1" w:val="000000"/>
                <w:kern w:val="0"/>
              </w:rPr>
              <w:t>4.25</w:t>
            </w:r>
          </w:p>
        </w:tc>
      </w:tr>
      <w:tr>
        <w:tc>
          <w:tcPr>
            <w:vAlign w:val="center"/>
          </w:tcPr>
          <w:p>
            <w:pPr>
              <w:jc w:val="center"/>
            </w:pPr>
            <w:r>
              <w:rPr>
                <w:rFonts w:asciiTheme="minorEastAsia" w:cs="宋体" w:eastAsiaTheme="minorEastAsia" w:hAnsiTheme="minorEastAsia"/>
                <w:color w:themeColor="text1" w:val="000000"/>
                <w:kern w:val="0"/>
              </w:rPr>
              <w:t>7</w:t>
            </w:r>
          </w:p>
        </w:tc>
        <w:tc>
          <w:tcPr>
            <w:vAlign w:val="center"/>
          </w:tcPr>
          <w:p>
            <w:pPr>
              <w:jc w:val="center"/>
            </w:pPr>
            <w:r>
              <w:rPr>
                <w:rFonts w:asciiTheme="minorEastAsia" w:cs="宋体" w:eastAsiaTheme="minorEastAsia" w:hAnsiTheme="minorEastAsia"/>
                <w:color w:themeColor="text1" w:val="000000"/>
                <w:kern w:val="0"/>
              </w:rPr>
              <w:t>300750</w:t>
            </w:r>
          </w:p>
        </w:tc>
        <w:tc>
          <w:tcPr>
            <w:vAlign w:val="center"/>
          </w:tcPr>
          <w:p>
            <w:pPr>
              <w:jc w:val="center"/>
            </w:pPr>
            <w:r>
              <w:rPr>
                <w:rFonts w:asciiTheme="minorEastAsia" w:cs="宋体" w:eastAsiaTheme="minorEastAsia" w:hAnsiTheme="minorEastAsia"/>
                <w:color w:themeColor="text1" w:val="000000"/>
                <w:kern w:val="0"/>
              </w:rPr>
              <w:t>宁德时代</w:t>
            </w:r>
          </w:p>
        </w:tc>
        <w:tc>
          <w:tcPr>
            <w:vAlign w:val="center"/>
          </w:tcPr>
          <w:p>
            <w:pPr>
              <w:jc w:val="right"/>
            </w:pPr>
            <w:r>
              <w:rPr>
                <w:rFonts w:asciiTheme="minorEastAsia" w:cs="宋体" w:eastAsiaTheme="minorEastAsia" w:hAnsiTheme="minorEastAsia"/>
                <w:color w:themeColor="text1" w:val="000000"/>
                <w:kern w:val="0"/>
              </w:rPr>
              <w:t>717,969.00</w:t>
            </w:r>
          </w:p>
        </w:tc>
        <w:tc>
          <w:tcPr>
            <w:vAlign w:val="center"/>
          </w:tcPr>
          <w:p>
            <w:pPr>
              <w:jc w:val="right"/>
            </w:pPr>
            <w:r>
              <w:rPr>
                <w:rFonts w:asciiTheme="minorEastAsia" w:cs="宋体" w:eastAsiaTheme="minorEastAsia" w:hAnsiTheme="minorEastAsia"/>
                <w:color w:themeColor="text1" w:val="000000"/>
                <w:kern w:val="0"/>
              </w:rPr>
              <w:t>231,308,072.73</w:t>
            </w:r>
          </w:p>
        </w:tc>
        <w:tc>
          <w:tcPr>
            <w:vAlign w:val="center"/>
          </w:tcPr>
          <w:p>
            <w:pPr>
              <w:jc w:val="right"/>
            </w:pPr>
            <w:r>
              <w:rPr>
                <w:rFonts w:asciiTheme="minorEastAsia" w:cs="宋体" w:eastAsiaTheme="minorEastAsia" w:hAnsiTheme="minorEastAsia"/>
                <w:color w:themeColor="text1" w:val="000000"/>
                <w:kern w:val="0"/>
              </w:rPr>
              <w:t>3.71</w:t>
            </w:r>
          </w:p>
        </w:tc>
      </w:tr>
      <w:tr>
        <w:tc>
          <w:tcPr>
            <w:vAlign w:val="center"/>
          </w:tcPr>
          <w:p>
            <w:pPr>
              <w:jc w:val="center"/>
            </w:pPr>
            <w:r>
              <w:rPr>
                <w:rFonts w:asciiTheme="minorEastAsia" w:cs="宋体" w:eastAsiaTheme="minorEastAsia" w:hAnsiTheme="minorEastAsia"/>
                <w:color w:themeColor="text1" w:val="000000"/>
                <w:kern w:val="0"/>
              </w:rPr>
              <w:t>8</w:t>
            </w:r>
          </w:p>
        </w:tc>
        <w:tc>
          <w:tcPr>
            <w:vAlign w:val="center"/>
          </w:tcPr>
          <w:p>
            <w:pPr>
              <w:jc w:val="center"/>
            </w:pPr>
            <w:r>
              <w:rPr>
                <w:rFonts w:asciiTheme="minorEastAsia" w:cs="宋体" w:eastAsiaTheme="minorEastAsia" w:hAnsiTheme="minorEastAsia"/>
                <w:color w:themeColor="text1" w:val="000000"/>
                <w:kern w:val="0"/>
              </w:rPr>
              <w:t>603486</w:t>
            </w:r>
          </w:p>
        </w:tc>
        <w:tc>
          <w:tcPr>
            <w:vAlign w:val="center"/>
          </w:tcPr>
          <w:p>
            <w:pPr>
              <w:jc w:val="center"/>
            </w:pPr>
            <w:r>
              <w:rPr>
                <w:rFonts w:asciiTheme="minorEastAsia" w:cs="宋体" w:eastAsiaTheme="minorEastAsia" w:hAnsiTheme="minorEastAsia"/>
                <w:color w:themeColor="text1" w:val="000000"/>
                <w:kern w:val="0"/>
              </w:rPr>
              <w:t>科沃斯</w:t>
            </w:r>
          </w:p>
        </w:tc>
        <w:tc>
          <w:tcPr>
            <w:vAlign w:val="center"/>
          </w:tcPr>
          <w:p>
            <w:pPr>
              <w:jc w:val="right"/>
            </w:pPr>
            <w:r>
              <w:rPr>
                <w:rFonts w:asciiTheme="minorEastAsia" w:cs="宋体" w:eastAsiaTheme="minorEastAsia" w:hAnsiTheme="minorEastAsia"/>
                <w:color w:themeColor="text1" w:val="000000"/>
                <w:kern w:val="0"/>
              </w:rPr>
              <w:t>1,418,524.00</w:t>
            </w:r>
          </w:p>
        </w:tc>
        <w:tc>
          <w:tcPr>
            <w:vAlign w:val="center"/>
          </w:tcPr>
          <w:p>
            <w:pPr>
              <w:jc w:val="right"/>
            </w:pPr>
            <w:r>
              <w:rPr>
                <w:rFonts w:asciiTheme="minorEastAsia" w:cs="宋体" w:eastAsiaTheme="minorEastAsia" w:hAnsiTheme="minorEastAsia"/>
                <w:color w:themeColor="text1" w:val="000000"/>
                <w:kern w:val="0"/>
              </w:rPr>
              <w:t>193,628,526.00</w:t>
            </w:r>
          </w:p>
        </w:tc>
        <w:tc>
          <w:tcPr>
            <w:vAlign w:val="center"/>
          </w:tcPr>
          <w:p>
            <w:pPr>
              <w:jc w:val="right"/>
            </w:pPr>
            <w:r>
              <w:rPr>
                <w:rFonts w:asciiTheme="minorEastAsia" w:cs="宋体" w:eastAsiaTheme="minorEastAsia" w:hAnsiTheme="minorEastAsia"/>
                <w:color w:themeColor="text1" w:val="000000"/>
                <w:kern w:val="0"/>
              </w:rPr>
              <w:t>3.11</w:t>
            </w:r>
          </w:p>
        </w:tc>
      </w:tr>
      <w:tr>
        <w:tc>
          <w:tcPr>
            <w:vAlign w:val="center"/>
          </w:tcPr>
          <w:p>
            <w:pPr>
              <w:jc w:val="center"/>
            </w:pPr>
            <w:r>
              <w:rPr>
                <w:rFonts w:asciiTheme="minorEastAsia" w:cs="宋体" w:eastAsiaTheme="minorEastAsia" w:hAnsiTheme="minorEastAsia"/>
                <w:color w:themeColor="text1" w:val="000000"/>
                <w:kern w:val="0"/>
              </w:rPr>
              <w:t>9</w:t>
            </w:r>
          </w:p>
        </w:tc>
        <w:tc>
          <w:tcPr>
            <w:vAlign w:val="center"/>
          </w:tcPr>
          <w:p>
            <w:pPr>
              <w:jc w:val="center"/>
            </w:pPr>
            <w:r>
              <w:rPr>
                <w:rFonts w:asciiTheme="minorEastAsia" w:cs="宋体" w:eastAsiaTheme="minorEastAsia" w:hAnsiTheme="minorEastAsia"/>
                <w:color w:themeColor="text1" w:val="000000"/>
                <w:kern w:val="0"/>
              </w:rPr>
              <w:t>000858</w:t>
            </w:r>
          </w:p>
        </w:tc>
        <w:tc>
          <w:tcPr>
            <w:vAlign w:val="center"/>
          </w:tcPr>
          <w:p>
            <w:pPr>
              <w:jc w:val="center"/>
            </w:pPr>
            <w:r>
              <w:rPr>
                <w:rFonts w:asciiTheme="minorEastAsia" w:cs="宋体" w:eastAsiaTheme="minorEastAsia" w:hAnsiTheme="minorEastAsia"/>
                <w:color w:themeColor="text1" w:val="000000"/>
                <w:kern w:val="0"/>
              </w:rPr>
              <w:t>五 粮 液</w:t>
            </w:r>
          </w:p>
        </w:tc>
        <w:tc>
          <w:tcPr>
            <w:vAlign w:val="center"/>
          </w:tcPr>
          <w:p>
            <w:pPr>
              <w:jc w:val="right"/>
            </w:pPr>
            <w:r>
              <w:rPr>
                <w:rFonts w:asciiTheme="minorEastAsia" w:cs="宋体" w:eastAsiaTheme="minorEastAsia" w:hAnsiTheme="minorEastAsia"/>
                <w:color w:themeColor="text1" w:val="000000"/>
                <w:kern w:val="0"/>
              </w:rPr>
              <w:t>615,892.00</w:t>
            </w:r>
          </w:p>
        </w:tc>
        <w:tc>
          <w:tcPr>
            <w:vAlign w:val="center"/>
          </w:tcPr>
          <w:p>
            <w:pPr>
              <w:jc w:val="right"/>
            </w:pPr>
            <w:r>
              <w:rPr>
                <w:rFonts w:asciiTheme="minorEastAsia" w:cs="宋体" w:eastAsiaTheme="minorEastAsia" w:hAnsiTheme="minorEastAsia"/>
                <w:color w:themeColor="text1" w:val="000000"/>
                <w:kern w:val="0"/>
              </w:rPr>
              <w:t>165,046,738.16</w:t>
            </w:r>
          </w:p>
        </w:tc>
        <w:tc>
          <w:tcPr>
            <w:vAlign w:val="center"/>
          </w:tcPr>
          <w:p>
            <w:pPr>
              <w:jc w:val="right"/>
            </w:pPr>
            <w:r>
              <w:rPr>
                <w:rFonts w:asciiTheme="minorEastAsia" w:cs="宋体" w:eastAsiaTheme="minorEastAsia" w:hAnsiTheme="minorEastAsia"/>
                <w:color w:themeColor="text1" w:val="000000"/>
                <w:kern w:val="0"/>
              </w:rPr>
              <w:t>2.65</w:t>
            </w:r>
          </w:p>
        </w:tc>
      </w:tr>
      <w:tr>
        <w:tc>
          <w:tcPr>
            <w:vAlign w:val="center"/>
          </w:tcPr>
          <w:p>
            <w:pPr>
              <w:jc w:val="center"/>
            </w:pPr>
            <w:r>
              <w:rPr>
                <w:rFonts w:asciiTheme="minorEastAsia" w:cs="宋体" w:eastAsiaTheme="minorEastAsia" w:hAnsiTheme="minorEastAsia"/>
                <w:color w:themeColor="text1" w:val="000000"/>
                <w:kern w:val="0"/>
              </w:rPr>
              <w:t>10</w:t>
            </w:r>
          </w:p>
        </w:tc>
        <w:tc>
          <w:tcPr>
            <w:vAlign w:val="center"/>
          </w:tcPr>
          <w:p>
            <w:pPr>
              <w:jc w:val="center"/>
            </w:pPr>
            <w:r>
              <w:rPr>
                <w:rFonts w:asciiTheme="minorEastAsia" w:cs="宋体" w:eastAsiaTheme="minorEastAsia" w:hAnsiTheme="minorEastAsia"/>
                <w:color w:themeColor="text1" w:val="000000"/>
                <w:kern w:val="0"/>
              </w:rPr>
              <w:t>300760</w:t>
            </w:r>
          </w:p>
        </w:tc>
        <w:tc>
          <w:tcPr>
            <w:vAlign w:val="center"/>
          </w:tcPr>
          <w:p>
            <w:pPr>
              <w:jc w:val="center"/>
            </w:pPr>
            <w:r>
              <w:rPr>
                <w:rFonts w:asciiTheme="minorEastAsia" w:cs="宋体" w:eastAsiaTheme="minorEastAsia" w:hAnsiTheme="minorEastAsia"/>
                <w:color w:themeColor="text1" w:val="000000"/>
                <w:kern w:val="0"/>
              </w:rPr>
              <w:t>迈瑞医疗</w:t>
            </w:r>
          </w:p>
        </w:tc>
        <w:tc>
          <w:tcPr>
            <w:vAlign w:val="center"/>
          </w:tcPr>
          <w:p>
            <w:pPr>
              <w:jc w:val="right"/>
            </w:pPr>
            <w:r>
              <w:rPr>
                <w:rFonts w:asciiTheme="minorEastAsia" w:cs="宋体" w:eastAsiaTheme="minorEastAsia" w:hAnsiTheme="minorEastAsia"/>
                <w:color w:themeColor="text1" w:val="000000"/>
                <w:kern w:val="0"/>
              </w:rPr>
              <w:t>399,008.00</w:t>
            </w:r>
          </w:p>
        </w:tc>
        <w:tc>
          <w:tcPr>
            <w:vAlign w:val="center"/>
          </w:tcPr>
          <w:p>
            <w:pPr>
              <w:jc w:val="right"/>
            </w:pPr>
            <w:r>
              <w:rPr>
                <w:rFonts w:asciiTheme="minorEastAsia" w:cs="宋体" w:eastAsiaTheme="minorEastAsia" w:hAnsiTheme="minorEastAsia"/>
                <w:color w:themeColor="text1" w:val="000000"/>
                <w:kern w:val="0"/>
              </w:rPr>
              <w:t>159,248,082.88</w:t>
            </w:r>
          </w:p>
        </w:tc>
        <w:tc>
          <w:tcPr>
            <w:vAlign w:val="center"/>
          </w:tcPr>
          <w:p>
            <w:pPr>
              <w:jc w:val="right"/>
            </w:pPr>
            <w:r>
              <w:rPr>
                <w:rFonts w:asciiTheme="minorEastAsia" w:cs="宋体" w:eastAsiaTheme="minorEastAsia" w:hAnsiTheme="minorEastAsia"/>
                <w:color w:themeColor="text1" w:val="000000"/>
                <w:kern w:val="0"/>
              </w:rPr>
              <w:t>2.56</w:t>
            </w:r>
          </w:p>
        </w:tc>
      </w:tr>
    </w:tbl>
    <w:p w14:paraId="5DBD10B5" w14:textId="77777777" w:rsidR="00D06738" w:rsidRDefault="00D06738">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p>
    <w:p w14:paraId="3936D236"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5.4 </w:t>
      </w:r>
      <w:r>
        <w:rPr>
          <w:rFonts w:asciiTheme="minorEastAsia" w:eastAsiaTheme="minorEastAsia" w:hAnsiTheme="minorEastAsia" w:hint="eastAsia"/>
          <w:b/>
          <w:bCs/>
          <w:color w:themeColor="text1" w:val="000000"/>
          <w:kern w:val="0"/>
          <w:sz w:val="24"/>
          <w:szCs w:val="24"/>
        </w:rPr>
        <w:t>报告期末按债券品种分类的债券投资组合</w:t>
      </w:r>
    </w:p>
    <w:p w14:paraId="19B23906"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本基金本报告期末未持有债券。</w:t>
      </w:r>
    </w:p>
    <w:p w14:paraId="65425732"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3D1805F6"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5.5 </w:t>
      </w:r>
      <w:r>
        <w:rPr>
          <w:rFonts w:asciiTheme="minorEastAsia" w:eastAsiaTheme="minorEastAsia" w:hAnsiTheme="minorEastAsia" w:hint="eastAsia"/>
          <w:b/>
          <w:bCs/>
          <w:color w:themeColor="text1" w:val="000000"/>
          <w:kern w:val="0"/>
          <w:sz w:val="24"/>
          <w:szCs w:val="24"/>
        </w:rPr>
        <w:t>报告期末按公允价值占基金资产净值比例大小排序的前五名债券投资明细</w:t>
      </w:r>
    </w:p>
    <w:p w14:paraId="06FBBA06"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本基金本报告期末未持有债券。</w:t>
      </w:r>
    </w:p>
    <w:p w14:paraId="021C2896" w14:textId="77777777" w:rsidR="00D06738" w:rsidRDefault="00D06738">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p>
    <w:p w14:paraId="0D4DC302"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lastRenderedPageBreak/>
        <w:t xml:space="preserve">5.6 </w:t>
      </w:r>
      <w:r>
        <w:rPr>
          <w:rFonts w:asciiTheme="minorEastAsia" w:eastAsiaTheme="minorEastAsia" w:hAnsiTheme="minorEastAsia" w:hint="eastAsia"/>
          <w:b/>
          <w:bCs/>
          <w:color w:themeColor="text1" w:val="000000"/>
          <w:kern w:val="0"/>
          <w:sz w:val="24"/>
          <w:szCs w:val="24"/>
        </w:rPr>
        <w:t>报告期末按公允价值占基金资产净值比例大小排序的前十名资产支持证券投资明细</w:t>
      </w:r>
    </w:p>
    <w:p w14:paraId="5BA223BB"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本基金本报告期末未持有资产支持证券。</w:t>
      </w:r>
    </w:p>
    <w:p w14:paraId="7641962C"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sz w:val="24"/>
          <w:szCs w:val="24"/>
        </w:rPr>
      </w:pPr>
    </w:p>
    <w:p w14:paraId="4D2AFCA3"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proofErr w:type="gramEnd"/>
      <w:r>
        <w:rPr>
          <w:rFonts w:asciiTheme="minorEastAsia" w:eastAsiaTheme="minorEastAsia" w:hAnsiTheme="minorEastAsia" w:hint="eastAsia"/>
          <w:b/>
          <w:bCs/>
          <w:color w:themeColor="text1" w:val="000000"/>
          <w:kern w:val="0"/>
          <w:sz w:val="24"/>
          <w:szCs w:val="24"/>
        </w:rPr>
        <w:t>7 报告期末按公允价值占基金资产净值比例大小排序的前五名贵金属投资明细</w:t>
      </w:r>
    </w:p>
    <w:p w14:paraId="5072D892" w14:textId="77777777" w:rsidR="00D06738" w:rsidRDefault="00454D20">
      <w:pPr>
        <w:widowControl/>
        <w:spacing w:line="360" w:lineRule="auto"/>
        <w:jc w:val="left"/>
        <w:rPr>
          <w:rFonts w:ascii="宋体" w:hAnsi="宋体"/>
          <w:color w:themeColor="text1" w:val="000000"/>
        </w:rPr>
      </w:pPr>
      <w:r>
        <w:rPr>
          <w:rFonts w:ascii="宋体" w:hAnsi="宋体"/>
          <w:color w:themeColor="text1" w:val="000000"/>
        </w:rPr>
        <w:t/>
      </w:r>
      <w:proofErr w:type="spellStart"/>
      <w:r>
        <w:rPr>
          <w:rFonts w:ascii="宋体" w:hAnsi="宋体"/>
          <w:color w:themeColor="text1" w:val="000000"/>
        </w:rPr>
        <w:t/>
      </w:r>
      <w:proofErr w:type="gramStart"/>
      <w:r>
        <w:rPr>
          <w:rFonts w:ascii="宋体" w:hAnsi="宋体"/>
          <w:color w:themeColor="text1" w:val="000000"/>
        </w:rPr>
        <w:t/>
      </w:r>
      <w:proofErr w:type="spellEnd"/>
      <w:r>
        <w:rPr>
          <w:rFonts w:ascii="宋体" w:hAnsi="宋体"/>
          <w:color w:themeColor="text1" w:val="000000"/>
        </w:rPr>
        <w:t/>
      </w:r>
      <w:proofErr w:type="spellStart"/>
      <w:proofErr w:type="gramEnd"/>
      <w:r>
        <w:rPr>
          <w:rFonts w:ascii="宋体" w:hAnsi="宋体"/>
          <w:color w:themeColor="text1" w:val="000000"/>
        </w:rPr>
        <w:t/>
      </w:r>
      <w:proofErr w:type="spellEnd"/>
      <w:r>
        <w:rPr>
          <w:rFonts w:ascii="宋体" w:hAnsi="宋体"/>
          <w:color w:themeColor="text1" w:val="000000"/>
        </w:rPr>
        <w:t>本基金本报告期末未持有贵金属。</w:t>
      </w:r>
    </w:p>
    <w:p w14:paraId="60EB37E6"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3ACC4ABF"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proofErr w:type="gramEnd"/>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报告期末按公允价值占基金资产净值比例大小排序的前五名权证投资明细</w:t>
      </w:r>
    </w:p>
    <w:p w14:paraId="5CD73A7B"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本基金本报告期末未持有权证。</w:t>
      </w:r>
    </w:p>
    <w:p w14:paraId="47EB757F"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2F0769CC"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spellStart"/>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
      </w:r>
      <w:proofErr w:type="spellEnd"/>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5.9 报告期末本基金投资的股指期货交易情况说明</w:t>
      </w:r>
    </w:p>
    <w:p w14:paraId="73A71E08"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lastRenderedPageBreak/>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本基金本报告期末未持有股指期货。</w:t>
      </w:r>
    </w:p>
    <w:p w14:paraId="6D381369" w14:textId="77777777" w:rsidR="00D06738" w:rsidRDefault="00D06738">
      <w:pPr>
        <w:adjustRightInd w:val="0"/>
        <w:snapToGrid w:val="0"/>
        <w:spacing w:line="360" w:lineRule="exact"/>
        <w:rPr>
          <w:rFonts w:asciiTheme="minorEastAsia" w:eastAsiaTheme="minorEastAsia" w:hAnsiTheme="minorEastAsia"/>
          <w:color w:themeColor="text1" w:val="000000"/>
          <w:sz w:val="24"/>
          <w:szCs w:val="24"/>
        </w:rPr>
      </w:pPr>
    </w:p>
    <w:p w14:paraId="288DDC9C"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spellStart"/>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
      </w:r>
      <w:proofErr w:type="spellEnd"/>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5.10报告期末本基金投资的国债期货交易情况说明</w:t>
      </w:r>
    </w:p>
    <w:p w14:paraId="5490A7F4"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lastRenderedPageBreak/>
        <w:t/>
      </w:r>
      <w:proofErr w:type="spellStart"/>
      <w:r>
        <w:rPr>
          <w:rFonts w:asciiTheme="minorEastAsia" w:eastAsiaTheme="minorEastAsia" w:hAnsiTheme="minorEastAsia" w:hint="eastAsia"/>
          <w:color w:themeColor="text1" w:val="000000"/>
          <w:sz w:val="24"/>
          <w:szCs w:val="24"/>
        </w:rPr>
        <w:t/>
      </w:r>
      <w:proofErr w:type="gramStart"/>
      <w:r>
        <w:rPr>
          <w:rFonts w:asciiTheme="minorEastAsia" w:eastAsiaTheme="minorEastAsia" w:hAnsiTheme="minorEastAsia" w:hint="eastAsia"/>
          <w:color w:themeColor="text1" w:val="000000"/>
          <w:sz w:val="24"/>
          <w:szCs w:val="24"/>
        </w:rPr>
        <w:t/>
      </w:r>
      <w:proofErr w:type="spellEnd"/>
      <w:r>
        <w:rPr>
          <w:rFonts w:asciiTheme="minorEastAsia" w:eastAsiaTheme="minorEastAsia" w:hAnsiTheme="minorEastAsia" w:hint="eastAsia"/>
          <w:color w:themeColor="text1" w:val="000000"/>
          <w:sz w:val="24"/>
          <w:szCs w:val="24"/>
        </w:rPr>
        <w:t/>
      </w:r>
      <w:r>
        <w:rPr>
          <w:rFonts w:asciiTheme="minorEastAsia" w:eastAsiaTheme="minorEastAsia" w:hAnsiTheme="minorEastAsia"/>
          <w:color w:themeColor="text1" w:val="000000"/>
          <w:sz w:val="24"/>
          <w:szCs w:val="24"/>
        </w:rPr>
        <w:t/>
      </w:r>
      <w:proofErr w:type="spellStart"/>
      <w:proofErr w:type="gramEnd"/>
      <w:r>
        <w:rPr>
          <w:rFonts w:asciiTheme="minorEastAsia" w:eastAsiaTheme="minorEastAsia" w:hAnsiTheme="minorEastAsia"/>
          <w:color w:themeColor="text1" w:val="000000"/>
          <w:sz w:val="24"/>
          <w:szCs w:val="24"/>
        </w:rPr>
        <w:t/>
      </w:r>
      <w:proofErr w:type="spellEnd"/>
      <w:r>
        <w:rPr>
          <w:rFonts w:asciiTheme="minorEastAsia" w:eastAsiaTheme="minorEastAsia" w:hAnsiTheme="minorEastAsia"/>
          <w:color w:themeColor="text1" w:val="000000"/>
          <w:sz w:val="24"/>
          <w:szCs w:val="24"/>
        </w:rPr>
        <w:t>本基金本报告期末未持有国债期货。</w:t>
      </w:r>
    </w:p>
    <w:p w14:paraId="0AD515B3"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w: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b/>
          <w:bCs/>
          <w:color w:themeColor="text1" w:val="000000"/>
          <w:kern w:val="0"/>
          <w:sz w:val="24"/>
          <w:szCs w:val="24"/>
        </w:rPr>
        <w:t>5.</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投资组合报告附注</w:t>
      </w:r>
    </w:p>
    <w:p w14:paraId="2BAE184B"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t/>
      </w:r>
      <w:proofErr w:type="gramStart"/>
      <w:r>
        <w:rPr>
          <w:rFonts w:asciiTheme="minorEastAsia" w:eastAsiaTheme="minorEastAsia" w:hAnsiTheme="minorEastAsia" w:hint="eastAsia"/>
          <w:color w:themeColor="text1" w:val="000000"/>
          <w:sz w:val="24"/>
          <w:szCs w:val="24"/>
        </w:rPr>
        <w:t>5</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
      </w:r>
      <w:proofErr w:type="gramEnd"/>
      <w:r>
        <w:rPr>
          <w:rFonts w:asciiTheme="minorEastAsia" w:eastAsiaTheme="minorEastAsia" w:hAnsiTheme="minorEastAsia" w:hint="eastAsia"/>
          <w:color w:themeColor="text1" w:val="000000"/>
          <w:sz w:val="24"/>
          <w:szCs w:val="24"/>
        </w:rPr>
        <w:t>11</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1</w:t>
      </w:r>
      <w:r>
        <w:rPr>
          <w:rFonts w:asciiTheme="minorEastAsia" w:eastAsiaTheme="minorEastAsia" w:hAnsiTheme="minorEastAsia"/>
          <w:color w:themeColor="text1" w:val="000000"/>
          <w:sz w:val="24"/>
          <w:szCs w:val="24"/>
        </w:rPr>
        <w:t>报告期内本基金投资的前十名证券的发行主体本期没有出现被监管部门立案调查，或在报告编制日前一年内受到公开谴责、处罚的情形。</w:t>
      </w:r>
    </w:p>
    <w:p w14:paraId="50E6CBCA"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t/>
      </w:r>
      <w:proofErr w:type="gramStart"/>
      <w:r>
        <w:rPr>
          <w:rFonts w:asciiTheme="minorEastAsia" w:eastAsiaTheme="minorEastAsia" w:hAnsiTheme="minorEastAsia" w:hint="eastAsia"/>
          <w:color w:themeColor="text1" w:val="000000"/>
          <w:sz w:val="24"/>
          <w:szCs w:val="24"/>
        </w:rPr>
        <w:t>5</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
      </w:r>
      <w:proofErr w:type="gramEnd"/>
      <w:r>
        <w:rPr>
          <w:rFonts w:asciiTheme="minorEastAsia" w:eastAsiaTheme="minorEastAsia" w:hAnsiTheme="minorEastAsia" w:hint="eastAsia"/>
          <w:color w:themeColor="text1" w:val="000000"/>
          <w:sz w:val="24"/>
          <w:szCs w:val="24"/>
        </w:rPr>
        <w:t>11</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2</w:t>
      </w:r>
      <w:r>
        <w:rPr>
          <w:rFonts w:asciiTheme="minorEastAsia" w:eastAsiaTheme="minorEastAsia" w:hAnsiTheme="minorEastAsia"/>
          <w:color w:themeColor="text1" w:val="000000"/>
          <w:sz w:val="24"/>
          <w:szCs w:val="24"/>
        </w:rPr>
        <w:t>报告期内本基金投资的前十名股票中没有在基金合同规定备选股票库之外的股票。</w:t>
      </w:r>
    </w:p>
    <w:p w14:paraId="4124D65B"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3</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其他资产构成</w:t>
      </w:r>
    </w:p>
    <w:tbl>
      <w:tblPr>
        <w:tblStyle w:val="aff4"/>
        <w:tblW w:type="dxa" w:w="8513"/>
        <w:tblInd w:type="dxa" w:w="15"/>
        <w:tblLayout w:type="fixed"/>
        <w:tblLook w:firstColumn="1" w:firstRow="1" w:lastColumn="0" w:lastRow="0" w:noHBand="0" w:noVBand="1" w:val="04A0"/>
      </w:tblPr>
      <w:tblGrid>
        <w:gridCol w:w="1235"/>
        <w:gridCol w:w="2470"/>
        <w:gridCol w:w="4808"/>
      </w:tblGrid>
      <w:tr w14:paraId="287E547D" w14:textId="77777777" w:rsidR="00D06738">
        <w:tc>
          <w:tcPr>
            <w:tcW w:type="dxa" w:w="1235"/>
            <w:vAlign w:val="center"/>
          </w:tcPr>
          <w:p w14:paraId="3D402FF5"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序号</w:t>
            </w:r>
          </w:p>
        </w:tc>
        <w:tc>
          <w:tcPr>
            <w:tcW w:type="dxa" w:w="2470"/>
            <w:vAlign w:val="center"/>
          </w:tcPr>
          <w:p w14:paraId="627CAE1B"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名称</w:t>
            </w:r>
          </w:p>
        </w:tc>
        <w:tc>
          <w:tcPr>
            <w:tcW w:type="dxa" w:w="4808"/>
            <w:vAlign w:val="center"/>
          </w:tcPr>
          <w:p w14:paraId="6430356C"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金额(元)</w:t>
            </w:r>
          </w:p>
        </w:tc>
      </w:tr>
      <w:tr w14:paraId="2C715D80" w14:textId="77777777" w:rsidR="00D06738">
        <w:tc>
          <w:tcPr>
            <w:tcW w:type="dxa" w:w="1235"/>
            <w:vAlign w:val="center"/>
          </w:tcPr>
          <w:p w14:paraId="117C1A9A"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1</w:t>
            </w:r>
          </w:p>
        </w:tc>
        <w:tc>
          <w:tcPr>
            <w:tcW w:type="dxa" w:w="2470"/>
            <w:vAlign w:val="center"/>
          </w:tcPr>
          <w:p w14:paraId="61153B98"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存出保证金</w:t>
            </w:r>
          </w:p>
        </w:tc>
        <w:tc>
          <w:tcPr>
            <w:tcW w:type="dxa" w:w="4808"/>
            <w:vAlign w:val="center"/>
          </w:tcPr>
          <w:p w14:paraId="069C1229"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990,725.09</w:t>
            </w:r>
          </w:p>
        </w:tc>
      </w:tr>
      <w:tr w14:paraId="3C032846" w14:textId="77777777" w:rsidR="00D06738">
        <w:tc>
          <w:tcPr>
            <w:tcW w:type="dxa" w:w="1235"/>
            <w:vAlign w:val="center"/>
          </w:tcPr>
          <w:p w14:paraId="141CD098"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2</w:t>
            </w:r>
          </w:p>
        </w:tc>
        <w:tc>
          <w:tcPr>
            <w:tcW w:type="dxa" w:w="2470"/>
            <w:vAlign w:val="center"/>
          </w:tcPr>
          <w:p w14:paraId="307B0992"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应收证券清算款</w:t>
            </w:r>
          </w:p>
        </w:tc>
        <w:tc>
          <w:tcPr>
            <w:tcW w:type="dxa" w:w="4808"/>
            <w:vAlign w:val="center"/>
          </w:tcPr>
          <w:p w14:paraId="7B2B0246"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253,711,621.87</w:t>
            </w:r>
          </w:p>
        </w:tc>
      </w:tr>
      <w:tr w14:paraId="176311B8" w14:textId="77777777" w:rsidR="00D06738">
        <w:tc>
          <w:tcPr>
            <w:tcW w:type="dxa" w:w="1235"/>
            <w:vAlign w:val="center"/>
          </w:tcPr>
          <w:p w14:paraId="602CCE2F"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lastRenderedPageBreak/>
              <w:t>3</w:t>
            </w:r>
          </w:p>
        </w:tc>
        <w:tc>
          <w:tcPr>
            <w:tcW w:type="dxa" w:w="2470"/>
            <w:vAlign w:val="center"/>
          </w:tcPr>
          <w:p w14:paraId="31EEC93A"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应收股利</w:t>
            </w:r>
          </w:p>
        </w:tc>
        <w:tc>
          <w:tcPr>
            <w:tcW w:type="dxa" w:w="4808"/>
            <w:vAlign w:val="center"/>
          </w:tcPr>
          <w:p w14:paraId="30AA7BFB"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w:t>
            </w:r>
          </w:p>
        </w:tc>
      </w:tr>
      <w:tr w14:paraId="6C0EC699" w14:textId="77777777" w:rsidR="00D06738">
        <w:tc>
          <w:tcPr>
            <w:tcW w:type="dxa" w:w="1235"/>
            <w:vAlign w:val="center"/>
          </w:tcPr>
          <w:p w14:paraId="4EAB88E6"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4</w:t>
            </w:r>
          </w:p>
        </w:tc>
        <w:tc>
          <w:tcPr>
            <w:tcW w:type="dxa" w:w="2470"/>
            <w:vAlign w:val="center"/>
          </w:tcPr>
          <w:p w14:paraId="25AFBD38"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应收利息</w:t>
            </w:r>
          </w:p>
        </w:tc>
        <w:tc>
          <w:tcPr>
            <w:tcW w:type="dxa" w:w="4808"/>
            <w:vAlign w:val="center"/>
          </w:tcPr>
          <w:p w14:paraId="61FAC2C4"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230,795.48</w:t>
            </w:r>
          </w:p>
        </w:tc>
      </w:tr>
      <w:tr w14:paraId="617FE4E0" w14:textId="77777777" w:rsidR="00D06738">
        <w:tc>
          <w:tcPr>
            <w:tcW w:type="dxa" w:w="1235"/>
            <w:vAlign w:val="center"/>
          </w:tcPr>
          <w:p w14:paraId="0DE5BCEB"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5</w:t>
            </w:r>
          </w:p>
        </w:tc>
        <w:tc>
          <w:tcPr>
            <w:tcW w:type="dxa" w:w="2470"/>
            <w:vAlign w:val="center"/>
          </w:tcPr>
          <w:p w14:paraId="418D350C"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应收申购款</w:t>
            </w:r>
          </w:p>
        </w:tc>
        <w:tc>
          <w:tcPr>
            <w:tcW w:type="dxa" w:w="4808"/>
            <w:vAlign w:val="center"/>
          </w:tcPr>
          <w:p w14:paraId="6138F79B"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27,376,005.31</w:t>
            </w:r>
          </w:p>
        </w:tc>
      </w:tr>
      <w:tr w14:paraId="2FF8C6CF" w14:textId="77777777" w:rsidR="00D06738">
        <w:tc>
          <w:tcPr>
            <w:tcW w:type="dxa" w:w="1235"/>
            <w:vAlign w:val="center"/>
          </w:tcPr>
          <w:p w14:paraId="027C50FA"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6</w:t>
            </w:r>
          </w:p>
        </w:tc>
        <w:tc>
          <w:tcPr>
            <w:tcW w:type="dxa" w:w="2470"/>
            <w:vAlign w:val="center"/>
          </w:tcPr>
          <w:p w14:paraId="763B3400"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其他应收款</w:t>
            </w:r>
          </w:p>
        </w:tc>
        <w:tc>
          <w:tcPr>
            <w:tcW w:type="dxa" w:w="4808"/>
            <w:vAlign w:val="center"/>
          </w:tcPr>
          <w:p w14:paraId="5846D225"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w:t>
            </w:r>
          </w:p>
        </w:tc>
      </w:tr>
      <w:tr w14:paraId="472C6A37" w14:textId="77777777" w:rsidR="00D06738">
        <w:tc>
          <w:tcPr>
            <w:tcW w:type="dxa" w:w="1235"/>
            <w:vAlign w:val="center"/>
          </w:tcPr>
          <w:p w14:paraId="75EFC638"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7</w:t>
            </w:r>
          </w:p>
        </w:tc>
        <w:tc>
          <w:tcPr>
            <w:tcW w:type="dxa" w:w="2470"/>
            <w:vAlign w:val="center"/>
          </w:tcPr>
          <w:p w14:paraId="0A943614" w14:textId="77777777" w:rsidR="00D06738" w:rsidRDefault="00454D20">
            <w:pPr>
              <w:autoSpaceDE w:val="0"/>
              <w:autoSpaceDN w:val="0"/>
              <w:adjustRightInd w:val="0"/>
              <w:spacing w:before="29" w:line="360" w:lineRule="auto"/>
              <w:ind w:left="15"/>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待摊费用</w:t>
            </w:r>
          </w:p>
        </w:tc>
        <w:tc>
          <w:tcPr>
            <w:tcW w:type="dxa" w:w="4808"/>
            <w:vAlign w:val="center"/>
          </w:tcPr>
          <w:p w14:paraId="72EB47BF"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hint="eastAsia"/>
                <w:color w:themeColor="text1" w:val="000000"/>
                <w:kern w:val="0"/>
              </w:rPr>
              <w:t>-</w:t>
            </w:r>
          </w:p>
        </w:tc>
      </w:tr>
      <w:tr w14:paraId="1EB71240" w14:textId="77777777" w:rsidR="00D06738">
        <w:tc>
          <w:tcPr>
            <w:tcW w:type="dxa" w:w="1235"/>
            <w:vAlign w:val="center"/>
          </w:tcPr>
          <w:p w14:paraId="4CA5E701"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8</w:t>
            </w:r>
          </w:p>
        </w:tc>
        <w:tc>
          <w:tcPr>
            <w:tcW w:type="dxa" w:w="2470"/>
            <w:vAlign w:val="center"/>
          </w:tcPr>
          <w:p w14:paraId="139BE609"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其他</w:t>
            </w:r>
          </w:p>
        </w:tc>
        <w:tc>
          <w:tcPr>
            <w:tcW w:type="dxa" w:w="4808"/>
            <w:vAlign w:val="center"/>
          </w:tcPr>
          <w:p w14:paraId="5ED4A47C"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w:t>
            </w:r>
          </w:p>
        </w:tc>
      </w:tr>
      <w:tr w14:paraId="3A99357C" w14:textId="77777777" w:rsidR="00D06738">
        <w:tc>
          <w:tcPr>
            <w:tcW w:type="dxa" w:w="1235"/>
            <w:vAlign w:val="center"/>
          </w:tcPr>
          <w:p w14:paraId="7043D59F"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9</w:t>
            </w:r>
          </w:p>
        </w:tc>
        <w:tc>
          <w:tcPr>
            <w:tcW w:type="dxa" w:w="2470"/>
            <w:vAlign w:val="center"/>
          </w:tcPr>
          <w:p w14:paraId="756733B0"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合计</w:t>
            </w:r>
          </w:p>
        </w:tc>
        <w:tc>
          <w:tcPr>
            <w:tcW w:type="dxa" w:w="4808"/>
            <w:vAlign w:val="center"/>
          </w:tcPr>
          <w:p w14:paraId="1336DBC1"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282,309,147.75</w:t>
            </w:r>
          </w:p>
        </w:tc>
      </w:tr>
    </w:tbl>
    <w:p w14:paraId="4676AA60" w14:textId="77777777" w:rsidR="00D06738" w:rsidRDefault="00D06738">
      <w:pPr>
        <w:autoSpaceDE w:val="0"/>
        <w:autoSpaceDN w:val="0"/>
        <w:adjustRightInd w:val="0"/>
        <w:spacing w:line="360" w:lineRule="auto"/>
        <w:rPr>
          <w:rFonts w:asciiTheme="minorEastAsia" w:eastAsiaTheme="minorEastAsia" w:hAnsiTheme="minorEastAsia"/>
          <w:color w:themeColor="text1" w:val="000000"/>
          <w:sz w:val="24"/>
          <w:szCs w:val="24"/>
        </w:rPr>
      </w:pPr>
    </w:p>
    <w:p w14:paraId="5172EF34"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4报告期末持有的处于转股期的可转换债券明细</w:t>
      </w:r>
    </w:p>
    <w:p w14:paraId="0C2B4847"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本基金本报告期末未持有处于转股期的可转换债券。</w:t>
      </w:r>
    </w:p>
    <w:p w14:paraId="73809093" w14:textId="77777777" w:rsidR="00D06738" w:rsidRDefault="00D06738">
      <w:pPr>
        <w:autoSpaceDE w:val="0"/>
        <w:autoSpaceDN w:val="0"/>
        <w:adjustRightInd w:val="0"/>
        <w:spacing w:line="360" w:lineRule="auto"/>
        <w:rPr>
          <w:rFonts w:asciiTheme="minorEastAsia" w:eastAsiaTheme="minorEastAsia" w:hAnsiTheme="minorEastAsia"/>
          <w:color w:themeColor="text1" w:val="000000"/>
          <w:sz w:val="24"/>
          <w:szCs w:val="24"/>
        </w:rPr>
      </w:pPr>
    </w:p>
    <w:p w14:paraId="26374DDE"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5报告期末前十名股票中存在流通受限情况的说明</w:t>
      </w:r>
    </w:p>
    <w:p w14:paraId="7A502387"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lastRenderedPageBreak/>
        <w:t/>
      </w:r>
      <w:proofErr w:type="gramStart"/>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gramEnd"/>
      <w:r>
        <w:rPr>
          <w:rFonts w:asciiTheme="minorEastAsia" w:eastAsiaTheme="minorEastAsia" w:hAnsiTheme="minorEastAsia"/>
          <w:color w:themeColor="text1" w:val="000000"/>
        </w:rPr>
        <w:t>本基金本报告期末前十名股票中不存在流通受限情况。</w:t>
      </w:r>
    </w:p>
    <w:p w14:paraId="6F6FE44E" w14:textId="77777777" w:rsidR="00D06738" w:rsidRDefault="00D06738">
      <w:pPr>
        <w:autoSpaceDE w:val="0"/>
        <w:autoSpaceDN w:val="0"/>
        <w:adjustRightInd w:val="0"/>
        <w:spacing w:line="360" w:lineRule="auto"/>
        <w:rPr>
          <w:rFonts w:asciiTheme="minorEastAsia" w:eastAsiaTheme="minorEastAsia" w:hAnsiTheme="minorEastAsia"/>
          <w:color w:themeColor="text1" w:val="000000"/>
          <w:sz w:val="24"/>
          <w:szCs w:val="24"/>
        </w:rPr>
      </w:pPr>
    </w:p>
    <w:p w14:paraId="329684B0"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spellStart"/>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
      </w:r>
      <w:proofErr w:type="spellEnd"/>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6投资组合报告附注的其他文字描述部分</w:t>
      </w:r>
    </w:p>
    <w:p w14:paraId="536D339F"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因四舍五入原因，投资组合报告中分项之和与合计可能存在尾差。</w:t>
      </w:r>
    </w:p>
    <w:p w14:paraId="1F6232E1"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6  </w:t>
      </w:r>
      <w:r>
        <w:rPr>
          <w:rFonts w:asciiTheme="minorEastAsia" w:eastAsiaTheme="minorEastAsia" w:hAnsiTheme="minorEastAsia" w:hint="eastAsia"/>
          <w:color w:themeColor="text1" w:val="000000"/>
          <w:kern w:val="0"/>
          <w:sz w:val="24"/>
          <w:szCs w:val="24"/>
        </w:rPr>
        <w:t>开放式基金份额变动</w:t>
      </w:r>
    </w:p>
    <w:p w14:paraId="1546AC98"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4"/>
          <w:szCs w:val="24"/>
        </w:rPr>
      </w:pPr>
      <w:r>
        <w:rPr>
          <w:rFonts w:asciiTheme="minorEastAsia" w:cs="宋体" w:eastAsiaTheme="minorEastAsia" w:hAnsiTheme="minorEastAsia" w:hint="eastAsia"/>
          <w:color w:themeColor="text1" w:val="000000"/>
          <w:kern w:val="0"/>
          <w:sz w:val="24"/>
          <w:szCs w:val="24"/>
        </w:rPr>
        <w:t>单位：份</w:t>
      </w:r>
    </w:p>
    <w:tbl>
      <w:tblPr>
        <w:tblW w:type="dxa" w:w="8634"/>
        <w:tblInd w:type="dxa" w:w="-106"/>
        <w:tblLayout w:type="fixed"/>
        <w:tblLook w:firstColumn="1" w:firstRow="1" w:lastColumn="0" w:lastRow="0" w:noHBand="0" w:noVBand="1" w:val="04A0"/>
      </w:tblPr>
      <w:tblGrid>
        <w:gridCol w:w="4609"/>
        <w:gridCol w:w="4025"/>
      </w:tblGrid>
      <w:tr w14:paraId="73D45AAD"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6363BCBA"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本报告期期</w:t>
            </w:r>
            <w:proofErr w:type="gramStart"/>
            <w:r>
              <w:rPr>
                <w:rFonts w:asciiTheme="minorEastAsia" w:cs="宋体" w:eastAsiaTheme="minorEastAsia" w:hAnsiTheme="minorEastAsia" w:hint="eastAsia"/>
                <w:color w:themeColor="text1" w:val="000000"/>
                <w:kern w:val="0"/>
              </w:rPr>
              <w:t>初基金</w:t>
            </w:r>
            <w:proofErr w:type="gramEnd"/>
            <w:r>
              <w:rPr>
                <w:rFonts w:asciiTheme="minorEastAsia" w:cs="宋体" w:eastAsiaTheme="minorEastAsia" w:hAnsiTheme="minorEastAsia" w:hint="eastAsia"/>
                <w:color w:themeColor="text1" w:val="000000"/>
                <w:kern w:val="0"/>
              </w:rPr>
              <w:t>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044C07D0"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cs="宋体"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gram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gramEnd"/>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1,658,394,574.73</w:t>
            </w:r>
          </w:p>
        </w:tc>
      </w:tr>
      <w:tr w14:paraId="464FC419"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34A78DD1"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proofErr w:type="spellEnd"/>
            <w:r>
              <w:rPr>
                <w:rFonts w:asciiTheme="minorEastAsia" w:cs="宋体" w:eastAsiaTheme="minorEastAsia" w:hAnsiTheme="minorEastAsia"/>
                <w:color w:themeColor="text1" w:val="000000"/>
                <w:kern w:val="0"/>
              </w:rPr>
              <w:t>报告期期间</w:t>
            </w:r>
            <w:r>
              <w:rPr>
                <w:rFonts w:asciiTheme="minorEastAsia" w:cs="宋体" w:eastAsiaTheme="minorEastAsia" w:hAnsiTheme="minorEastAsia" w:hint="eastAsia"/>
                <w:color w:themeColor="text1" w:val="000000"/>
                <w:kern w:val="0"/>
              </w:rPr>
              <w:t>基金总申购份额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1AF86538"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1,900,411,864.67</w:t>
            </w:r>
          </w:p>
        </w:tc>
      </w:tr>
      <w:tr w14:paraId="17EE7B14"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7D22DA1B"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减：</w:t>
            </w: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proofErr w:type="spellEnd"/>
            <w:r>
              <w:rPr>
                <w:rFonts w:asciiTheme="minorEastAsia" w:cs="宋体" w:eastAsiaTheme="minorEastAsia" w:hAnsiTheme="minorEastAsia"/>
                <w:color w:themeColor="text1" w:val="000000"/>
                <w:kern w:val="0"/>
              </w:rPr>
              <w:t>报告期期间</w:t>
            </w:r>
            <w:r>
              <w:rPr>
                <w:rFonts w:asciiTheme="minorEastAsia" w:cs="宋体" w:eastAsiaTheme="minorEastAsia" w:hAnsiTheme="minorEastAsia" w:hint="eastAsia"/>
                <w:color w:themeColor="text1" w:val="000000"/>
                <w:kern w:val="0"/>
              </w:rPr>
              <w:t>基金总赎回份额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3D1634A5"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1,350,336,773.85</w:t>
            </w:r>
          </w:p>
        </w:tc>
      </w:tr>
      <w:tr w14:paraId="465F9B6E"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32F47FA4"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proofErr w:type="spellEnd"/>
            <w:r>
              <w:rPr>
                <w:rFonts w:asciiTheme="minorEastAsia" w:cs="宋体" w:eastAsiaTheme="minorEastAsia" w:hAnsiTheme="minorEastAsia"/>
                <w:color w:themeColor="text1" w:val="000000"/>
                <w:kern w:val="0"/>
              </w:rPr>
              <w:t>报告期期间</w:t>
            </w:r>
            <w:r>
              <w:rPr>
                <w:rFonts w:asciiTheme="minorEastAsia" w:cs="宋体" w:eastAsiaTheme="minorEastAsia" w:hAnsiTheme="minorEastAsia" w:hint="eastAsia"/>
                <w:color w:themeColor="text1" w:val="000000"/>
                <w:kern w:val="0"/>
              </w:rPr>
              <w:t>基金拆分变动份额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68D17418"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w:t>
            </w:r>
          </w:p>
        </w:tc>
      </w:tr>
      <w:tr w14:paraId="05E84194"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5CDA9537"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本报告期期末基金份额总额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489B390B"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hint="eastAsia"/>
                <w:color w:themeColor="text1" w:val="000000"/>
              </w:rPr>
              <w:t>2,208,469,665.55</w:t>
            </w:r>
          </w:p>
        </w:tc>
      </w:tr>
    </w:tbl>
    <w:p w14:paraId="3C94584F" w14:textId="77777777" w:rsidR="00D06738" w:rsidRDefault="00454D20">
      <w:pPr>
        <w:pStyle w:val="1"/>
        <w:tabs>
          <w:tab w:pos="4156" w:val="center"/>
          <w:tab w:pos="8312" w:val="right"/>
        </w:tabs>
        <w:spacing w:after="312" w:afterLines="100" w:before="312" w:beforeLines="100" w:line="360" w:lineRule="auto"/>
        <w:jc w:val="center"/>
        <w:rPr>
          <w:rFonts w:ascii="方正仿宋简体"/>
          <w:color w:themeColor="text1" w:val="000000"/>
          <w:sz w:val="24"/>
          <w:szCs w:val="24"/>
        </w:rPr>
      </w:pPr>
      <w:r>
        <w:rPr>
          <w:rFonts w:asciiTheme="minorEastAsia" w:eastAsiaTheme="minorEastAsia" w:hAnsiTheme="minorEastAsia" w:hint="eastAsia"/>
          <w:color w:themeColor="text1" w:val="000000"/>
          <w:kern w:val="0"/>
          <w:sz w:val="24"/>
          <w:szCs w:val="24"/>
        </w:rPr>
        <w:t/>
      </w:r>
      <w:proofErr w:type="spellStart"/>
      <w:r>
        <w:rPr>
          <w:rFonts w:asciiTheme="minorEastAsia" w:eastAsiaTheme="minorEastAsia" w:hAnsiTheme="minorEastAsia" w:hint="eastAsia"/>
          <w:color w:themeColor="text1" w:val="000000"/>
          <w:kern w:val="0"/>
          <w:sz w:val="24"/>
          <w:szCs w:val="24"/>
        </w:rPr>
        <w:t/>
      </w:r>
      <w:proofErr w:type="spellEnd"/>
      <w:r>
        <w:rPr>
          <w:rFonts w:asciiTheme="minorEastAsia" w:eastAsiaTheme="minorEastAsia" w:hAnsiTheme="minorEastAsia" w:hint="eastAsia"/>
          <w:color w:themeColor="text1" w:val="000000"/>
          <w:kern w:val="0"/>
          <w:sz w:val="24"/>
          <w:szCs w:val="24"/>
        </w:rPr>
        <w:t/>
      </w:r>
      <w:r>
        <w:rPr>
          <w:rFonts w:asciiTheme="minorEastAsia" w:cs="Arial" w:eastAsiaTheme="minorEastAsia" w:hAnsiTheme="minorEastAsia" w:hint="eastAsia"/>
          <w:color w:themeColor="text1" w:val="000000"/>
          <w:kern w:val="0"/>
          <w:sz w:val="24"/>
          <w:szCs w:val="24"/>
        </w:rPr>
        <w:t xml:space="preserve">§7  </w:t>
      </w:r>
      <w:r>
        <w:rPr>
          <w:rFonts w:ascii="方正仿宋简体" w:hint="eastAsia"/>
          <w:color w:themeColor="text1" w:val="000000"/>
          <w:sz w:val="24"/>
          <w:szCs w:val="24"/>
        </w:rPr>
        <w:t>基金管理人运用</w:t>
      </w:r>
      <w:proofErr w:type="gramStart"/>
      <w:r>
        <w:rPr>
          <w:rFonts w:ascii="方正仿宋简体" w:hint="eastAsia"/>
          <w:color w:themeColor="text1" w:val="000000"/>
          <w:sz w:val="24"/>
          <w:szCs w:val="24"/>
        </w:rPr>
        <w:t>固有资金</w:t>
      </w:r>
      <w:proofErr w:type="gramEnd"/>
      <w:r>
        <w:rPr>
          <w:rFonts w:ascii="方正仿宋简体" w:hint="eastAsia"/>
          <w:color w:themeColor="text1" w:val="000000"/>
          <w:sz w:val="24"/>
          <w:szCs w:val="24"/>
        </w:rPr>
        <w:t>投资本基金情况</w:t>
      </w:r>
    </w:p>
    <w:p w14:paraId="220CB641" w14:textId="77777777" w:rsidR="00D06738" w:rsidRDefault="00454D20">
      <w:pPr>
        <w:spacing w:line="360" w:lineRule="auto"/>
        <w:jc w:val="left"/>
        <w:rPr>
          <w:color w:themeColor="text1" w:val="000000"/>
          <w:sz w:val="24"/>
          <w:szCs w:val="24"/>
        </w:rPr>
      </w:pPr>
      <w:r>
        <w:rPr>
          <w:b/>
          <w:color w:themeColor="text1" w:val="000000"/>
          <w:sz w:val="24"/>
        </w:rPr>
        <w:t/>
      </w:r>
      <w:proofErr w:type="spellStart"/>
      <w:r>
        <w:rPr>
          <w:b/>
          <w:color w:themeColor="text1" w:val="000000"/>
          <w:sz w:val="24"/>
        </w:rPr>
        <w:t/>
      </w:r>
      <w:proofErr w:type="gramStart"/>
      <w:r>
        <w:rPr>
          <w:b/>
          <w:color w:themeColor="text1" w:val="000000"/>
          <w:sz w:val="24"/>
        </w:rPr>
        <w:t/>
      </w:r>
      <w:proofErr w:type="spellEnd"/>
      <w:r>
        <w:rPr>
          <w:b/>
          <w:color w:themeColor="text1" w:val="000000"/>
          <w:sz w:val="24"/>
        </w:rPr>
        <w:t/>
      </w:r>
      <w:proofErr w:type="gramEnd"/>
      <w:r>
        <w:rPr>
          <w:b/>
          <w:color w:themeColor="text1" w:val="000000"/>
          <w:sz w:val="24"/>
        </w:rPr>
        <w:t xml:space="preserve">7.1 </w:t>
      </w:r>
      <w:r>
        <w:rPr>
          <w:rFonts w:hint="eastAsia"/>
          <w:b/>
          <w:color w:themeColor="text1" w:val="000000"/>
          <w:sz w:val="24"/>
        </w:rPr>
        <w:t>基金管理人持有本基金份额变动情况</w:t>
      </w:r>
    </w:p>
    <w:p w14:paraId="3105CFED"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cs="宋体" w:eastAsiaTheme="minorEastAsia" w:hAnsiTheme="minorEastAsia"/>
          <w:color w:themeColor="text1" w:val="000000"/>
          <w:kern w:val="0"/>
        </w:rPr>
        <w:t/>
      </w:r>
      <w:proofErr w:type="gramStart"/>
      <w:r>
        <w:rPr>
          <w:rFonts w:asciiTheme="minorEastAsia" w:cs="宋体" w:eastAsiaTheme="minorEastAsia" w:hAnsiTheme="minorEastAsia"/>
          <w:color w:themeColor="text1" w:val="000000"/>
          <w:kern w:val="0"/>
        </w:rPr>
        <w:t/>
      </w:r>
      <w:proofErr w:type="spellStart"/>
      <w:proofErr w:type="gramEnd"/>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无。</w:t>
      </w:r>
    </w:p>
    <w:p w14:paraId="470676A3" w14:textId="77777777" w:rsidR="00D06738" w:rsidRDefault="00D06738">
      <w:pPr>
        <w:autoSpaceDE w:val="0"/>
        <w:autoSpaceDN w:val="0"/>
        <w:adjustRightInd w:val="0"/>
        <w:spacing w:line="360" w:lineRule="auto"/>
        <w:jc w:val="left"/>
        <w:rPr>
          <w:rFonts w:asciiTheme="minorEastAsia" w:cs="宋体" w:eastAsiaTheme="minorEastAsia" w:hAnsiTheme="minorEastAsia"/>
          <w:color w:themeColor="text1" w:val="000000"/>
          <w:kern w:val="0"/>
          <w:sz w:val="24"/>
        </w:rPr>
      </w:pPr>
    </w:p>
    <w:p w14:paraId="6765BFDC"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§8</w:t>
      </w:r>
      <w:r>
        <w:rPr>
          <w:rFonts w:asciiTheme="minorEastAsia" w:eastAsiaTheme="minorEastAsia" w:hAnsiTheme="minorEastAsia"/>
          <w:color w:themeColor="text1" w:val="000000"/>
          <w:kern w:val="0"/>
          <w:sz w:val="24"/>
          <w:szCs w:val="24"/>
        </w:rPr>
        <w:t xml:space="preserve">  </w:t>
      </w:r>
      <w:r>
        <w:rPr>
          <w:rFonts w:asciiTheme="minorEastAsia" w:eastAsiaTheme="minorEastAsia" w:hAnsiTheme="minorEastAsia" w:hint="eastAsia"/>
          <w:color w:themeColor="text1" w:val="000000"/>
          <w:kern w:val="0"/>
          <w:sz w:val="24"/>
          <w:szCs w:val="24"/>
        </w:rPr>
        <w:t>备查文件目录</w:t>
      </w:r>
    </w:p>
    <w:p w14:paraId="457E531B"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备查文件目录</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1. 中国证监会批准上投摩根科技前沿灵活配置混合型证券投资基金设立的文件；</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2. 《上投摩根科技前沿灵活配置混合型证券投资基金基金合同》；</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3. 《上投摩根科技前沿灵活配置混合型证券投资基金托管协议》；</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4. 《上投摩根开放式基金业务规则》；</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5. 基金管理人业务资格批件、营业执照；</w:t>
      </w:r>
    </w:p>
    <w:p w14:paraId="1A471A23"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6. 基金托管人业务资格批件和营业执照。</w:t>
      </w:r>
    </w:p>
    <w:p w14:paraId="34C276B3" w14:textId="77777777" w:rsidR="00D06738" w:rsidRDefault="00D06738">
      <w:pPr>
        <w:spacing w:line="360" w:lineRule="auto"/>
        <w:ind w:firstLine="480" w:firstLineChars="200"/>
        <w:rPr>
          <w:rFonts w:asciiTheme="minorEastAsia" w:eastAsiaTheme="minorEastAsia" w:hAnsiTheme="minorEastAsia"/>
          <w:color w:themeColor="text1" w:val="000000"/>
          <w:sz w:val="24"/>
          <w:szCs w:val="24"/>
        </w:rPr>
      </w:pPr>
    </w:p>
    <w:p w14:paraId="23507D88"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2</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存放地点</w:t>
      </w:r>
    </w:p>
    <w:p w14:paraId="61EC8F57"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基金管理人或基金托管人住所。</w:t>
      </w:r>
    </w:p>
    <w:p w14:paraId="4B43DAA4" w14:textId="77777777" w:rsidR="00D06738" w:rsidRDefault="00D06738">
      <w:pPr>
        <w:spacing w:line="360" w:lineRule="auto"/>
        <w:ind w:firstLine="480" w:firstLineChars="200"/>
        <w:rPr>
          <w:rFonts w:asciiTheme="minorEastAsia" w:eastAsiaTheme="minorEastAsia" w:hAnsiTheme="minorEastAsia"/>
          <w:color w:themeColor="text1" w:val="000000"/>
          <w:sz w:val="24"/>
          <w:szCs w:val="24"/>
        </w:rPr>
      </w:pPr>
    </w:p>
    <w:p w14:paraId="05279DD9"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3</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查阅方式</w:t>
      </w:r>
    </w:p>
    <w:p w14:paraId="5BDF4042"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投资者可在营业时间免费查阅，也可按工本费购买复印件。</w:t>
      </w:r>
    </w:p>
    <w:p w14:paraId="1EB1072F"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086D5C70"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667FD74D"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5173A207"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5C1BC673"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309916CD"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7C0C74F6"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04EFEDF1"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0387F1AC" w14:textId="77777777" w:rsidR="00D06738" w:rsidRDefault="00454D20">
      <w:pPr>
        <w:spacing w:line="360" w:lineRule="auto"/>
        <w:jc w:val="right"/>
        <w:rPr>
          <w:rFonts w:asciiTheme="minorEastAsia" w:eastAsiaTheme="minorEastAsia" w:hAnsiTheme="minorEastAsia"/>
          <w:b/>
          <w:bCs/>
          <w:color w:themeColor="text1" w:val="000000"/>
          <w:sz w:val="24"/>
          <w:szCs w:val="24"/>
        </w:rPr>
      </w:pPr>
      <w:r>
        <w:rPr>
          <w:rFonts w:asciiTheme="minorEastAsia" w:eastAsiaTheme="minorEastAsia" w:hAnsiTheme="minorEastAsia"/>
          <w:b/>
          <w:bCs/>
          <w:color w:themeColor="text1" w:val="000000"/>
          <w:sz w:val="24"/>
          <w:szCs w:val="24"/>
        </w:rPr>
        <w:t/>
      </w:r>
      <w:proofErr w:type="spellStart"/>
      <w:r>
        <w:rPr>
          <w:rFonts w:asciiTheme="minorEastAsia" w:eastAsiaTheme="minorEastAsia" w:hAnsiTheme="minorEastAsia"/>
          <w:b/>
          <w:bCs/>
          <w:color w:themeColor="text1" w:val="000000"/>
          <w:sz w:val="24"/>
          <w:szCs w:val="24"/>
        </w:rPr>
        <w:t/>
      </w:r>
      <w:proofErr w:type="spellEnd"/>
      <w:r>
        <w:rPr>
          <w:rFonts w:asciiTheme="minorEastAsia" w:eastAsiaTheme="minorEastAsia" w:hAnsiTheme="minorEastAsia"/>
          <w:b/>
          <w:bCs/>
          <w:color w:themeColor="text1" w:val="000000"/>
          <w:sz w:val="24"/>
          <w:szCs w:val="24"/>
        </w:rPr>
        <w:t>上投摩根基金管理有限公司</w:t>
      </w:r>
    </w:p>
    <w:p w14:paraId="114F1307" w14:textId="77777777" w:rsidR="00D06738" w:rsidRDefault="00454D20">
      <w:pPr>
        <w:spacing w:line="360" w:lineRule="auto"/>
        <w:jc w:val="right"/>
        <w:rPr>
          <w:rFonts w:asciiTheme="minorEastAsia" w:eastAsiaTheme="minorEastAsia" w:hAnsiTheme="minorEastAsia"/>
          <w:b/>
          <w:bCs/>
          <w:color w:themeColor="text1" w:val="000000"/>
          <w:sz w:val="24"/>
          <w:szCs w:val="24"/>
        </w:rPr>
      </w:pPr>
      <w:r>
        <w:rPr>
          <w:rFonts w:asciiTheme="minorEastAsia" w:eastAsiaTheme="minorEastAsia" w:hAnsiTheme="minorEastAsia"/>
          <w:b/>
          <w:bCs/>
          <w:color w:themeColor="text1" w:val="000000"/>
          <w:sz w:val="24"/>
          <w:szCs w:val="24"/>
        </w:rPr>
        <w:lastRenderedPageBreak/>
        <w:t/>
      </w:r>
      <w:proofErr w:type="spellStart"/>
      <w:r>
        <w:rPr>
          <w:rFonts w:asciiTheme="minorEastAsia" w:eastAsiaTheme="minorEastAsia" w:hAnsiTheme="minorEastAsia"/>
          <w:b/>
          <w:bCs/>
          <w:color w:themeColor="text1" w:val="000000"/>
          <w:sz w:val="24"/>
          <w:szCs w:val="24"/>
        </w:rPr>
        <w:t/>
      </w:r>
      <w:proofErr w:type="spellEnd"/>
      <w:r>
        <w:rPr>
          <w:rFonts w:asciiTheme="minorEastAsia" w:eastAsiaTheme="minorEastAsia" w:hAnsiTheme="minorEastAsia"/>
          <w:b/>
          <w:bCs/>
          <w:color w:themeColor="text1" w:val="000000"/>
          <w:sz w:val="24"/>
          <w:szCs w:val="24"/>
        </w:rPr>
        <w:t>二〇二一年四月二十二日</w:t>
      </w:r>
    </w:p>
    <w:p w14:paraId="2199A838" w14:textId="77777777" w:rsidR="00D06738" w:rsidRDefault="00D06738">
      <w:pPr>
        <w:spacing w:line="360" w:lineRule="auto"/>
        <w:ind w:left="840"/>
        <w:jc w:val="right"/>
        <w:rPr>
          <w:rFonts w:asciiTheme="minorEastAsia" w:eastAsiaTheme="minorEastAsia" w:hAnsiTheme="minorEastAsia"/>
          <w:b/>
          <w:bCs/>
          <w:color w:themeColor="text1" w:val="000000"/>
          <w:sz w:val="24"/>
          <w:szCs w:val="24"/>
        </w:rPr>
      </w:pPr>
    </w:p>
    <w:p w14:paraId="1ED73A6C" w14:textId="77777777" w:rsidR="00D06738" w:rsidRDefault="00D06738">
      <w:pPr>
        <w:rPr>
          <w:rFonts w:asciiTheme="minorEastAsia" w:eastAsiaTheme="minorEastAsia" w:hAnsiTheme="minorEastAsia"/>
          <w:color w:themeColor="text1" w:val="000000"/>
          <w:sz w:val="24"/>
          <w:szCs w:val="24"/>
        </w:rPr>
      </w:pPr>
    </w:p>
    <w:sectPr w:rsidR="00D06738">
      <w:footerReference r:id="rId11" w:type="default"/>
      <w:pgSz w:h="16838" w:w="11906"/>
      <w:pgMar w:bottom="1440" w:footer="992" w:gutter="0" w:header="851" w:left="1797" w:right="1797" w:top="1440"/>
      <w:cols w:space="425"/>
      <w:docGrid w:linePitch="312"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7A2A4" w14:textId="77777777" w:rsidR="003A7FDA" w:rsidRDefault="003A7FDA">
      <w:r>
        <w:separator/>
      </w:r>
    </w:p>
  </w:endnote>
  <w:endnote w:type="continuationSeparator" w:id="0">
    <w:p w14:paraId="1019A9A1" w14:textId="77777777" w:rsidR="003A7FDA" w:rsidRDefault="003A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6371105E" w14:textId="77777777" w:rsidR="00454D20" w:rsidRDefault="00454D20">
    <w:pPr>
      <w:pStyle w:val="af4"/>
      <w:tabs>
        <w:tab w:pos="4215" w:val="left"/>
        <w:tab w:pos="4545" w:val="center"/>
      </w:tabs>
    </w:pPr>
    <w:r>
      <w:ptab w:alignment="center" w:leader="none" w:relativeTo="margin"/>
    </w:r>
    <w:r>
      <w:ptab w:alignment="center" w:leader="none" w:relativeTo="margin"/>
    </w:r>
    <w:r>
      <w:fldChar w:fldCharType="begin"/>
    </w:r>
    <w:r>
      <w:instrText xml:space="preserve"> PAGE   \* MERGEFORMAT </w:instrText>
    </w:r>
    <w:r>
      <w:fldChar w:fldCharType="separate"/>
    </w:r>
    <w:r>
      <w:rPr>
        <w:lang w:val="zh-CN"/>
      </w:rPr>
      <w:t>1</w:t>
    </w:r>
    <w:r>
      <w:rPr>
        <w:lang w:val="zh-CN"/>
      </w:rPr>
      <w:fldChar w:fldCharType="end"/>
    </w:r>
  </w:p>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7152CFD6" w14:textId="77777777" w:rsidR="00454D20" w:rsidRDefault="00454D20">
    <w:pPr>
      <w:pStyle w:val="af4"/>
      <w:framePr w:hAnchor="margin" w:vAnchor="text" w:wrap="around" w:xAlign="center" w:y="1"/>
      <w:rPr>
        <w:rStyle w:val="aff"/>
      </w:rPr>
    </w:pPr>
    <w:r>
      <w:rPr>
        <w:rStyle w:val="aff"/>
      </w:rPr>
      <w:fldChar w:fldCharType="begin"/>
    </w:r>
    <w:r>
      <w:rPr>
        <w:rStyle w:val="aff"/>
      </w:rPr>
      <w:instrText xml:space="preserve">PAGE  </w:instrText>
    </w:r>
    <w:r>
      <w:rPr>
        <w:rStyle w:val="aff"/>
      </w:rPr>
      <w:fldChar w:fldCharType="separate"/>
    </w:r>
    <w:r>
      <w:rPr>
        <w:rStyle w:val="aff"/>
      </w:rPr>
      <w:t>24</w:t>
    </w:r>
    <w:r>
      <w:rPr>
        <w:rStyle w:val="aff"/>
      </w:rPr>
      <w:fldChar w:fldCharType="end"/>
    </w:r>
  </w:p>
  <w:p w14:paraId="10FC3B0F" w14:textId="77777777" w:rsidR="00454D20" w:rsidRDefault="00454D20">
    <w:pPr>
      <w:pStyle w:val="af4"/>
    </w:pP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footnote w:id="-1" w:type="separator">
    <w:p w14:paraId="34B446B8" w14:textId="77777777" w:rsidR="003A7FDA" w:rsidRDefault="003A7FDA">
      <w:r>
        <w:separator/>
      </w:r>
    </w:p>
  </w:footnote>
  <w:footnote w:id="0" w:type="continuationSeparator">
    <w:p w14:paraId="2B5985C8" w14:textId="77777777" w:rsidR="003A7FDA" w:rsidRDefault="003A7FDA">
      <w:r>
        <w:continuationSeparator/>
      </w:r>
    </w:p>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0D366656" w14:textId="77777777" w:rsidR="00454D20" w:rsidRDefault="00454D20">
    <w:pPr>
      <w:pStyle w:val="af6"/>
      <w:pBdr>
        <w:bottom w:color="auto" w:space="0" w:sz="6" w:val="single"/>
      </w:pBdr>
      <w:jc w:val="right"/>
    </w:pPr>
    <w:r>
      <w:rPr>
        <w:rFonts w:hint="eastAsia"/>
      </w:rPr>
      <w:t/>
    </w:r>
    <w:proofErr w:type="spellStart"/>
    <w:r>
      <w:t/>
    </w:r>
    <w:r>
      <w:rPr>
        <w:rFonts w:hint="eastAsia"/>
      </w:rPr>
      <w:t/>
    </w:r>
    <w:proofErr w:type="gramStart"/>
    <w:r>
      <w:t/>
    </w:r>
    <w:proofErr w:type="spellEnd"/>
    <w:r>
      <w:rPr>
        <w:rFonts w:hint="eastAsia"/>
      </w:rPr>
      <w:t>上投摩根科技前沿灵活配置混合型证券投资基金</w:t>
    </w:r>
    <w:proofErr w:type="spellStart"/>
    <w:proofErr w:type="gramEnd"/>
    <w:r>
      <w:rPr>
        <w:rFonts w:hint="eastAsia"/>
      </w:rPr>
      <w:t/>
    </w:r>
    <w:proofErr w:type="spellEnd"/>
    <w:r>
      <w:rPr>
        <w:rFonts w:hint="eastAsia"/>
      </w:rPr>
      <w:t>2021年第1季度报告</w:t>
    </w:r>
  </w:p>
</w:hdr>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zoom w:percent="90"/>
  <w:bordersDoNotSurroundHeader/>
  <w:bordersDoNotSurroundFooter/>
  <w:proofState w:grammar="clean"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5DA339C3"/>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docDefaults>
    <w:rPrDefault>
      <w:rPr>
        <w:rFonts w:asciiTheme="minorHAnsi" w:cstheme="minorBidi" w:eastAsiaTheme="minorEastAsia" w:hAnsiTheme="minorHAnsi"/>
        <w:lang w:bidi="ar-SA" w:eastAsia="zh-CN" w:val="en-US"/>
      </w:rPr>
    </w:rPrDefault>
    <w:pPrDefault/>
  </w:docDefaults>
  <w:latentStyles w:count="376" w:defLockedState="0" w:defQFormat="0" w:defSemiHidden="0" w:defUIPriority="99" w:defUnhideWhenUsed="0">
    <w:lsdException w:name="Normal" w:qFormat="1" w:uiPriority="0"/>
    <w:lsdException w:name="heading 1" w:qFormat="1"/>
    <w:lsdException w:name="heading 2" w:qFormat="1"/>
    <w:lsdException w:name="heading 3" w:qFormat="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qFormat="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qFormat="1" w:semiHidden="1"/>
    <w:lsdException w:name="footer" w:qFormat="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qFormat="1"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qFormat="1" w:semiHidden="1" w:uiPriority="1" w:unhideWhenUsed="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qFormat="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qFormat="1" w:uiPriority="22"/>
    <w:lsdException w:name="Emphasis" w:qFormat="1" w:uiPriority="20"/>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semiHidden="1" w:unhideWhenUsed="1"/>
    <w:lsdException w:name="annotation subject" w:qFormat="1"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semiHidden="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a" w:type="paragraph">
    <w:name w:val="Normal"/>
    <w:qFormat/>
    <w:pPr>
      <w:widowControl w:val="0"/>
      <w:jc w:val="both"/>
    </w:pPr>
    <w:rPr>
      <w:rFonts w:ascii="Times New Roman" w:cs="Times New Roman" w:eastAsia="宋体" w:hAnsi="Times New Roman"/>
      <w:kern w:val="2"/>
      <w:sz w:val="21"/>
      <w:szCs w:val="21"/>
    </w:rPr>
  </w:style>
  <w:style w:styleId="1" w:type="paragraph">
    <w:name w:val="heading 1"/>
    <w:basedOn w:val="a"/>
    <w:next w:val="a"/>
    <w:link w:val="10"/>
    <w:uiPriority w:val="99"/>
    <w:qFormat/>
    <w:pPr>
      <w:keepNext/>
      <w:keepLines/>
      <w:spacing w:after="330" w:before="340" w:line="578" w:lineRule="auto"/>
      <w:outlineLvl w:val="0"/>
    </w:pPr>
    <w:rPr>
      <w:b/>
      <w:bCs/>
      <w:kern w:val="44"/>
      <w:sz w:val="44"/>
      <w:szCs w:val="44"/>
    </w:rPr>
  </w:style>
  <w:style w:styleId="2" w:type="paragraph">
    <w:name w:val="heading 2"/>
    <w:basedOn w:val="a"/>
    <w:next w:val="a0"/>
    <w:link w:val="20"/>
    <w:uiPriority w:val="99"/>
    <w:qFormat/>
    <w:pPr>
      <w:keepNext/>
      <w:keepLines/>
      <w:spacing w:after="260" w:before="260" w:line="360" w:lineRule="auto"/>
      <w:outlineLvl w:val="1"/>
    </w:pPr>
    <w:rPr>
      <w:rFonts w:ascii="Arial" w:cs="Arial" w:hAnsi="Arial"/>
      <w:b/>
      <w:bCs/>
      <w:sz w:val="24"/>
      <w:szCs w:val="24"/>
    </w:rPr>
  </w:style>
  <w:style w:styleId="3" w:type="paragraph">
    <w:name w:val="heading 3"/>
    <w:basedOn w:val="a"/>
    <w:next w:val="a"/>
    <w:link w:val="30"/>
    <w:uiPriority w:val="99"/>
    <w:qFormat/>
    <w:pPr>
      <w:keepNext/>
      <w:keepLines/>
      <w:spacing w:after="260" w:before="260" w:line="416" w:lineRule="auto"/>
      <w:outlineLvl w:val="2"/>
    </w:pPr>
    <w:rPr>
      <w:b/>
      <w:bCs/>
      <w:sz w:val="32"/>
      <w:szCs w:val="32"/>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0" w:type="paragraph">
    <w:name w:val="Normal Indent"/>
    <w:basedOn w:val="a"/>
    <w:uiPriority w:val="99"/>
    <w:pPr>
      <w:ind w:firstLine="420" w:firstLineChars="200"/>
    </w:pPr>
  </w:style>
  <w:style w:styleId="a4" w:type="paragraph">
    <w:name w:val="annotation subject"/>
    <w:basedOn w:val="a5"/>
    <w:next w:val="a5"/>
    <w:link w:val="a6"/>
    <w:uiPriority w:val="99"/>
    <w:semiHidden/>
    <w:qFormat/>
    <w:rPr>
      <w:b/>
      <w:bCs/>
    </w:rPr>
  </w:style>
  <w:style w:styleId="a5" w:type="paragraph">
    <w:name w:val="annotation text"/>
    <w:basedOn w:val="a"/>
    <w:link w:val="a7"/>
    <w:uiPriority w:val="99"/>
    <w:semiHidden/>
    <w:qFormat/>
    <w:pPr>
      <w:jc w:val="left"/>
    </w:pPr>
  </w:style>
  <w:style w:styleId="a8" w:type="paragraph">
    <w:name w:val="Document Map"/>
    <w:basedOn w:val="a"/>
    <w:link w:val="a9"/>
    <w:uiPriority w:val="99"/>
    <w:semiHidden/>
    <w:pPr>
      <w:shd w:color="auto" w:fill="000080" w:val="clear"/>
    </w:pPr>
  </w:style>
  <w:style w:styleId="aa" w:type="paragraph">
    <w:name w:val="Body Text"/>
    <w:basedOn w:val="a"/>
    <w:link w:val="ab"/>
    <w:uiPriority w:val="99"/>
    <w:qFormat/>
    <w:pPr>
      <w:spacing w:after="120"/>
    </w:pPr>
  </w:style>
  <w:style w:styleId="ac" w:type="paragraph">
    <w:name w:val="Body Text Indent"/>
    <w:basedOn w:val="a"/>
    <w:link w:val="ad"/>
    <w:uiPriority w:val="99"/>
    <w:pPr>
      <w:widowControl/>
      <w:spacing w:after="100" w:afterAutospacing="1" w:before="100" w:beforeAutospacing="1"/>
      <w:jc w:val="left"/>
    </w:pPr>
    <w:rPr>
      <w:rFonts w:ascii="Arial Unicode MS" w:cs="Arial Unicode MS" w:eastAsia="Arial Unicode MS" w:hAnsi="Arial Unicode MS"/>
      <w:kern w:val="0"/>
      <w:sz w:val="24"/>
      <w:szCs w:val="24"/>
    </w:rPr>
  </w:style>
  <w:style w:styleId="ae" w:type="paragraph">
    <w:name w:val="Plain Text"/>
    <w:basedOn w:val="a"/>
    <w:link w:val="af"/>
    <w:uiPriority w:val="99"/>
    <w:rPr>
      <w:rFonts w:ascii="宋体" w:cs="宋体" w:hAnsi="Courier New"/>
    </w:rPr>
  </w:style>
  <w:style w:styleId="af0" w:type="paragraph">
    <w:name w:val="Date"/>
    <w:basedOn w:val="a"/>
    <w:next w:val="a"/>
    <w:link w:val="af1"/>
    <w:qFormat/>
    <w:rPr>
      <w:sz w:val="24"/>
      <w:szCs w:val="24"/>
    </w:rPr>
  </w:style>
  <w:style w:styleId="21" w:type="paragraph">
    <w:name w:val="Body Text Indent 2"/>
    <w:basedOn w:val="a"/>
    <w:link w:val="22"/>
    <w:uiPriority w:val="99"/>
    <w:qFormat/>
    <w:pPr>
      <w:spacing w:line="560" w:lineRule="exact"/>
      <w:ind w:firstLine="480" w:firstLineChars="200"/>
    </w:pPr>
    <w:rPr>
      <w:rFonts w:ascii="宋体" w:cs="宋体" w:hAnsi="宋体"/>
      <w:color w:val="FF0000"/>
      <w:sz w:val="24"/>
      <w:szCs w:val="24"/>
    </w:rPr>
  </w:style>
  <w:style w:styleId="af2" w:type="paragraph">
    <w:name w:val="Balloon Text"/>
    <w:basedOn w:val="a"/>
    <w:link w:val="af3"/>
    <w:uiPriority w:val="99"/>
    <w:semiHidden/>
    <w:qFormat/>
    <w:rPr>
      <w:sz w:val="18"/>
      <w:szCs w:val="18"/>
    </w:rPr>
  </w:style>
  <w:style w:styleId="af4" w:type="paragraph">
    <w:name w:val="footer"/>
    <w:basedOn w:val="a"/>
    <w:link w:val="af5"/>
    <w:uiPriority w:val="99"/>
    <w:qFormat/>
    <w:pPr>
      <w:tabs>
        <w:tab w:pos="4153" w:val="center"/>
        <w:tab w:pos="8306" w:val="right"/>
      </w:tabs>
      <w:snapToGrid w:val="0"/>
      <w:jc w:val="left"/>
    </w:pPr>
    <w:rPr>
      <w:sz w:val="18"/>
      <w:szCs w:val="18"/>
    </w:rPr>
  </w:style>
  <w:style w:styleId="af6" w:type="paragraph">
    <w:name w:val="header"/>
    <w:basedOn w:val="a"/>
    <w:link w:val="af7"/>
    <w:uiPriority w:val="99"/>
    <w:pPr>
      <w:pBdr>
        <w:bottom w:color="auto" w:space="1" w:sz="6" w:val="single"/>
      </w:pBdr>
      <w:tabs>
        <w:tab w:pos="4153" w:val="center"/>
        <w:tab w:pos="8306" w:val="right"/>
      </w:tabs>
      <w:snapToGrid w:val="0"/>
      <w:jc w:val="center"/>
    </w:pPr>
    <w:rPr>
      <w:sz w:val="18"/>
      <w:szCs w:val="18"/>
    </w:rPr>
  </w:style>
  <w:style w:styleId="af8" w:type="paragraph">
    <w:name w:val="List"/>
    <w:basedOn w:val="aa"/>
    <w:uiPriority w:val="99"/>
    <w:pPr>
      <w:spacing w:after="220" w:line="220" w:lineRule="atLeast"/>
      <w:ind w:hanging="360" w:left="1440"/>
    </w:pPr>
  </w:style>
  <w:style w:styleId="af9" w:type="paragraph">
    <w:name w:val="footnote text"/>
    <w:basedOn w:val="a"/>
    <w:link w:val="afa"/>
    <w:pPr>
      <w:snapToGrid w:val="0"/>
      <w:jc w:val="left"/>
    </w:pPr>
    <w:rPr>
      <w:sz w:val="18"/>
      <w:szCs w:val="18"/>
    </w:rPr>
  </w:style>
  <w:style w:styleId="31" w:type="paragraph">
    <w:name w:val="Body Text Indent 3"/>
    <w:basedOn w:val="a"/>
    <w:link w:val="32"/>
    <w:uiPriority w:val="99"/>
    <w:pPr>
      <w:spacing w:line="560" w:lineRule="exact"/>
      <w:ind w:firstLine="420" w:firstLineChars="200"/>
    </w:pPr>
    <w:rPr>
      <w:rFonts w:ascii="Arial" w:cs="Arial" w:hAnsi="Arial"/>
      <w:color w:val="FF0000"/>
    </w:rPr>
  </w:style>
  <w:style w:styleId="afb" w:type="paragraph">
    <w:name w:val="Normal (Web)"/>
    <w:basedOn w:val="a"/>
    <w:uiPriority w:val="99"/>
    <w:pPr>
      <w:widowControl/>
      <w:spacing w:after="100" w:afterAutospacing="1" w:before="100" w:beforeAutospacing="1"/>
      <w:jc w:val="left"/>
    </w:pPr>
    <w:rPr>
      <w:rFonts w:ascii="宋体" w:cs="宋体" w:hAnsi="宋体"/>
      <w:kern w:val="0"/>
      <w:sz w:val="24"/>
      <w:szCs w:val="24"/>
    </w:rPr>
  </w:style>
  <w:style w:styleId="11" w:type="paragraph">
    <w:name w:val="index 1"/>
    <w:basedOn w:val="a"/>
    <w:next w:val="a"/>
    <w:uiPriority w:val="99"/>
    <w:semiHidden/>
    <w:qFormat/>
    <w:pPr>
      <w:jc w:val="right"/>
    </w:pPr>
    <w:rPr>
      <w:color w:val="008000"/>
    </w:rPr>
  </w:style>
  <w:style w:styleId="afc" w:type="paragraph">
    <w:name w:val="Title"/>
    <w:basedOn w:val="a"/>
    <w:next w:val="a"/>
    <w:link w:val="afd"/>
    <w:uiPriority w:val="99"/>
    <w:qFormat/>
    <w:pPr>
      <w:spacing w:after="60" w:before="240"/>
      <w:jc w:val="center"/>
      <w:outlineLvl w:val="0"/>
    </w:pPr>
    <w:rPr>
      <w:rFonts w:ascii="Cambria" w:cs="Cambria" w:hAnsi="Cambria"/>
      <w:b/>
      <w:bCs/>
      <w:sz w:val="32"/>
      <w:szCs w:val="32"/>
    </w:rPr>
  </w:style>
  <w:style w:styleId="afe" w:type="character">
    <w:name w:val="Strong"/>
    <w:basedOn w:val="a1"/>
    <w:uiPriority w:val="22"/>
    <w:qFormat/>
    <w:rPr>
      <w:b/>
      <w:bCs/>
    </w:rPr>
  </w:style>
  <w:style w:styleId="aff" w:type="character">
    <w:name w:val="page number"/>
    <w:basedOn w:val="a1"/>
    <w:uiPriority w:val="99"/>
  </w:style>
  <w:style w:styleId="aff0" w:type="character">
    <w:name w:val="FollowedHyperlink"/>
    <w:basedOn w:val="a1"/>
    <w:uiPriority w:val="99"/>
    <w:qFormat/>
    <w:rPr>
      <w:color w:val="800080"/>
      <w:u w:val="single"/>
    </w:rPr>
  </w:style>
  <w:style w:styleId="aff1" w:type="character">
    <w:name w:val="Hyperlink"/>
    <w:basedOn w:val="a1"/>
    <w:uiPriority w:val="99"/>
    <w:rPr>
      <w:color w:val="0000FF"/>
      <w:u w:val="single"/>
    </w:rPr>
  </w:style>
  <w:style w:styleId="aff2" w:type="character">
    <w:name w:val="annotation reference"/>
    <w:basedOn w:val="a1"/>
    <w:uiPriority w:val="99"/>
    <w:semiHidden/>
    <w:qFormat/>
    <w:rPr>
      <w:sz w:val="21"/>
      <w:szCs w:val="21"/>
    </w:rPr>
  </w:style>
  <w:style w:styleId="aff3" w:type="character">
    <w:name w:val="footnote reference"/>
    <w:basedOn w:val="a1"/>
    <w:rPr>
      <w:vertAlign w:val="superscript"/>
    </w:rPr>
  </w:style>
  <w:style w:styleId="aff4" w:type="table">
    <w:name w:val="Table Grid"/>
    <w:basedOn w:val="a2"/>
    <w:uiPriority w:val="99"/>
    <w:pPr>
      <w:widowControl w:val="0"/>
      <w:jc w:val="both"/>
    </w:pPr>
    <w:rPr>
      <w:rFonts w:ascii="Times New Roman" w:cs="Times New Roman" w:eastAsia="宋体" w:hAnsi="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10" w:type="character">
    <w:name w:val="标题 1 字符"/>
    <w:basedOn w:val="a1"/>
    <w:link w:val="1"/>
    <w:uiPriority w:val="99"/>
    <w:rPr>
      <w:rFonts w:ascii="Times New Roman" w:cs="Times New Roman" w:eastAsia="宋体" w:hAnsi="Times New Roman"/>
      <w:b/>
      <w:bCs/>
      <w:kern w:val="44"/>
      <w:sz w:val="44"/>
      <w:szCs w:val="44"/>
    </w:rPr>
  </w:style>
  <w:style w:customStyle="1" w:styleId="20" w:type="character">
    <w:name w:val="标题 2 字符"/>
    <w:basedOn w:val="a1"/>
    <w:link w:val="2"/>
    <w:uiPriority w:val="99"/>
    <w:rPr>
      <w:rFonts w:ascii="Arial" w:cs="Arial" w:eastAsia="宋体" w:hAnsi="Arial"/>
      <w:b/>
      <w:bCs/>
      <w:sz w:val="24"/>
      <w:szCs w:val="24"/>
    </w:rPr>
  </w:style>
  <w:style w:customStyle="1" w:styleId="30" w:type="character">
    <w:name w:val="标题 3 字符"/>
    <w:basedOn w:val="a1"/>
    <w:link w:val="3"/>
    <w:uiPriority w:val="99"/>
    <w:rPr>
      <w:rFonts w:ascii="Times New Roman" w:cs="Times New Roman" w:eastAsia="宋体" w:hAnsi="Times New Roman"/>
      <w:b/>
      <w:bCs/>
      <w:sz w:val="32"/>
      <w:szCs w:val="32"/>
    </w:rPr>
  </w:style>
  <w:style w:customStyle="1" w:styleId="ad" w:type="character">
    <w:name w:val="正文文本缩进 字符"/>
    <w:basedOn w:val="a1"/>
    <w:link w:val="ac"/>
    <w:uiPriority w:val="99"/>
    <w:rPr>
      <w:rFonts w:ascii="Arial Unicode MS" w:cs="Arial Unicode MS" w:eastAsia="Arial Unicode MS" w:hAnsi="Arial Unicode MS"/>
      <w:kern w:val="0"/>
      <w:sz w:val="24"/>
      <w:szCs w:val="24"/>
    </w:rPr>
  </w:style>
  <w:style w:customStyle="1" w:styleId="af" w:type="character">
    <w:name w:val="纯文本 字符"/>
    <w:basedOn w:val="a1"/>
    <w:link w:val="ae"/>
    <w:uiPriority w:val="99"/>
    <w:rPr>
      <w:rFonts w:ascii="宋体" w:cs="宋体" w:eastAsia="宋体" w:hAnsi="Courier New"/>
      <w:szCs w:val="21"/>
    </w:rPr>
  </w:style>
  <w:style w:customStyle="1" w:styleId="22" w:type="character">
    <w:name w:val="正文文本缩进 2 字符"/>
    <w:basedOn w:val="a1"/>
    <w:link w:val="21"/>
    <w:uiPriority w:val="99"/>
    <w:rPr>
      <w:rFonts w:ascii="宋体" w:cs="宋体" w:eastAsia="宋体" w:hAnsi="宋体"/>
      <w:color w:val="FF0000"/>
      <w:sz w:val="24"/>
      <w:szCs w:val="24"/>
    </w:rPr>
  </w:style>
  <w:style w:customStyle="1" w:styleId="af5" w:type="character">
    <w:name w:val="页脚 字符"/>
    <w:basedOn w:val="a1"/>
    <w:link w:val="af4"/>
    <w:uiPriority w:val="99"/>
    <w:rPr>
      <w:rFonts w:ascii="Times New Roman" w:cs="Times New Roman" w:eastAsia="宋体" w:hAnsi="Times New Roman"/>
      <w:sz w:val="18"/>
      <w:szCs w:val="18"/>
    </w:rPr>
  </w:style>
  <w:style w:customStyle="1" w:styleId="32" w:type="character">
    <w:name w:val="正文文本缩进 3 字符"/>
    <w:basedOn w:val="a1"/>
    <w:link w:val="31"/>
    <w:uiPriority w:val="99"/>
    <w:rPr>
      <w:rFonts w:ascii="Arial" w:cs="Arial" w:eastAsia="宋体" w:hAnsi="Arial"/>
      <w:color w:val="FF0000"/>
      <w:szCs w:val="21"/>
    </w:rPr>
  </w:style>
  <w:style w:customStyle="1" w:styleId="af7" w:type="character">
    <w:name w:val="页眉 字符"/>
    <w:basedOn w:val="a1"/>
    <w:link w:val="af6"/>
    <w:uiPriority w:val="99"/>
    <w:rPr>
      <w:rFonts w:ascii="Times New Roman" w:cs="Times New Roman" w:eastAsia="宋体" w:hAnsi="Times New Roman"/>
      <w:sz w:val="18"/>
      <w:szCs w:val="18"/>
    </w:rPr>
  </w:style>
  <w:style w:customStyle="1" w:styleId="ab" w:type="character">
    <w:name w:val="正文文本 字符"/>
    <w:basedOn w:val="a1"/>
    <w:link w:val="aa"/>
    <w:uiPriority w:val="99"/>
    <w:qFormat/>
    <w:rPr>
      <w:rFonts w:ascii="Times New Roman" w:cs="Times New Roman" w:eastAsia="宋体" w:hAnsi="Times New Roman"/>
      <w:szCs w:val="21"/>
    </w:rPr>
  </w:style>
  <w:style w:customStyle="1" w:styleId="af1" w:type="character">
    <w:name w:val="日期 字符"/>
    <w:basedOn w:val="a1"/>
    <w:link w:val="af0"/>
    <w:qFormat/>
    <w:rPr>
      <w:rFonts w:ascii="Times New Roman" w:cs="Times New Roman" w:eastAsia="宋体" w:hAnsi="Times New Roman"/>
      <w:sz w:val="24"/>
      <w:szCs w:val="24"/>
    </w:rPr>
  </w:style>
  <w:style w:customStyle="1" w:styleId="c1" w:type="character">
    <w:name w:val="c1"/>
    <w:basedOn w:val="a1"/>
    <w:uiPriority w:val="99"/>
    <w:qFormat/>
    <w:rPr>
      <w:color w:val="000000"/>
      <w:sz w:val="18"/>
      <w:szCs w:val="18"/>
    </w:rPr>
  </w:style>
  <w:style w:customStyle="1" w:styleId="font5" w:type="paragraph">
    <w:name w:val="font5"/>
    <w:basedOn w:val="a"/>
    <w:uiPriority w:val="99"/>
    <w:qFormat/>
    <w:pPr>
      <w:widowControl/>
      <w:spacing w:after="100" w:afterAutospacing="1" w:before="100" w:beforeAutospacing="1"/>
      <w:jc w:val="left"/>
    </w:pPr>
    <w:rPr>
      <w:rFonts w:ascii="宋体" w:cs="宋体" w:hAnsi="宋体"/>
      <w:kern w:val="0"/>
      <w:sz w:val="18"/>
      <w:szCs w:val="18"/>
    </w:rPr>
  </w:style>
  <w:style w:customStyle="1" w:styleId="xl24" w:type="paragraph">
    <w:name w:val="xl24"/>
    <w:basedOn w:val="a"/>
    <w:uiPriority w:val="99"/>
    <w:qFormat/>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szCs w:val="24"/>
    </w:rPr>
  </w:style>
  <w:style w:customStyle="1" w:styleId="xl26" w:type="paragraph">
    <w:name w:val="xl26"/>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7" w:type="paragraph">
    <w:name w:val="xl27"/>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9" w:type="paragraph">
    <w:name w:val="xl29"/>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0" w:type="paragraph">
    <w:name w:val="xl30"/>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1" w:type="paragraph">
    <w:name w:val="xl31"/>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af3" w:type="character">
    <w:name w:val="批注框文本 字符"/>
    <w:basedOn w:val="a1"/>
    <w:link w:val="af2"/>
    <w:uiPriority w:val="99"/>
    <w:semiHidden/>
    <w:qFormat/>
    <w:rPr>
      <w:rFonts w:ascii="Times New Roman" w:cs="Times New Roman" w:eastAsia="宋体" w:hAnsi="Times New Roman"/>
      <w:sz w:val="18"/>
      <w:szCs w:val="18"/>
    </w:rPr>
  </w:style>
  <w:style w:customStyle="1" w:styleId="a7" w:type="character">
    <w:name w:val="批注文字 字符"/>
    <w:basedOn w:val="a1"/>
    <w:link w:val="a5"/>
    <w:uiPriority w:val="99"/>
    <w:semiHidden/>
    <w:qFormat/>
    <w:rPr>
      <w:rFonts w:ascii="Times New Roman" w:cs="Times New Roman" w:eastAsia="宋体" w:hAnsi="Times New Roman"/>
      <w:szCs w:val="21"/>
    </w:rPr>
  </w:style>
  <w:style w:customStyle="1" w:styleId="a6" w:type="character">
    <w:name w:val="批注主题 字符"/>
    <w:basedOn w:val="a7"/>
    <w:link w:val="a4"/>
    <w:uiPriority w:val="99"/>
    <w:semiHidden/>
    <w:qFormat/>
    <w:rPr>
      <w:rFonts w:ascii="Times New Roman" w:cs="Times New Roman" w:eastAsia="宋体" w:hAnsi="Times New Roman"/>
      <w:b/>
      <w:bCs/>
      <w:szCs w:val="21"/>
    </w:rPr>
  </w:style>
  <w:style w:customStyle="1" w:styleId="Char" w:type="paragraph">
    <w:name w:val="Char"/>
    <w:basedOn w:val="a"/>
    <w:uiPriority w:val="99"/>
    <w:qFormat/>
  </w:style>
  <w:style w:customStyle="1" w:styleId="a9" w:type="character">
    <w:name w:val="文档结构图 字符"/>
    <w:basedOn w:val="a1"/>
    <w:link w:val="a8"/>
    <w:uiPriority w:val="99"/>
    <w:semiHidden/>
    <w:rPr>
      <w:rFonts w:ascii="Times New Roman" w:cs="Times New Roman" w:eastAsia="宋体" w:hAnsi="Times New Roman"/>
      <w:szCs w:val="21"/>
      <w:shd w:color="auto" w:fill="000080" w:val="clear"/>
    </w:rPr>
  </w:style>
  <w:style w:customStyle="1" w:styleId="aff5" w:type="paragraph">
    <w:name w:val="正文 + (符号) 宋体"/>
    <w:basedOn w:val="a"/>
    <w:uiPriority w:val="99"/>
    <w:pPr>
      <w:autoSpaceDE w:val="0"/>
      <w:autoSpaceDN w:val="0"/>
      <w:adjustRightInd w:val="0"/>
      <w:ind w:firstLine="1229" w:firstLineChars="512" w:right="1409" w:rightChars="671"/>
      <w:jc w:val="distribute"/>
    </w:pPr>
    <w:rPr>
      <w:sz w:val="24"/>
      <w:szCs w:val="24"/>
    </w:rPr>
  </w:style>
  <w:style w:customStyle="1" w:styleId="afa" w:type="character">
    <w:name w:val="脚注文本 字符"/>
    <w:basedOn w:val="a1"/>
    <w:link w:val="af9"/>
    <w:rPr>
      <w:rFonts w:ascii="Times New Roman" w:cs="Times New Roman" w:eastAsia="宋体" w:hAnsi="Times New Roman"/>
      <w:sz w:val="18"/>
      <w:szCs w:val="18"/>
    </w:rPr>
  </w:style>
  <w:style w:customStyle="1" w:styleId="Char1" w:type="paragraph">
    <w:name w:val="Char1"/>
    <w:basedOn w:val="a"/>
    <w:uiPriority w:val="99"/>
  </w:style>
  <w:style w:customStyle="1" w:styleId="CharCharCharCharCharChar1CharCharChar" w:type="paragraph">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customStyle="1" w:styleId="CharCharCharCharCharChar1CharCharChar2" w:type="paragraph">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customStyle="1" w:styleId="afd" w:type="character">
    <w:name w:val="标题 字符"/>
    <w:basedOn w:val="a1"/>
    <w:link w:val="afc"/>
    <w:uiPriority w:val="99"/>
    <w:rPr>
      <w:rFonts w:ascii="Cambria" w:cs="Cambria" w:eastAsia="宋体" w:hAnsi="Cambria"/>
      <w:b/>
      <w:bCs/>
      <w:sz w:val="32"/>
      <w:szCs w:val="32"/>
    </w:rPr>
  </w:style>
  <w:style w:customStyle="1" w:styleId="CharCharCharCharCharChar1CharCharChar1" w:type="paragraph">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customStyle="1" w:styleId="12" w:type="paragraph">
    <w:name w:val="无间隔1"/>
    <w:link w:val="Char0"/>
    <w:uiPriority w:val="1"/>
    <w:qFormat/>
    <w:rPr>
      <w:rFonts w:ascii="Calibri" w:cs="Calibri" w:eastAsia="宋体" w:hAnsi="Calibri"/>
      <w:sz w:val="22"/>
      <w:szCs w:val="22"/>
    </w:rPr>
  </w:style>
  <w:style w:customStyle="1" w:styleId="Char0" w:type="character">
    <w:name w:val="无间隔 Char"/>
    <w:basedOn w:val="a1"/>
    <w:link w:val="12"/>
    <w:uiPriority w:val="1"/>
    <w:locked/>
    <w:rPr>
      <w:rFonts w:ascii="Calibri" w:cs="Calibri" w:eastAsia="宋体" w:hAnsi="Calibri"/>
      <w:kern w:val="0"/>
      <w:sz w:val="22"/>
    </w:rPr>
  </w:style>
  <w:style w:customStyle="1" w:styleId="t1" w:type="character">
    <w:name w:val="t1"/>
    <w:basedOn w:val="a1"/>
    <w:uiPriority w:val="99"/>
    <w:rPr>
      <w:color w:val="auto"/>
    </w:rPr>
  </w:style>
  <w:style w:customStyle="1" w:styleId="13" w:type="paragraph">
    <w:name w:val="列表段落1"/>
    <w:basedOn w:val="a"/>
    <w:uiPriority w:val="34"/>
    <w:qFormat/>
    <w:pPr>
      <w:ind w:firstLine="420" w:firstLineChars="200"/>
    </w:pPr>
  </w:style>
  <w:style w:customStyle="1" w:styleId="Default" w:type="paragraph">
    <w:name w:val="Default"/>
    <w:pPr>
      <w:widowControl w:val="0"/>
      <w:autoSpaceDE w:val="0"/>
      <w:autoSpaceDN w:val="0"/>
      <w:adjustRightInd w:val="0"/>
    </w:pPr>
    <w:rPr>
      <w:rFonts w:ascii="仿宋" w:cs="仿宋" w:eastAsia="宋体" w:hAnsi="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media/image1.jpeg" Type="http://schemas.openxmlformats.org/officeDocument/2006/relationships/image"/>
<Relationship Id="rId11" Target="footer2.xml" Type="http://schemas.openxmlformats.org/officeDocument/2006/relationships/footer"/>
<Relationship Id="rId12" Target="fontTable.xml" Type="http://schemas.openxmlformats.org/officeDocument/2006/relationships/fontTable"/>
<Relationship Id="rId13" Target="theme/theme1.xml" Type="http://schemas.openxmlformats.org/officeDocument/2006/relationships/theme"/>
<Relationship Id="rId2" Target="../customXml/item2.xml" Type="http://schemas.openxmlformats.org/officeDocument/2006/relationships/customXml"/>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no"?>
<Relationships xmlns="http://schemas.openxmlformats.org/package/2006/relationships">
<Relationship Id="rId1" Target="itemProps2.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D9206E-1E05-4DAA-8257-D968F1831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4055</Words>
  <Characters>23117</Characters>
  <Application>Microsoft Office Word</Application>
  <DocSecurity>0</DocSecurity>
  <Lines>192</Lines>
  <Paragraphs>54</Paragraphs>
  <ScaleCrop>false</ScaleCrop>
  <Company/>
  <LinksUpToDate>false</LinksUpToDate>
  <CharactersWithSpaces>27118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2012-10-16T06:07:00Z</dcterms:created>
  <dc:creator>Administrator</dc:creator>
  <cp:lastModifiedBy>ZHANG ERIC</cp:lastModifiedBy>
  <dcterms:modified xsi:type="dcterms:W3CDTF">2020-09-30T11:10:00Z</dcterms:modified>
  <cp:revision>266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name="KSOProductBuildVer" pid="2">
    <vt:lpwstr>2052-10.1.0.6235</vt:lpwstr>
  </property>
</Properties>
</file>