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上投摩根科技前沿灵活配置混合型证券投资基金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上投摩根科技前沿混合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001538</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001538</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2015年7月9日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2,033,662,471.91</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采用定量及定性研究方法，自下而上优选科技前沿主题上市公司，通过严格的风险控制，力争实现基金资产的长期增值。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在行业配置层面，本基金将从行业生命周期、行业景气度、行业竞争格局等多角度，综合评估各个行业的投资价值，对基金资产在行业间分配进行安排。</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在个股选择层面，本基金将主要采用“自下而上”的方法，在备选行业内部通过定量与定性相结合的分析方法，综合分析上市公司的业绩质量、成长性和估值水平等，精选具有良好成长性、估值合理的个股。</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中证800指数收益率*60%+中债总指数收益率*40%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145,215,809.49</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414,953,035.04</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0.2379</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5,081,360,810.28</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2.4986</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15.73%</w:t>
            </w:r>
          </w:p>
        </w:tc>
        <w:tc>
          <w:tcPr>
            <w:vAlign w:val="center"/>
          </w:tcPr>
          <w:p>
            <w:pPr>
              <w:jc w:val="center"/>
            </w:pPr>
            <w:r>
              <w:rPr>
                <w:rFonts w:asciiTheme="minorEastAsia" w:eastAsiaTheme="minorEastAsia" w:hAnsiTheme="minorEastAsia"/>
                <w:color w:themeColor="text1" w:val="000000"/>
                <w:kern w:val="0"/>
              </w:rPr>
              <w:t>1.76%</w:t>
            </w:r>
          </w:p>
        </w:tc>
        <w:tc>
          <w:tcPr>
            <w:vAlign w:val="center"/>
          </w:tcPr>
          <w:p>
            <w:pPr>
              <w:jc w:val="center"/>
            </w:pPr>
            <w:r>
              <w:rPr>
                <w:rFonts w:asciiTheme="minorEastAsia" w:eastAsiaTheme="minorEastAsia" w:hAnsiTheme="minorEastAsia"/>
                <w:color w:themeColor="text1" w:val="000000"/>
                <w:kern w:val="0"/>
              </w:rPr>
              <w:t>4.62%</w:t>
            </w:r>
          </w:p>
        </w:tc>
        <w:tc>
          <w:tcPr>
            <w:vAlign w:val="center"/>
          </w:tcPr>
          <w:p>
            <w:pPr>
              <w:jc w:val="center"/>
            </w:pPr>
            <w:r>
              <w:rPr>
                <w:rFonts w:asciiTheme="minorEastAsia" w:eastAsiaTheme="minorEastAsia" w:hAnsiTheme="minorEastAsia"/>
                <w:color w:themeColor="text1" w:val="000000"/>
                <w:kern w:val="0"/>
              </w:rPr>
              <w:t>0.94%</w:t>
            </w:r>
          </w:p>
        </w:tc>
        <w:tc>
          <w:tcPr>
            <w:vAlign w:val="center"/>
          </w:tcPr>
          <w:p>
            <w:pPr>
              <w:jc w:val="center"/>
            </w:pPr>
            <w:r>
              <w:rPr>
                <w:rFonts w:asciiTheme="minorEastAsia" w:eastAsiaTheme="minorEastAsia" w:hAnsiTheme="minorEastAsia"/>
                <w:color w:themeColor="text1" w:val="000000"/>
                <w:kern w:val="0"/>
              </w:rPr>
              <w:t>11.11%</w:t>
            </w:r>
          </w:p>
        </w:tc>
        <w:tc>
          <w:tcPr>
            <w:vAlign w:val="center"/>
          </w:tcPr>
          <w:p>
            <w:pPr>
              <w:jc w:val="center"/>
            </w:pPr>
            <w:r>
              <w:rPr>
                <w:rFonts w:asciiTheme="minorEastAsia" w:eastAsiaTheme="minorEastAsia" w:hAnsiTheme="minorEastAsia"/>
                <w:color w:themeColor="text1" w:val="000000"/>
                <w:kern w:val="0"/>
              </w:rPr>
              <w:t>0.82%</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60.79%</w:t>
            </w:r>
          </w:p>
        </w:tc>
        <w:tc>
          <w:tcPr>
            <w:vAlign w:val="center"/>
          </w:tcPr>
          <w:p>
            <w:pPr>
              <w:jc w:val="center"/>
            </w:pPr>
            <w:r>
              <w:rPr>
                <w:rFonts w:asciiTheme="minorEastAsia" w:eastAsiaTheme="minorEastAsia" w:hAnsiTheme="minorEastAsia"/>
                <w:color w:themeColor="text1" w:val="000000"/>
                <w:kern w:val="0"/>
              </w:rPr>
              <w:t>1.52%</w:t>
            </w:r>
          </w:p>
        </w:tc>
        <w:tc>
          <w:tcPr>
            <w:vAlign w:val="center"/>
          </w:tcPr>
          <w:p>
            <w:pPr>
              <w:jc w:val="center"/>
            </w:pPr>
            <w:r>
              <w:rPr>
                <w:rFonts w:asciiTheme="minorEastAsia" w:eastAsiaTheme="minorEastAsia" w:hAnsiTheme="minorEastAsia"/>
                <w:color w:themeColor="text1" w:val="000000"/>
                <w:kern w:val="0"/>
              </w:rPr>
              <w:t>12.97%</w:t>
            </w:r>
          </w:p>
        </w:tc>
        <w:tc>
          <w:tcPr>
            <w:vAlign w:val="center"/>
          </w:tcPr>
          <w:p>
            <w:pPr>
              <w:jc w:val="center"/>
            </w:pPr>
            <w:r>
              <w:rPr>
                <w:rFonts w:asciiTheme="minorEastAsia" w:eastAsiaTheme="minorEastAsia" w:hAnsiTheme="minorEastAsia"/>
                <w:color w:themeColor="text1" w:val="000000"/>
                <w:kern w:val="0"/>
              </w:rPr>
              <w:t>0.78%</w:t>
            </w:r>
          </w:p>
        </w:tc>
        <w:tc>
          <w:tcPr>
            <w:vAlign w:val="center"/>
          </w:tcPr>
          <w:p>
            <w:pPr>
              <w:jc w:val="center"/>
            </w:pPr>
            <w:r>
              <w:rPr>
                <w:rFonts w:asciiTheme="minorEastAsia" w:eastAsiaTheme="minorEastAsia" w:hAnsiTheme="minorEastAsia"/>
                <w:color w:themeColor="text1" w:val="000000"/>
                <w:kern w:val="0"/>
              </w:rPr>
              <w:t>47.82%</w:t>
            </w:r>
          </w:p>
        </w:tc>
        <w:tc>
          <w:tcPr>
            <w:vAlign w:val="center"/>
          </w:tcPr>
          <w:p>
            <w:pPr>
              <w:jc w:val="center"/>
            </w:pPr>
            <w:r>
              <w:rPr>
                <w:rFonts w:asciiTheme="minorEastAsia" w:eastAsiaTheme="minorEastAsia" w:hAnsiTheme="minorEastAsia"/>
                <w:color w:themeColor="text1" w:val="000000"/>
                <w:kern w:val="0"/>
              </w:rPr>
              <w:t>0.74%</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91.17%</w:t>
            </w:r>
          </w:p>
        </w:tc>
        <w:tc>
          <w:tcPr>
            <w:vAlign w:val="center"/>
          </w:tcPr>
          <w:p>
            <w:pPr>
              <w:jc w:val="center"/>
            </w:pPr>
            <w:r>
              <w:rPr>
                <w:rFonts w:asciiTheme="minorEastAsia" w:eastAsiaTheme="minorEastAsia" w:hAnsiTheme="minorEastAsia"/>
                <w:color w:themeColor="text1" w:val="000000"/>
                <w:kern w:val="0"/>
              </w:rPr>
              <w:t>1.51%</w:t>
            </w:r>
          </w:p>
        </w:tc>
        <w:tc>
          <w:tcPr>
            <w:vAlign w:val="center"/>
          </w:tcPr>
          <w:p>
            <w:pPr>
              <w:jc w:val="center"/>
            </w:pPr>
            <w:r>
              <w:rPr>
                <w:rFonts w:asciiTheme="minorEastAsia" w:eastAsiaTheme="minorEastAsia" w:hAnsiTheme="minorEastAsia"/>
                <w:color w:themeColor="text1" w:val="000000"/>
                <w:kern w:val="0"/>
              </w:rPr>
              <w:t>12.77%</w:t>
            </w:r>
          </w:p>
        </w:tc>
        <w:tc>
          <w:tcPr>
            <w:vAlign w:val="center"/>
          </w:tcPr>
          <w:p>
            <w:pPr>
              <w:jc w:val="center"/>
            </w:pPr>
            <w:r>
              <w:rPr>
                <w:rFonts w:asciiTheme="minorEastAsia" w:eastAsiaTheme="minorEastAsia" w:hAnsiTheme="minorEastAsia"/>
                <w:color w:themeColor="text1" w:val="000000"/>
                <w:kern w:val="0"/>
              </w:rPr>
              <w:t>0.83%</w:t>
            </w:r>
          </w:p>
        </w:tc>
        <w:tc>
          <w:tcPr>
            <w:vAlign w:val="center"/>
          </w:tcPr>
          <w:p>
            <w:pPr>
              <w:jc w:val="center"/>
            </w:pPr>
            <w:r>
              <w:rPr>
                <w:rFonts w:asciiTheme="minorEastAsia" w:eastAsiaTheme="minorEastAsia" w:hAnsiTheme="minorEastAsia"/>
                <w:color w:themeColor="text1" w:val="000000"/>
                <w:kern w:val="0"/>
              </w:rPr>
              <w:t>78.40%</w:t>
            </w:r>
          </w:p>
        </w:tc>
        <w:tc>
          <w:tcPr>
            <w:vAlign w:val="center"/>
          </w:tcPr>
          <w:p>
            <w:pPr>
              <w:jc w:val="center"/>
            </w:pPr>
            <w:r>
              <w:rPr>
                <w:rFonts w:asciiTheme="minorEastAsia" w:eastAsiaTheme="minorEastAsia" w:hAnsiTheme="minorEastAsia"/>
                <w:color w:themeColor="text1" w:val="000000"/>
                <w:kern w:val="0"/>
              </w:rPr>
              <w:t>0.68%</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133.51%</w:t>
            </w:r>
          </w:p>
        </w:tc>
        <w:tc>
          <w:tcPr>
            <w:vAlign w:val="center"/>
          </w:tcPr>
          <w:p>
            <w:pPr>
              <w:jc w:val="center"/>
            </w:pPr>
            <w:r>
              <w:rPr>
                <w:rFonts w:asciiTheme="minorEastAsia" w:eastAsiaTheme="minorEastAsia" w:hAnsiTheme="minorEastAsia"/>
                <w:color w:themeColor="text1" w:val="000000"/>
                <w:kern w:val="0"/>
              </w:rPr>
              <w:t>1.39%</w:t>
            </w:r>
          </w:p>
        </w:tc>
        <w:tc>
          <w:tcPr>
            <w:vAlign w:val="center"/>
          </w:tcPr>
          <w:p>
            <w:pPr>
              <w:jc w:val="center"/>
            </w:pPr>
            <w:r>
              <w:rPr>
                <w:rFonts w:asciiTheme="minorEastAsia" w:eastAsiaTheme="minorEastAsia" w:hAnsiTheme="minorEastAsia"/>
                <w:color w:themeColor="text1" w:val="000000"/>
                <w:kern w:val="0"/>
              </w:rPr>
              <w:t>9.24%</w:t>
            </w:r>
          </w:p>
        </w:tc>
        <w:tc>
          <w:tcPr>
            <w:vAlign w:val="center"/>
          </w:tcPr>
          <w:p>
            <w:pPr>
              <w:jc w:val="center"/>
            </w:pPr>
            <w:r>
              <w:rPr>
                <w:rFonts w:asciiTheme="minorEastAsia" w:eastAsiaTheme="minorEastAsia" w:hAnsiTheme="minorEastAsia"/>
                <w:color w:themeColor="text1" w:val="000000"/>
                <w:kern w:val="0"/>
              </w:rPr>
              <w:t>0.79%</w:t>
            </w:r>
          </w:p>
        </w:tc>
        <w:tc>
          <w:tcPr>
            <w:vAlign w:val="center"/>
          </w:tcPr>
          <w:p>
            <w:pPr>
              <w:jc w:val="center"/>
            </w:pPr>
            <w:r>
              <w:rPr>
                <w:rFonts w:asciiTheme="minorEastAsia" w:eastAsiaTheme="minorEastAsia" w:hAnsiTheme="minorEastAsia"/>
                <w:color w:themeColor="text1" w:val="000000"/>
                <w:kern w:val="0"/>
              </w:rPr>
              <w:t>124.27%</w:t>
            </w:r>
          </w:p>
        </w:tc>
        <w:tc>
          <w:tcPr>
            <w:vAlign w:val="center"/>
          </w:tcPr>
          <w:p>
            <w:pPr>
              <w:jc w:val="center"/>
            </w:pPr>
            <w:r>
              <w:rPr>
                <w:rFonts w:asciiTheme="minorEastAsia" w:eastAsiaTheme="minorEastAsia" w:hAnsiTheme="minorEastAsia"/>
                <w:color w:themeColor="text1" w:val="000000"/>
                <w:kern w:val="0"/>
              </w:rPr>
              <w:t>0.60%</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144.72%</w:t>
            </w:r>
          </w:p>
        </w:tc>
        <w:tc>
          <w:tcPr>
            <w:vAlign w:val="center"/>
          </w:tcPr>
          <w:p>
            <w:pPr>
              <w:jc w:val="center"/>
            </w:pPr>
            <w:r>
              <w:rPr>
                <w:rFonts w:asciiTheme="minorEastAsia" w:eastAsiaTheme="minorEastAsia" w:hAnsiTheme="minorEastAsia"/>
                <w:color w:themeColor="text1" w:val="000000"/>
                <w:kern w:val="0"/>
              </w:rPr>
              <w:t>1.45%</w:t>
            </w:r>
          </w:p>
        </w:tc>
        <w:tc>
          <w:tcPr>
            <w:vAlign w:val="center"/>
          </w:tcPr>
          <w:p>
            <w:pPr>
              <w:jc w:val="center"/>
            </w:pPr>
            <w:r>
              <w:rPr>
                <w:rFonts w:asciiTheme="minorEastAsia" w:eastAsiaTheme="minorEastAsia" w:hAnsiTheme="minorEastAsia"/>
                <w:color w:themeColor="text1" w:val="000000"/>
                <w:kern w:val="0"/>
              </w:rPr>
              <w:t>19.14%</w:t>
            </w:r>
          </w:p>
        </w:tc>
        <w:tc>
          <w:tcPr>
            <w:vAlign w:val="center"/>
          </w:tcPr>
          <w:p>
            <w:pPr>
              <w:jc w:val="center"/>
            </w:pPr>
            <w:r>
              <w:rPr>
                <w:rFonts w:asciiTheme="minorEastAsia" w:eastAsiaTheme="minorEastAsia" w:hAnsiTheme="minorEastAsia"/>
                <w:color w:themeColor="text1" w:val="000000"/>
                <w:kern w:val="0"/>
              </w:rPr>
              <w:t>0.79%</w:t>
            </w:r>
          </w:p>
        </w:tc>
        <w:tc>
          <w:tcPr>
            <w:vAlign w:val="center"/>
          </w:tcPr>
          <w:p>
            <w:pPr>
              <w:jc w:val="center"/>
            </w:pPr>
            <w:r>
              <w:rPr>
                <w:rFonts w:asciiTheme="minorEastAsia" w:eastAsiaTheme="minorEastAsia" w:hAnsiTheme="minorEastAsia"/>
                <w:color w:themeColor="text1" w:val="000000"/>
                <w:kern w:val="0"/>
              </w:rPr>
              <w:t>125.58%</w:t>
            </w:r>
          </w:p>
        </w:tc>
        <w:tc>
          <w:tcPr>
            <w:vAlign w:val="center"/>
          </w:tcPr>
          <w:p>
            <w:pPr>
              <w:jc w:val="center"/>
            </w:pPr>
            <w:r>
              <w:rPr>
                <w:rFonts w:asciiTheme="minorEastAsia" w:eastAsiaTheme="minorEastAsia" w:hAnsiTheme="minorEastAsia"/>
                <w:color w:themeColor="text1" w:val="000000"/>
                <w:kern w:val="0"/>
              </w:rPr>
              <w:t>0.66%</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149.86%</w:t>
            </w:r>
          </w:p>
        </w:tc>
        <w:tc>
          <w:tcPr>
            <w:vAlign w:val="center"/>
          </w:tcPr>
          <w:p>
            <w:pPr>
              <w:jc w:val="center"/>
            </w:pPr>
            <w:r>
              <w:rPr>
                <w:rFonts w:asciiTheme="minorEastAsia" w:eastAsiaTheme="minorEastAsia" w:hAnsiTheme="minorEastAsia"/>
                <w:color w:themeColor="text1" w:val="000000"/>
                <w:kern w:val="0"/>
              </w:rPr>
              <w:t>1.43%</w:t>
            </w:r>
          </w:p>
        </w:tc>
        <w:tc>
          <w:tcPr>
            <w:vAlign w:val="center"/>
          </w:tcPr>
          <w:p>
            <w:pPr>
              <w:jc w:val="center"/>
            </w:pPr>
            <w:r>
              <w:rPr>
                <w:rFonts w:asciiTheme="minorEastAsia" w:eastAsiaTheme="minorEastAsia" w:hAnsiTheme="minorEastAsia"/>
                <w:color w:themeColor="text1" w:val="000000"/>
                <w:kern w:val="0"/>
              </w:rPr>
              <w:t>10.75%</w:t>
            </w:r>
          </w:p>
        </w:tc>
        <w:tc>
          <w:tcPr>
            <w:vAlign w:val="center"/>
          </w:tcPr>
          <w:p>
            <w:pPr>
              <w:jc w:val="center"/>
            </w:pPr>
            <w:r>
              <w:rPr>
                <w:rFonts w:asciiTheme="minorEastAsia" w:eastAsiaTheme="minorEastAsia" w:hAnsiTheme="minorEastAsia"/>
                <w:color w:themeColor="text1" w:val="000000"/>
                <w:kern w:val="0"/>
              </w:rPr>
              <w:t>0.88%</w:t>
            </w:r>
          </w:p>
        </w:tc>
        <w:tc>
          <w:tcPr>
            <w:vAlign w:val="center"/>
          </w:tcPr>
          <w:p>
            <w:pPr>
              <w:jc w:val="center"/>
            </w:pPr>
            <w:r>
              <w:rPr>
                <w:rFonts w:asciiTheme="minorEastAsia" w:eastAsiaTheme="minorEastAsia" w:hAnsiTheme="minorEastAsia"/>
                <w:color w:themeColor="text1" w:val="000000"/>
                <w:kern w:val="0"/>
              </w:rPr>
              <w:t>139.11%</w:t>
            </w:r>
          </w:p>
        </w:tc>
        <w:tc>
          <w:tcPr>
            <w:vAlign w:val="center"/>
          </w:tcPr>
          <w:p>
            <w:pPr>
              <w:jc w:val="center"/>
            </w:pPr>
            <w:r>
              <w:rPr>
                <w:rFonts w:asciiTheme="minorEastAsia" w:eastAsiaTheme="minorEastAsia" w:hAnsiTheme="minorEastAsia"/>
                <w:color w:themeColor="text1" w:val="000000"/>
                <w:kern w:val="0"/>
              </w:rPr>
              <w:t>0.55%</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上投摩根科技前沿灵活配置混合型证券投资基金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2015年7月9日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注：本基金合同生效日为2015年7月9日，图示时间段为2015年7月9日至2020年9月30日。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本基金建仓期自2015年7月9日至2016年1月8日，建仓期结束时资产配置比例符合本基金基金合同规定。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李德辉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2016-11-18</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8年</w:t>
            </w:r>
          </w:p>
        </w:tc>
        <w:tc>
          <w:tcPr>
            <w:vAlign w:val="center"/>
          </w:tcPr>
          <w:p>
            <w:pPr>
              <w:jc w:val="both"/>
            </w:pPr>
            <w:r>
              <w:rPr>
                <w:rFonts w:asciiTheme="minorEastAsia" w:eastAsiaTheme="minorEastAsia" w:hAnsiTheme="minorEastAsia"/>
                <w:color w:themeColor="text1" w:val="000000"/>
              </w:rPr>
              <w:t>李德辉先生，上海交通大学生物医学工程博士，自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科技前沿灵活配置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三季度权益市场先强势上行而后横盘震荡，疫情后国内经济较快复苏，流动性适度收敛，市场整体风险较低。结构上受益于经济复苏的顺周期资产总体表现稍强，高估值的成长类核心资产震荡为主，本基金维持成长方向资产的配置，行业上超配了电子、电动车、光伏、医药、消费等长期有增长前景的行业，取得了不错的效果，收益相对较好。</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展望2020年第四季度，我们认为国内经济延续微弱复苏态势，流动性仍适度宽松，权益市场整体谨慎乐观。</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从中长期角度看，我们认为宏观总需求大概率将逐步放缓，微观层面会出现竞争替代的关系，从投资角度看，我们希望选择在未来竞争中处于有利位置的一些行业或者公司。具体来看，我们看好科技、新能源汽车、光伏、医药等中长期需求扩张、内部有竞争替代的行业，同时看好需求稳定增长的消费类行业。科技行业方面，我们认为线上经济正在加速替代线下经济，线上化、数字化、云化有助于提升全产业链效率，进而有更大的生命力。有极强网络效应的互联网巨头、较强技术实力的云计算公司是稀缺的核心资产。硬件终端看好5g的换机周期，软件需求看好5g后应用。新能源汽车行业方面，伴随智能驾驶已是未来，经济性的定价、智能化的产品 均使得消费者开始慢慢接受新能源车，行业渗透率有望快速提升，智能化和电动化两个环节重点受益。光伏行业方面，长期替代传统发电的需求，使得光伏行业有持续的增长潜力，国内龙头公司也具备全球竞争力。医药行业方面，人口老龄化导致医疗总需求持续增加，但是支付能力难以赶上需求增长，全产业链降价将会是必然的趋势，有创新能力的公司将是竞争中受益者。消费行业方面，伴随经济的企稳和居民财富效应，高端消费品和高性价比产品都有较强需求韧性。</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个股选择上，我们优选具有持续成长性、竞争力较强的平台型公司，希望通过优秀公司的领先优势降低行业需求的波动性风险，力争获取长期稳定超额收益。</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本报告期科技前沿份额净值增长率为:15.73%，同期业绩比较基准收益率为:4.62%。</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3,817,212,256.93</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65.11</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3,817,212,256.93</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65.11</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760,600,000.00</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12.97</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1,235,628,256.38</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21.08</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49,064,396.07</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0.84</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5,862,504,909.38</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3,031,744,028.80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59.66</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13,029.12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11,470.24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102,999,439.20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2.03</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174,188,756.79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3.43</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243,466,085.80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4.79</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176,202,167.40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3.47</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15,348.36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61,742,037.96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1.22</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26,829,893.26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0.53</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3,817,212,256.93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75.12</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5,019,842.00</w:t>
            </w:r>
          </w:p>
        </w:tc>
        <w:tc>
          <w:tcPr>
            <w:vAlign w:val="center"/>
          </w:tcPr>
          <w:p>
            <w:pPr>
              <w:jc w:val="right"/>
            </w:pPr>
            <w:r>
              <w:rPr>
                <w:rFonts w:asciiTheme="minorEastAsia" w:cs="宋体" w:eastAsiaTheme="minorEastAsia" w:hAnsiTheme="minorEastAsia"/>
                <w:color w:themeColor="text1" w:val="000000"/>
                <w:kern w:val="0"/>
              </w:rPr>
              <w:t>376,538,348.42</w:t>
            </w:r>
          </w:p>
        </w:tc>
        <w:tc>
          <w:tcPr>
            <w:vAlign w:val="center"/>
          </w:tcPr>
          <w:p>
            <w:pPr>
              <w:jc w:val="right"/>
            </w:pPr>
            <w:r>
              <w:rPr>
                <w:rFonts w:asciiTheme="minorEastAsia" w:cs="宋体" w:eastAsiaTheme="minorEastAsia" w:hAnsiTheme="minorEastAsia"/>
                <w:color w:themeColor="text1" w:val="000000"/>
                <w:kern w:val="0"/>
              </w:rPr>
              <w:t>7.41</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5,301,080.00</w:t>
            </w:r>
          </w:p>
        </w:tc>
        <w:tc>
          <w:tcPr>
            <w:vAlign w:val="center"/>
          </w:tcPr>
          <w:p>
            <w:pPr>
              <w:jc w:val="right"/>
            </w:pPr>
            <w:r>
              <w:rPr>
                <w:rFonts w:asciiTheme="minorEastAsia" w:cs="宋体" w:eastAsiaTheme="minorEastAsia" w:hAnsiTheme="minorEastAsia"/>
                <w:color w:themeColor="text1" w:val="000000"/>
                <w:kern w:val="0"/>
              </w:rPr>
              <w:t>302,850,700.40</w:t>
            </w:r>
          </w:p>
        </w:tc>
        <w:tc>
          <w:tcPr>
            <w:vAlign w:val="center"/>
          </w:tcPr>
          <w:p>
            <w:pPr>
              <w:jc w:val="right"/>
            </w:pPr>
            <w:r>
              <w:rPr>
                <w:rFonts w:asciiTheme="minorEastAsia" w:cs="宋体" w:eastAsiaTheme="minorEastAsia" w:hAnsiTheme="minorEastAsia"/>
                <w:color w:themeColor="text1" w:val="000000"/>
                <w:kern w:val="0"/>
              </w:rPr>
              <w:t>5.96</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1,419,328.00</w:t>
            </w:r>
          </w:p>
        </w:tc>
        <w:tc>
          <w:tcPr>
            <w:vAlign w:val="center"/>
          </w:tcPr>
          <w:p>
            <w:pPr>
              <w:jc w:val="right"/>
            </w:pPr>
            <w:r>
              <w:rPr>
                <w:rFonts w:asciiTheme="minorEastAsia" w:cs="宋体" w:eastAsiaTheme="minorEastAsia" w:hAnsiTheme="minorEastAsia"/>
                <w:color w:themeColor="text1" w:val="000000"/>
                <w:kern w:val="0"/>
              </w:rPr>
              <w:t>296,923,417.60</w:t>
            </w:r>
          </w:p>
        </w:tc>
        <w:tc>
          <w:tcPr>
            <w:vAlign w:val="center"/>
          </w:tcPr>
          <w:p>
            <w:pPr>
              <w:jc w:val="right"/>
            </w:pPr>
            <w:r>
              <w:rPr>
                <w:rFonts w:asciiTheme="minorEastAsia" w:cs="宋体" w:eastAsiaTheme="minorEastAsia" w:hAnsiTheme="minorEastAsia"/>
                <w:color w:themeColor="text1" w:val="000000"/>
                <w:kern w:val="0"/>
              </w:rPr>
              <w:t>5.84</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5,374,148.00</w:t>
            </w:r>
          </w:p>
        </w:tc>
        <w:tc>
          <w:tcPr>
            <w:vAlign w:val="center"/>
          </w:tcPr>
          <w:p>
            <w:pPr>
              <w:jc w:val="right"/>
            </w:pPr>
            <w:r>
              <w:rPr>
                <w:rFonts w:asciiTheme="minorEastAsia" w:cs="宋体" w:eastAsiaTheme="minorEastAsia" w:hAnsiTheme="minorEastAsia"/>
                <w:color w:themeColor="text1" w:val="000000"/>
                <w:kern w:val="0"/>
              </w:rPr>
              <w:t>266,020,326.00</w:t>
            </w:r>
          </w:p>
        </w:tc>
        <w:tc>
          <w:tcPr>
            <w:vAlign w:val="center"/>
          </w:tcPr>
          <w:p>
            <w:pPr>
              <w:jc w:val="right"/>
            </w:pPr>
            <w:r>
              <w:rPr>
                <w:rFonts w:asciiTheme="minorEastAsia" w:cs="宋体" w:eastAsiaTheme="minorEastAsia" w:hAnsiTheme="minorEastAsia"/>
                <w:color w:themeColor="text1" w:val="000000"/>
                <w:kern w:val="0"/>
              </w:rPr>
              <w:t>5.24</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1,092,070.00</w:t>
            </w:r>
          </w:p>
        </w:tc>
        <w:tc>
          <w:tcPr>
            <w:vAlign w:val="center"/>
          </w:tcPr>
          <w:p>
            <w:pPr>
              <w:jc w:val="right"/>
            </w:pPr>
            <w:r>
              <w:rPr>
                <w:rFonts w:asciiTheme="minorEastAsia" w:cs="宋体" w:eastAsiaTheme="minorEastAsia" w:hAnsiTheme="minorEastAsia"/>
                <w:color w:themeColor="text1" w:val="000000"/>
                <w:kern w:val="0"/>
              </w:rPr>
              <w:t>243,466,085.80</w:t>
            </w:r>
          </w:p>
        </w:tc>
        <w:tc>
          <w:tcPr>
            <w:vAlign w:val="center"/>
          </w:tcPr>
          <w:p>
            <w:pPr>
              <w:jc w:val="right"/>
            </w:pPr>
            <w:r>
              <w:rPr>
                <w:rFonts w:asciiTheme="minorEastAsia" w:cs="宋体" w:eastAsiaTheme="minorEastAsia" w:hAnsiTheme="minorEastAsia"/>
                <w:color w:themeColor="text1" w:val="000000"/>
                <w:kern w:val="0"/>
              </w:rPr>
              <w:t>4.79</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300760</w:t>
            </w:r>
          </w:p>
        </w:tc>
        <w:tc>
          <w:tcPr>
            <w:vAlign w:val="center"/>
          </w:tcPr>
          <w:p>
            <w:pPr>
              <w:jc w:val="center"/>
            </w:pPr>
            <w:r>
              <w:rPr>
                <w:rFonts w:asciiTheme="minorEastAsia" w:cs="宋体" w:eastAsiaTheme="minorEastAsia" w:hAnsiTheme="minorEastAsia"/>
                <w:color w:themeColor="text1" w:val="000000"/>
                <w:kern w:val="0"/>
              </w:rPr>
              <w:t>迈瑞医疗</w:t>
            </w:r>
          </w:p>
        </w:tc>
        <w:tc>
          <w:tcPr>
            <w:vAlign w:val="center"/>
          </w:tcPr>
          <w:p>
            <w:pPr>
              <w:jc w:val="right"/>
            </w:pPr>
            <w:r>
              <w:rPr>
                <w:rFonts w:asciiTheme="minorEastAsia" w:cs="宋体" w:eastAsiaTheme="minorEastAsia" w:hAnsiTheme="minorEastAsia"/>
                <w:color w:themeColor="text1" w:val="000000"/>
                <w:kern w:val="0"/>
              </w:rPr>
              <w:t>648,435.00</w:t>
            </w:r>
          </w:p>
        </w:tc>
        <w:tc>
          <w:tcPr>
            <w:vAlign w:val="center"/>
          </w:tcPr>
          <w:p>
            <w:pPr>
              <w:jc w:val="right"/>
            </w:pPr>
            <w:r>
              <w:rPr>
                <w:rFonts w:asciiTheme="minorEastAsia" w:cs="宋体" w:eastAsiaTheme="minorEastAsia" w:hAnsiTheme="minorEastAsia"/>
                <w:color w:themeColor="text1" w:val="000000"/>
                <w:kern w:val="0"/>
              </w:rPr>
              <w:t>225,655,380.00</w:t>
            </w:r>
          </w:p>
        </w:tc>
        <w:tc>
          <w:tcPr>
            <w:vAlign w:val="center"/>
          </w:tcPr>
          <w:p>
            <w:pPr>
              <w:jc w:val="right"/>
            </w:pPr>
            <w:r>
              <w:rPr>
                <w:rFonts w:asciiTheme="minorEastAsia" w:cs="宋体" w:eastAsiaTheme="minorEastAsia" w:hAnsiTheme="minorEastAsia"/>
                <w:color w:themeColor="text1" w:val="000000"/>
                <w:kern w:val="0"/>
              </w:rPr>
              <w:t>4.44</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601689</w:t>
            </w:r>
          </w:p>
        </w:tc>
        <w:tc>
          <w:tcPr>
            <w:vAlign w:val="center"/>
          </w:tcPr>
          <w:p>
            <w:pPr>
              <w:jc w:val="center"/>
            </w:pPr>
            <w:r>
              <w:rPr>
                <w:rFonts w:asciiTheme="minorEastAsia" w:cs="宋体" w:eastAsiaTheme="minorEastAsia" w:hAnsiTheme="minorEastAsia"/>
                <w:color w:themeColor="text1" w:val="000000"/>
                <w:kern w:val="0"/>
              </w:rPr>
              <w:t>拓普集团</w:t>
            </w:r>
          </w:p>
        </w:tc>
        <w:tc>
          <w:tcPr>
            <w:vAlign w:val="center"/>
          </w:tcPr>
          <w:p>
            <w:pPr>
              <w:jc w:val="right"/>
            </w:pPr>
            <w:r>
              <w:rPr>
                <w:rFonts w:asciiTheme="minorEastAsia" w:cs="宋体" w:eastAsiaTheme="minorEastAsia" w:hAnsiTheme="minorEastAsia"/>
                <w:color w:themeColor="text1" w:val="000000"/>
                <w:kern w:val="0"/>
              </w:rPr>
              <w:t>5,342,670.00</w:t>
            </w:r>
          </w:p>
        </w:tc>
        <w:tc>
          <w:tcPr>
            <w:vAlign w:val="center"/>
          </w:tcPr>
          <w:p>
            <w:pPr>
              <w:jc w:val="right"/>
            </w:pPr>
            <w:r>
              <w:rPr>
                <w:rFonts w:asciiTheme="minorEastAsia" w:cs="宋体" w:eastAsiaTheme="minorEastAsia" w:hAnsiTheme="minorEastAsia"/>
                <w:color w:themeColor="text1" w:val="000000"/>
                <w:kern w:val="0"/>
              </w:rPr>
              <w:t>213,706,800.00</w:t>
            </w:r>
          </w:p>
        </w:tc>
        <w:tc>
          <w:tcPr>
            <w:vAlign w:val="center"/>
          </w:tcPr>
          <w:p>
            <w:pPr>
              <w:jc w:val="right"/>
            </w:pPr>
            <w:r>
              <w:rPr>
                <w:rFonts w:asciiTheme="minorEastAsia" w:cs="宋体" w:eastAsiaTheme="minorEastAsia" w:hAnsiTheme="minorEastAsia"/>
                <w:color w:themeColor="text1" w:val="000000"/>
                <w:kern w:val="0"/>
              </w:rPr>
              <w:t>4.21</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600276</w:t>
            </w:r>
          </w:p>
        </w:tc>
        <w:tc>
          <w:tcPr>
            <w:vAlign w:val="center"/>
          </w:tcPr>
          <w:p>
            <w:pPr>
              <w:jc w:val="center"/>
            </w:pPr>
            <w:r>
              <w:rPr>
                <w:rFonts w:asciiTheme="minorEastAsia" w:cs="宋体" w:eastAsiaTheme="minorEastAsia" w:hAnsiTheme="minorEastAsia"/>
                <w:color w:themeColor="text1" w:val="000000"/>
                <w:kern w:val="0"/>
              </w:rPr>
              <w:t>恒瑞医药</w:t>
            </w:r>
          </w:p>
        </w:tc>
        <w:tc>
          <w:tcPr>
            <w:vAlign w:val="center"/>
          </w:tcPr>
          <w:p>
            <w:pPr>
              <w:jc w:val="right"/>
            </w:pPr>
            <w:r>
              <w:rPr>
                <w:rFonts w:asciiTheme="minorEastAsia" w:cs="宋体" w:eastAsiaTheme="minorEastAsia" w:hAnsiTheme="minorEastAsia"/>
                <w:color w:themeColor="text1" w:val="000000"/>
                <w:kern w:val="0"/>
              </w:rPr>
              <w:t>2,355,771.00</w:t>
            </w:r>
          </w:p>
        </w:tc>
        <w:tc>
          <w:tcPr>
            <w:vAlign w:val="center"/>
          </w:tcPr>
          <w:p>
            <w:pPr>
              <w:jc w:val="right"/>
            </w:pPr>
            <w:r>
              <w:rPr>
                <w:rFonts w:asciiTheme="minorEastAsia" w:cs="宋体" w:eastAsiaTheme="minorEastAsia" w:hAnsiTheme="minorEastAsia"/>
                <w:color w:themeColor="text1" w:val="000000"/>
                <w:kern w:val="0"/>
              </w:rPr>
              <w:t>211,595,351.22</w:t>
            </w:r>
          </w:p>
        </w:tc>
        <w:tc>
          <w:tcPr>
            <w:vAlign w:val="center"/>
          </w:tcPr>
          <w:p>
            <w:pPr>
              <w:jc w:val="right"/>
            </w:pPr>
            <w:r>
              <w:rPr>
                <w:rFonts w:asciiTheme="minorEastAsia" w:cs="宋体" w:eastAsiaTheme="minorEastAsia" w:hAnsiTheme="minorEastAsia"/>
                <w:color w:themeColor="text1" w:val="000000"/>
                <w:kern w:val="0"/>
              </w:rPr>
              <w:t>4.16</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1,735,836.00</w:t>
            </w:r>
          </w:p>
        </w:tc>
        <w:tc>
          <w:tcPr>
            <w:vAlign w:val="center"/>
          </w:tcPr>
          <w:p>
            <w:pPr>
              <w:jc w:val="right"/>
            </w:pPr>
            <w:r>
              <w:rPr>
                <w:rFonts w:asciiTheme="minorEastAsia" w:cs="宋体" w:eastAsiaTheme="minorEastAsia" w:hAnsiTheme="minorEastAsia"/>
                <w:color w:themeColor="text1" w:val="000000"/>
                <w:kern w:val="0"/>
              </w:rPr>
              <w:t>176,187,354.00</w:t>
            </w:r>
          </w:p>
        </w:tc>
        <w:tc>
          <w:tcPr>
            <w:vAlign w:val="center"/>
          </w:tcPr>
          <w:p>
            <w:pPr>
              <w:jc w:val="right"/>
            </w:pPr>
            <w:r>
              <w:rPr>
                <w:rFonts w:asciiTheme="minorEastAsia" w:cs="宋体" w:eastAsiaTheme="minorEastAsia" w:hAnsiTheme="minorEastAsia"/>
                <w:color w:themeColor="text1" w:val="000000"/>
                <w:kern w:val="0"/>
              </w:rPr>
              <w:t>3.47</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 粮 液</w:t>
            </w:r>
          </w:p>
        </w:tc>
        <w:tc>
          <w:tcPr>
            <w:vAlign w:val="center"/>
          </w:tcPr>
          <w:p>
            <w:pPr>
              <w:jc w:val="right"/>
            </w:pPr>
            <w:r>
              <w:rPr>
                <w:rFonts w:asciiTheme="minorEastAsia" w:cs="宋体" w:eastAsiaTheme="minorEastAsia" w:hAnsiTheme="minorEastAsia"/>
                <w:color w:themeColor="text1" w:val="000000"/>
                <w:kern w:val="0"/>
              </w:rPr>
              <w:t>683,400.00</w:t>
            </w:r>
          </w:p>
        </w:tc>
        <w:tc>
          <w:tcPr>
            <w:vAlign w:val="center"/>
          </w:tcPr>
          <w:p>
            <w:pPr>
              <w:jc w:val="right"/>
            </w:pPr>
            <w:r>
              <w:rPr>
                <w:rFonts w:asciiTheme="minorEastAsia" w:cs="宋体" w:eastAsiaTheme="minorEastAsia" w:hAnsiTheme="minorEastAsia"/>
                <w:color w:themeColor="text1" w:val="000000"/>
                <w:kern w:val="0"/>
              </w:rPr>
              <w:t>151,031,400.00</w:t>
            </w:r>
          </w:p>
        </w:tc>
        <w:tc>
          <w:tcPr>
            <w:vAlign w:val="center"/>
          </w:tcPr>
          <w:p>
            <w:pPr>
              <w:jc w:val="right"/>
            </w:pPr>
            <w:r>
              <w:rPr>
                <w:rFonts w:asciiTheme="minorEastAsia" w:cs="宋体" w:eastAsiaTheme="minorEastAsia" w:hAnsiTheme="minorEastAsia"/>
                <w:color w:themeColor="text1" w:val="000000"/>
                <w:kern w:val="0"/>
              </w:rPr>
              <w:t>2.97</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1,288,473.79</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129,053.70</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47,646,868.58</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49,064,396.07</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685,363,312.99</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2,380,627,036.68</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1,032,327,877.76</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2,033,662,471.91</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中国证监会批准上投摩根科技前沿灵活配置混合型证券投资基金设立的文件；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《上投摩根科技前沿灵活配置混合型证券投资基金基金合同》；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《上投摩根科技前沿灵活配置混合型证券投资基金托管协议》；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基金管理人或基金托管人住所。</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上投摩根科技前沿灵活配置混合型证券投资基金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