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上投摩根新兴服务股票型证券投资基金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报告送出日期：二〇二二年十月二十六日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852639" w:rsidRDefault="00721184">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852639" w:rsidRDefault="00721184">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25</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852639" w:rsidRDefault="00721184">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852639" w:rsidRDefault="00721184">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852639" w:rsidRDefault="00721184">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上投摩根新兴服务股票</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001482</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001482</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2015</w:t>
            </w:r>
            <w:r w:rsidRPr="00FF6B9A">
              <w:rPr>
                <w:rFonts w:eastAsiaTheme="minorEastAsia"/>
                <w:color w:val="000000" w:themeColor="text1"/>
                <w:kern w:val="0"/>
              </w:rPr>
              <w:t>年</w:t>
            </w:r>
            <w:r w:rsidRPr="00FF6B9A">
              <w:rPr>
                <w:rFonts w:eastAsiaTheme="minorEastAsia"/>
                <w:color w:val="000000" w:themeColor="text1"/>
                <w:kern w:val="0"/>
              </w:rPr>
              <w:t>8</w:t>
            </w:r>
            <w:r w:rsidRPr="00FF6B9A">
              <w:rPr>
                <w:rFonts w:eastAsiaTheme="minorEastAsia"/>
                <w:color w:val="000000" w:themeColor="text1"/>
                <w:kern w:val="0"/>
              </w:rPr>
              <w:t>月</w:t>
            </w:r>
            <w:r w:rsidRPr="00FF6B9A">
              <w:rPr>
                <w:rFonts w:eastAsiaTheme="minorEastAsia"/>
                <w:color w:val="000000" w:themeColor="text1"/>
                <w:kern w:val="0"/>
              </w:rPr>
              <w:t>6</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22,735,521.00</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通过积极主动的投资管理，把握中国经济转型过程中新兴服务业的投资机会，在严格控制风险的前提下，力争实现基金资产的长期增值。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852639" w:rsidRDefault="00721184">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852639" w:rsidRDefault="00721184">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本基金将综合分析和持续跟踪基本面、政策面、市场面等多方面因素，对宏观经济、国家政策、资金面和市场情绪等影响证券市场的重要因素进行深入分析，确定合适的资</w:t>
            </w:r>
            <w:r>
              <w:rPr>
                <w:rFonts w:eastAsiaTheme="minorEastAsia"/>
                <w:color w:val="000000" w:themeColor="text1"/>
                <w:kern w:val="0"/>
              </w:rPr>
              <w:lastRenderedPageBreak/>
              <w:t>产配置比例。</w:t>
            </w:r>
          </w:p>
          <w:p w:rsidR="00852639" w:rsidRDefault="00721184">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852639" w:rsidRDefault="00721184">
            <w:pPr>
              <w:adjustRightInd w:val="0"/>
              <w:spacing w:before="29" w:line="360" w:lineRule="auto"/>
              <w:ind w:left="17"/>
              <w:rPr>
                <w:rFonts w:eastAsiaTheme="minorEastAsia"/>
                <w:color w:val="000000" w:themeColor="text1"/>
              </w:rPr>
            </w:pPr>
            <w:r>
              <w:rPr>
                <w:rFonts w:eastAsiaTheme="minorEastAsia"/>
                <w:color w:val="000000" w:themeColor="text1"/>
                <w:kern w:val="0"/>
              </w:rPr>
              <w:t>本基金将通过系统和深入的基本面研究，重点投资于新兴服务业中具有竞争力的优质上市公司。在具体操作上，本基金将主要采用</w:t>
            </w:r>
            <w:r>
              <w:rPr>
                <w:rFonts w:eastAsiaTheme="minorEastAsia"/>
                <w:color w:val="000000" w:themeColor="text1"/>
                <w:kern w:val="0"/>
              </w:rPr>
              <w:t>“</w:t>
            </w:r>
            <w:r>
              <w:rPr>
                <w:rFonts w:eastAsiaTheme="minorEastAsia"/>
                <w:color w:val="000000" w:themeColor="text1"/>
                <w:kern w:val="0"/>
              </w:rPr>
              <w:t>自下而上</w:t>
            </w:r>
            <w:r>
              <w:rPr>
                <w:rFonts w:eastAsiaTheme="minorEastAsia"/>
                <w:color w:val="000000" w:themeColor="text1"/>
                <w:kern w:val="0"/>
              </w:rPr>
              <w:t>”</w:t>
            </w:r>
            <w:r>
              <w:rPr>
                <w:rFonts w:eastAsiaTheme="minorEastAsia"/>
                <w:color w:val="000000" w:themeColor="text1"/>
                <w:kern w:val="0"/>
              </w:rPr>
              <w:t>的方法，在备选行业内部通过定量与定性相结合的分析方法，综合分析上市公司的业绩质量、成长性和估值水平等，精选具有良好成长性、估值合理的个股。</w:t>
            </w:r>
          </w:p>
          <w:p w:rsidR="00852639" w:rsidRDefault="00721184">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、行业配置策略</w:t>
            </w:r>
          </w:p>
          <w:p w:rsidR="00852639" w:rsidRDefault="00721184">
            <w:pPr>
              <w:adjustRightInd w:val="0"/>
              <w:spacing w:before="29" w:line="360" w:lineRule="auto"/>
              <w:ind w:left="17"/>
              <w:rPr>
                <w:rFonts w:eastAsiaTheme="minorEastAsia"/>
                <w:color w:val="000000" w:themeColor="text1"/>
              </w:rPr>
            </w:pPr>
            <w:r>
              <w:rPr>
                <w:rFonts w:eastAsiaTheme="minorEastAsia"/>
                <w:color w:val="000000" w:themeColor="text1"/>
                <w:kern w:val="0"/>
              </w:rPr>
              <w:t>由于新兴服务主题涉及多个行业及其子行业，我们将从行业生命周期、行业景气度、行业竞争格局等多角度，综合评估各个行业的投资价值，对基金资产在行业间分配进行安排。</w:t>
            </w:r>
          </w:p>
          <w:p w:rsidR="00852639" w:rsidRDefault="00721184">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、固定收益类投资策略</w:t>
            </w:r>
          </w:p>
          <w:p w:rsidR="00852639" w:rsidRDefault="00721184">
            <w:pPr>
              <w:adjustRightInd w:val="0"/>
              <w:spacing w:before="29" w:line="360" w:lineRule="auto"/>
              <w:ind w:left="17"/>
              <w:rPr>
                <w:rFonts w:eastAsiaTheme="minorEastAsia"/>
                <w:color w:val="000000" w:themeColor="text1"/>
              </w:rPr>
            </w:pPr>
            <w:r>
              <w:rPr>
                <w:rFonts w:eastAsiaTheme="minorEastAsia"/>
                <w:color w:val="000000" w:themeColor="text1"/>
                <w:kern w:val="0"/>
              </w:rPr>
              <w:t>对于固定收益类资产的选择，本基金将以价值分析为</w:t>
            </w:r>
            <w:r>
              <w:rPr>
                <w:rFonts w:eastAsiaTheme="minorEastAsia"/>
                <w:color w:val="000000" w:themeColor="text1"/>
                <w:kern w:val="0"/>
              </w:rPr>
              <w:t>主线，在综合研究的基础上实施积极主动的组合管理，并主要通过类属配置与债券选择两个层次进行投资管理。</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、其他投资策略：包括可转换债券投资策略、中小企业私募债投资策略、股指期货投资策略、资产支持证券投资策略、股票期权投资策略、存托凭证投资策略。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×85%+</w:t>
            </w:r>
            <w:r w:rsidRPr="00FF6B9A">
              <w:rPr>
                <w:rFonts w:eastAsiaTheme="minorEastAsia"/>
                <w:color w:val="000000" w:themeColor="text1"/>
                <w:kern w:val="0"/>
              </w:rPr>
              <w:t>中债总指数收益率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852639" w:rsidRDefault="00721184">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本基金属于股票型基金产品，预期风险和收益水平高于混合型基金、债券型基金和货币市场基金，属于较高风险收益水平的基金产品。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w:t>
            </w:r>
            <w:r w:rsidRPr="00FF6B9A">
              <w:rPr>
                <w:rFonts w:eastAsiaTheme="minorEastAsia"/>
                <w:color w:val="000000" w:themeColor="text1"/>
                <w:kern w:val="0"/>
              </w:rPr>
              <w:lastRenderedPageBreak/>
              <w:t>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721184" w:rsidRPr="00FF6B9A" w:rsidTr="00721184">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721184" w:rsidRPr="00FF6B9A" w:rsidTr="00721184">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-1,595,102.39</w:t>
            </w:r>
          </w:p>
        </w:tc>
      </w:tr>
      <w:tr w:rsidR="00721184" w:rsidRPr="00FF6B9A" w:rsidTr="00721184">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-6,326,288.51</w:t>
            </w:r>
          </w:p>
        </w:tc>
      </w:tr>
      <w:tr w:rsidR="00721184" w:rsidRPr="00FF6B9A" w:rsidTr="00721184">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-0.2783</w:t>
            </w:r>
          </w:p>
        </w:tc>
      </w:tr>
      <w:tr w:rsidR="00721184" w:rsidRPr="00FF6B9A" w:rsidTr="00721184">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37,560,429.30</w:t>
            </w:r>
          </w:p>
        </w:tc>
      </w:tr>
      <w:tr w:rsidR="00721184" w:rsidRPr="00FF6B9A" w:rsidTr="00721184">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1.6521</w:t>
            </w:r>
          </w:p>
        </w:tc>
      </w:tr>
    </w:tbl>
    <w:p w:rsidR="00852639" w:rsidRDefault="00721184">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852639">
        <w:tc>
          <w:tcPr>
            <w:tcW w:w="1395" w:type="dxa"/>
            <w:vAlign w:val="center"/>
          </w:tcPr>
          <w:p w:rsidR="00852639" w:rsidRDefault="00721184">
            <w:pPr>
              <w:jc w:val="left"/>
            </w:pPr>
            <w:r>
              <w:rPr>
                <w:rFonts w:eastAsiaTheme="minorEastAsia"/>
                <w:color w:val="000000" w:themeColor="text1"/>
                <w:kern w:val="0"/>
              </w:rPr>
              <w:t>过去三个月</w:t>
            </w:r>
          </w:p>
        </w:tc>
        <w:tc>
          <w:tcPr>
            <w:tcW w:w="1092" w:type="dxa"/>
            <w:vAlign w:val="center"/>
          </w:tcPr>
          <w:p w:rsidR="00852639" w:rsidRDefault="00721184">
            <w:pPr>
              <w:jc w:val="center"/>
            </w:pPr>
            <w:r>
              <w:rPr>
                <w:rFonts w:eastAsiaTheme="minorEastAsia"/>
                <w:color w:val="000000" w:themeColor="text1"/>
                <w:kern w:val="0"/>
              </w:rPr>
              <w:t>-14.41%</w:t>
            </w:r>
          </w:p>
        </w:tc>
        <w:tc>
          <w:tcPr>
            <w:tcW w:w="1161" w:type="dxa"/>
            <w:vAlign w:val="center"/>
          </w:tcPr>
          <w:p w:rsidR="00852639" w:rsidRDefault="00721184">
            <w:pPr>
              <w:jc w:val="center"/>
            </w:pPr>
            <w:r>
              <w:rPr>
                <w:rFonts w:eastAsiaTheme="minorEastAsia"/>
                <w:color w:val="000000" w:themeColor="text1"/>
                <w:kern w:val="0"/>
              </w:rPr>
              <w:t>1.27%</w:t>
            </w:r>
          </w:p>
        </w:tc>
        <w:tc>
          <w:tcPr>
            <w:tcW w:w="1181" w:type="dxa"/>
            <w:vAlign w:val="center"/>
          </w:tcPr>
          <w:p w:rsidR="00852639" w:rsidRDefault="00721184">
            <w:pPr>
              <w:jc w:val="center"/>
            </w:pPr>
            <w:r>
              <w:rPr>
                <w:rFonts w:eastAsiaTheme="minorEastAsia"/>
                <w:color w:val="000000" w:themeColor="text1"/>
                <w:kern w:val="0"/>
              </w:rPr>
              <w:t>-12.01%</w:t>
            </w:r>
          </w:p>
        </w:tc>
        <w:tc>
          <w:tcPr>
            <w:tcW w:w="1188" w:type="dxa"/>
            <w:vAlign w:val="center"/>
          </w:tcPr>
          <w:p w:rsidR="00852639" w:rsidRDefault="00721184">
            <w:pPr>
              <w:jc w:val="center"/>
            </w:pPr>
            <w:r>
              <w:rPr>
                <w:rFonts w:eastAsiaTheme="minorEastAsia"/>
                <w:color w:val="000000" w:themeColor="text1"/>
                <w:kern w:val="0"/>
              </w:rPr>
              <w:t>0.78%</w:t>
            </w:r>
          </w:p>
        </w:tc>
        <w:tc>
          <w:tcPr>
            <w:tcW w:w="1199" w:type="dxa"/>
            <w:vAlign w:val="center"/>
          </w:tcPr>
          <w:p w:rsidR="00852639" w:rsidRDefault="00721184">
            <w:pPr>
              <w:jc w:val="center"/>
            </w:pPr>
            <w:r>
              <w:rPr>
                <w:rFonts w:eastAsiaTheme="minorEastAsia"/>
                <w:color w:val="000000" w:themeColor="text1"/>
                <w:kern w:val="0"/>
              </w:rPr>
              <w:t>-2.40%</w:t>
            </w:r>
          </w:p>
        </w:tc>
        <w:tc>
          <w:tcPr>
            <w:tcW w:w="1204" w:type="dxa"/>
            <w:vAlign w:val="center"/>
          </w:tcPr>
          <w:p w:rsidR="00852639" w:rsidRDefault="00721184">
            <w:pPr>
              <w:jc w:val="center"/>
            </w:pPr>
            <w:r>
              <w:rPr>
                <w:rFonts w:eastAsiaTheme="minorEastAsia"/>
                <w:color w:val="000000" w:themeColor="text1"/>
                <w:kern w:val="0"/>
              </w:rPr>
              <w:t>0.49%</w:t>
            </w:r>
          </w:p>
        </w:tc>
      </w:tr>
      <w:tr w:rsidR="00852639">
        <w:tc>
          <w:tcPr>
            <w:tcW w:w="1395" w:type="dxa"/>
            <w:vAlign w:val="center"/>
          </w:tcPr>
          <w:p w:rsidR="00852639" w:rsidRDefault="00721184">
            <w:pPr>
              <w:jc w:val="left"/>
            </w:pPr>
            <w:r>
              <w:rPr>
                <w:rFonts w:eastAsiaTheme="minorEastAsia"/>
                <w:color w:val="000000" w:themeColor="text1"/>
                <w:kern w:val="0"/>
              </w:rPr>
              <w:t>过去六个月</w:t>
            </w:r>
          </w:p>
        </w:tc>
        <w:tc>
          <w:tcPr>
            <w:tcW w:w="1092" w:type="dxa"/>
            <w:vAlign w:val="center"/>
          </w:tcPr>
          <w:p w:rsidR="00852639" w:rsidRDefault="00721184">
            <w:pPr>
              <w:jc w:val="center"/>
            </w:pPr>
            <w:r>
              <w:rPr>
                <w:rFonts w:eastAsiaTheme="minorEastAsia"/>
                <w:color w:val="000000" w:themeColor="text1"/>
                <w:kern w:val="0"/>
              </w:rPr>
              <w:t>-8.99%</w:t>
            </w:r>
          </w:p>
        </w:tc>
        <w:tc>
          <w:tcPr>
            <w:tcW w:w="1161" w:type="dxa"/>
            <w:vAlign w:val="center"/>
          </w:tcPr>
          <w:p w:rsidR="00852639" w:rsidRDefault="00721184">
            <w:pPr>
              <w:jc w:val="center"/>
            </w:pPr>
            <w:r>
              <w:rPr>
                <w:rFonts w:eastAsiaTheme="minorEastAsia"/>
                <w:color w:val="000000" w:themeColor="text1"/>
                <w:kern w:val="0"/>
              </w:rPr>
              <w:t>1.39%</w:t>
            </w:r>
          </w:p>
        </w:tc>
        <w:tc>
          <w:tcPr>
            <w:tcW w:w="1181" w:type="dxa"/>
            <w:vAlign w:val="center"/>
          </w:tcPr>
          <w:p w:rsidR="00852639" w:rsidRDefault="00721184">
            <w:pPr>
              <w:jc w:val="center"/>
            </w:pPr>
            <w:r>
              <w:rPr>
                <w:rFonts w:eastAsiaTheme="minorEastAsia"/>
                <w:color w:val="000000" w:themeColor="text1"/>
                <w:kern w:val="0"/>
              </w:rPr>
              <w:t>-8.22%</w:t>
            </w:r>
          </w:p>
        </w:tc>
        <w:tc>
          <w:tcPr>
            <w:tcW w:w="1188" w:type="dxa"/>
            <w:vAlign w:val="center"/>
          </w:tcPr>
          <w:p w:rsidR="00852639" w:rsidRDefault="00721184">
            <w:pPr>
              <w:jc w:val="center"/>
            </w:pPr>
            <w:r>
              <w:rPr>
                <w:rFonts w:eastAsiaTheme="minorEastAsia"/>
                <w:color w:val="000000" w:themeColor="text1"/>
                <w:kern w:val="0"/>
              </w:rPr>
              <w:t>1.04%</w:t>
            </w:r>
          </w:p>
        </w:tc>
        <w:tc>
          <w:tcPr>
            <w:tcW w:w="1199" w:type="dxa"/>
            <w:vAlign w:val="center"/>
          </w:tcPr>
          <w:p w:rsidR="00852639" w:rsidRDefault="00721184">
            <w:pPr>
              <w:jc w:val="center"/>
            </w:pPr>
            <w:r>
              <w:rPr>
                <w:rFonts w:eastAsiaTheme="minorEastAsia"/>
                <w:color w:val="000000" w:themeColor="text1"/>
                <w:kern w:val="0"/>
              </w:rPr>
              <w:t>-0.77%</w:t>
            </w:r>
          </w:p>
        </w:tc>
        <w:tc>
          <w:tcPr>
            <w:tcW w:w="1204" w:type="dxa"/>
            <w:vAlign w:val="center"/>
          </w:tcPr>
          <w:p w:rsidR="00852639" w:rsidRDefault="00721184">
            <w:pPr>
              <w:jc w:val="center"/>
            </w:pPr>
            <w:r>
              <w:rPr>
                <w:rFonts w:eastAsiaTheme="minorEastAsia"/>
                <w:color w:val="000000" w:themeColor="text1"/>
                <w:kern w:val="0"/>
              </w:rPr>
              <w:t>0.35%</w:t>
            </w:r>
          </w:p>
        </w:tc>
      </w:tr>
      <w:tr w:rsidR="00852639">
        <w:tc>
          <w:tcPr>
            <w:tcW w:w="1395" w:type="dxa"/>
            <w:vAlign w:val="center"/>
          </w:tcPr>
          <w:p w:rsidR="00852639" w:rsidRDefault="00721184">
            <w:pPr>
              <w:jc w:val="left"/>
            </w:pPr>
            <w:r>
              <w:rPr>
                <w:rFonts w:eastAsiaTheme="minorEastAsia"/>
                <w:color w:val="000000" w:themeColor="text1"/>
                <w:kern w:val="0"/>
              </w:rPr>
              <w:t>过去一年</w:t>
            </w:r>
          </w:p>
        </w:tc>
        <w:tc>
          <w:tcPr>
            <w:tcW w:w="1092" w:type="dxa"/>
            <w:vAlign w:val="center"/>
          </w:tcPr>
          <w:p w:rsidR="00852639" w:rsidRDefault="00721184">
            <w:pPr>
              <w:jc w:val="center"/>
            </w:pPr>
            <w:r>
              <w:rPr>
                <w:rFonts w:eastAsiaTheme="minorEastAsia"/>
                <w:color w:val="000000" w:themeColor="text1"/>
                <w:kern w:val="0"/>
              </w:rPr>
              <w:t>-30.56%</w:t>
            </w:r>
          </w:p>
        </w:tc>
        <w:tc>
          <w:tcPr>
            <w:tcW w:w="1161" w:type="dxa"/>
            <w:vAlign w:val="center"/>
          </w:tcPr>
          <w:p w:rsidR="00852639" w:rsidRDefault="00721184">
            <w:pPr>
              <w:jc w:val="center"/>
            </w:pPr>
            <w:r>
              <w:rPr>
                <w:rFonts w:eastAsiaTheme="minorEastAsia"/>
                <w:color w:val="000000" w:themeColor="text1"/>
                <w:kern w:val="0"/>
              </w:rPr>
              <w:t>1.34%</w:t>
            </w:r>
          </w:p>
        </w:tc>
        <w:tc>
          <w:tcPr>
            <w:tcW w:w="1181" w:type="dxa"/>
            <w:vAlign w:val="center"/>
          </w:tcPr>
          <w:p w:rsidR="00852639" w:rsidRDefault="00721184">
            <w:pPr>
              <w:jc w:val="center"/>
            </w:pPr>
            <w:r>
              <w:rPr>
                <w:rFonts w:eastAsiaTheme="minorEastAsia"/>
                <w:color w:val="000000" w:themeColor="text1"/>
                <w:kern w:val="0"/>
              </w:rPr>
              <w:t>-17.88%</w:t>
            </w:r>
          </w:p>
        </w:tc>
        <w:tc>
          <w:tcPr>
            <w:tcW w:w="1188" w:type="dxa"/>
            <w:vAlign w:val="center"/>
          </w:tcPr>
          <w:p w:rsidR="00852639" w:rsidRDefault="00721184">
            <w:pPr>
              <w:jc w:val="center"/>
            </w:pPr>
            <w:r>
              <w:rPr>
                <w:rFonts w:eastAsiaTheme="minorEastAsia"/>
                <w:color w:val="000000" w:themeColor="text1"/>
                <w:kern w:val="0"/>
              </w:rPr>
              <w:t>1.00%</w:t>
            </w:r>
          </w:p>
        </w:tc>
        <w:tc>
          <w:tcPr>
            <w:tcW w:w="1199" w:type="dxa"/>
            <w:vAlign w:val="center"/>
          </w:tcPr>
          <w:p w:rsidR="00852639" w:rsidRDefault="00721184">
            <w:pPr>
              <w:jc w:val="center"/>
            </w:pPr>
            <w:r>
              <w:rPr>
                <w:rFonts w:eastAsiaTheme="minorEastAsia"/>
                <w:color w:val="000000" w:themeColor="text1"/>
                <w:kern w:val="0"/>
              </w:rPr>
              <w:t>-12.68%</w:t>
            </w:r>
          </w:p>
        </w:tc>
        <w:tc>
          <w:tcPr>
            <w:tcW w:w="1204" w:type="dxa"/>
            <w:vAlign w:val="center"/>
          </w:tcPr>
          <w:p w:rsidR="00852639" w:rsidRDefault="00721184">
            <w:pPr>
              <w:jc w:val="center"/>
            </w:pPr>
            <w:r>
              <w:rPr>
                <w:rFonts w:eastAsiaTheme="minorEastAsia"/>
                <w:color w:val="000000" w:themeColor="text1"/>
                <w:kern w:val="0"/>
              </w:rPr>
              <w:t>0.34%</w:t>
            </w:r>
          </w:p>
        </w:tc>
      </w:tr>
      <w:tr w:rsidR="00852639">
        <w:tc>
          <w:tcPr>
            <w:tcW w:w="1395" w:type="dxa"/>
            <w:vAlign w:val="center"/>
          </w:tcPr>
          <w:p w:rsidR="00852639" w:rsidRDefault="00721184">
            <w:pPr>
              <w:jc w:val="left"/>
            </w:pPr>
            <w:r>
              <w:rPr>
                <w:rFonts w:eastAsiaTheme="minorEastAsia"/>
                <w:color w:val="000000" w:themeColor="text1"/>
                <w:kern w:val="0"/>
              </w:rPr>
              <w:t>过去三年</w:t>
            </w:r>
          </w:p>
        </w:tc>
        <w:tc>
          <w:tcPr>
            <w:tcW w:w="1092" w:type="dxa"/>
            <w:vAlign w:val="center"/>
          </w:tcPr>
          <w:p w:rsidR="00852639" w:rsidRDefault="00721184">
            <w:pPr>
              <w:jc w:val="center"/>
            </w:pPr>
            <w:r>
              <w:rPr>
                <w:rFonts w:eastAsiaTheme="minorEastAsia"/>
                <w:color w:val="000000" w:themeColor="text1"/>
                <w:kern w:val="0"/>
              </w:rPr>
              <w:t>46.33%</w:t>
            </w:r>
          </w:p>
        </w:tc>
        <w:tc>
          <w:tcPr>
            <w:tcW w:w="1161" w:type="dxa"/>
            <w:vAlign w:val="center"/>
          </w:tcPr>
          <w:p w:rsidR="00852639" w:rsidRDefault="00721184">
            <w:pPr>
              <w:jc w:val="center"/>
            </w:pPr>
            <w:r>
              <w:rPr>
                <w:rFonts w:eastAsiaTheme="minorEastAsia"/>
                <w:color w:val="000000" w:themeColor="text1"/>
                <w:kern w:val="0"/>
              </w:rPr>
              <w:t>1.63%</w:t>
            </w:r>
          </w:p>
        </w:tc>
        <w:tc>
          <w:tcPr>
            <w:tcW w:w="1181" w:type="dxa"/>
            <w:vAlign w:val="center"/>
          </w:tcPr>
          <w:p w:rsidR="00852639" w:rsidRDefault="00721184">
            <w:pPr>
              <w:jc w:val="center"/>
            </w:pPr>
            <w:r>
              <w:rPr>
                <w:rFonts w:eastAsiaTheme="minorEastAsia"/>
                <w:color w:val="000000" w:themeColor="text1"/>
                <w:kern w:val="0"/>
              </w:rPr>
              <w:t>3.33%</w:t>
            </w:r>
          </w:p>
        </w:tc>
        <w:tc>
          <w:tcPr>
            <w:tcW w:w="1188" w:type="dxa"/>
            <w:vAlign w:val="center"/>
          </w:tcPr>
          <w:p w:rsidR="00852639" w:rsidRDefault="00721184">
            <w:pPr>
              <w:jc w:val="center"/>
            </w:pPr>
            <w:r>
              <w:rPr>
                <w:rFonts w:eastAsiaTheme="minorEastAsia"/>
                <w:color w:val="000000" w:themeColor="text1"/>
                <w:kern w:val="0"/>
              </w:rPr>
              <w:t>1.06%</w:t>
            </w:r>
          </w:p>
        </w:tc>
        <w:tc>
          <w:tcPr>
            <w:tcW w:w="1199" w:type="dxa"/>
            <w:vAlign w:val="center"/>
          </w:tcPr>
          <w:p w:rsidR="00852639" w:rsidRDefault="00721184">
            <w:pPr>
              <w:jc w:val="center"/>
            </w:pPr>
            <w:r>
              <w:rPr>
                <w:rFonts w:eastAsiaTheme="minorEastAsia"/>
                <w:color w:val="000000" w:themeColor="text1"/>
                <w:kern w:val="0"/>
              </w:rPr>
              <w:t>43.00%</w:t>
            </w:r>
          </w:p>
        </w:tc>
        <w:tc>
          <w:tcPr>
            <w:tcW w:w="1204" w:type="dxa"/>
            <w:vAlign w:val="center"/>
          </w:tcPr>
          <w:p w:rsidR="00852639" w:rsidRDefault="00721184">
            <w:pPr>
              <w:jc w:val="center"/>
            </w:pPr>
            <w:r>
              <w:rPr>
                <w:rFonts w:eastAsiaTheme="minorEastAsia"/>
                <w:color w:val="000000" w:themeColor="text1"/>
                <w:kern w:val="0"/>
              </w:rPr>
              <w:t>0.57%</w:t>
            </w:r>
          </w:p>
        </w:tc>
      </w:tr>
      <w:tr w:rsidR="00852639">
        <w:tc>
          <w:tcPr>
            <w:tcW w:w="1395" w:type="dxa"/>
            <w:vAlign w:val="center"/>
          </w:tcPr>
          <w:p w:rsidR="00852639" w:rsidRDefault="00721184">
            <w:pPr>
              <w:jc w:val="left"/>
            </w:pPr>
            <w:r>
              <w:rPr>
                <w:rFonts w:eastAsiaTheme="minorEastAsia"/>
                <w:color w:val="000000" w:themeColor="text1"/>
                <w:kern w:val="0"/>
              </w:rPr>
              <w:t>过去五年</w:t>
            </w:r>
          </w:p>
        </w:tc>
        <w:tc>
          <w:tcPr>
            <w:tcW w:w="1092" w:type="dxa"/>
            <w:vAlign w:val="center"/>
          </w:tcPr>
          <w:p w:rsidR="00852639" w:rsidRDefault="00721184">
            <w:pPr>
              <w:jc w:val="center"/>
            </w:pPr>
            <w:r>
              <w:rPr>
                <w:rFonts w:eastAsiaTheme="minorEastAsia"/>
                <w:color w:val="000000" w:themeColor="text1"/>
                <w:kern w:val="0"/>
              </w:rPr>
              <w:t>46.33%</w:t>
            </w:r>
          </w:p>
        </w:tc>
        <w:tc>
          <w:tcPr>
            <w:tcW w:w="1161" w:type="dxa"/>
            <w:vAlign w:val="center"/>
          </w:tcPr>
          <w:p w:rsidR="00852639" w:rsidRDefault="00721184">
            <w:pPr>
              <w:jc w:val="center"/>
            </w:pPr>
            <w:r>
              <w:rPr>
                <w:rFonts w:eastAsiaTheme="minorEastAsia"/>
                <w:color w:val="000000" w:themeColor="text1"/>
                <w:kern w:val="0"/>
              </w:rPr>
              <w:t>1.57%</w:t>
            </w:r>
          </w:p>
        </w:tc>
        <w:tc>
          <w:tcPr>
            <w:tcW w:w="1181" w:type="dxa"/>
            <w:vAlign w:val="center"/>
          </w:tcPr>
          <w:p w:rsidR="00852639" w:rsidRDefault="00721184">
            <w:pPr>
              <w:jc w:val="center"/>
            </w:pPr>
            <w:r>
              <w:rPr>
                <w:rFonts w:eastAsiaTheme="minorEastAsia"/>
                <w:color w:val="000000" w:themeColor="text1"/>
                <w:kern w:val="0"/>
              </w:rPr>
              <w:t>-2.50%</w:t>
            </w:r>
          </w:p>
        </w:tc>
        <w:tc>
          <w:tcPr>
            <w:tcW w:w="1188" w:type="dxa"/>
            <w:vAlign w:val="center"/>
          </w:tcPr>
          <w:p w:rsidR="00852639" w:rsidRDefault="00721184">
            <w:pPr>
              <w:jc w:val="center"/>
            </w:pPr>
            <w:r>
              <w:rPr>
                <w:rFonts w:eastAsiaTheme="minorEastAsia"/>
                <w:color w:val="000000" w:themeColor="text1"/>
                <w:kern w:val="0"/>
              </w:rPr>
              <w:t>1.08%</w:t>
            </w:r>
          </w:p>
        </w:tc>
        <w:tc>
          <w:tcPr>
            <w:tcW w:w="1199" w:type="dxa"/>
            <w:vAlign w:val="center"/>
          </w:tcPr>
          <w:p w:rsidR="00852639" w:rsidRDefault="00721184">
            <w:pPr>
              <w:jc w:val="center"/>
            </w:pPr>
            <w:r>
              <w:rPr>
                <w:rFonts w:eastAsiaTheme="minorEastAsia"/>
                <w:color w:val="000000" w:themeColor="text1"/>
                <w:kern w:val="0"/>
              </w:rPr>
              <w:t>48.83%</w:t>
            </w:r>
          </w:p>
        </w:tc>
        <w:tc>
          <w:tcPr>
            <w:tcW w:w="1204" w:type="dxa"/>
            <w:vAlign w:val="center"/>
          </w:tcPr>
          <w:p w:rsidR="00852639" w:rsidRDefault="00721184">
            <w:pPr>
              <w:jc w:val="center"/>
            </w:pPr>
            <w:r>
              <w:rPr>
                <w:rFonts w:eastAsiaTheme="minorEastAsia"/>
                <w:color w:val="000000" w:themeColor="text1"/>
                <w:kern w:val="0"/>
              </w:rPr>
              <w:t>0.49%</w:t>
            </w:r>
          </w:p>
        </w:tc>
      </w:tr>
      <w:tr w:rsidR="00852639">
        <w:tc>
          <w:tcPr>
            <w:tcW w:w="1395" w:type="dxa"/>
            <w:vAlign w:val="center"/>
          </w:tcPr>
          <w:p w:rsidR="00852639" w:rsidRDefault="00721184">
            <w:pPr>
              <w:jc w:val="left"/>
            </w:pPr>
            <w:r>
              <w:rPr>
                <w:rFonts w:eastAsiaTheme="minorEastAsia"/>
                <w:color w:val="000000" w:themeColor="text1"/>
                <w:kern w:val="0"/>
              </w:rPr>
              <w:lastRenderedPageBreak/>
              <w:t>自基金合同生效起至今</w:t>
            </w:r>
          </w:p>
        </w:tc>
        <w:tc>
          <w:tcPr>
            <w:tcW w:w="1092" w:type="dxa"/>
            <w:vAlign w:val="center"/>
          </w:tcPr>
          <w:p w:rsidR="00852639" w:rsidRDefault="00721184">
            <w:pPr>
              <w:jc w:val="center"/>
            </w:pPr>
            <w:r>
              <w:rPr>
                <w:rFonts w:eastAsiaTheme="minorEastAsia"/>
                <w:color w:val="000000" w:themeColor="text1"/>
                <w:kern w:val="0"/>
              </w:rPr>
              <w:t>65.21%</w:t>
            </w:r>
          </w:p>
        </w:tc>
        <w:tc>
          <w:tcPr>
            <w:tcW w:w="1161" w:type="dxa"/>
            <w:vAlign w:val="center"/>
          </w:tcPr>
          <w:p w:rsidR="00852639" w:rsidRDefault="00721184">
            <w:pPr>
              <w:jc w:val="center"/>
            </w:pPr>
            <w:r>
              <w:rPr>
                <w:rFonts w:eastAsiaTheme="minorEastAsia"/>
                <w:color w:val="000000" w:themeColor="text1"/>
                <w:kern w:val="0"/>
              </w:rPr>
              <w:t>1.57%</w:t>
            </w:r>
          </w:p>
        </w:tc>
        <w:tc>
          <w:tcPr>
            <w:tcW w:w="1181" w:type="dxa"/>
            <w:vAlign w:val="center"/>
          </w:tcPr>
          <w:p w:rsidR="00852639" w:rsidRDefault="00721184">
            <w:pPr>
              <w:jc w:val="center"/>
            </w:pPr>
            <w:r>
              <w:rPr>
                <w:rFonts w:eastAsiaTheme="minorEastAsia"/>
                <w:color w:val="000000" w:themeColor="text1"/>
                <w:kern w:val="0"/>
              </w:rPr>
              <w:t>-7.20%</w:t>
            </w:r>
          </w:p>
        </w:tc>
        <w:tc>
          <w:tcPr>
            <w:tcW w:w="1188" w:type="dxa"/>
            <w:vAlign w:val="center"/>
          </w:tcPr>
          <w:p w:rsidR="00852639" w:rsidRDefault="00721184">
            <w:pPr>
              <w:jc w:val="center"/>
            </w:pPr>
            <w:r>
              <w:rPr>
                <w:rFonts w:eastAsiaTheme="minorEastAsia"/>
                <w:color w:val="000000" w:themeColor="text1"/>
                <w:kern w:val="0"/>
              </w:rPr>
              <w:t>1.15%</w:t>
            </w:r>
          </w:p>
        </w:tc>
        <w:tc>
          <w:tcPr>
            <w:tcW w:w="1199" w:type="dxa"/>
            <w:vAlign w:val="center"/>
          </w:tcPr>
          <w:p w:rsidR="00852639" w:rsidRDefault="00721184">
            <w:pPr>
              <w:jc w:val="center"/>
            </w:pPr>
            <w:r>
              <w:rPr>
                <w:rFonts w:eastAsiaTheme="minorEastAsia"/>
                <w:color w:val="000000" w:themeColor="text1"/>
                <w:kern w:val="0"/>
              </w:rPr>
              <w:t>72.41%</w:t>
            </w:r>
          </w:p>
        </w:tc>
        <w:tc>
          <w:tcPr>
            <w:tcW w:w="1204" w:type="dxa"/>
            <w:vAlign w:val="center"/>
          </w:tcPr>
          <w:p w:rsidR="00852639" w:rsidRDefault="00721184">
            <w:pPr>
              <w:jc w:val="center"/>
            </w:pPr>
            <w:r>
              <w:rPr>
                <w:rFonts w:eastAsiaTheme="minorEastAsia"/>
                <w:color w:val="000000" w:themeColor="text1"/>
                <w:kern w:val="0"/>
              </w:rPr>
              <w:t>0.42%</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上投摩根新兴服务股票型证券投资基金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(2015</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8</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2022</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852639" w:rsidRDefault="00721184">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w:t>
      </w:r>
      <w:r>
        <w:rPr>
          <w:rFonts w:eastAsiaTheme="minorEastAsia"/>
          <w:color w:val="000000" w:themeColor="text1"/>
        </w:rPr>
        <w:t>6</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852639">
        <w:tc>
          <w:tcPr>
            <w:tcW w:w="851" w:type="dxa"/>
            <w:vAlign w:val="center"/>
          </w:tcPr>
          <w:p w:rsidR="00852639" w:rsidRDefault="00721184">
            <w:pPr>
              <w:jc w:val="center"/>
            </w:pPr>
            <w:r>
              <w:rPr>
                <w:rFonts w:eastAsiaTheme="minorEastAsia"/>
                <w:color w:val="000000" w:themeColor="text1"/>
              </w:rPr>
              <w:t>杨景喻</w:t>
            </w:r>
          </w:p>
        </w:tc>
        <w:tc>
          <w:tcPr>
            <w:tcW w:w="850" w:type="dxa"/>
            <w:vAlign w:val="center"/>
          </w:tcPr>
          <w:p w:rsidR="00852639" w:rsidRDefault="00721184">
            <w:pPr>
              <w:jc w:val="center"/>
            </w:pPr>
            <w:r>
              <w:rPr>
                <w:rFonts w:eastAsiaTheme="minorEastAsia"/>
                <w:color w:val="000000" w:themeColor="text1"/>
              </w:rPr>
              <w:t>本基金基金经</w:t>
            </w:r>
            <w:r>
              <w:rPr>
                <w:rFonts w:eastAsiaTheme="minorEastAsia"/>
                <w:color w:val="000000" w:themeColor="text1"/>
              </w:rPr>
              <w:lastRenderedPageBreak/>
              <w:t>理</w:t>
            </w:r>
          </w:p>
        </w:tc>
        <w:tc>
          <w:tcPr>
            <w:tcW w:w="1560" w:type="dxa"/>
            <w:vAlign w:val="center"/>
          </w:tcPr>
          <w:p w:rsidR="00852639" w:rsidRDefault="00721184">
            <w:pPr>
              <w:jc w:val="center"/>
            </w:pPr>
            <w:r>
              <w:rPr>
                <w:rFonts w:eastAsiaTheme="minorEastAsia"/>
                <w:color w:val="000000" w:themeColor="text1"/>
              </w:rPr>
              <w:lastRenderedPageBreak/>
              <w:t>2015-12-30</w:t>
            </w:r>
          </w:p>
        </w:tc>
        <w:tc>
          <w:tcPr>
            <w:tcW w:w="1559" w:type="dxa"/>
            <w:vAlign w:val="center"/>
          </w:tcPr>
          <w:p w:rsidR="00852639" w:rsidRDefault="00721184">
            <w:pPr>
              <w:jc w:val="center"/>
            </w:pPr>
            <w:r>
              <w:rPr>
                <w:rFonts w:eastAsiaTheme="minorEastAsia"/>
                <w:color w:val="000000" w:themeColor="text1"/>
              </w:rPr>
              <w:t>-</w:t>
            </w:r>
          </w:p>
        </w:tc>
        <w:tc>
          <w:tcPr>
            <w:tcW w:w="1417" w:type="dxa"/>
            <w:vAlign w:val="center"/>
          </w:tcPr>
          <w:p w:rsidR="00852639" w:rsidRDefault="00721184">
            <w:pPr>
              <w:jc w:val="center"/>
            </w:pPr>
            <w:r>
              <w:rPr>
                <w:rFonts w:eastAsiaTheme="minorEastAsia"/>
                <w:color w:val="000000" w:themeColor="text1"/>
              </w:rPr>
              <w:t>13</w:t>
            </w:r>
            <w:r>
              <w:rPr>
                <w:rFonts w:eastAsiaTheme="minorEastAsia"/>
                <w:color w:val="000000" w:themeColor="text1"/>
              </w:rPr>
              <w:t>年</w:t>
            </w:r>
          </w:p>
        </w:tc>
        <w:tc>
          <w:tcPr>
            <w:tcW w:w="2694" w:type="dxa"/>
            <w:vAlign w:val="center"/>
          </w:tcPr>
          <w:p w:rsidR="00852639" w:rsidRDefault="00721184">
            <w:r>
              <w:rPr>
                <w:rFonts w:eastAsiaTheme="minorEastAsia"/>
                <w:color w:val="000000" w:themeColor="text1"/>
              </w:rPr>
              <w:t>杨景喻先生，</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07</w:t>
            </w:r>
            <w:r>
              <w:rPr>
                <w:rFonts w:eastAsiaTheme="minorEastAsia"/>
                <w:color w:val="000000" w:themeColor="text1"/>
              </w:rPr>
              <w:t>月至</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03</w:t>
            </w:r>
            <w:r>
              <w:rPr>
                <w:rFonts w:eastAsiaTheme="minorEastAsia"/>
                <w:color w:val="000000" w:themeColor="text1"/>
              </w:rPr>
              <w:t>月在广发基金</w:t>
            </w:r>
            <w:r>
              <w:rPr>
                <w:rFonts w:eastAsiaTheme="minorEastAsia"/>
                <w:color w:val="000000" w:themeColor="text1"/>
              </w:rPr>
              <w:lastRenderedPageBreak/>
              <w:t>管理有限公司担任研究员。自</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月起加入上投摩根基金管理有限公司，先后担任行业专家、基金经理助理、基金经理、高级基金经理，</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月担任上投摩根中国优势证券投资基金基金经理，自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月起担任上投摩根新兴服务股票型证券投资基金基金经理，</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月至</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月同时担任上投摩根智慧生活灵活配置混合型证券投资基金基金经理，自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月起同时担任上投摩根民生需求股票型证券投资基金基金经理，自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起同时担任上投摩根转型动力灵活配置混合型证券投资基金基金经理，自</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月起同时担任上投摩根内需动力混合型证券投资基金、上投摩根成长动力混合型证券投资基金基金经理。</w:t>
            </w:r>
          </w:p>
        </w:tc>
      </w:tr>
      <w:tr w:rsidR="00852639">
        <w:tc>
          <w:tcPr>
            <w:tcW w:w="851" w:type="dxa"/>
            <w:vAlign w:val="center"/>
          </w:tcPr>
          <w:p w:rsidR="00852639" w:rsidRDefault="00721184">
            <w:pPr>
              <w:jc w:val="center"/>
            </w:pPr>
            <w:r>
              <w:rPr>
                <w:rFonts w:eastAsiaTheme="minorEastAsia"/>
                <w:color w:val="000000" w:themeColor="text1"/>
              </w:rPr>
              <w:lastRenderedPageBreak/>
              <w:t>郭晨</w:t>
            </w:r>
          </w:p>
        </w:tc>
        <w:tc>
          <w:tcPr>
            <w:tcW w:w="850" w:type="dxa"/>
            <w:vAlign w:val="center"/>
          </w:tcPr>
          <w:p w:rsidR="00852639" w:rsidRDefault="00721184">
            <w:pPr>
              <w:jc w:val="center"/>
            </w:pPr>
            <w:r>
              <w:rPr>
                <w:rFonts w:eastAsiaTheme="minorEastAsia"/>
                <w:color w:val="000000" w:themeColor="text1"/>
              </w:rPr>
              <w:t>本基金基金经理</w:t>
            </w:r>
          </w:p>
        </w:tc>
        <w:tc>
          <w:tcPr>
            <w:tcW w:w="1560" w:type="dxa"/>
            <w:vAlign w:val="center"/>
          </w:tcPr>
          <w:p w:rsidR="00852639" w:rsidRDefault="00721184">
            <w:pPr>
              <w:jc w:val="center"/>
            </w:pPr>
            <w:r>
              <w:rPr>
                <w:rFonts w:eastAsiaTheme="minorEastAsia"/>
                <w:color w:val="000000" w:themeColor="text1"/>
              </w:rPr>
              <w:t>2015-08-06</w:t>
            </w:r>
          </w:p>
        </w:tc>
        <w:tc>
          <w:tcPr>
            <w:tcW w:w="1559" w:type="dxa"/>
            <w:vAlign w:val="center"/>
          </w:tcPr>
          <w:p w:rsidR="00852639" w:rsidRDefault="00721184">
            <w:pPr>
              <w:jc w:val="center"/>
            </w:pPr>
            <w:r>
              <w:rPr>
                <w:rFonts w:eastAsiaTheme="minorEastAsia"/>
                <w:color w:val="000000" w:themeColor="text1"/>
              </w:rPr>
              <w:t>-</w:t>
            </w:r>
          </w:p>
        </w:tc>
        <w:tc>
          <w:tcPr>
            <w:tcW w:w="1417" w:type="dxa"/>
            <w:vAlign w:val="center"/>
          </w:tcPr>
          <w:p w:rsidR="00852639" w:rsidRDefault="00721184">
            <w:pPr>
              <w:jc w:val="center"/>
            </w:pPr>
            <w:r>
              <w:rPr>
                <w:rFonts w:eastAsiaTheme="minorEastAsia"/>
                <w:color w:val="000000" w:themeColor="text1"/>
              </w:rPr>
              <w:t>15</w:t>
            </w:r>
            <w:r>
              <w:rPr>
                <w:rFonts w:eastAsiaTheme="minorEastAsia"/>
                <w:color w:val="000000" w:themeColor="text1"/>
              </w:rPr>
              <w:t>年</w:t>
            </w:r>
          </w:p>
        </w:tc>
        <w:tc>
          <w:tcPr>
            <w:tcW w:w="2694" w:type="dxa"/>
            <w:vAlign w:val="center"/>
          </w:tcPr>
          <w:p w:rsidR="00852639" w:rsidRDefault="00721184">
            <w:r>
              <w:rPr>
                <w:rFonts w:eastAsiaTheme="minorEastAsia"/>
                <w:color w:val="000000" w:themeColor="text1"/>
              </w:rPr>
              <w:t>郭晨先生，自</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2008</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月在平安资产管理有限公司担任分析师；</w:t>
            </w:r>
            <w:r>
              <w:rPr>
                <w:rFonts w:eastAsiaTheme="minorEastAsia"/>
                <w:color w:val="000000" w:themeColor="text1"/>
              </w:rPr>
              <w:t>2008</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月至</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月在东吴基金管理有限公司担任研究员；</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月在华富基金管理有限公司先后担任基金经理助理、基金经理。</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月起加入上投摩根基金管理有限公司并担任基金经理、国内权益投资部成长组组长兼资深基金经理，自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月起担任上投摩根中小盘混合型证券投资基金基金经理，自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月起同时担任上投摩根智慧互联股票型证</w:t>
            </w:r>
            <w:r>
              <w:rPr>
                <w:rFonts w:eastAsiaTheme="minorEastAsia"/>
                <w:color w:val="000000" w:themeColor="text1"/>
              </w:rPr>
              <w:lastRenderedPageBreak/>
              <w:t>券投资基金基金经理，自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月起同时担任上投摩根新兴服务股票</w:t>
            </w:r>
            <w:r>
              <w:rPr>
                <w:rFonts w:eastAsiaTheme="minorEastAsia"/>
                <w:color w:val="000000" w:themeColor="text1"/>
              </w:rPr>
              <w:t>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月起同时担任上投摩根创新商业模式灵活配置混合型证券投资基金基金经理，自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月起同时担任上投摩根优势成长混合型证券投资基金基金经理，自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月起同时担任上投摩根动力精选混合型证券投资基金基金经理。</w:t>
            </w:r>
          </w:p>
        </w:tc>
      </w:tr>
    </w:tbl>
    <w:p w:rsidR="00852639" w:rsidRDefault="00721184">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852639" w:rsidRDefault="00721184">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郭晨先生为本基金首任基金经理，其任职日期指本基金基金合同生效之日。</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454D20" w:rsidRPr="00FF6B9A" w:rsidRDefault="00454D20" w:rsidP="00454D20">
      <w:pPr>
        <w:autoSpaceDE w:val="0"/>
        <w:autoSpaceDN w:val="0"/>
        <w:adjustRightInd w:val="0"/>
        <w:spacing w:line="360" w:lineRule="auto"/>
        <w:jc w:val="left"/>
        <w:rPr>
          <w:rFonts w:eastAsia="Times New Roman"/>
          <w:b/>
          <w:color w:val="000000"/>
          <w:kern w:val="0"/>
          <w:sz w:val="24"/>
        </w:rPr>
      </w:pPr>
      <w:bookmarkStart w:id="1" w:name="_Hlk44921484"/>
      <w:r w:rsidRPr="00FF6B9A">
        <w:rPr>
          <w:b/>
          <w:color w:val="000000"/>
          <w:kern w:val="0"/>
          <w:sz w:val="24"/>
        </w:rPr>
        <w:t>4</w:t>
      </w:r>
      <w:r w:rsidRPr="00FF6B9A">
        <w:rPr>
          <w:rFonts w:eastAsia="Times New Roman"/>
          <w:b/>
          <w:color w:val="000000"/>
          <w:kern w:val="0"/>
          <w:sz w:val="24"/>
        </w:rPr>
        <w:t>.</w:t>
      </w:r>
      <w:r w:rsidRPr="00FF6B9A">
        <w:rPr>
          <w:b/>
          <w:color w:val="000000"/>
          <w:kern w:val="0"/>
          <w:sz w:val="24"/>
        </w:rPr>
        <w:t xml:space="preserve">1.1 </w:t>
      </w:r>
      <w:r w:rsidRPr="00FF6B9A">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454D20" w:rsidRPr="00FF6B9A" w:rsidTr="00454D20">
        <w:tc>
          <w:tcPr>
            <w:tcW w:w="959"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资产净值</w:t>
            </w:r>
            <w:r w:rsidRPr="00FF6B9A">
              <w:rPr>
                <w:rFonts w:eastAsiaTheme="minorEastAsia"/>
                <w:color w:val="000000"/>
              </w:rPr>
              <w:t>(</w:t>
            </w:r>
            <w:r w:rsidRPr="00FF6B9A">
              <w:rPr>
                <w:rFonts w:eastAsiaTheme="minorEastAsia"/>
                <w:color w:val="000000"/>
              </w:rPr>
              <w:t>元</w:t>
            </w: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任职时间</w:t>
            </w:r>
          </w:p>
        </w:tc>
      </w:tr>
      <w:tr w:rsidR="00454D20" w:rsidRPr="00FF6B9A" w:rsidTr="00454D20">
        <w:tc>
          <w:tcPr>
            <w:tcW w:w="959" w:type="dxa"/>
            <w:vMerge w:val="restart"/>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杨景喻</w:t>
            </w: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公募基金</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5</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2,913,827,193.48</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2015-08-04</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1</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3,023,098,581.51</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2022-06-06</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其他组合</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合计</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6</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5,936,925,774.99</w:t>
            </w:r>
          </w:p>
        </w:tc>
        <w:tc>
          <w:tcPr>
            <w:tcW w:w="1381" w:type="dxa"/>
            <w:tcBorders>
              <w:top w:val="single" w:sz="4" w:space="0" w:color="auto"/>
              <w:left w:val="single" w:sz="4" w:space="0" w:color="auto"/>
              <w:bottom w:val="single" w:sz="4" w:space="0" w:color="auto"/>
              <w:right w:val="single" w:sz="4" w:space="0" w:color="auto"/>
            </w:tcBorders>
          </w:tcPr>
          <w:p w:rsidR="00454D20" w:rsidRPr="00FF6B9A" w:rsidRDefault="00454D20">
            <w:pPr>
              <w:spacing w:line="288" w:lineRule="auto"/>
              <w:jc w:val="left"/>
              <w:rPr>
                <w:rFonts w:eastAsiaTheme="minorEastAsia"/>
                <w:color w:val="000000"/>
              </w:rPr>
            </w:pPr>
          </w:p>
        </w:tc>
      </w:tr>
    </w:tbl>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新兴服务股票型证券投资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852639" w:rsidRDefault="00721184">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w:t>
      </w:r>
      <w:r>
        <w:rPr>
          <w:rFonts w:eastAsiaTheme="minorEastAsia"/>
          <w:color w:val="000000" w:themeColor="text1"/>
        </w:rPr>
        <w:lastRenderedPageBreak/>
        <w:t>理活动相关的环节均得到公平对待。</w:t>
      </w:r>
    </w:p>
    <w:p w:rsidR="00852639" w:rsidRDefault="00721184">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852639" w:rsidRDefault="00721184">
      <w:pPr>
        <w:spacing w:line="360" w:lineRule="auto"/>
        <w:ind w:firstLineChars="200" w:firstLine="420"/>
        <w:rPr>
          <w:rFonts w:eastAsiaTheme="minorEastAsia"/>
          <w:color w:val="000000" w:themeColor="text1"/>
        </w:rPr>
      </w:pPr>
      <w:r>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D06738">
      <w:pPr>
        <w:spacing w:line="360" w:lineRule="auto"/>
        <w:ind w:firstLineChars="200" w:firstLine="420"/>
        <w:rPr>
          <w:rFonts w:eastAsiaTheme="minorEastAsia"/>
          <w:color w:val="000000" w:themeColor="text1"/>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852639" w:rsidRDefault="00721184">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852639" w:rsidRDefault="00721184">
      <w:pPr>
        <w:spacing w:line="360" w:lineRule="auto"/>
        <w:ind w:firstLineChars="200" w:firstLine="420"/>
        <w:rPr>
          <w:rFonts w:eastAsiaTheme="minorEastAsia"/>
          <w:color w:val="000000" w:themeColor="text1"/>
        </w:rPr>
      </w:pPr>
      <w:r>
        <w:rPr>
          <w:rFonts w:eastAsiaTheme="minorEastAsia"/>
          <w:color w:val="000000" w:themeColor="text1"/>
        </w:rPr>
        <w:t>受国内外各类负面因素共振影响，本季度市场显著下跌。美联储超预期的加息力度结合国内弱势的经济，共同构成了本季度的宏观基调。国内货币及财政政策虽有呵护，但力度仍略显不足。加上二季度成长股大幅反弹，部分透支了全年的业绩增长预期。本季度我们维持中性的仓位，结构上重点配置于大消费板块的优质企业，并适当配置成长性突出的制造业以及科技产业公司。</w:t>
      </w:r>
    </w:p>
    <w:p w:rsidR="00852639" w:rsidRDefault="00721184">
      <w:pPr>
        <w:spacing w:line="360" w:lineRule="auto"/>
        <w:ind w:firstLineChars="200" w:firstLine="420"/>
        <w:rPr>
          <w:rFonts w:eastAsiaTheme="minorEastAsia"/>
          <w:color w:val="000000" w:themeColor="text1"/>
        </w:rPr>
      </w:pPr>
      <w:r>
        <w:rPr>
          <w:rFonts w:eastAsiaTheme="minorEastAsia"/>
          <w:color w:val="000000" w:themeColor="text1"/>
        </w:rPr>
        <w:t>展望后市，我们认为市场仍将弱势震荡。</w:t>
      </w:r>
      <w:r>
        <w:rPr>
          <w:rFonts w:eastAsiaTheme="minorEastAsia"/>
          <w:color w:val="000000" w:themeColor="text1"/>
        </w:rPr>
        <w:t xml:space="preserve">1. </w:t>
      </w:r>
      <w:r>
        <w:rPr>
          <w:rFonts w:eastAsiaTheme="minorEastAsia"/>
          <w:color w:val="000000" w:themeColor="text1"/>
        </w:rPr>
        <w:t>虽然国内宏观经济将缓慢复苏，但海外经济面临更大的不确定性，外需或将走弱，在一定程度上对冲了国内政策的效果；</w:t>
      </w:r>
      <w:r>
        <w:rPr>
          <w:rFonts w:eastAsiaTheme="minorEastAsia"/>
          <w:color w:val="000000" w:themeColor="text1"/>
        </w:rPr>
        <w:t xml:space="preserve">2. </w:t>
      </w:r>
      <w:r>
        <w:rPr>
          <w:rFonts w:eastAsiaTheme="minorEastAsia"/>
          <w:color w:val="000000" w:themeColor="text1"/>
        </w:rPr>
        <w:t>疫情和国际关系的不确定性仍然非常显著；这两点加大了对上市公司业绩展望的难度；</w:t>
      </w:r>
      <w:r>
        <w:rPr>
          <w:rFonts w:eastAsiaTheme="minorEastAsia"/>
          <w:color w:val="000000" w:themeColor="text1"/>
        </w:rPr>
        <w:t xml:space="preserve">3. </w:t>
      </w:r>
      <w:r>
        <w:rPr>
          <w:rFonts w:eastAsiaTheme="minorEastAsia"/>
          <w:color w:val="000000" w:themeColor="text1"/>
        </w:rPr>
        <w:t>市场估值体系较为混乱，部分行业虽然已经显著回调，但估值仍然不能说绝对便宜，部分行业由于博弈等原因，估值虚高。举例来说，目前尚难以找到类似</w:t>
      </w:r>
      <w:r>
        <w:rPr>
          <w:rFonts w:eastAsiaTheme="minorEastAsia"/>
          <w:color w:val="000000" w:themeColor="text1"/>
        </w:rPr>
        <w:t>2018</w:t>
      </w:r>
      <w:r>
        <w:rPr>
          <w:rFonts w:eastAsiaTheme="minorEastAsia"/>
          <w:color w:val="000000" w:themeColor="text1"/>
        </w:rPr>
        <w:t>年底的白酒这样的高成长、绝对低估值的板块。</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虽然我们对我国经济的发展、优质企业的未来成长空间仍然充满信心，但我们亦必须承认这样的市场是较难操作的。一方面我们需要面对现实，抛弃幻想，保持相对偏低的仓位；</w:t>
      </w:r>
      <w:r w:rsidRPr="00FF6B9A">
        <w:rPr>
          <w:rFonts w:eastAsiaTheme="minorEastAsia"/>
          <w:color w:val="000000" w:themeColor="text1"/>
        </w:rPr>
        <w:lastRenderedPageBreak/>
        <w:t>另一方面我们需要对影响市场变化的重大边际因素保持高度的敏感，包括但不局限于海内外货币政策的方向性变化，重大经济刺激方略，行业基本面的重大变化等。在这个过程中，我们将保持耐心，重点配置于质地优秀，估值偏低，成长逻辑完好，竞争格局改善的企业，并不断跟踪基本面的变化。</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本报告期上投摩根新兴服务股票份额净值增长率为</w:t>
      </w:r>
      <w:r w:rsidRPr="00FF6B9A">
        <w:rPr>
          <w:rFonts w:eastAsiaTheme="minorEastAsia"/>
          <w:color w:val="000000" w:themeColor="text1"/>
        </w:rPr>
        <w:t>:-14.41%</w:t>
      </w:r>
      <w:r w:rsidRPr="00FF6B9A">
        <w:rPr>
          <w:rFonts w:eastAsiaTheme="minorEastAsia"/>
          <w:color w:val="000000" w:themeColor="text1"/>
        </w:rPr>
        <w:t>，同期业绩比较基准收益率为</w:t>
      </w:r>
      <w:r w:rsidRPr="00FF6B9A">
        <w:rPr>
          <w:rFonts w:eastAsiaTheme="minorEastAsia"/>
          <w:color w:val="000000" w:themeColor="text1"/>
        </w:rPr>
        <w:t>:-12.01%</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852639" w:rsidRDefault="00721184">
      <w:pPr>
        <w:spacing w:line="360" w:lineRule="auto"/>
        <w:ind w:firstLineChars="200" w:firstLine="420"/>
        <w:rPr>
          <w:rFonts w:eastAsiaTheme="minorEastAsia"/>
          <w:color w:val="000000" w:themeColor="text1"/>
        </w:rPr>
      </w:pPr>
      <w:r>
        <w:rPr>
          <w:rFonts w:eastAsiaTheme="minorEastAsia"/>
          <w:color w:val="000000" w:themeColor="text1"/>
          <w:kern w:val="0"/>
        </w:rPr>
        <w:t>报告期内，本基金存在连续六十个工作日基金资产净值低于五千万元的情况，出现该情况的时间范围为</w:t>
      </w:r>
      <w:r>
        <w:rPr>
          <w:rFonts w:eastAsiaTheme="minorEastAsia"/>
          <w:color w:val="000000" w:themeColor="text1"/>
          <w:kern w:val="0"/>
        </w:rPr>
        <w:t>2022</w:t>
      </w:r>
      <w:r>
        <w:rPr>
          <w:rFonts w:eastAsiaTheme="minorEastAsia"/>
          <w:color w:val="000000" w:themeColor="text1"/>
          <w:kern w:val="0"/>
        </w:rPr>
        <w:t>年</w:t>
      </w:r>
      <w:r>
        <w:rPr>
          <w:rFonts w:eastAsiaTheme="minorEastAsia"/>
          <w:color w:val="000000" w:themeColor="text1"/>
          <w:kern w:val="0"/>
        </w:rPr>
        <w:t>07</w:t>
      </w:r>
      <w:r>
        <w:rPr>
          <w:rFonts w:eastAsiaTheme="minorEastAsia"/>
          <w:color w:val="000000" w:themeColor="text1"/>
          <w:kern w:val="0"/>
        </w:rPr>
        <w:t>月</w:t>
      </w:r>
      <w:r>
        <w:rPr>
          <w:rFonts w:eastAsiaTheme="minorEastAsia"/>
          <w:color w:val="000000" w:themeColor="text1"/>
          <w:kern w:val="0"/>
        </w:rPr>
        <w:t>01</w:t>
      </w:r>
      <w:r>
        <w:rPr>
          <w:rFonts w:eastAsiaTheme="minorEastAsia"/>
          <w:color w:val="000000" w:themeColor="text1"/>
          <w:kern w:val="0"/>
        </w:rPr>
        <w:t>日至</w:t>
      </w:r>
      <w:r>
        <w:rPr>
          <w:rFonts w:eastAsiaTheme="minorEastAsia"/>
          <w:color w:val="000000" w:themeColor="text1"/>
          <w:kern w:val="0"/>
        </w:rPr>
        <w:t>2022</w:t>
      </w:r>
      <w:r>
        <w:rPr>
          <w:rFonts w:eastAsiaTheme="minorEastAsia"/>
          <w:color w:val="000000" w:themeColor="text1"/>
          <w:kern w:val="0"/>
        </w:rPr>
        <w:t>年</w:t>
      </w:r>
      <w:r>
        <w:rPr>
          <w:rFonts w:eastAsiaTheme="minorEastAsia"/>
          <w:color w:val="000000" w:themeColor="text1"/>
          <w:kern w:val="0"/>
        </w:rPr>
        <w:t>09</w:t>
      </w:r>
      <w:r>
        <w:rPr>
          <w:rFonts w:eastAsiaTheme="minorEastAsia"/>
          <w:color w:val="000000" w:themeColor="text1"/>
          <w:kern w:val="0"/>
        </w:rPr>
        <w:t>月</w:t>
      </w:r>
      <w:r>
        <w:rPr>
          <w:rFonts w:eastAsiaTheme="minorEastAsia"/>
          <w:color w:val="000000" w:themeColor="text1"/>
          <w:kern w:val="0"/>
        </w:rPr>
        <w:t>30</w:t>
      </w:r>
      <w:r>
        <w:rPr>
          <w:rFonts w:eastAsiaTheme="minorEastAsia"/>
          <w:color w:val="000000" w:themeColor="text1"/>
          <w:kern w:val="0"/>
        </w:rPr>
        <w:t>日。</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基金管理人拟调整本基金运作方式，加大营销力度，提升基金规模，方案已报监管机关。</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30,353,058.31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80.34</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30,353,058.31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80.34</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6,439,011.64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17.04</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990,487.99</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2.62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37,782,557.94</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2,034,904.48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5.42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359,766.00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0.96</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23,027,781.96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61.31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1,112,282.00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2.96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783,692.00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11,775.15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1,468,656.02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3.91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1,554,200.70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4.14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30,353,058.31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80.81</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2"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w:t>
            </w:r>
            <w:r w:rsidRPr="00FF6B9A">
              <w:rPr>
                <w:rFonts w:eastAsiaTheme="minorEastAsia"/>
                <w:kern w:val="0"/>
                <w:sz w:val="24"/>
                <w:szCs w:val="24"/>
              </w:rPr>
              <w:lastRenderedPageBreak/>
              <w:t>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852639">
        <w:tc>
          <w:tcPr>
            <w:tcW w:w="817" w:type="dxa"/>
            <w:vAlign w:val="center"/>
          </w:tcPr>
          <w:p w:rsidR="00852639" w:rsidRDefault="00721184">
            <w:pPr>
              <w:jc w:val="center"/>
            </w:pPr>
            <w:r>
              <w:rPr>
                <w:rFonts w:eastAsiaTheme="minorEastAsia"/>
                <w:kern w:val="0"/>
                <w:sz w:val="24"/>
                <w:szCs w:val="24"/>
              </w:rPr>
              <w:lastRenderedPageBreak/>
              <w:t>1</w:t>
            </w:r>
          </w:p>
        </w:tc>
        <w:tc>
          <w:tcPr>
            <w:tcW w:w="1276" w:type="dxa"/>
            <w:vAlign w:val="center"/>
          </w:tcPr>
          <w:p w:rsidR="00852639" w:rsidRDefault="00721184">
            <w:pPr>
              <w:jc w:val="center"/>
            </w:pPr>
            <w:r>
              <w:rPr>
                <w:rFonts w:eastAsiaTheme="minorEastAsia"/>
                <w:kern w:val="0"/>
                <w:sz w:val="24"/>
                <w:szCs w:val="24"/>
              </w:rPr>
              <w:t>600519</w:t>
            </w:r>
          </w:p>
        </w:tc>
        <w:tc>
          <w:tcPr>
            <w:tcW w:w="1701" w:type="dxa"/>
            <w:vAlign w:val="center"/>
          </w:tcPr>
          <w:p w:rsidR="00852639" w:rsidRDefault="00721184">
            <w:pPr>
              <w:jc w:val="center"/>
            </w:pPr>
            <w:r>
              <w:rPr>
                <w:rFonts w:eastAsiaTheme="minorEastAsia"/>
                <w:kern w:val="0"/>
                <w:sz w:val="24"/>
                <w:szCs w:val="24"/>
              </w:rPr>
              <w:t>贵州茅台</w:t>
            </w:r>
          </w:p>
        </w:tc>
        <w:tc>
          <w:tcPr>
            <w:tcW w:w="1276" w:type="dxa"/>
            <w:vAlign w:val="center"/>
          </w:tcPr>
          <w:p w:rsidR="00852639" w:rsidRDefault="00721184">
            <w:pPr>
              <w:jc w:val="right"/>
            </w:pPr>
            <w:r>
              <w:rPr>
                <w:rFonts w:eastAsiaTheme="minorEastAsia"/>
                <w:kern w:val="0"/>
                <w:sz w:val="24"/>
                <w:szCs w:val="24"/>
              </w:rPr>
              <w:t>1,300.00</w:t>
            </w:r>
          </w:p>
        </w:tc>
        <w:tc>
          <w:tcPr>
            <w:tcW w:w="1842" w:type="dxa"/>
            <w:vAlign w:val="center"/>
          </w:tcPr>
          <w:p w:rsidR="00852639" w:rsidRDefault="00721184">
            <w:pPr>
              <w:jc w:val="right"/>
            </w:pPr>
            <w:r>
              <w:rPr>
                <w:rFonts w:eastAsiaTheme="minorEastAsia"/>
                <w:kern w:val="0"/>
                <w:sz w:val="24"/>
                <w:szCs w:val="24"/>
              </w:rPr>
              <w:t>2,434,250.00</w:t>
            </w:r>
          </w:p>
        </w:tc>
        <w:tc>
          <w:tcPr>
            <w:tcW w:w="1616" w:type="dxa"/>
            <w:vAlign w:val="center"/>
          </w:tcPr>
          <w:p w:rsidR="00852639" w:rsidRDefault="00721184">
            <w:pPr>
              <w:jc w:val="right"/>
            </w:pPr>
            <w:r>
              <w:rPr>
                <w:rFonts w:eastAsiaTheme="minorEastAsia"/>
                <w:kern w:val="0"/>
                <w:sz w:val="24"/>
                <w:szCs w:val="24"/>
              </w:rPr>
              <w:t>6.48</w:t>
            </w:r>
          </w:p>
        </w:tc>
      </w:tr>
      <w:tr w:rsidR="00852639">
        <w:tc>
          <w:tcPr>
            <w:tcW w:w="817" w:type="dxa"/>
            <w:vAlign w:val="center"/>
          </w:tcPr>
          <w:p w:rsidR="00852639" w:rsidRDefault="00721184">
            <w:pPr>
              <w:jc w:val="center"/>
            </w:pPr>
            <w:r>
              <w:rPr>
                <w:rFonts w:eastAsiaTheme="minorEastAsia"/>
                <w:kern w:val="0"/>
                <w:sz w:val="24"/>
                <w:szCs w:val="24"/>
              </w:rPr>
              <w:t>2</w:t>
            </w:r>
          </w:p>
        </w:tc>
        <w:tc>
          <w:tcPr>
            <w:tcW w:w="1276" w:type="dxa"/>
            <w:vAlign w:val="center"/>
          </w:tcPr>
          <w:p w:rsidR="00852639" w:rsidRDefault="00721184">
            <w:pPr>
              <w:jc w:val="center"/>
            </w:pPr>
            <w:r>
              <w:rPr>
                <w:rFonts w:eastAsiaTheme="minorEastAsia"/>
                <w:kern w:val="0"/>
                <w:sz w:val="24"/>
                <w:szCs w:val="24"/>
              </w:rPr>
              <w:t>002714</w:t>
            </w:r>
          </w:p>
        </w:tc>
        <w:tc>
          <w:tcPr>
            <w:tcW w:w="1701" w:type="dxa"/>
            <w:vAlign w:val="center"/>
          </w:tcPr>
          <w:p w:rsidR="00852639" w:rsidRDefault="00721184">
            <w:pPr>
              <w:jc w:val="center"/>
            </w:pPr>
            <w:r>
              <w:rPr>
                <w:rFonts w:eastAsiaTheme="minorEastAsia"/>
                <w:kern w:val="0"/>
                <w:sz w:val="24"/>
                <w:szCs w:val="24"/>
              </w:rPr>
              <w:t>牧原股份</w:t>
            </w:r>
          </w:p>
        </w:tc>
        <w:tc>
          <w:tcPr>
            <w:tcW w:w="1276" w:type="dxa"/>
            <w:vAlign w:val="center"/>
          </w:tcPr>
          <w:p w:rsidR="00852639" w:rsidRDefault="00721184">
            <w:pPr>
              <w:jc w:val="right"/>
            </w:pPr>
            <w:r>
              <w:rPr>
                <w:rFonts w:eastAsiaTheme="minorEastAsia"/>
                <w:kern w:val="0"/>
                <w:sz w:val="24"/>
                <w:szCs w:val="24"/>
              </w:rPr>
              <w:t>37,324.00</w:t>
            </w:r>
          </w:p>
        </w:tc>
        <w:tc>
          <w:tcPr>
            <w:tcW w:w="1842" w:type="dxa"/>
            <w:vAlign w:val="center"/>
          </w:tcPr>
          <w:p w:rsidR="00852639" w:rsidRDefault="00721184">
            <w:pPr>
              <w:jc w:val="right"/>
            </w:pPr>
            <w:r>
              <w:rPr>
                <w:rFonts w:eastAsiaTheme="minorEastAsia"/>
                <w:kern w:val="0"/>
                <w:sz w:val="24"/>
                <w:szCs w:val="24"/>
              </w:rPr>
              <w:t>2,034,904.48</w:t>
            </w:r>
          </w:p>
        </w:tc>
        <w:tc>
          <w:tcPr>
            <w:tcW w:w="1616" w:type="dxa"/>
            <w:vAlign w:val="center"/>
          </w:tcPr>
          <w:p w:rsidR="00852639" w:rsidRDefault="00721184">
            <w:pPr>
              <w:jc w:val="right"/>
            </w:pPr>
            <w:r>
              <w:rPr>
                <w:rFonts w:eastAsiaTheme="minorEastAsia"/>
                <w:kern w:val="0"/>
                <w:sz w:val="24"/>
                <w:szCs w:val="24"/>
              </w:rPr>
              <w:t>5.42</w:t>
            </w:r>
          </w:p>
        </w:tc>
      </w:tr>
      <w:tr w:rsidR="00852639">
        <w:tc>
          <w:tcPr>
            <w:tcW w:w="817" w:type="dxa"/>
            <w:vAlign w:val="center"/>
          </w:tcPr>
          <w:p w:rsidR="00852639" w:rsidRDefault="00721184">
            <w:pPr>
              <w:jc w:val="center"/>
            </w:pPr>
            <w:r>
              <w:rPr>
                <w:rFonts w:eastAsiaTheme="minorEastAsia"/>
                <w:kern w:val="0"/>
                <w:sz w:val="24"/>
                <w:szCs w:val="24"/>
              </w:rPr>
              <w:t>3</w:t>
            </w:r>
          </w:p>
        </w:tc>
        <w:tc>
          <w:tcPr>
            <w:tcW w:w="1276" w:type="dxa"/>
            <w:vAlign w:val="center"/>
          </w:tcPr>
          <w:p w:rsidR="00852639" w:rsidRDefault="00721184">
            <w:pPr>
              <w:jc w:val="center"/>
            </w:pPr>
            <w:r>
              <w:rPr>
                <w:rFonts w:eastAsiaTheme="minorEastAsia"/>
                <w:kern w:val="0"/>
                <w:sz w:val="24"/>
                <w:szCs w:val="24"/>
              </w:rPr>
              <w:t>300015</w:t>
            </w:r>
          </w:p>
        </w:tc>
        <w:tc>
          <w:tcPr>
            <w:tcW w:w="1701" w:type="dxa"/>
            <w:vAlign w:val="center"/>
          </w:tcPr>
          <w:p w:rsidR="00852639" w:rsidRDefault="00721184">
            <w:pPr>
              <w:jc w:val="center"/>
            </w:pPr>
            <w:r>
              <w:rPr>
                <w:rFonts w:eastAsiaTheme="minorEastAsia"/>
                <w:kern w:val="0"/>
                <w:sz w:val="24"/>
                <w:szCs w:val="24"/>
              </w:rPr>
              <w:t>爱尔眼科</w:t>
            </w:r>
          </w:p>
        </w:tc>
        <w:tc>
          <w:tcPr>
            <w:tcW w:w="1276" w:type="dxa"/>
            <w:vAlign w:val="center"/>
          </w:tcPr>
          <w:p w:rsidR="00852639" w:rsidRDefault="00721184">
            <w:pPr>
              <w:jc w:val="right"/>
            </w:pPr>
            <w:r>
              <w:rPr>
                <w:rFonts w:eastAsiaTheme="minorEastAsia"/>
                <w:kern w:val="0"/>
                <w:sz w:val="24"/>
                <w:szCs w:val="24"/>
              </w:rPr>
              <w:t>54,210.00</w:t>
            </w:r>
          </w:p>
        </w:tc>
        <w:tc>
          <w:tcPr>
            <w:tcW w:w="1842" w:type="dxa"/>
            <w:vAlign w:val="center"/>
          </w:tcPr>
          <w:p w:rsidR="00852639" w:rsidRDefault="00721184">
            <w:pPr>
              <w:jc w:val="right"/>
            </w:pPr>
            <w:r>
              <w:rPr>
                <w:rFonts w:eastAsiaTheme="minorEastAsia"/>
                <w:kern w:val="0"/>
                <w:sz w:val="24"/>
                <w:szCs w:val="24"/>
              </w:rPr>
              <w:t>1,554,200.70</w:t>
            </w:r>
          </w:p>
        </w:tc>
        <w:tc>
          <w:tcPr>
            <w:tcW w:w="1616" w:type="dxa"/>
            <w:vAlign w:val="center"/>
          </w:tcPr>
          <w:p w:rsidR="00852639" w:rsidRDefault="00721184">
            <w:pPr>
              <w:jc w:val="right"/>
            </w:pPr>
            <w:r>
              <w:rPr>
                <w:rFonts w:eastAsiaTheme="minorEastAsia"/>
                <w:kern w:val="0"/>
                <w:sz w:val="24"/>
                <w:szCs w:val="24"/>
              </w:rPr>
              <w:t>4.14</w:t>
            </w:r>
          </w:p>
        </w:tc>
      </w:tr>
      <w:tr w:rsidR="00852639">
        <w:tc>
          <w:tcPr>
            <w:tcW w:w="817" w:type="dxa"/>
            <w:vAlign w:val="center"/>
          </w:tcPr>
          <w:p w:rsidR="00852639" w:rsidRDefault="00721184">
            <w:pPr>
              <w:jc w:val="center"/>
            </w:pPr>
            <w:r>
              <w:rPr>
                <w:rFonts w:eastAsiaTheme="minorEastAsia"/>
                <w:kern w:val="0"/>
                <w:sz w:val="24"/>
                <w:szCs w:val="24"/>
              </w:rPr>
              <w:t>4</w:t>
            </w:r>
          </w:p>
        </w:tc>
        <w:tc>
          <w:tcPr>
            <w:tcW w:w="1276" w:type="dxa"/>
            <w:vAlign w:val="center"/>
          </w:tcPr>
          <w:p w:rsidR="00852639" w:rsidRDefault="00721184">
            <w:pPr>
              <w:jc w:val="center"/>
            </w:pPr>
            <w:r>
              <w:rPr>
                <w:rFonts w:eastAsiaTheme="minorEastAsia"/>
                <w:kern w:val="0"/>
                <w:sz w:val="24"/>
                <w:szCs w:val="24"/>
              </w:rPr>
              <w:t>600600</w:t>
            </w:r>
          </w:p>
        </w:tc>
        <w:tc>
          <w:tcPr>
            <w:tcW w:w="1701" w:type="dxa"/>
            <w:vAlign w:val="center"/>
          </w:tcPr>
          <w:p w:rsidR="00852639" w:rsidRDefault="00721184">
            <w:pPr>
              <w:jc w:val="center"/>
            </w:pPr>
            <w:r>
              <w:rPr>
                <w:rFonts w:eastAsiaTheme="minorEastAsia"/>
                <w:kern w:val="0"/>
                <w:sz w:val="24"/>
                <w:szCs w:val="24"/>
              </w:rPr>
              <w:t>青岛啤酒</w:t>
            </w:r>
          </w:p>
        </w:tc>
        <w:tc>
          <w:tcPr>
            <w:tcW w:w="1276" w:type="dxa"/>
            <w:vAlign w:val="center"/>
          </w:tcPr>
          <w:p w:rsidR="00852639" w:rsidRDefault="00721184">
            <w:pPr>
              <w:jc w:val="right"/>
            </w:pPr>
            <w:r>
              <w:rPr>
                <w:rFonts w:eastAsiaTheme="minorEastAsia"/>
                <w:kern w:val="0"/>
                <w:sz w:val="24"/>
                <w:szCs w:val="24"/>
              </w:rPr>
              <w:t>12,200.00</w:t>
            </w:r>
          </w:p>
        </w:tc>
        <w:tc>
          <w:tcPr>
            <w:tcW w:w="1842" w:type="dxa"/>
            <w:vAlign w:val="center"/>
          </w:tcPr>
          <w:p w:rsidR="00852639" w:rsidRDefault="00721184">
            <w:pPr>
              <w:jc w:val="right"/>
            </w:pPr>
            <w:r>
              <w:rPr>
                <w:rFonts w:eastAsiaTheme="minorEastAsia"/>
                <w:kern w:val="0"/>
                <w:sz w:val="24"/>
                <w:szCs w:val="24"/>
              </w:rPr>
              <w:t>1,295,640.00</w:t>
            </w:r>
          </w:p>
        </w:tc>
        <w:tc>
          <w:tcPr>
            <w:tcW w:w="1616" w:type="dxa"/>
            <w:vAlign w:val="center"/>
          </w:tcPr>
          <w:p w:rsidR="00852639" w:rsidRDefault="00721184">
            <w:pPr>
              <w:jc w:val="right"/>
            </w:pPr>
            <w:r>
              <w:rPr>
                <w:rFonts w:eastAsiaTheme="minorEastAsia"/>
                <w:kern w:val="0"/>
                <w:sz w:val="24"/>
                <w:szCs w:val="24"/>
              </w:rPr>
              <w:t>3.45</w:t>
            </w:r>
          </w:p>
        </w:tc>
      </w:tr>
      <w:tr w:rsidR="00852639">
        <w:tc>
          <w:tcPr>
            <w:tcW w:w="817" w:type="dxa"/>
            <w:vAlign w:val="center"/>
          </w:tcPr>
          <w:p w:rsidR="00852639" w:rsidRDefault="00721184">
            <w:pPr>
              <w:jc w:val="center"/>
            </w:pPr>
            <w:r>
              <w:rPr>
                <w:rFonts w:eastAsiaTheme="minorEastAsia"/>
                <w:kern w:val="0"/>
                <w:sz w:val="24"/>
                <w:szCs w:val="24"/>
              </w:rPr>
              <w:t>5</w:t>
            </w:r>
          </w:p>
        </w:tc>
        <w:tc>
          <w:tcPr>
            <w:tcW w:w="1276" w:type="dxa"/>
            <w:vAlign w:val="center"/>
          </w:tcPr>
          <w:p w:rsidR="00852639" w:rsidRDefault="00721184">
            <w:pPr>
              <w:jc w:val="center"/>
            </w:pPr>
            <w:r>
              <w:rPr>
                <w:rFonts w:eastAsiaTheme="minorEastAsia"/>
                <w:kern w:val="0"/>
                <w:sz w:val="24"/>
                <w:szCs w:val="24"/>
              </w:rPr>
              <w:t>603345</w:t>
            </w:r>
          </w:p>
        </w:tc>
        <w:tc>
          <w:tcPr>
            <w:tcW w:w="1701" w:type="dxa"/>
            <w:vAlign w:val="center"/>
          </w:tcPr>
          <w:p w:rsidR="00852639" w:rsidRDefault="00721184">
            <w:pPr>
              <w:jc w:val="center"/>
            </w:pPr>
            <w:r>
              <w:rPr>
                <w:rFonts w:eastAsiaTheme="minorEastAsia"/>
                <w:kern w:val="0"/>
                <w:sz w:val="24"/>
                <w:szCs w:val="24"/>
              </w:rPr>
              <w:t>安井食品</w:t>
            </w:r>
          </w:p>
        </w:tc>
        <w:tc>
          <w:tcPr>
            <w:tcW w:w="1276" w:type="dxa"/>
            <w:vAlign w:val="center"/>
          </w:tcPr>
          <w:p w:rsidR="00852639" w:rsidRDefault="00721184">
            <w:pPr>
              <w:jc w:val="right"/>
            </w:pPr>
            <w:r>
              <w:rPr>
                <w:rFonts w:eastAsiaTheme="minorEastAsia"/>
                <w:kern w:val="0"/>
                <w:sz w:val="24"/>
                <w:szCs w:val="24"/>
              </w:rPr>
              <w:t>8,300.00</w:t>
            </w:r>
          </w:p>
        </w:tc>
        <w:tc>
          <w:tcPr>
            <w:tcW w:w="1842" w:type="dxa"/>
            <w:vAlign w:val="center"/>
          </w:tcPr>
          <w:p w:rsidR="00852639" w:rsidRDefault="00721184">
            <w:pPr>
              <w:jc w:val="right"/>
            </w:pPr>
            <w:r>
              <w:rPr>
                <w:rFonts w:eastAsiaTheme="minorEastAsia"/>
                <w:kern w:val="0"/>
                <w:sz w:val="24"/>
                <w:szCs w:val="24"/>
              </w:rPr>
              <w:t>1,288,824.00</w:t>
            </w:r>
          </w:p>
        </w:tc>
        <w:tc>
          <w:tcPr>
            <w:tcW w:w="1616" w:type="dxa"/>
            <w:vAlign w:val="center"/>
          </w:tcPr>
          <w:p w:rsidR="00852639" w:rsidRDefault="00721184">
            <w:pPr>
              <w:jc w:val="right"/>
            </w:pPr>
            <w:r>
              <w:rPr>
                <w:rFonts w:eastAsiaTheme="minorEastAsia"/>
                <w:kern w:val="0"/>
                <w:sz w:val="24"/>
                <w:szCs w:val="24"/>
              </w:rPr>
              <w:t>3.43</w:t>
            </w:r>
          </w:p>
        </w:tc>
      </w:tr>
      <w:tr w:rsidR="00852639">
        <w:tc>
          <w:tcPr>
            <w:tcW w:w="817" w:type="dxa"/>
            <w:vAlign w:val="center"/>
          </w:tcPr>
          <w:p w:rsidR="00852639" w:rsidRDefault="00721184">
            <w:pPr>
              <w:jc w:val="center"/>
            </w:pPr>
            <w:r>
              <w:rPr>
                <w:rFonts w:eastAsiaTheme="minorEastAsia"/>
                <w:kern w:val="0"/>
                <w:sz w:val="24"/>
                <w:szCs w:val="24"/>
              </w:rPr>
              <w:t>6</w:t>
            </w:r>
          </w:p>
        </w:tc>
        <w:tc>
          <w:tcPr>
            <w:tcW w:w="1276" w:type="dxa"/>
            <w:vAlign w:val="center"/>
          </w:tcPr>
          <w:p w:rsidR="00852639" w:rsidRDefault="00721184">
            <w:pPr>
              <w:jc w:val="center"/>
            </w:pPr>
            <w:r>
              <w:rPr>
                <w:rFonts w:eastAsiaTheme="minorEastAsia"/>
                <w:kern w:val="0"/>
                <w:sz w:val="24"/>
                <w:szCs w:val="24"/>
              </w:rPr>
              <w:t>000568</w:t>
            </w:r>
          </w:p>
        </w:tc>
        <w:tc>
          <w:tcPr>
            <w:tcW w:w="1701" w:type="dxa"/>
            <w:vAlign w:val="center"/>
          </w:tcPr>
          <w:p w:rsidR="00852639" w:rsidRDefault="00721184">
            <w:pPr>
              <w:jc w:val="center"/>
            </w:pPr>
            <w:r>
              <w:rPr>
                <w:rFonts w:eastAsiaTheme="minorEastAsia"/>
                <w:kern w:val="0"/>
                <w:sz w:val="24"/>
                <w:szCs w:val="24"/>
              </w:rPr>
              <w:t>泸州老窖</w:t>
            </w:r>
          </w:p>
        </w:tc>
        <w:tc>
          <w:tcPr>
            <w:tcW w:w="1276" w:type="dxa"/>
            <w:vAlign w:val="center"/>
          </w:tcPr>
          <w:p w:rsidR="00852639" w:rsidRDefault="00721184">
            <w:pPr>
              <w:jc w:val="right"/>
            </w:pPr>
            <w:r>
              <w:rPr>
                <w:rFonts w:eastAsiaTheme="minorEastAsia"/>
                <w:kern w:val="0"/>
                <w:sz w:val="24"/>
                <w:szCs w:val="24"/>
              </w:rPr>
              <w:t>5,100.00</w:t>
            </w:r>
          </w:p>
        </w:tc>
        <w:tc>
          <w:tcPr>
            <w:tcW w:w="1842" w:type="dxa"/>
            <w:vAlign w:val="center"/>
          </w:tcPr>
          <w:p w:rsidR="00852639" w:rsidRDefault="00721184">
            <w:pPr>
              <w:jc w:val="right"/>
            </w:pPr>
            <w:r>
              <w:rPr>
                <w:rFonts w:eastAsiaTheme="minorEastAsia"/>
                <w:kern w:val="0"/>
                <w:sz w:val="24"/>
                <w:szCs w:val="24"/>
              </w:rPr>
              <w:t>1,176,366.00</w:t>
            </w:r>
          </w:p>
        </w:tc>
        <w:tc>
          <w:tcPr>
            <w:tcW w:w="1616" w:type="dxa"/>
            <w:vAlign w:val="center"/>
          </w:tcPr>
          <w:p w:rsidR="00852639" w:rsidRDefault="00721184">
            <w:pPr>
              <w:jc w:val="right"/>
            </w:pPr>
            <w:r>
              <w:rPr>
                <w:rFonts w:eastAsiaTheme="minorEastAsia"/>
                <w:kern w:val="0"/>
                <w:sz w:val="24"/>
                <w:szCs w:val="24"/>
              </w:rPr>
              <w:t>3.13</w:t>
            </w:r>
          </w:p>
        </w:tc>
      </w:tr>
      <w:tr w:rsidR="00852639">
        <w:tc>
          <w:tcPr>
            <w:tcW w:w="817" w:type="dxa"/>
            <w:vAlign w:val="center"/>
          </w:tcPr>
          <w:p w:rsidR="00852639" w:rsidRDefault="00721184">
            <w:pPr>
              <w:jc w:val="center"/>
            </w:pPr>
            <w:r>
              <w:rPr>
                <w:rFonts w:eastAsiaTheme="minorEastAsia"/>
                <w:kern w:val="0"/>
                <w:sz w:val="24"/>
                <w:szCs w:val="24"/>
              </w:rPr>
              <w:t>7</w:t>
            </w:r>
          </w:p>
        </w:tc>
        <w:tc>
          <w:tcPr>
            <w:tcW w:w="1276" w:type="dxa"/>
            <w:vAlign w:val="center"/>
          </w:tcPr>
          <w:p w:rsidR="00852639" w:rsidRDefault="00721184">
            <w:pPr>
              <w:jc w:val="center"/>
            </w:pPr>
            <w:r>
              <w:rPr>
                <w:rFonts w:eastAsiaTheme="minorEastAsia"/>
                <w:kern w:val="0"/>
                <w:sz w:val="24"/>
                <w:szCs w:val="24"/>
              </w:rPr>
              <w:t>603605</w:t>
            </w:r>
          </w:p>
        </w:tc>
        <w:tc>
          <w:tcPr>
            <w:tcW w:w="1701" w:type="dxa"/>
            <w:vAlign w:val="center"/>
          </w:tcPr>
          <w:p w:rsidR="00852639" w:rsidRDefault="00721184">
            <w:pPr>
              <w:jc w:val="center"/>
            </w:pPr>
            <w:r>
              <w:rPr>
                <w:rFonts w:eastAsiaTheme="minorEastAsia"/>
                <w:kern w:val="0"/>
                <w:sz w:val="24"/>
                <w:szCs w:val="24"/>
              </w:rPr>
              <w:t>珀莱雅</w:t>
            </w:r>
          </w:p>
        </w:tc>
        <w:tc>
          <w:tcPr>
            <w:tcW w:w="1276" w:type="dxa"/>
            <w:vAlign w:val="center"/>
          </w:tcPr>
          <w:p w:rsidR="00852639" w:rsidRDefault="00721184">
            <w:pPr>
              <w:jc w:val="right"/>
            </w:pPr>
            <w:r>
              <w:rPr>
                <w:rFonts w:eastAsiaTheme="minorEastAsia"/>
                <w:kern w:val="0"/>
                <w:sz w:val="24"/>
                <w:szCs w:val="24"/>
              </w:rPr>
              <w:t>7,100.00</w:t>
            </w:r>
          </w:p>
        </w:tc>
        <w:tc>
          <w:tcPr>
            <w:tcW w:w="1842" w:type="dxa"/>
            <w:vAlign w:val="center"/>
          </w:tcPr>
          <w:p w:rsidR="00852639" w:rsidRDefault="00721184">
            <w:pPr>
              <w:jc w:val="right"/>
            </w:pPr>
            <w:r>
              <w:rPr>
                <w:rFonts w:eastAsiaTheme="minorEastAsia"/>
                <w:kern w:val="0"/>
                <w:sz w:val="24"/>
                <w:szCs w:val="24"/>
              </w:rPr>
              <w:t>1,156,803.00</w:t>
            </w:r>
          </w:p>
        </w:tc>
        <w:tc>
          <w:tcPr>
            <w:tcW w:w="1616" w:type="dxa"/>
            <w:vAlign w:val="center"/>
          </w:tcPr>
          <w:p w:rsidR="00852639" w:rsidRDefault="00721184">
            <w:pPr>
              <w:jc w:val="right"/>
            </w:pPr>
            <w:r>
              <w:rPr>
                <w:rFonts w:eastAsiaTheme="minorEastAsia"/>
                <w:kern w:val="0"/>
                <w:sz w:val="24"/>
                <w:szCs w:val="24"/>
              </w:rPr>
              <w:t>3.08</w:t>
            </w:r>
          </w:p>
        </w:tc>
      </w:tr>
      <w:tr w:rsidR="00852639">
        <w:tc>
          <w:tcPr>
            <w:tcW w:w="817" w:type="dxa"/>
            <w:vAlign w:val="center"/>
          </w:tcPr>
          <w:p w:rsidR="00852639" w:rsidRDefault="00721184">
            <w:pPr>
              <w:jc w:val="center"/>
            </w:pPr>
            <w:r>
              <w:rPr>
                <w:rFonts w:eastAsiaTheme="minorEastAsia"/>
                <w:kern w:val="0"/>
                <w:sz w:val="24"/>
                <w:szCs w:val="24"/>
              </w:rPr>
              <w:t>8</w:t>
            </w:r>
          </w:p>
        </w:tc>
        <w:tc>
          <w:tcPr>
            <w:tcW w:w="1276" w:type="dxa"/>
            <w:vAlign w:val="center"/>
          </w:tcPr>
          <w:p w:rsidR="00852639" w:rsidRDefault="00721184">
            <w:pPr>
              <w:jc w:val="center"/>
            </w:pPr>
            <w:r>
              <w:rPr>
                <w:rFonts w:eastAsiaTheme="minorEastAsia"/>
                <w:kern w:val="0"/>
                <w:sz w:val="24"/>
                <w:szCs w:val="24"/>
              </w:rPr>
              <w:t>603301</w:t>
            </w:r>
          </w:p>
        </w:tc>
        <w:tc>
          <w:tcPr>
            <w:tcW w:w="1701" w:type="dxa"/>
            <w:vAlign w:val="center"/>
          </w:tcPr>
          <w:p w:rsidR="00852639" w:rsidRDefault="00721184">
            <w:pPr>
              <w:jc w:val="center"/>
            </w:pPr>
            <w:r>
              <w:rPr>
                <w:rFonts w:eastAsiaTheme="minorEastAsia"/>
                <w:kern w:val="0"/>
                <w:sz w:val="24"/>
                <w:szCs w:val="24"/>
              </w:rPr>
              <w:t>振德医疗</w:t>
            </w:r>
          </w:p>
        </w:tc>
        <w:tc>
          <w:tcPr>
            <w:tcW w:w="1276" w:type="dxa"/>
            <w:vAlign w:val="center"/>
          </w:tcPr>
          <w:p w:rsidR="00852639" w:rsidRDefault="00721184">
            <w:pPr>
              <w:jc w:val="right"/>
            </w:pPr>
            <w:r>
              <w:rPr>
                <w:rFonts w:eastAsiaTheme="minorEastAsia"/>
                <w:kern w:val="0"/>
                <w:sz w:val="24"/>
                <w:szCs w:val="24"/>
              </w:rPr>
              <w:t>25,500.00</w:t>
            </w:r>
          </w:p>
        </w:tc>
        <w:tc>
          <w:tcPr>
            <w:tcW w:w="1842" w:type="dxa"/>
            <w:vAlign w:val="center"/>
          </w:tcPr>
          <w:p w:rsidR="00852639" w:rsidRDefault="00721184">
            <w:pPr>
              <w:jc w:val="right"/>
            </w:pPr>
            <w:r>
              <w:rPr>
                <w:rFonts w:eastAsiaTheme="minorEastAsia"/>
                <w:kern w:val="0"/>
                <w:sz w:val="24"/>
                <w:szCs w:val="24"/>
              </w:rPr>
              <w:t>1,121,745.00</w:t>
            </w:r>
          </w:p>
        </w:tc>
        <w:tc>
          <w:tcPr>
            <w:tcW w:w="1616" w:type="dxa"/>
            <w:vAlign w:val="center"/>
          </w:tcPr>
          <w:p w:rsidR="00852639" w:rsidRDefault="00721184">
            <w:pPr>
              <w:jc w:val="right"/>
            </w:pPr>
            <w:r>
              <w:rPr>
                <w:rFonts w:eastAsiaTheme="minorEastAsia"/>
                <w:kern w:val="0"/>
                <w:sz w:val="24"/>
                <w:szCs w:val="24"/>
              </w:rPr>
              <w:t>2.99</w:t>
            </w:r>
          </w:p>
        </w:tc>
      </w:tr>
      <w:tr w:rsidR="00852639">
        <w:tc>
          <w:tcPr>
            <w:tcW w:w="817" w:type="dxa"/>
            <w:vAlign w:val="center"/>
          </w:tcPr>
          <w:p w:rsidR="00852639" w:rsidRDefault="00721184">
            <w:pPr>
              <w:jc w:val="center"/>
            </w:pPr>
            <w:r>
              <w:rPr>
                <w:rFonts w:eastAsiaTheme="minorEastAsia"/>
                <w:kern w:val="0"/>
                <w:sz w:val="24"/>
                <w:szCs w:val="24"/>
              </w:rPr>
              <w:t>9</w:t>
            </w:r>
          </w:p>
        </w:tc>
        <w:tc>
          <w:tcPr>
            <w:tcW w:w="1276" w:type="dxa"/>
            <w:vAlign w:val="center"/>
          </w:tcPr>
          <w:p w:rsidR="00852639" w:rsidRDefault="00721184">
            <w:pPr>
              <w:jc w:val="center"/>
            </w:pPr>
            <w:r>
              <w:rPr>
                <w:rFonts w:eastAsiaTheme="minorEastAsia"/>
                <w:kern w:val="0"/>
                <w:sz w:val="24"/>
                <w:szCs w:val="24"/>
              </w:rPr>
              <w:t>002180</w:t>
            </w:r>
          </w:p>
        </w:tc>
        <w:tc>
          <w:tcPr>
            <w:tcW w:w="1701" w:type="dxa"/>
            <w:vAlign w:val="center"/>
          </w:tcPr>
          <w:p w:rsidR="00852639" w:rsidRDefault="00721184">
            <w:pPr>
              <w:jc w:val="center"/>
            </w:pPr>
            <w:r>
              <w:rPr>
                <w:rFonts w:eastAsiaTheme="minorEastAsia"/>
                <w:kern w:val="0"/>
                <w:sz w:val="24"/>
                <w:szCs w:val="24"/>
              </w:rPr>
              <w:t>纳思达</w:t>
            </w:r>
          </w:p>
        </w:tc>
        <w:tc>
          <w:tcPr>
            <w:tcW w:w="1276" w:type="dxa"/>
            <w:vAlign w:val="center"/>
          </w:tcPr>
          <w:p w:rsidR="00852639" w:rsidRDefault="00721184">
            <w:pPr>
              <w:jc w:val="right"/>
            </w:pPr>
            <w:r>
              <w:rPr>
                <w:rFonts w:eastAsiaTheme="minorEastAsia"/>
                <w:kern w:val="0"/>
                <w:sz w:val="24"/>
                <w:szCs w:val="24"/>
              </w:rPr>
              <w:t>25,950.00</w:t>
            </w:r>
          </w:p>
        </w:tc>
        <w:tc>
          <w:tcPr>
            <w:tcW w:w="1842" w:type="dxa"/>
            <w:vAlign w:val="center"/>
          </w:tcPr>
          <w:p w:rsidR="00852639" w:rsidRDefault="00721184">
            <w:pPr>
              <w:jc w:val="right"/>
            </w:pPr>
            <w:r>
              <w:rPr>
                <w:rFonts w:eastAsiaTheme="minorEastAsia"/>
                <w:kern w:val="0"/>
                <w:sz w:val="24"/>
                <w:szCs w:val="24"/>
              </w:rPr>
              <w:t>1,119,742.50</w:t>
            </w:r>
          </w:p>
        </w:tc>
        <w:tc>
          <w:tcPr>
            <w:tcW w:w="1616" w:type="dxa"/>
            <w:vAlign w:val="center"/>
          </w:tcPr>
          <w:p w:rsidR="00852639" w:rsidRDefault="00721184">
            <w:pPr>
              <w:jc w:val="right"/>
            </w:pPr>
            <w:r>
              <w:rPr>
                <w:rFonts w:eastAsiaTheme="minorEastAsia"/>
                <w:kern w:val="0"/>
                <w:sz w:val="24"/>
                <w:szCs w:val="24"/>
              </w:rPr>
              <w:t>2.98</w:t>
            </w:r>
          </w:p>
        </w:tc>
      </w:tr>
      <w:tr w:rsidR="00852639">
        <w:tc>
          <w:tcPr>
            <w:tcW w:w="817" w:type="dxa"/>
            <w:vAlign w:val="center"/>
          </w:tcPr>
          <w:p w:rsidR="00852639" w:rsidRDefault="00721184">
            <w:pPr>
              <w:jc w:val="center"/>
            </w:pPr>
            <w:r>
              <w:rPr>
                <w:rFonts w:eastAsiaTheme="minorEastAsia"/>
                <w:kern w:val="0"/>
                <w:sz w:val="24"/>
                <w:szCs w:val="24"/>
              </w:rPr>
              <w:t>10</w:t>
            </w:r>
          </w:p>
        </w:tc>
        <w:tc>
          <w:tcPr>
            <w:tcW w:w="1276" w:type="dxa"/>
            <w:vAlign w:val="center"/>
          </w:tcPr>
          <w:p w:rsidR="00852639" w:rsidRDefault="00721184">
            <w:pPr>
              <w:jc w:val="center"/>
            </w:pPr>
            <w:r>
              <w:rPr>
                <w:rFonts w:eastAsiaTheme="minorEastAsia"/>
                <w:kern w:val="0"/>
                <w:sz w:val="24"/>
                <w:szCs w:val="24"/>
              </w:rPr>
              <w:t>002484</w:t>
            </w:r>
          </w:p>
        </w:tc>
        <w:tc>
          <w:tcPr>
            <w:tcW w:w="1701" w:type="dxa"/>
            <w:vAlign w:val="center"/>
          </w:tcPr>
          <w:p w:rsidR="00852639" w:rsidRDefault="00721184">
            <w:pPr>
              <w:jc w:val="center"/>
            </w:pPr>
            <w:r>
              <w:rPr>
                <w:rFonts w:eastAsiaTheme="minorEastAsia"/>
                <w:kern w:val="0"/>
                <w:sz w:val="24"/>
                <w:szCs w:val="24"/>
              </w:rPr>
              <w:t>江海股份</w:t>
            </w:r>
          </w:p>
        </w:tc>
        <w:tc>
          <w:tcPr>
            <w:tcW w:w="1276" w:type="dxa"/>
            <w:vAlign w:val="center"/>
          </w:tcPr>
          <w:p w:rsidR="00852639" w:rsidRDefault="00721184">
            <w:pPr>
              <w:jc w:val="right"/>
            </w:pPr>
            <w:r>
              <w:rPr>
                <w:rFonts w:eastAsiaTheme="minorEastAsia"/>
                <w:kern w:val="0"/>
                <w:sz w:val="24"/>
                <w:szCs w:val="24"/>
              </w:rPr>
              <w:t>44,200.00</w:t>
            </w:r>
          </w:p>
        </w:tc>
        <w:tc>
          <w:tcPr>
            <w:tcW w:w="1842" w:type="dxa"/>
            <w:vAlign w:val="center"/>
          </w:tcPr>
          <w:p w:rsidR="00852639" w:rsidRDefault="00721184">
            <w:pPr>
              <w:jc w:val="right"/>
            </w:pPr>
            <w:r>
              <w:rPr>
                <w:rFonts w:eastAsiaTheme="minorEastAsia"/>
                <w:kern w:val="0"/>
                <w:sz w:val="24"/>
                <w:szCs w:val="24"/>
              </w:rPr>
              <w:t>1,067,872.00</w:t>
            </w:r>
          </w:p>
        </w:tc>
        <w:tc>
          <w:tcPr>
            <w:tcW w:w="1616" w:type="dxa"/>
            <w:vAlign w:val="center"/>
          </w:tcPr>
          <w:p w:rsidR="00852639" w:rsidRDefault="00721184">
            <w:pPr>
              <w:jc w:val="right"/>
            </w:pPr>
            <w:r>
              <w:rPr>
                <w:rFonts w:eastAsiaTheme="minorEastAsia"/>
                <w:kern w:val="0"/>
                <w:sz w:val="24"/>
                <w:szCs w:val="24"/>
              </w:rPr>
              <w:t>2.84</w:t>
            </w:r>
          </w:p>
        </w:tc>
      </w:tr>
      <w:bookmarkEnd w:id="2"/>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lastRenderedPageBreak/>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13,887.98</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974,830.26</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1,769.75</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990,487.99</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22,976,093.17</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731,417.34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971,989.51</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22,735,521.00</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852639" w:rsidRDefault="00721184">
      <w:pPr>
        <w:spacing w:line="360" w:lineRule="auto"/>
        <w:ind w:firstLineChars="200" w:firstLine="420"/>
        <w:rPr>
          <w:rFonts w:eastAsiaTheme="minorEastAsia"/>
          <w:color w:val="000000" w:themeColor="text1"/>
        </w:rPr>
      </w:pPr>
      <w:r>
        <w:rPr>
          <w:rFonts w:eastAsiaTheme="minorEastAsia"/>
          <w:color w:val="000000" w:themeColor="text1"/>
        </w:rPr>
        <w:t xml:space="preserve">1. </w:t>
      </w:r>
      <w:r>
        <w:rPr>
          <w:rFonts w:eastAsiaTheme="minorEastAsia"/>
          <w:color w:val="000000" w:themeColor="text1"/>
        </w:rPr>
        <w:t>中国证监会批准上投摩根新兴服务股票型证券投资基金设立的文件；</w:t>
      </w:r>
    </w:p>
    <w:p w:rsidR="00852639" w:rsidRDefault="00721184">
      <w:pPr>
        <w:spacing w:line="360" w:lineRule="auto"/>
        <w:ind w:firstLineChars="200" w:firstLine="420"/>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《上投摩根新兴服务股票型证券投资基金基金合同》；</w:t>
      </w:r>
    </w:p>
    <w:p w:rsidR="00852639" w:rsidRDefault="00721184">
      <w:pPr>
        <w:spacing w:line="360" w:lineRule="auto"/>
        <w:ind w:firstLineChars="200" w:firstLine="420"/>
        <w:rPr>
          <w:rFonts w:eastAsiaTheme="minorEastAsia"/>
          <w:color w:val="000000" w:themeColor="text1"/>
        </w:rPr>
      </w:pPr>
      <w:r>
        <w:rPr>
          <w:rFonts w:eastAsiaTheme="minorEastAsia"/>
          <w:color w:val="000000" w:themeColor="text1"/>
        </w:rPr>
        <w:t xml:space="preserve">3. </w:t>
      </w:r>
      <w:r>
        <w:rPr>
          <w:rFonts w:eastAsiaTheme="minorEastAsia"/>
          <w:color w:val="000000" w:themeColor="text1"/>
        </w:rPr>
        <w:t>《上投摩根新兴服务股票型证券投资基金托管协议》；</w:t>
      </w:r>
    </w:p>
    <w:p w:rsidR="00852639" w:rsidRDefault="00721184">
      <w:pPr>
        <w:spacing w:line="360" w:lineRule="auto"/>
        <w:ind w:firstLineChars="200" w:firstLine="420"/>
        <w:rPr>
          <w:rFonts w:eastAsiaTheme="minorEastAsia"/>
          <w:color w:val="000000" w:themeColor="text1"/>
        </w:rPr>
      </w:pPr>
      <w:r>
        <w:rPr>
          <w:rFonts w:eastAsiaTheme="minorEastAsia"/>
          <w:color w:val="000000" w:themeColor="text1"/>
        </w:rPr>
        <w:t xml:space="preserve">4. </w:t>
      </w:r>
      <w:r>
        <w:rPr>
          <w:rFonts w:eastAsiaTheme="minorEastAsia"/>
          <w:color w:val="000000" w:themeColor="text1"/>
        </w:rPr>
        <w:t>《上投摩根开放式基金业务规则》；</w:t>
      </w:r>
    </w:p>
    <w:p w:rsidR="00852639" w:rsidRDefault="00721184">
      <w:pPr>
        <w:spacing w:line="360" w:lineRule="auto"/>
        <w:ind w:firstLineChars="200" w:firstLine="420"/>
        <w:rPr>
          <w:rFonts w:eastAsiaTheme="minorEastAsia"/>
          <w:color w:val="000000" w:themeColor="text1"/>
        </w:rPr>
      </w:pPr>
      <w:r>
        <w:rPr>
          <w:rFonts w:eastAsiaTheme="minorEastAsia"/>
          <w:color w:val="000000" w:themeColor="text1"/>
        </w:rPr>
        <w:t xml:space="preserve">5. </w:t>
      </w:r>
      <w:r>
        <w:rPr>
          <w:rFonts w:eastAsiaTheme="minorEastAsia"/>
          <w:color w:val="000000" w:themeColor="text1"/>
        </w:rPr>
        <w:t>基金管理人业务资格批件、营业执照；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 xml:space="preserve">6. </w:t>
      </w:r>
      <w:r w:rsidRPr="00FF6B9A">
        <w:rPr>
          <w:rFonts w:eastAsiaTheme="minorEastAsia"/>
          <w:color w:val="000000" w:themeColor="text1"/>
        </w:rPr>
        <w:t>基金托管人业务资格批件和营业执照。</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二〇二二年十月二十六日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721184" w:rsidRPr="00721184">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721184">
      <w:rPr>
        <w:rStyle w:val="aff"/>
        <w:noProof/>
      </w:rPr>
      <w:t>3</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上投摩根新兴服务股票型证券投资基金</w:t>
    </w:r>
    <w:r>
      <w:rPr>
        <w:rFonts w:hint="eastAsia"/>
      </w:rPr>
      <w:t>2022</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1184"/>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26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901A3-50DC-43BB-8C47-353D0885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1140</Words>
  <Characters>6501</Characters>
  <Application>Microsoft Office Word</Application>
  <DocSecurity>0</DocSecurity>
  <Lines>54</Lines>
  <Paragraphs>15</Paragraphs>
  <ScaleCrop>false</ScaleCrop>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268</cp:revision>
  <dcterms:created xsi:type="dcterms:W3CDTF">2012-10-16T06:07:00Z</dcterms:created>
  <dcterms:modified xsi:type="dcterms:W3CDTF">2022-10-25T05:46:00Z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