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上投摩根新兴服务股票型证券投资基金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4</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12</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报告送出日期：二〇二二年一月二十四日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D43457" w:rsidRDefault="00A07720">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D43457" w:rsidRDefault="00A07720">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21</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D43457" w:rsidRDefault="00A07720">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D43457" w:rsidRDefault="00A07720">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D43457" w:rsidRDefault="00A07720">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上投摩根新兴服务股票</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001482</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001482</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2015</w:t>
            </w:r>
            <w:r w:rsidRPr="00FF6B9A">
              <w:rPr>
                <w:rFonts w:eastAsiaTheme="minorEastAsia"/>
                <w:color w:val="000000" w:themeColor="text1"/>
                <w:kern w:val="0"/>
              </w:rPr>
              <w:t>年</w:t>
            </w:r>
            <w:r w:rsidRPr="00FF6B9A">
              <w:rPr>
                <w:rFonts w:eastAsiaTheme="minorEastAsia"/>
                <w:color w:val="000000" w:themeColor="text1"/>
                <w:kern w:val="0"/>
              </w:rPr>
              <w:t>8</w:t>
            </w:r>
            <w:r w:rsidRPr="00FF6B9A">
              <w:rPr>
                <w:rFonts w:eastAsiaTheme="minorEastAsia"/>
                <w:color w:val="000000" w:themeColor="text1"/>
                <w:kern w:val="0"/>
              </w:rPr>
              <w:t>月</w:t>
            </w:r>
            <w:r w:rsidRPr="00FF6B9A">
              <w:rPr>
                <w:rFonts w:eastAsiaTheme="minorEastAsia"/>
                <w:color w:val="000000" w:themeColor="text1"/>
                <w:kern w:val="0"/>
              </w:rPr>
              <w:t>6</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23,309,310.16</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通过积极主动的投资管理，把握中国经济转型过程中新兴服务业的投资机会，在严格控制风险的前提下，力争实现基金资产的长期增值。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D43457" w:rsidRDefault="00A07720">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D43457" w:rsidRDefault="00A07720">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本基金将综合分析和持续跟踪基本面、政策面、市场面等多方面因素，对宏观经济、国家政策、资金面和市场情绪等影响证券市场的重要因素进行深入分析，确定合适的资</w:t>
            </w:r>
            <w:r>
              <w:rPr>
                <w:rFonts w:eastAsiaTheme="minorEastAsia"/>
                <w:color w:val="000000" w:themeColor="text1"/>
                <w:kern w:val="0"/>
              </w:rPr>
              <w:lastRenderedPageBreak/>
              <w:t>产配置比例。</w:t>
            </w:r>
          </w:p>
          <w:p w:rsidR="00D43457" w:rsidRDefault="00A07720">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D43457" w:rsidRDefault="00A07720">
            <w:pPr>
              <w:adjustRightInd w:val="0"/>
              <w:spacing w:before="29" w:line="360" w:lineRule="auto"/>
              <w:ind w:left="17"/>
              <w:rPr>
                <w:rFonts w:eastAsiaTheme="minorEastAsia"/>
                <w:color w:val="000000" w:themeColor="text1"/>
              </w:rPr>
            </w:pPr>
            <w:r>
              <w:rPr>
                <w:rFonts w:eastAsiaTheme="minorEastAsia"/>
                <w:color w:val="000000" w:themeColor="text1"/>
                <w:kern w:val="0"/>
              </w:rPr>
              <w:t>本基金将通过系统和深入的基本面研究，重点投资于新兴服务业中具有竞争力的优质上市公司。在具体操作上，本基金将主要采用</w:t>
            </w:r>
            <w:r>
              <w:rPr>
                <w:rFonts w:eastAsiaTheme="minorEastAsia"/>
                <w:color w:val="000000" w:themeColor="text1"/>
                <w:kern w:val="0"/>
              </w:rPr>
              <w:t>“</w:t>
            </w:r>
            <w:r>
              <w:rPr>
                <w:rFonts w:eastAsiaTheme="minorEastAsia"/>
                <w:color w:val="000000" w:themeColor="text1"/>
                <w:kern w:val="0"/>
              </w:rPr>
              <w:t>自下而上</w:t>
            </w:r>
            <w:r>
              <w:rPr>
                <w:rFonts w:eastAsiaTheme="minorEastAsia"/>
                <w:color w:val="000000" w:themeColor="text1"/>
                <w:kern w:val="0"/>
              </w:rPr>
              <w:t>”</w:t>
            </w:r>
            <w:r>
              <w:rPr>
                <w:rFonts w:eastAsiaTheme="minorEastAsia"/>
                <w:color w:val="000000" w:themeColor="text1"/>
                <w:kern w:val="0"/>
              </w:rPr>
              <w:t>的方法，在备选行业内部通过定量与定性相结合的分析方法，综合分析上市公司的业绩质量、成长性和估值水平等，精选具有良好成长性、估值合理的个股。</w:t>
            </w:r>
          </w:p>
          <w:p w:rsidR="00D43457" w:rsidRDefault="00A07720">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、行业配置策略</w:t>
            </w:r>
          </w:p>
          <w:p w:rsidR="00D43457" w:rsidRDefault="00A07720">
            <w:pPr>
              <w:adjustRightInd w:val="0"/>
              <w:spacing w:before="29" w:line="360" w:lineRule="auto"/>
              <w:ind w:left="17"/>
              <w:rPr>
                <w:rFonts w:eastAsiaTheme="minorEastAsia"/>
                <w:color w:val="000000" w:themeColor="text1"/>
              </w:rPr>
            </w:pPr>
            <w:r>
              <w:rPr>
                <w:rFonts w:eastAsiaTheme="minorEastAsia"/>
                <w:color w:val="000000" w:themeColor="text1"/>
                <w:kern w:val="0"/>
              </w:rPr>
              <w:t>由于新兴服务主题涉及多个行业及其子行业，我们将从行业生命周期、行业景气度、行业竞争格局等多角度，综合评估各个行业的投资价值，对基金资产在行业间分配进行安排。</w:t>
            </w:r>
          </w:p>
          <w:p w:rsidR="00D43457" w:rsidRDefault="00A07720">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、固定收益类投资策略</w:t>
            </w:r>
          </w:p>
          <w:p w:rsidR="00D43457" w:rsidRDefault="00A07720">
            <w:pPr>
              <w:adjustRightInd w:val="0"/>
              <w:spacing w:before="29" w:line="360" w:lineRule="auto"/>
              <w:ind w:left="17"/>
              <w:rPr>
                <w:rFonts w:eastAsiaTheme="minorEastAsia"/>
                <w:color w:val="000000" w:themeColor="text1"/>
              </w:rPr>
            </w:pPr>
            <w:r>
              <w:rPr>
                <w:rFonts w:eastAsiaTheme="minorEastAsia"/>
                <w:color w:val="000000" w:themeColor="text1"/>
                <w:kern w:val="0"/>
              </w:rPr>
              <w:t>对于固定收益类资产的选择，本基金将以价值分析为</w:t>
            </w:r>
            <w:r>
              <w:rPr>
                <w:rFonts w:eastAsiaTheme="minorEastAsia"/>
                <w:color w:val="000000" w:themeColor="text1"/>
                <w:kern w:val="0"/>
              </w:rPr>
              <w:t>主线，在综合研究的基础上实施积极主动的组合管理，并主要通过类属配置与债券选择两个层次进行投资管理。</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、其他投资策略：包括可转换债券投资策略、中小企业私募债投资策略、股指期货投资策略、资产支持证券投资策略、股票期权投资策略、存托凭证投资策略。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×85%+</w:t>
            </w:r>
            <w:r w:rsidRPr="00FF6B9A">
              <w:rPr>
                <w:rFonts w:eastAsiaTheme="minorEastAsia"/>
                <w:color w:val="000000" w:themeColor="text1"/>
                <w:kern w:val="0"/>
              </w:rPr>
              <w:t>中债总指数收益率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43457" w:rsidRDefault="00A07720">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本基金属于股票型基金产品，预期风险和收益水平高于混合型基金、债券型基金和货币市场基金，属于较高风险收益水平的基金产品。</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w:t>
            </w:r>
            <w:r w:rsidRPr="00FF6B9A">
              <w:rPr>
                <w:rFonts w:eastAsiaTheme="minorEastAsia"/>
                <w:color w:val="000000" w:themeColor="text1"/>
                <w:kern w:val="0"/>
              </w:rPr>
              <w:lastRenderedPageBreak/>
              <w:t>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A07720" w:rsidRPr="00FF6B9A" w:rsidTr="00A07720">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A07720" w:rsidRPr="00FF6B9A" w:rsidTr="00A07720">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1,044,956.46</w:t>
            </w:r>
          </w:p>
        </w:tc>
      </w:tr>
      <w:tr w:rsidR="00A07720" w:rsidRPr="00FF6B9A" w:rsidTr="00A07720">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-1,890,433.07</w:t>
            </w:r>
          </w:p>
        </w:tc>
      </w:tr>
      <w:tr w:rsidR="00A07720" w:rsidRPr="00FF6B9A" w:rsidTr="00A07720">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-0.0798</w:t>
            </w:r>
          </w:p>
        </w:tc>
      </w:tr>
      <w:tr w:rsidR="00A07720" w:rsidRPr="00FF6B9A" w:rsidTr="00A07720">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53,550,717.26</w:t>
            </w:r>
          </w:p>
        </w:tc>
      </w:tr>
      <w:tr w:rsidR="00A07720" w:rsidRPr="00FF6B9A" w:rsidTr="00A07720">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2.2974</w:t>
            </w:r>
          </w:p>
        </w:tc>
      </w:tr>
    </w:tbl>
    <w:p w:rsidR="00D43457" w:rsidRDefault="00A07720">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D43457">
        <w:tc>
          <w:tcPr>
            <w:tcW w:w="1395" w:type="dxa"/>
            <w:vAlign w:val="center"/>
          </w:tcPr>
          <w:p w:rsidR="00D43457" w:rsidRDefault="00A07720">
            <w:pPr>
              <w:jc w:val="left"/>
            </w:pPr>
            <w:r>
              <w:rPr>
                <w:rFonts w:eastAsiaTheme="minorEastAsia"/>
                <w:color w:val="000000" w:themeColor="text1"/>
                <w:kern w:val="0"/>
              </w:rPr>
              <w:t>过去三个月</w:t>
            </w:r>
          </w:p>
        </w:tc>
        <w:tc>
          <w:tcPr>
            <w:tcW w:w="1092" w:type="dxa"/>
            <w:vAlign w:val="center"/>
          </w:tcPr>
          <w:p w:rsidR="00D43457" w:rsidRDefault="00A07720">
            <w:pPr>
              <w:jc w:val="center"/>
            </w:pPr>
            <w:r>
              <w:rPr>
                <w:rFonts w:eastAsiaTheme="minorEastAsia"/>
                <w:color w:val="000000" w:themeColor="text1"/>
                <w:kern w:val="0"/>
              </w:rPr>
              <w:t>-3.43%</w:t>
            </w:r>
          </w:p>
        </w:tc>
        <w:tc>
          <w:tcPr>
            <w:tcW w:w="1161" w:type="dxa"/>
            <w:vAlign w:val="center"/>
          </w:tcPr>
          <w:p w:rsidR="00D43457" w:rsidRDefault="00A07720">
            <w:pPr>
              <w:jc w:val="center"/>
            </w:pPr>
            <w:r>
              <w:rPr>
                <w:rFonts w:eastAsiaTheme="minorEastAsia"/>
                <w:color w:val="000000" w:themeColor="text1"/>
                <w:kern w:val="0"/>
              </w:rPr>
              <w:t>1.28%</w:t>
            </w:r>
          </w:p>
        </w:tc>
        <w:tc>
          <w:tcPr>
            <w:tcW w:w="1181" w:type="dxa"/>
            <w:vAlign w:val="center"/>
          </w:tcPr>
          <w:p w:rsidR="00D43457" w:rsidRDefault="00A07720">
            <w:pPr>
              <w:jc w:val="center"/>
            </w:pPr>
            <w:r>
              <w:rPr>
                <w:rFonts w:eastAsiaTheme="minorEastAsia"/>
                <w:color w:val="000000" w:themeColor="text1"/>
                <w:kern w:val="0"/>
              </w:rPr>
              <w:t>1.82%</w:t>
            </w:r>
          </w:p>
        </w:tc>
        <w:tc>
          <w:tcPr>
            <w:tcW w:w="1188" w:type="dxa"/>
            <w:vAlign w:val="center"/>
          </w:tcPr>
          <w:p w:rsidR="00D43457" w:rsidRDefault="00A07720">
            <w:pPr>
              <w:jc w:val="center"/>
            </w:pPr>
            <w:r>
              <w:rPr>
                <w:rFonts w:eastAsiaTheme="minorEastAsia"/>
                <w:color w:val="000000" w:themeColor="text1"/>
                <w:kern w:val="0"/>
              </w:rPr>
              <w:t>0.62%</w:t>
            </w:r>
          </w:p>
        </w:tc>
        <w:tc>
          <w:tcPr>
            <w:tcW w:w="1199" w:type="dxa"/>
            <w:vAlign w:val="center"/>
          </w:tcPr>
          <w:p w:rsidR="00D43457" w:rsidRDefault="00A07720">
            <w:pPr>
              <w:jc w:val="center"/>
            </w:pPr>
            <w:r>
              <w:rPr>
                <w:rFonts w:eastAsiaTheme="minorEastAsia"/>
                <w:color w:val="000000" w:themeColor="text1"/>
                <w:kern w:val="0"/>
              </w:rPr>
              <w:t>-5.25%</w:t>
            </w:r>
          </w:p>
        </w:tc>
        <w:tc>
          <w:tcPr>
            <w:tcW w:w="1204" w:type="dxa"/>
            <w:vAlign w:val="center"/>
          </w:tcPr>
          <w:p w:rsidR="00D43457" w:rsidRDefault="00A07720">
            <w:pPr>
              <w:jc w:val="center"/>
            </w:pPr>
            <w:r>
              <w:rPr>
                <w:rFonts w:eastAsiaTheme="minorEastAsia"/>
                <w:color w:val="000000" w:themeColor="text1"/>
                <w:kern w:val="0"/>
              </w:rPr>
              <w:t>0.66%</w:t>
            </w:r>
          </w:p>
        </w:tc>
      </w:tr>
      <w:tr w:rsidR="00D43457">
        <w:tc>
          <w:tcPr>
            <w:tcW w:w="1395" w:type="dxa"/>
            <w:vAlign w:val="center"/>
          </w:tcPr>
          <w:p w:rsidR="00D43457" w:rsidRDefault="00A07720">
            <w:pPr>
              <w:jc w:val="left"/>
            </w:pPr>
            <w:r>
              <w:rPr>
                <w:rFonts w:eastAsiaTheme="minorEastAsia"/>
                <w:color w:val="000000" w:themeColor="text1"/>
                <w:kern w:val="0"/>
              </w:rPr>
              <w:t>过去六个月</w:t>
            </w:r>
          </w:p>
        </w:tc>
        <w:tc>
          <w:tcPr>
            <w:tcW w:w="1092" w:type="dxa"/>
            <w:vAlign w:val="center"/>
          </w:tcPr>
          <w:p w:rsidR="00D43457" w:rsidRDefault="00A07720">
            <w:pPr>
              <w:jc w:val="center"/>
            </w:pPr>
            <w:r>
              <w:rPr>
                <w:rFonts w:eastAsiaTheme="minorEastAsia"/>
                <w:color w:val="000000" w:themeColor="text1"/>
                <w:kern w:val="0"/>
              </w:rPr>
              <w:t>-2.41%</w:t>
            </w:r>
          </w:p>
        </w:tc>
        <w:tc>
          <w:tcPr>
            <w:tcW w:w="1161" w:type="dxa"/>
            <w:vAlign w:val="center"/>
          </w:tcPr>
          <w:p w:rsidR="00D43457" w:rsidRDefault="00A07720">
            <w:pPr>
              <w:jc w:val="center"/>
            </w:pPr>
            <w:r>
              <w:rPr>
                <w:rFonts w:eastAsiaTheme="minorEastAsia"/>
                <w:color w:val="000000" w:themeColor="text1"/>
                <w:kern w:val="0"/>
              </w:rPr>
              <w:t>1.85%</w:t>
            </w:r>
          </w:p>
        </w:tc>
        <w:tc>
          <w:tcPr>
            <w:tcW w:w="1181" w:type="dxa"/>
            <w:vAlign w:val="center"/>
          </w:tcPr>
          <w:p w:rsidR="00D43457" w:rsidRDefault="00A07720">
            <w:pPr>
              <w:jc w:val="center"/>
            </w:pPr>
            <w:r>
              <w:rPr>
                <w:rFonts w:eastAsiaTheme="minorEastAsia"/>
                <w:color w:val="000000" w:themeColor="text1"/>
                <w:kern w:val="0"/>
              </w:rPr>
              <w:t>-1.77%</w:t>
            </w:r>
          </w:p>
        </w:tc>
        <w:tc>
          <w:tcPr>
            <w:tcW w:w="1188" w:type="dxa"/>
            <w:vAlign w:val="center"/>
          </w:tcPr>
          <w:p w:rsidR="00D43457" w:rsidRDefault="00A07720">
            <w:pPr>
              <w:jc w:val="center"/>
            </w:pPr>
            <w:r>
              <w:rPr>
                <w:rFonts w:eastAsiaTheme="minorEastAsia"/>
                <w:color w:val="000000" w:themeColor="text1"/>
                <w:kern w:val="0"/>
              </w:rPr>
              <w:t>0.79%</w:t>
            </w:r>
          </w:p>
        </w:tc>
        <w:tc>
          <w:tcPr>
            <w:tcW w:w="1199" w:type="dxa"/>
            <w:vAlign w:val="center"/>
          </w:tcPr>
          <w:p w:rsidR="00D43457" w:rsidRDefault="00A07720">
            <w:pPr>
              <w:jc w:val="center"/>
            </w:pPr>
            <w:r>
              <w:rPr>
                <w:rFonts w:eastAsiaTheme="minorEastAsia"/>
                <w:color w:val="000000" w:themeColor="text1"/>
                <w:kern w:val="0"/>
              </w:rPr>
              <w:t>-0.64%</w:t>
            </w:r>
          </w:p>
        </w:tc>
        <w:tc>
          <w:tcPr>
            <w:tcW w:w="1204" w:type="dxa"/>
            <w:vAlign w:val="center"/>
          </w:tcPr>
          <w:p w:rsidR="00D43457" w:rsidRDefault="00A07720">
            <w:pPr>
              <w:jc w:val="center"/>
            </w:pPr>
            <w:r>
              <w:rPr>
                <w:rFonts w:eastAsiaTheme="minorEastAsia"/>
                <w:color w:val="000000" w:themeColor="text1"/>
                <w:kern w:val="0"/>
              </w:rPr>
              <w:t>1.06%</w:t>
            </w:r>
          </w:p>
        </w:tc>
      </w:tr>
      <w:tr w:rsidR="00D43457">
        <w:tc>
          <w:tcPr>
            <w:tcW w:w="1395" w:type="dxa"/>
            <w:vAlign w:val="center"/>
          </w:tcPr>
          <w:p w:rsidR="00D43457" w:rsidRDefault="00A07720">
            <w:pPr>
              <w:jc w:val="left"/>
            </w:pPr>
            <w:r>
              <w:rPr>
                <w:rFonts w:eastAsiaTheme="minorEastAsia"/>
                <w:color w:val="000000" w:themeColor="text1"/>
                <w:kern w:val="0"/>
              </w:rPr>
              <w:t>过去一年</w:t>
            </w:r>
          </w:p>
        </w:tc>
        <w:tc>
          <w:tcPr>
            <w:tcW w:w="1092" w:type="dxa"/>
            <w:vAlign w:val="center"/>
          </w:tcPr>
          <w:p w:rsidR="00D43457" w:rsidRDefault="00A07720">
            <w:pPr>
              <w:jc w:val="center"/>
            </w:pPr>
            <w:r>
              <w:rPr>
                <w:rFonts w:eastAsiaTheme="minorEastAsia"/>
                <w:color w:val="000000" w:themeColor="text1"/>
                <w:kern w:val="0"/>
              </w:rPr>
              <w:t>4.48%</w:t>
            </w:r>
          </w:p>
        </w:tc>
        <w:tc>
          <w:tcPr>
            <w:tcW w:w="1161" w:type="dxa"/>
            <w:vAlign w:val="center"/>
          </w:tcPr>
          <w:p w:rsidR="00D43457" w:rsidRDefault="00A07720">
            <w:pPr>
              <w:jc w:val="center"/>
            </w:pPr>
            <w:r>
              <w:rPr>
                <w:rFonts w:eastAsiaTheme="minorEastAsia"/>
                <w:color w:val="000000" w:themeColor="text1"/>
                <w:kern w:val="0"/>
              </w:rPr>
              <w:t>1.80%</w:t>
            </w:r>
          </w:p>
        </w:tc>
        <w:tc>
          <w:tcPr>
            <w:tcW w:w="1181" w:type="dxa"/>
            <w:vAlign w:val="center"/>
          </w:tcPr>
          <w:p w:rsidR="00D43457" w:rsidRDefault="00A07720">
            <w:pPr>
              <w:jc w:val="center"/>
            </w:pPr>
            <w:r>
              <w:rPr>
                <w:rFonts w:eastAsiaTheme="minorEastAsia"/>
                <w:color w:val="000000" w:themeColor="text1"/>
                <w:kern w:val="0"/>
              </w:rPr>
              <w:t>-0.30%</w:t>
            </w:r>
          </w:p>
        </w:tc>
        <w:tc>
          <w:tcPr>
            <w:tcW w:w="1188" w:type="dxa"/>
            <w:vAlign w:val="center"/>
          </w:tcPr>
          <w:p w:rsidR="00D43457" w:rsidRDefault="00A07720">
            <w:pPr>
              <w:jc w:val="center"/>
            </w:pPr>
            <w:r>
              <w:rPr>
                <w:rFonts w:eastAsiaTheme="minorEastAsia"/>
                <w:color w:val="000000" w:themeColor="text1"/>
                <w:kern w:val="0"/>
              </w:rPr>
              <w:t>0.91%</w:t>
            </w:r>
          </w:p>
        </w:tc>
        <w:tc>
          <w:tcPr>
            <w:tcW w:w="1199" w:type="dxa"/>
            <w:vAlign w:val="center"/>
          </w:tcPr>
          <w:p w:rsidR="00D43457" w:rsidRDefault="00A07720">
            <w:pPr>
              <w:jc w:val="center"/>
            </w:pPr>
            <w:r>
              <w:rPr>
                <w:rFonts w:eastAsiaTheme="minorEastAsia"/>
                <w:color w:val="000000" w:themeColor="text1"/>
                <w:kern w:val="0"/>
              </w:rPr>
              <w:t>4.78%</w:t>
            </w:r>
          </w:p>
        </w:tc>
        <w:tc>
          <w:tcPr>
            <w:tcW w:w="1204" w:type="dxa"/>
            <w:vAlign w:val="center"/>
          </w:tcPr>
          <w:p w:rsidR="00D43457" w:rsidRDefault="00A07720">
            <w:pPr>
              <w:jc w:val="center"/>
            </w:pPr>
            <w:r>
              <w:rPr>
                <w:rFonts w:eastAsiaTheme="minorEastAsia"/>
                <w:color w:val="000000" w:themeColor="text1"/>
                <w:kern w:val="0"/>
              </w:rPr>
              <w:t>0.89%</w:t>
            </w:r>
          </w:p>
        </w:tc>
      </w:tr>
      <w:tr w:rsidR="00D43457">
        <w:tc>
          <w:tcPr>
            <w:tcW w:w="1395" w:type="dxa"/>
            <w:vAlign w:val="center"/>
          </w:tcPr>
          <w:p w:rsidR="00D43457" w:rsidRDefault="00A07720">
            <w:pPr>
              <w:jc w:val="left"/>
            </w:pPr>
            <w:r>
              <w:rPr>
                <w:rFonts w:eastAsiaTheme="minorEastAsia"/>
                <w:color w:val="000000" w:themeColor="text1"/>
                <w:kern w:val="0"/>
              </w:rPr>
              <w:t>过去三年</w:t>
            </w:r>
          </w:p>
        </w:tc>
        <w:tc>
          <w:tcPr>
            <w:tcW w:w="1092" w:type="dxa"/>
            <w:vAlign w:val="center"/>
          </w:tcPr>
          <w:p w:rsidR="00D43457" w:rsidRDefault="00A07720">
            <w:pPr>
              <w:jc w:val="center"/>
            </w:pPr>
            <w:r>
              <w:rPr>
                <w:rFonts w:eastAsiaTheme="minorEastAsia"/>
                <w:color w:val="000000" w:themeColor="text1"/>
                <w:kern w:val="0"/>
              </w:rPr>
              <w:t>196.06%</w:t>
            </w:r>
          </w:p>
        </w:tc>
        <w:tc>
          <w:tcPr>
            <w:tcW w:w="1161" w:type="dxa"/>
            <w:vAlign w:val="center"/>
          </w:tcPr>
          <w:p w:rsidR="00D43457" w:rsidRDefault="00A07720">
            <w:pPr>
              <w:jc w:val="center"/>
            </w:pPr>
            <w:r>
              <w:rPr>
                <w:rFonts w:eastAsiaTheme="minorEastAsia"/>
                <w:color w:val="000000" w:themeColor="text1"/>
                <w:kern w:val="0"/>
              </w:rPr>
              <w:t>1.64%</w:t>
            </w:r>
          </w:p>
        </w:tc>
        <w:tc>
          <w:tcPr>
            <w:tcW w:w="1181" w:type="dxa"/>
            <w:vAlign w:val="center"/>
          </w:tcPr>
          <w:p w:rsidR="00D43457" w:rsidRDefault="00A07720">
            <w:pPr>
              <w:jc w:val="center"/>
            </w:pPr>
            <w:r>
              <w:rPr>
                <w:rFonts w:eastAsiaTheme="minorEastAsia"/>
                <w:color w:val="000000" w:themeColor="text1"/>
                <w:kern w:val="0"/>
              </w:rPr>
              <w:t>57.36%</w:t>
            </w:r>
          </w:p>
        </w:tc>
        <w:tc>
          <w:tcPr>
            <w:tcW w:w="1188" w:type="dxa"/>
            <w:vAlign w:val="center"/>
          </w:tcPr>
          <w:p w:rsidR="00D43457" w:rsidRDefault="00A07720">
            <w:pPr>
              <w:jc w:val="center"/>
            </w:pPr>
            <w:r>
              <w:rPr>
                <w:rFonts w:eastAsiaTheme="minorEastAsia"/>
                <w:color w:val="000000" w:themeColor="text1"/>
                <w:kern w:val="0"/>
              </w:rPr>
              <w:t>1.08%</w:t>
            </w:r>
          </w:p>
        </w:tc>
        <w:tc>
          <w:tcPr>
            <w:tcW w:w="1199" w:type="dxa"/>
            <w:vAlign w:val="center"/>
          </w:tcPr>
          <w:p w:rsidR="00D43457" w:rsidRDefault="00A07720">
            <w:pPr>
              <w:jc w:val="center"/>
            </w:pPr>
            <w:r>
              <w:rPr>
                <w:rFonts w:eastAsiaTheme="minorEastAsia"/>
                <w:color w:val="000000" w:themeColor="text1"/>
                <w:kern w:val="0"/>
              </w:rPr>
              <w:t>138.70%</w:t>
            </w:r>
          </w:p>
        </w:tc>
        <w:tc>
          <w:tcPr>
            <w:tcW w:w="1204" w:type="dxa"/>
            <w:vAlign w:val="center"/>
          </w:tcPr>
          <w:p w:rsidR="00D43457" w:rsidRDefault="00A07720">
            <w:pPr>
              <w:jc w:val="center"/>
            </w:pPr>
            <w:r>
              <w:rPr>
                <w:rFonts w:eastAsiaTheme="minorEastAsia"/>
                <w:color w:val="000000" w:themeColor="text1"/>
                <w:kern w:val="0"/>
              </w:rPr>
              <w:t>0.56%</w:t>
            </w:r>
          </w:p>
        </w:tc>
      </w:tr>
      <w:tr w:rsidR="00D43457">
        <w:tc>
          <w:tcPr>
            <w:tcW w:w="1395" w:type="dxa"/>
            <w:vAlign w:val="center"/>
          </w:tcPr>
          <w:p w:rsidR="00D43457" w:rsidRDefault="00A07720">
            <w:pPr>
              <w:jc w:val="left"/>
            </w:pPr>
            <w:r>
              <w:rPr>
                <w:rFonts w:eastAsiaTheme="minorEastAsia"/>
                <w:color w:val="000000" w:themeColor="text1"/>
                <w:kern w:val="0"/>
              </w:rPr>
              <w:t>过去五年</w:t>
            </w:r>
          </w:p>
        </w:tc>
        <w:tc>
          <w:tcPr>
            <w:tcW w:w="1092" w:type="dxa"/>
            <w:vAlign w:val="center"/>
          </w:tcPr>
          <w:p w:rsidR="00D43457" w:rsidRDefault="00A07720">
            <w:pPr>
              <w:jc w:val="center"/>
            </w:pPr>
            <w:r>
              <w:rPr>
                <w:rFonts w:eastAsiaTheme="minorEastAsia"/>
                <w:color w:val="000000" w:themeColor="text1"/>
                <w:kern w:val="0"/>
              </w:rPr>
              <w:t>155.27%</w:t>
            </w:r>
          </w:p>
        </w:tc>
        <w:tc>
          <w:tcPr>
            <w:tcW w:w="1161" w:type="dxa"/>
            <w:vAlign w:val="center"/>
          </w:tcPr>
          <w:p w:rsidR="00D43457" w:rsidRDefault="00A07720">
            <w:pPr>
              <w:jc w:val="center"/>
            </w:pPr>
            <w:r>
              <w:rPr>
                <w:rFonts w:eastAsiaTheme="minorEastAsia"/>
                <w:color w:val="000000" w:themeColor="text1"/>
                <w:kern w:val="0"/>
              </w:rPr>
              <w:t>1.53%</w:t>
            </w:r>
          </w:p>
        </w:tc>
        <w:tc>
          <w:tcPr>
            <w:tcW w:w="1181" w:type="dxa"/>
            <w:vAlign w:val="center"/>
          </w:tcPr>
          <w:p w:rsidR="00D43457" w:rsidRDefault="00A07720">
            <w:pPr>
              <w:jc w:val="center"/>
            </w:pPr>
            <w:r>
              <w:rPr>
                <w:rFonts w:eastAsiaTheme="minorEastAsia"/>
                <w:color w:val="000000" w:themeColor="text1"/>
                <w:kern w:val="0"/>
              </w:rPr>
              <w:t>34.39%</w:t>
            </w:r>
          </w:p>
        </w:tc>
        <w:tc>
          <w:tcPr>
            <w:tcW w:w="1188" w:type="dxa"/>
            <w:vAlign w:val="center"/>
          </w:tcPr>
          <w:p w:rsidR="00D43457" w:rsidRDefault="00A07720">
            <w:pPr>
              <w:jc w:val="center"/>
            </w:pPr>
            <w:r>
              <w:rPr>
                <w:rFonts w:eastAsiaTheme="minorEastAsia"/>
                <w:color w:val="000000" w:themeColor="text1"/>
                <w:kern w:val="0"/>
              </w:rPr>
              <w:t>1.01%</w:t>
            </w:r>
          </w:p>
        </w:tc>
        <w:tc>
          <w:tcPr>
            <w:tcW w:w="1199" w:type="dxa"/>
            <w:vAlign w:val="center"/>
          </w:tcPr>
          <w:p w:rsidR="00D43457" w:rsidRDefault="00A07720">
            <w:pPr>
              <w:jc w:val="center"/>
            </w:pPr>
            <w:r>
              <w:rPr>
                <w:rFonts w:eastAsiaTheme="minorEastAsia"/>
                <w:color w:val="000000" w:themeColor="text1"/>
                <w:kern w:val="0"/>
              </w:rPr>
              <w:t>120.88%</w:t>
            </w:r>
          </w:p>
        </w:tc>
        <w:tc>
          <w:tcPr>
            <w:tcW w:w="1204" w:type="dxa"/>
            <w:vAlign w:val="center"/>
          </w:tcPr>
          <w:p w:rsidR="00D43457" w:rsidRDefault="00A07720">
            <w:pPr>
              <w:jc w:val="center"/>
            </w:pPr>
            <w:r>
              <w:rPr>
                <w:rFonts w:eastAsiaTheme="minorEastAsia"/>
                <w:color w:val="000000" w:themeColor="text1"/>
                <w:kern w:val="0"/>
              </w:rPr>
              <w:t>0.52%</w:t>
            </w:r>
          </w:p>
        </w:tc>
      </w:tr>
      <w:tr w:rsidR="00D43457">
        <w:tc>
          <w:tcPr>
            <w:tcW w:w="1395" w:type="dxa"/>
            <w:vAlign w:val="center"/>
          </w:tcPr>
          <w:p w:rsidR="00D43457" w:rsidRDefault="00A07720">
            <w:pPr>
              <w:jc w:val="left"/>
            </w:pPr>
            <w:r>
              <w:rPr>
                <w:rFonts w:eastAsiaTheme="minorEastAsia"/>
                <w:color w:val="000000" w:themeColor="text1"/>
                <w:kern w:val="0"/>
              </w:rPr>
              <w:lastRenderedPageBreak/>
              <w:t>自基金合同生效起至今</w:t>
            </w:r>
          </w:p>
        </w:tc>
        <w:tc>
          <w:tcPr>
            <w:tcW w:w="1092" w:type="dxa"/>
            <w:vAlign w:val="center"/>
          </w:tcPr>
          <w:p w:rsidR="00D43457" w:rsidRDefault="00A07720">
            <w:pPr>
              <w:jc w:val="center"/>
            </w:pPr>
            <w:r>
              <w:rPr>
                <w:rFonts w:eastAsiaTheme="minorEastAsia"/>
                <w:color w:val="000000" w:themeColor="text1"/>
                <w:kern w:val="0"/>
              </w:rPr>
              <w:t>129.74%</w:t>
            </w:r>
          </w:p>
        </w:tc>
        <w:tc>
          <w:tcPr>
            <w:tcW w:w="1161" w:type="dxa"/>
            <w:vAlign w:val="center"/>
          </w:tcPr>
          <w:p w:rsidR="00D43457" w:rsidRDefault="00A07720">
            <w:pPr>
              <w:jc w:val="center"/>
            </w:pPr>
            <w:r>
              <w:rPr>
                <w:rFonts w:eastAsiaTheme="minorEastAsia"/>
                <w:color w:val="000000" w:themeColor="text1"/>
                <w:kern w:val="0"/>
              </w:rPr>
              <w:t>1.59%</w:t>
            </w:r>
          </w:p>
        </w:tc>
        <w:tc>
          <w:tcPr>
            <w:tcW w:w="1181" w:type="dxa"/>
            <w:vAlign w:val="center"/>
          </w:tcPr>
          <w:p w:rsidR="00D43457" w:rsidRDefault="00A07720">
            <w:pPr>
              <w:jc w:val="center"/>
            </w:pPr>
            <w:r>
              <w:rPr>
                <w:rFonts w:eastAsiaTheme="minorEastAsia"/>
                <w:color w:val="000000" w:themeColor="text1"/>
                <w:kern w:val="0"/>
              </w:rPr>
              <w:t>15.42%</w:t>
            </w:r>
          </w:p>
        </w:tc>
        <w:tc>
          <w:tcPr>
            <w:tcW w:w="1188" w:type="dxa"/>
            <w:vAlign w:val="center"/>
          </w:tcPr>
          <w:p w:rsidR="00D43457" w:rsidRDefault="00A07720">
            <w:pPr>
              <w:jc w:val="center"/>
            </w:pPr>
            <w:r>
              <w:rPr>
                <w:rFonts w:eastAsiaTheme="minorEastAsia"/>
                <w:color w:val="000000" w:themeColor="text1"/>
                <w:kern w:val="0"/>
              </w:rPr>
              <w:t>1.15%</w:t>
            </w:r>
          </w:p>
        </w:tc>
        <w:tc>
          <w:tcPr>
            <w:tcW w:w="1199" w:type="dxa"/>
            <w:vAlign w:val="center"/>
          </w:tcPr>
          <w:p w:rsidR="00D43457" w:rsidRDefault="00A07720">
            <w:pPr>
              <w:jc w:val="center"/>
            </w:pPr>
            <w:r>
              <w:rPr>
                <w:rFonts w:eastAsiaTheme="minorEastAsia"/>
                <w:color w:val="000000" w:themeColor="text1"/>
                <w:kern w:val="0"/>
              </w:rPr>
              <w:t>114.32%</w:t>
            </w:r>
          </w:p>
        </w:tc>
        <w:tc>
          <w:tcPr>
            <w:tcW w:w="1204" w:type="dxa"/>
            <w:vAlign w:val="center"/>
          </w:tcPr>
          <w:p w:rsidR="00D43457" w:rsidRDefault="00A07720">
            <w:pPr>
              <w:jc w:val="center"/>
            </w:pPr>
            <w:r>
              <w:rPr>
                <w:rFonts w:eastAsiaTheme="minorEastAsia"/>
                <w:color w:val="000000" w:themeColor="text1"/>
                <w:kern w:val="0"/>
              </w:rPr>
              <w:t>0.44%</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上投摩根新兴服务股票型证券投资基金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(2015</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8</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D43457" w:rsidRDefault="00A07720">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w:t>
      </w:r>
      <w:r>
        <w:rPr>
          <w:rFonts w:eastAsiaTheme="minorEastAsia"/>
          <w:color w:val="000000" w:themeColor="text1"/>
        </w:rPr>
        <w:t>6</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D43457">
        <w:tc>
          <w:tcPr>
            <w:tcW w:w="851" w:type="dxa"/>
            <w:vAlign w:val="center"/>
          </w:tcPr>
          <w:p w:rsidR="00D43457" w:rsidRDefault="00A07720">
            <w:pPr>
              <w:jc w:val="center"/>
            </w:pPr>
            <w:r>
              <w:rPr>
                <w:rFonts w:eastAsiaTheme="minorEastAsia"/>
                <w:color w:val="000000" w:themeColor="text1"/>
              </w:rPr>
              <w:t>杨景喻</w:t>
            </w:r>
          </w:p>
        </w:tc>
        <w:tc>
          <w:tcPr>
            <w:tcW w:w="850" w:type="dxa"/>
            <w:vAlign w:val="center"/>
          </w:tcPr>
          <w:p w:rsidR="00D43457" w:rsidRDefault="00A07720">
            <w:pPr>
              <w:jc w:val="center"/>
            </w:pPr>
            <w:r>
              <w:rPr>
                <w:rFonts w:eastAsiaTheme="minorEastAsia"/>
                <w:color w:val="000000" w:themeColor="text1"/>
              </w:rPr>
              <w:t>本基金基金经</w:t>
            </w:r>
            <w:r>
              <w:rPr>
                <w:rFonts w:eastAsiaTheme="minorEastAsia"/>
                <w:color w:val="000000" w:themeColor="text1"/>
              </w:rPr>
              <w:lastRenderedPageBreak/>
              <w:t>理</w:t>
            </w:r>
          </w:p>
        </w:tc>
        <w:tc>
          <w:tcPr>
            <w:tcW w:w="1560" w:type="dxa"/>
            <w:vAlign w:val="center"/>
          </w:tcPr>
          <w:p w:rsidR="00D43457" w:rsidRDefault="00A07720">
            <w:pPr>
              <w:jc w:val="center"/>
            </w:pPr>
            <w:r>
              <w:rPr>
                <w:rFonts w:eastAsiaTheme="minorEastAsia"/>
                <w:color w:val="000000" w:themeColor="text1"/>
              </w:rPr>
              <w:lastRenderedPageBreak/>
              <w:t>2015-12-30</w:t>
            </w:r>
          </w:p>
        </w:tc>
        <w:tc>
          <w:tcPr>
            <w:tcW w:w="1559" w:type="dxa"/>
            <w:vAlign w:val="center"/>
          </w:tcPr>
          <w:p w:rsidR="00D43457" w:rsidRDefault="00A07720">
            <w:pPr>
              <w:jc w:val="center"/>
            </w:pPr>
            <w:r>
              <w:rPr>
                <w:rFonts w:eastAsiaTheme="minorEastAsia"/>
                <w:color w:val="000000" w:themeColor="text1"/>
              </w:rPr>
              <w:t>-</w:t>
            </w:r>
          </w:p>
        </w:tc>
        <w:tc>
          <w:tcPr>
            <w:tcW w:w="1417" w:type="dxa"/>
            <w:vAlign w:val="center"/>
          </w:tcPr>
          <w:p w:rsidR="00D43457" w:rsidRDefault="00A07720">
            <w:pPr>
              <w:jc w:val="center"/>
            </w:pPr>
            <w:r>
              <w:rPr>
                <w:rFonts w:eastAsiaTheme="minorEastAsia"/>
                <w:color w:val="000000" w:themeColor="text1"/>
              </w:rPr>
              <w:t>12</w:t>
            </w:r>
            <w:r>
              <w:rPr>
                <w:rFonts w:eastAsiaTheme="minorEastAsia"/>
                <w:color w:val="000000" w:themeColor="text1"/>
              </w:rPr>
              <w:t>年</w:t>
            </w:r>
          </w:p>
        </w:tc>
        <w:tc>
          <w:tcPr>
            <w:tcW w:w="2694" w:type="dxa"/>
            <w:vAlign w:val="center"/>
          </w:tcPr>
          <w:p w:rsidR="00D43457" w:rsidRDefault="00A07720">
            <w:r>
              <w:rPr>
                <w:rFonts w:eastAsiaTheme="minorEastAsia"/>
                <w:color w:val="000000" w:themeColor="text1"/>
              </w:rPr>
              <w:t>杨景喻先生，</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07</w:t>
            </w:r>
            <w:r>
              <w:rPr>
                <w:rFonts w:eastAsiaTheme="minorEastAsia"/>
                <w:color w:val="000000" w:themeColor="text1"/>
              </w:rPr>
              <w:t>月至</w:t>
            </w:r>
            <w:r>
              <w:rPr>
                <w:rFonts w:eastAsiaTheme="minorEastAsia"/>
                <w:color w:val="000000" w:themeColor="text1"/>
              </w:rPr>
              <w:t>2011</w:t>
            </w:r>
            <w:r>
              <w:rPr>
                <w:rFonts w:eastAsiaTheme="minorEastAsia"/>
                <w:color w:val="000000" w:themeColor="text1"/>
              </w:rPr>
              <w:t>年</w:t>
            </w:r>
            <w:r>
              <w:rPr>
                <w:rFonts w:eastAsiaTheme="minorEastAsia"/>
                <w:color w:val="000000" w:themeColor="text1"/>
              </w:rPr>
              <w:t>03</w:t>
            </w:r>
            <w:r>
              <w:rPr>
                <w:rFonts w:eastAsiaTheme="minorEastAsia"/>
                <w:color w:val="000000" w:themeColor="text1"/>
              </w:rPr>
              <w:t>月在广发基金</w:t>
            </w:r>
            <w:r>
              <w:rPr>
                <w:rFonts w:eastAsiaTheme="minorEastAsia"/>
                <w:color w:val="000000" w:themeColor="text1"/>
              </w:rPr>
              <w:lastRenderedPageBreak/>
              <w:t>管理有限公司担任研究员。自</w:t>
            </w:r>
            <w:r>
              <w:rPr>
                <w:rFonts w:eastAsiaTheme="minorEastAsia"/>
                <w:color w:val="000000" w:themeColor="text1"/>
              </w:rPr>
              <w:t>2011</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月起加入上投摩根基金管理有限公司，先后担任行业专家、基金经理助理、基金经理，</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月至</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月担任上投摩根中国优势证券投资基金基金经理，自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月起担任上投摩根新兴服务股票型证券投资基金基金经理，</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月至</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月同时担任上投摩根智慧生活灵活配置混合型证券投资基金基金经理，自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月起同时担任上投摩根民生需求股票型证券投资基金基金经理，自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月起同时担任上</w:t>
            </w:r>
            <w:r>
              <w:rPr>
                <w:rFonts w:eastAsiaTheme="minorEastAsia"/>
                <w:color w:val="000000" w:themeColor="text1"/>
              </w:rPr>
              <w:t>投摩根转型动力灵活配置混合型证券投资基金基金经理。</w:t>
            </w:r>
          </w:p>
        </w:tc>
      </w:tr>
      <w:tr w:rsidR="00D43457">
        <w:tc>
          <w:tcPr>
            <w:tcW w:w="851" w:type="dxa"/>
            <w:vAlign w:val="center"/>
          </w:tcPr>
          <w:p w:rsidR="00D43457" w:rsidRDefault="00A07720">
            <w:pPr>
              <w:jc w:val="center"/>
            </w:pPr>
            <w:r>
              <w:rPr>
                <w:rFonts w:eastAsiaTheme="minorEastAsia"/>
                <w:color w:val="000000" w:themeColor="text1"/>
              </w:rPr>
              <w:lastRenderedPageBreak/>
              <w:t>郭晨</w:t>
            </w:r>
          </w:p>
        </w:tc>
        <w:tc>
          <w:tcPr>
            <w:tcW w:w="850" w:type="dxa"/>
            <w:vAlign w:val="center"/>
          </w:tcPr>
          <w:p w:rsidR="00D43457" w:rsidRDefault="00A07720">
            <w:pPr>
              <w:jc w:val="center"/>
            </w:pPr>
            <w:r>
              <w:rPr>
                <w:rFonts w:eastAsiaTheme="minorEastAsia"/>
                <w:color w:val="000000" w:themeColor="text1"/>
              </w:rPr>
              <w:t>本基金基金经理</w:t>
            </w:r>
          </w:p>
        </w:tc>
        <w:tc>
          <w:tcPr>
            <w:tcW w:w="1560" w:type="dxa"/>
            <w:vAlign w:val="center"/>
          </w:tcPr>
          <w:p w:rsidR="00D43457" w:rsidRDefault="00A07720">
            <w:pPr>
              <w:jc w:val="center"/>
            </w:pPr>
            <w:r>
              <w:rPr>
                <w:rFonts w:eastAsiaTheme="minorEastAsia"/>
                <w:color w:val="000000" w:themeColor="text1"/>
              </w:rPr>
              <w:t>2015-08-06</w:t>
            </w:r>
          </w:p>
        </w:tc>
        <w:tc>
          <w:tcPr>
            <w:tcW w:w="1559" w:type="dxa"/>
            <w:vAlign w:val="center"/>
          </w:tcPr>
          <w:p w:rsidR="00D43457" w:rsidRDefault="00A07720">
            <w:pPr>
              <w:jc w:val="center"/>
            </w:pPr>
            <w:r>
              <w:rPr>
                <w:rFonts w:eastAsiaTheme="minorEastAsia"/>
                <w:color w:val="000000" w:themeColor="text1"/>
              </w:rPr>
              <w:t>-</w:t>
            </w:r>
          </w:p>
        </w:tc>
        <w:tc>
          <w:tcPr>
            <w:tcW w:w="1417" w:type="dxa"/>
            <w:vAlign w:val="center"/>
          </w:tcPr>
          <w:p w:rsidR="00D43457" w:rsidRDefault="00A07720">
            <w:pPr>
              <w:jc w:val="center"/>
            </w:pPr>
            <w:r>
              <w:rPr>
                <w:rFonts w:eastAsiaTheme="minorEastAsia"/>
                <w:color w:val="000000" w:themeColor="text1"/>
              </w:rPr>
              <w:t>15</w:t>
            </w:r>
            <w:r>
              <w:rPr>
                <w:rFonts w:eastAsiaTheme="minorEastAsia"/>
                <w:color w:val="000000" w:themeColor="text1"/>
              </w:rPr>
              <w:t>年</w:t>
            </w:r>
          </w:p>
        </w:tc>
        <w:tc>
          <w:tcPr>
            <w:tcW w:w="2694" w:type="dxa"/>
            <w:vAlign w:val="center"/>
          </w:tcPr>
          <w:p w:rsidR="00D43457" w:rsidRDefault="00A07720">
            <w:r>
              <w:rPr>
                <w:rFonts w:eastAsiaTheme="minorEastAsia"/>
                <w:color w:val="000000" w:themeColor="text1"/>
              </w:rPr>
              <w:t>郭晨先生，自</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2008</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月在平安资产管理有限公司担任分析师；</w:t>
            </w:r>
            <w:r>
              <w:rPr>
                <w:rFonts w:eastAsiaTheme="minorEastAsia"/>
                <w:color w:val="000000" w:themeColor="text1"/>
              </w:rPr>
              <w:t>2008</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月至</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月在东吴基金管理有限公司担任研究员；</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月在华富基金管理有限公司先后担任基金经理助理、基金经理。</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月起加入上投摩根基金管理有限公司并担任基金经理、国内权益投资部动力组组长兼资深基金经理，自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月起担任上投摩根中小盘混合型证券投资基金基金经理，自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月起同时担任上投摩根智慧互联股票型证券投资基金基金经理，自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月起同时担任上投摩根新兴服务股票</w:t>
            </w:r>
            <w:r>
              <w:rPr>
                <w:rFonts w:eastAsiaTheme="minorEastAsia"/>
                <w:color w:val="000000" w:themeColor="text1"/>
              </w:rPr>
              <w:t>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月起同时担任上</w:t>
            </w:r>
            <w:r>
              <w:rPr>
                <w:rFonts w:eastAsiaTheme="minorEastAsia"/>
                <w:color w:val="000000" w:themeColor="text1"/>
              </w:rPr>
              <w:lastRenderedPageBreak/>
              <w:t>投摩根创新商业模式灵活配置混合型证券投资基金基金经理，自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月起同时担任上投摩根优势成长混合型证券投资基金基金经理，自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月起同时担任上投摩根动力精选混合型证券投资基金基金经理。</w:t>
            </w:r>
          </w:p>
        </w:tc>
      </w:tr>
    </w:tbl>
    <w:p w:rsidR="00D43457" w:rsidRDefault="00A07720">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43457" w:rsidRDefault="00A07720">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郭晨先生为本基金首任基金经理，其任职日期指本基金基金合同生效之日。</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新兴服务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D43457" w:rsidRDefault="00A07720">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43457" w:rsidRDefault="00A07720">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w:t>
      </w:r>
      <w:r>
        <w:rPr>
          <w:rFonts w:eastAsiaTheme="minorEastAsia"/>
          <w:color w:val="000000" w:themeColor="text1"/>
        </w:rPr>
        <w:t>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43457" w:rsidRDefault="00A07720">
      <w:pPr>
        <w:spacing w:line="360" w:lineRule="auto"/>
        <w:ind w:firstLineChars="200" w:firstLine="420"/>
        <w:rPr>
          <w:rFonts w:eastAsiaTheme="minorEastAsia"/>
          <w:color w:val="000000" w:themeColor="text1"/>
        </w:rPr>
      </w:pPr>
      <w:r>
        <w:rPr>
          <w:rFonts w:eastAsiaTheme="minorEastAsia"/>
          <w:color w:val="000000" w:themeColor="text1"/>
        </w:rPr>
        <w:lastRenderedPageBreak/>
        <w:t>报告期内，通过对不同投资组合之间的收益率差异比较、对同向交易和反向交易的交易时机和交易价差监控分析，未发现整体公平交易执行出现异常的情况。</w:t>
      </w:r>
    </w:p>
    <w:p w:rsidR="00D06738" w:rsidRPr="00FF6B9A" w:rsidRDefault="00D06738">
      <w:pPr>
        <w:spacing w:line="360" w:lineRule="auto"/>
        <w:ind w:firstLineChars="200" w:firstLine="420"/>
        <w:rPr>
          <w:rFonts w:eastAsiaTheme="minorEastAsia"/>
          <w:color w:val="000000" w:themeColor="text1"/>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D43457" w:rsidRDefault="00A07720">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D43457" w:rsidRDefault="00A07720">
      <w:pPr>
        <w:spacing w:line="360" w:lineRule="auto"/>
        <w:ind w:firstLineChars="200" w:firstLine="420"/>
        <w:rPr>
          <w:rFonts w:eastAsiaTheme="minorEastAsia"/>
          <w:color w:val="000000" w:themeColor="text1"/>
        </w:rPr>
      </w:pPr>
      <w:r>
        <w:rPr>
          <w:rFonts w:eastAsiaTheme="minorEastAsia"/>
          <w:color w:val="000000" w:themeColor="text1"/>
        </w:rPr>
        <w:t>四季度的市场十分纠结。一方面前期表现良好的新能源板块出现大幅波动。创新药相关、芯片等高估值板块也出现显著的下跌。而食品饮料、家居建材、中医中药、发电等低估值板块则表现良好。整体估值体系在</w:t>
      </w:r>
      <w:r>
        <w:rPr>
          <w:rFonts w:eastAsiaTheme="minorEastAsia"/>
          <w:color w:val="000000" w:themeColor="text1"/>
        </w:rPr>
        <w:t>2021</w:t>
      </w:r>
      <w:r>
        <w:rPr>
          <w:rFonts w:eastAsiaTheme="minorEastAsia"/>
          <w:color w:val="000000" w:themeColor="text1"/>
        </w:rPr>
        <w:t>年三季度以来以均值收敛为主。本基金对行业配置结构做了调整，重点增加了估值较低，业绩增长良好的消费电子、食品饮料、智能汽车板块的配置，</w:t>
      </w:r>
      <w:r>
        <w:rPr>
          <w:rFonts w:eastAsiaTheme="minorEastAsia"/>
          <w:color w:val="000000" w:themeColor="text1"/>
        </w:rPr>
        <w:t>但由于我们重点看好的新能源产业出现显著调整，对本季度净值表现造成一定的负面影响。</w:t>
      </w:r>
    </w:p>
    <w:p w:rsidR="00D43457" w:rsidRDefault="00A07720">
      <w:pPr>
        <w:spacing w:line="360" w:lineRule="auto"/>
        <w:ind w:firstLineChars="200" w:firstLine="420"/>
        <w:rPr>
          <w:rFonts w:eastAsiaTheme="minorEastAsia"/>
          <w:color w:val="000000" w:themeColor="text1"/>
        </w:rPr>
      </w:pPr>
      <w:r>
        <w:rPr>
          <w:rFonts w:eastAsiaTheme="minorEastAsia"/>
          <w:color w:val="000000" w:themeColor="text1"/>
        </w:rPr>
        <w:t>展望</w:t>
      </w:r>
      <w:r>
        <w:rPr>
          <w:rFonts w:eastAsiaTheme="minorEastAsia"/>
          <w:color w:val="000000" w:themeColor="text1"/>
        </w:rPr>
        <w:t>2022</w:t>
      </w:r>
      <w:r>
        <w:rPr>
          <w:rFonts w:eastAsiaTheme="minorEastAsia"/>
          <w:color w:val="000000" w:themeColor="text1"/>
        </w:rPr>
        <w:t>年一季度，我们认为宏观经济政策托底作用将会逐步体现。货币政策维持较为宽松，财政政策发力时点或将前置，稳增长的效果将逐步体现。但在企业微观层面，受制于国内外经济增速放缓，部分原材料价格仍处高位，企业的经营压力将增大。</w:t>
      </w:r>
    </w:p>
    <w:p w:rsidR="00D43457" w:rsidRDefault="00A07720">
      <w:pPr>
        <w:spacing w:line="360" w:lineRule="auto"/>
        <w:ind w:firstLineChars="200" w:firstLine="420"/>
        <w:rPr>
          <w:rFonts w:eastAsiaTheme="minorEastAsia"/>
          <w:color w:val="000000" w:themeColor="text1"/>
        </w:rPr>
      </w:pPr>
      <w:r>
        <w:rPr>
          <w:rFonts w:eastAsiaTheme="minorEastAsia"/>
          <w:color w:val="000000" w:themeColor="text1"/>
        </w:rPr>
        <w:t>结合企业经营特点以及市场整体估值情况，我们认为未来一到二个季度尚难出现如前两三年这样的</w:t>
      </w:r>
      <w:r>
        <w:rPr>
          <w:rFonts w:eastAsiaTheme="minorEastAsia"/>
          <w:color w:val="000000" w:themeColor="text1"/>
        </w:rPr>
        <w:t>“</w:t>
      </w:r>
      <w:r>
        <w:rPr>
          <w:rFonts w:eastAsiaTheme="minorEastAsia"/>
          <w:color w:val="000000" w:themeColor="text1"/>
        </w:rPr>
        <w:t>赛道行情</w:t>
      </w:r>
      <w:r>
        <w:rPr>
          <w:rFonts w:eastAsiaTheme="minorEastAsia"/>
          <w:color w:val="000000" w:themeColor="text1"/>
        </w:rPr>
        <w:t>”</w:t>
      </w:r>
      <w:r>
        <w:rPr>
          <w:rFonts w:eastAsiaTheme="minorEastAsia"/>
          <w:color w:val="000000" w:themeColor="text1"/>
        </w:rPr>
        <w:t>，更多的机会来自于市值明确被低估的公司以及板块。这对我们的投资、研究提出了更高的要求。一方面我们必须通过</w:t>
      </w:r>
      <w:r>
        <w:rPr>
          <w:rFonts w:eastAsiaTheme="minorEastAsia"/>
          <w:color w:val="000000" w:themeColor="text1"/>
        </w:rPr>
        <w:t>严格的业务经营分析，确认各个投资标的的低估程度；另一方面也需要在这些低估标的出现显著波动时予以坚持。这是困难的，但并非不可为也。以市场整体流动性的充裕程度，真正低估并且边际向上的成长标的，将会很快的映射在股价的上涨上。</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尽管我们对整体指数级别的行情不报特别大的希望，但我们仍然坚定的认为大消费、新能源汽车、高科技制造业代表着未来中国经济发展的方向，当中将继续涌现出诸多优质的成长股，我们对此拥有信心。本基金经理也将继续勤勉尽责，争取为持有人创造良好的超额收益。</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lastRenderedPageBreak/>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本报告期上投摩根新兴服务股票份额净值增长率为</w:t>
      </w:r>
      <w:r w:rsidRPr="00FF6B9A">
        <w:rPr>
          <w:rFonts w:eastAsiaTheme="minorEastAsia"/>
          <w:color w:val="000000" w:themeColor="text1"/>
        </w:rPr>
        <w:t>:-3.43%</w:t>
      </w:r>
      <w:r w:rsidRPr="00FF6B9A">
        <w:rPr>
          <w:rFonts w:eastAsiaTheme="minorEastAsia"/>
          <w:color w:val="000000" w:themeColor="text1"/>
        </w:rPr>
        <w:t>，同期业绩比较基准收益率为</w:t>
      </w:r>
      <w:r w:rsidRPr="00FF6B9A">
        <w:rPr>
          <w:rFonts w:eastAsiaTheme="minorEastAsia"/>
          <w:color w:val="000000" w:themeColor="text1"/>
        </w:rPr>
        <w:t>:1.82%</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43,362,206.50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80.41</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43,362,206.50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80.41</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173,000.00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0.32</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173,000.00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0.32</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10,353,704.56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19.20</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40,222.54</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0.07</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53,929,133.60</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w:t>
            </w:r>
            <w:r w:rsidRPr="00FF6B9A">
              <w:rPr>
                <w:rFonts w:eastAsiaTheme="minorEastAsia"/>
                <w:color w:val="000000" w:themeColor="text1"/>
                <w:kern w:val="0"/>
              </w:rPr>
              <w:lastRenderedPageBreak/>
              <w:t>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38,128,720.33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71.20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903,230.30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3,157,354.08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5.90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569,658.32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586,660.80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16,582.67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43,362,206.50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80.97</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D43457">
        <w:tc>
          <w:tcPr>
            <w:tcW w:w="817" w:type="dxa"/>
            <w:vAlign w:val="center"/>
          </w:tcPr>
          <w:p w:rsidR="00D43457" w:rsidRDefault="00A07720">
            <w:pPr>
              <w:jc w:val="center"/>
            </w:pPr>
            <w:r>
              <w:rPr>
                <w:rFonts w:eastAsiaTheme="minorEastAsia"/>
                <w:kern w:val="0"/>
                <w:sz w:val="24"/>
                <w:szCs w:val="24"/>
              </w:rPr>
              <w:t>1</w:t>
            </w:r>
          </w:p>
        </w:tc>
        <w:tc>
          <w:tcPr>
            <w:tcW w:w="1276" w:type="dxa"/>
            <w:vAlign w:val="center"/>
          </w:tcPr>
          <w:p w:rsidR="00D43457" w:rsidRDefault="00A07720">
            <w:pPr>
              <w:jc w:val="center"/>
            </w:pPr>
            <w:r>
              <w:rPr>
                <w:rFonts w:eastAsiaTheme="minorEastAsia"/>
                <w:kern w:val="0"/>
                <w:sz w:val="24"/>
                <w:szCs w:val="24"/>
              </w:rPr>
              <w:t>300390</w:t>
            </w:r>
          </w:p>
        </w:tc>
        <w:tc>
          <w:tcPr>
            <w:tcW w:w="1701" w:type="dxa"/>
            <w:vAlign w:val="center"/>
          </w:tcPr>
          <w:p w:rsidR="00D43457" w:rsidRDefault="00A07720">
            <w:pPr>
              <w:jc w:val="center"/>
            </w:pPr>
            <w:r>
              <w:rPr>
                <w:rFonts w:eastAsiaTheme="minorEastAsia"/>
                <w:kern w:val="0"/>
                <w:sz w:val="24"/>
                <w:szCs w:val="24"/>
              </w:rPr>
              <w:t>天华超净</w:t>
            </w:r>
          </w:p>
        </w:tc>
        <w:tc>
          <w:tcPr>
            <w:tcW w:w="1276" w:type="dxa"/>
            <w:vAlign w:val="center"/>
          </w:tcPr>
          <w:p w:rsidR="00D43457" w:rsidRDefault="00A07720">
            <w:pPr>
              <w:jc w:val="right"/>
            </w:pPr>
            <w:r>
              <w:rPr>
                <w:rFonts w:eastAsiaTheme="minorEastAsia"/>
                <w:kern w:val="0"/>
                <w:sz w:val="24"/>
                <w:szCs w:val="24"/>
              </w:rPr>
              <w:t>25,068.00</w:t>
            </w:r>
          </w:p>
        </w:tc>
        <w:tc>
          <w:tcPr>
            <w:tcW w:w="1842" w:type="dxa"/>
            <w:vAlign w:val="center"/>
          </w:tcPr>
          <w:p w:rsidR="00D43457" w:rsidRDefault="00A07720">
            <w:pPr>
              <w:jc w:val="right"/>
            </w:pPr>
            <w:r>
              <w:rPr>
                <w:rFonts w:eastAsiaTheme="minorEastAsia"/>
                <w:kern w:val="0"/>
                <w:sz w:val="24"/>
                <w:szCs w:val="24"/>
              </w:rPr>
              <w:t>2,030,508.00</w:t>
            </w:r>
          </w:p>
        </w:tc>
        <w:tc>
          <w:tcPr>
            <w:tcW w:w="1616" w:type="dxa"/>
            <w:vAlign w:val="center"/>
          </w:tcPr>
          <w:p w:rsidR="00D43457" w:rsidRDefault="00A07720">
            <w:pPr>
              <w:jc w:val="right"/>
            </w:pPr>
            <w:r>
              <w:rPr>
                <w:rFonts w:eastAsiaTheme="minorEastAsia"/>
                <w:kern w:val="0"/>
                <w:sz w:val="24"/>
                <w:szCs w:val="24"/>
              </w:rPr>
              <w:t>3.79</w:t>
            </w:r>
          </w:p>
        </w:tc>
      </w:tr>
      <w:tr w:rsidR="00D43457">
        <w:tc>
          <w:tcPr>
            <w:tcW w:w="817" w:type="dxa"/>
            <w:vAlign w:val="center"/>
          </w:tcPr>
          <w:p w:rsidR="00D43457" w:rsidRDefault="00A07720">
            <w:pPr>
              <w:jc w:val="center"/>
            </w:pPr>
            <w:r>
              <w:rPr>
                <w:rFonts w:eastAsiaTheme="minorEastAsia"/>
                <w:kern w:val="0"/>
                <w:sz w:val="24"/>
                <w:szCs w:val="24"/>
              </w:rPr>
              <w:t>2</w:t>
            </w:r>
          </w:p>
        </w:tc>
        <w:tc>
          <w:tcPr>
            <w:tcW w:w="1276" w:type="dxa"/>
            <w:vAlign w:val="center"/>
          </w:tcPr>
          <w:p w:rsidR="00D43457" w:rsidRDefault="00A07720">
            <w:pPr>
              <w:jc w:val="center"/>
            </w:pPr>
            <w:r>
              <w:rPr>
                <w:rFonts w:eastAsiaTheme="minorEastAsia"/>
                <w:kern w:val="0"/>
                <w:sz w:val="24"/>
                <w:szCs w:val="24"/>
              </w:rPr>
              <w:t>300059</w:t>
            </w:r>
          </w:p>
        </w:tc>
        <w:tc>
          <w:tcPr>
            <w:tcW w:w="1701" w:type="dxa"/>
            <w:vAlign w:val="center"/>
          </w:tcPr>
          <w:p w:rsidR="00D43457" w:rsidRDefault="00A07720">
            <w:pPr>
              <w:jc w:val="center"/>
            </w:pPr>
            <w:r>
              <w:rPr>
                <w:rFonts w:eastAsiaTheme="minorEastAsia"/>
                <w:kern w:val="0"/>
                <w:sz w:val="24"/>
                <w:szCs w:val="24"/>
              </w:rPr>
              <w:t>东方财富</w:t>
            </w:r>
          </w:p>
        </w:tc>
        <w:tc>
          <w:tcPr>
            <w:tcW w:w="1276" w:type="dxa"/>
            <w:vAlign w:val="center"/>
          </w:tcPr>
          <w:p w:rsidR="00D43457" w:rsidRDefault="00A07720">
            <w:pPr>
              <w:jc w:val="right"/>
            </w:pPr>
            <w:r>
              <w:rPr>
                <w:rFonts w:eastAsiaTheme="minorEastAsia"/>
                <w:kern w:val="0"/>
                <w:sz w:val="24"/>
                <w:szCs w:val="24"/>
              </w:rPr>
              <w:t>46,496.00</w:t>
            </w:r>
          </w:p>
        </w:tc>
        <w:tc>
          <w:tcPr>
            <w:tcW w:w="1842" w:type="dxa"/>
            <w:vAlign w:val="center"/>
          </w:tcPr>
          <w:p w:rsidR="00D43457" w:rsidRDefault="00A07720">
            <w:pPr>
              <w:jc w:val="right"/>
            </w:pPr>
            <w:r>
              <w:rPr>
                <w:rFonts w:eastAsiaTheme="minorEastAsia"/>
                <w:kern w:val="0"/>
                <w:sz w:val="24"/>
                <w:szCs w:val="24"/>
              </w:rPr>
              <w:t>1,725,466.56</w:t>
            </w:r>
          </w:p>
        </w:tc>
        <w:tc>
          <w:tcPr>
            <w:tcW w:w="1616" w:type="dxa"/>
            <w:vAlign w:val="center"/>
          </w:tcPr>
          <w:p w:rsidR="00D43457" w:rsidRDefault="00A07720">
            <w:pPr>
              <w:jc w:val="right"/>
            </w:pPr>
            <w:r>
              <w:rPr>
                <w:rFonts w:eastAsiaTheme="minorEastAsia"/>
                <w:kern w:val="0"/>
                <w:sz w:val="24"/>
                <w:szCs w:val="24"/>
              </w:rPr>
              <w:t>3.22</w:t>
            </w:r>
          </w:p>
        </w:tc>
      </w:tr>
      <w:tr w:rsidR="00D43457">
        <w:tc>
          <w:tcPr>
            <w:tcW w:w="817" w:type="dxa"/>
            <w:vAlign w:val="center"/>
          </w:tcPr>
          <w:p w:rsidR="00D43457" w:rsidRDefault="00A07720">
            <w:pPr>
              <w:jc w:val="center"/>
            </w:pPr>
            <w:r>
              <w:rPr>
                <w:rFonts w:eastAsiaTheme="minorEastAsia"/>
                <w:kern w:val="0"/>
                <w:sz w:val="24"/>
                <w:szCs w:val="24"/>
              </w:rPr>
              <w:t>3</w:t>
            </w:r>
          </w:p>
        </w:tc>
        <w:tc>
          <w:tcPr>
            <w:tcW w:w="1276" w:type="dxa"/>
            <w:vAlign w:val="center"/>
          </w:tcPr>
          <w:p w:rsidR="00D43457" w:rsidRDefault="00A07720">
            <w:pPr>
              <w:jc w:val="center"/>
            </w:pPr>
            <w:r>
              <w:rPr>
                <w:rFonts w:eastAsiaTheme="minorEastAsia"/>
                <w:kern w:val="0"/>
                <w:sz w:val="24"/>
                <w:szCs w:val="24"/>
              </w:rPr>
              <w:t>600519</w:t>
            </w:r>
          </w:p>
        </w:tc>
        <w:tc>
          <w:tcPr>
            <w:tcW w:w="1701" w:type="dxa"/>
            <w:vAlign w:val="center"/>
          </w:tcPr>
          <w:p w:rsidR="00D43457" w:rsidRDefault="00A07720">
            <w:pPr>
              <w:jc w:val="center"/>
            </w:pPr>
            <w:r>
              <w:rPr>
                <w:rFonts w:eastAsiaTheme="minorEastAsia"/>
                <w:kern w:val="0"/>
                <w:sz w:val="24"/>
                <w:szCs w:val="24"/>
              </w:rPr>
              <w:t>贵州茅台</w:t>
            </w:r>
          </w:p>
        </w:tc>
        <w:tc>
          <w:tcPr>
            <w:tcW w:w="1276" w:type="dxa"/>
            <w:vAlign w:val="center"/>
          </w:tcPr>
          <w:p w:rsidR="00D43457" w:rsidRDefault="00A07720">
            <w:pPr>
              <w:jc w:val="right"/>
            </w:pPr>
            <w:r>
              <w:rPr>
                <w:rFonts w:eastAsiaTheme="minorEastAsia"/>
                <w:kern w:val="0"/>
                <w:sz w:val="24"/>
                <w:szCs w:val="24"/>
              </w:rPr>
              <w:t>800.00</w:t>
            </w:r>
          </w:p>
        </w:tc>
        <w:tc>
          <w:tcPr>
            <w:tcW w:w="1842" w:type="dxa"/>
            <w:vAlign w:val="center"/>
          </w:tcPr>
          <w:p w:rsidR="00D43457" w:rsidRDefault="00A07720">
            <w:pPr>
              <w:jc w:val="right"/>
            </w:pPr>
            <w:r>
              <w:rPr>
                <w:rFonts w:eastAsiaTheme="minorEastAsia"/>
                <w:kern w:val="0"/>
                <w:sz w:val="24"/>
                <w:szCs w:val="24"/>
              </w:rPr>
              <w:t>1,640,000.00</w:t>
            </w:r>
          </w:p>
        </w:tc>
        <w:tc>
          <w:tcPr>
            <w:tcW w:w="1616" w:type="dxa"/>
            <w:vAlign w:val="center"/>
          </w:tcPr>
          <w:p w:rsidR="00D43457" w:rsidRDefault="00A07720">
            <w:pPr>
              <w:jc w:val="right"/>
            </w:pPr>
            <w:r>
              <w:rPr>
                <w:rFonts w:eastAsiaTheme="minorEastAsia"/>
                <w:kern w:val="0"/>
                <w:sz w:val="24"/>
                <w:szCs w:val="24"/>
              </w:rPr>
              <w:t>3.06</w:t>
            </w:r>
          </w:p>
        </w:tc>
      </w:tr>
      <w:tr w:rsidR="00D43457">
        <w:tc>
          <w:tcPr>
            <w:tcW w:w="817" w:type="dxa"/>
            <w:vAlign w:val="center"/>
          </w:tcPr>
          <w:p w:rsidR="00D43457" w:rsidRDefault="00A07720">
            <w:pPr>
              <w:jc w:val="center"/>
            </w:pPr>
            <w:r>
              <w:rPr>
                <w:rFonts w:eastAsiaTheme="minorEastAsia"/>
                <w:kern w:val="0"/>
                <w:sz w:val="24"/>
                <w:szCs w:val="24"/>
              </w:rPr>
              <w:t>4</w:t>
            </w:r>
          </w:p>
        </w:tc>
        <w:tc>
          <w:tcPr>
            <w:tcW w:w="1276" w:type="dxa"/>
            <w:vAlign w:val="center"/>
          </w:tcPr>
          <w:p w:rsidR="00D43457" w:rsidRDefault="00A07720">
            <w:pPr>
              <w:jc w:val="center"/>
            </w:pPr>
            <w:r>
              <w:rPr>
                <w:rFonts w:eastAsiaTheme="minorEastAsia"/>
                <w:kern w:val="0"/>
                <w:sz w:val="24"/>
                <w:szCs w:val="24"/>
              </w:rPr>
              <w:t>600745</w:t>
            </w:r>
          </w:p>
        </w:tc>
        <w:tc>
          <w:tcPr>
            <w:tcW w:w="1701" w:type="dxa"/>
            <w:vAlign w:val="center"/>
          </w:tcPr>
          <w:p w:rsidR="00D43457" w:rsidRDefault="00A07720">
            <w:pPr>
              <w:jc w:val="center"/>
            </w:pPr>
            <w:r>
              <w:rPr>
                <w:rFonts w:eastAsiaTheme="minorEastAsia"/>
                <w:kern w:val="0"/>
                <w:sz w:val="24"/>
                <w:szCs w:val="24"/>
              </w:rPr>
              <w:t>闻泰科技</w:t>
            </w:r>
          </w:p>
        </w:tc>
        <w:tc>
          <w:tcPr>
            <w:tcW w:w="1276" w:type="dxa"/>
            <w:vAlign w:val="center"/>
          </w:tcPr>
          <w:p w:rsidR="00D43457" w:rsidRDefault="00A07720">
            <w:pPr>
              <w:jc w:val="right"/>
            </w:pPr>
            <w:r>
              <w:rPr>
                <w:rFonts w:eastAsiaTheme="minorEastAsia"/>
                <w:kern w:val="0"/>
                <w:sz w:val="24"/>
                <w:szCs w:val="24"/>
              </w:rPr>
              <w:t>12,000.00</w:t>
            </w:r>
          </w:p>
        </w:tc>
        <w:tc>
          <w:tcPr>
            <w:tcW w:w="1842" w:type="dxa"/>
            <w:vAlign w:val="center"/>
          </w:tcPr>
          <w:p w:rsidR="00D43457" w:rsidRDefault="00A07720">
            <w:pPr>
              <w:jc w:val="right"/>
            </w:pPr>
            <w:r>
              <w:rPr>
                <w:rFonts w:eastAsiaTheme="minorEastAsia"/>
                <w:kern w:val="0"/>
                <w:sz w:val="24"/>
                <w:szCs w:val="24"/>
              </w:rPr>
              <w:t>1,551,600.00</w:t>
            </w:r>
          </w:p>
        </w:tc>
        <w:tc>
          <w:tcPr>
            <w:tcW w:w="1616" w:type="dxa"/>
            <w:vAlign w:val="center"/>
          </w:tcPr>
          <w:p w:rsidR="00D43457" w:rsidRDefault="00A07720">
            <w:pPr>
              <w:jc w:val="right"/>
            </w:pPr>
            <w:r>
              <w:rPr>
                <w:rFonts w:eastAsiaTheme="minorEastAsia"/>
                <w:kern w:val="0"/>
                <w:sz w:val="24"/>
                <w:szCs w:val="24"/>
              </w:rPr>
              <w:t>2.90</w:t>
            </w:r>
          </w:p>
        </w:tc>
      </w:tr>
      <w:tr w:rsidR="00D43457">
        <w:tc>
          <w:tcPr>
            <w:tcW w:w="817" w:type="dxa"/>
            <w:vAlign w:val="center"/>
          </w:tcPr>
          <w:p w:rsidR="00D43457" w:rsidRDefault="00A07720">
            <w:pPr>
              <w:jc w:val="center"/>
            </w:pPr>
            <w:r>
              <w:rPr>
                <w:rFonts w:eastAsiaTheme="minorEastAsia"/>
                <w:kern w:val="0"/>
                <w:sz w:val="24"/>
                <w:szCs w:val="24"/>
              </w:rPr>
              <w:t>5</w:t>
            </w:r>
          </w:p>
        </w:tc>
        <w:tc>
          <w:tcPr>
            <w:tcW w:w="1276" w:type="dxa"/>
            <w:vAlign w:val="center"/>
          </w:tcPr>
          <w:p w:rsidR="00D43457" w:rsidRDefault="00A07720">
            <w:pPr>
              <w:jc w:val="center"/>
            </w:pPr>
            <w:r>
              <w:rPr>
                <w:rFonts w:eastAsiaTheme="minorEastAsia"/>
                <w:kern w:val="0"/>
                <w:sz w:val="24"/>
                <w:szCs w:val="24"/>
              </w:rPr>
              <w:t>600436</w:t>
            </w:r>
          </w:p>
        </w:tc>
        <w:tc>
          <w:tcPr>
            <w:tcW w:w="1701" w:type="dxa"/>
            <w:vAlign w:val="center"/>
          </w:tcPr>
          <w:p w:rsidR="00D43457" w:rsidRDefault="00A07720">
            <w:pPr>
              <w:jc w:val="center"/>
            </w:pPr>
            <w:r>
              <w:rPr>
                <w:rFonts w:eastAsiaTheme="minorEastAsia"/>
                <w:kern w:val="0"/>
                <w:sz w:val="24"/>
                <w:szCs w:val="24"/>
              </w:rPr>
              <w:t>片仔癀</w:t>
            </w:r>
          </w:p>
        </w:tc>
        <w:tc>
          <w:tcPr>
            <w:tcW w:w="1276" w:type="dxa"/>
            <w:vAlign w:val="center"/>
          </w:tcPr>
          <w:p w:rsidR="00D43457" w:rsidRDefault="00A07720">
            <w:pPr>
              <w:jc w:val="right"/>
            </w:pPr>
            <w:r>
              <w:rPr>
                <w:rFonts w:eastAsiaTheme="minorEastAsia"/>
                <w:kern w:val="0"/>
                <w:sz w:val="24"/>
                <w:szCs w:val="24"/>
              </w:rPr>
              <w:t>3,400.00</w:t>
            </w:r>
          </w:p>
        </w:tc>
        <w:tc>
          <w:tcPr>
            <w:tcW w:w="1842" w:type="dxa"/>
            <w:vAlign w:val="center"/>
          </w:tcPr>
          <w:p w:rsidR="00D43457" w:rsidRDefault="00A07720">
            <w:pPr>
              <w:jc w:val="right"/>
            </w:pPr>
            <w:r>
              <w:rPr>
                <w:rFonts w:eastAsiaTheme="minorEastAsia"/>
                <w:kern w:val="0"/>
                <w:sz w:val="24"/>
                <w:szCs w:val="24"/>
              </w:rPr>
              <w:t>1,486,310.00</w:t>
            </w:r>
          </w:p>
        </w:tc>
        <w:tc>
          <w:tcPr>
            <w:tcW w:w="1616" w:type="dxa"/>
            <w:vAlign w:val="center"/>
          </w:tcPr>
          <w:p w:rsidR="00D43457" w:rsidRDefault="00A07720">
            <w:pPr>
              <w:jc w:val="right"/>
            </w:pPr>
            <w:r>
              <w:rPr>
                <w:rFonts w:eastAsiaTheme="minorEastAsia"/>
                <w:kern w:val="0"/>
                <w:sz w:val="24"/>
                <w:szCs w:val="24"/>
              </w:rPr>
              <w:t>2.78</w:t>
            </w:r>
          </w:p>
        </w:tc>
      </w:tr>
      <w:tr w:rsidR="00D43457">
        <w:tc>
          <w:tcPr>
            <w:tcW w:w="817" w:type="dxa"/>
            <w:vAlign w:val="center"/>
          </w:tcPr>
          <w:p w:rsidR="00D43457" w:rsidRDefault="00A07720">
            <w:pPr>
              <w:jc w:val="center"/>
            </w:pPr>
            <w:r>
              <w:rPr>
                <w:rFonts w:eastAsiaTheme="minorEastAsia"/>
                <w:kern w:val="0"/>
                <w:sz w:val="24"/>
                <w:szCs w:val="24"/>
              </w:rPr>
              <w:t>6</w:t>
            </w:r>
          </w:p>
        </w:tc>
        <w:tc>
          <w:tcPr>
            <w:tcW w:w="1276" w:type="dxa"/>
            <w:vAlign w:val="center"/>
          </w:tcPr>
          <w:p w:rsidR="00D43457" w:rsidRDefault="00A07720">
            <w:pPr>
              <w:jc w:val="center"/>
            </w:pPr>
            <w:r>
              <w:rPr>
                <w:rFonts w:eastAsiaTheme="minorEastAsia"/>
                <w:kern w:val="0"/>
                <w:sz w:val="24"/>
                <w:szCs w:val="24"/>
              </w:rPr>
              <w:t>600702</w:t>
            </w:r>
          </w:p>
        </w:tc>
        <w:tc>
          <w:tcPr>
            <w:tcW w:w="1701" w:type="dxa"/>
            <w:vAlign w:val="center"/>
          </w:tcPr>
          <w:p w:rsidR="00D43457" w:rsidRDefault="00A07720">
            <w:pPr>
              <w:jc w:val="center"/>
            </w:pPr>
            <w:r>
              <w:rPr>
                <w:rFonts w:eastAsiaTheme="minorEastAsia"/>
                <w:kern w:val="0"/>
                <w:sz w:val="24"/>
                <w:szCs w:val="24"/>
              </w:rPr>
              <w:t>舍得酒业</w:t>
            </w:r>
          </w:p>
        </w:tc>
        <w:tc>
          <w:tcPr>
            <w:tcW w:w="1276" w:type="dxa"/>
            <w:vAlign w:val="center"/>
          </w:tcPr>
          <w:p w:rsidR="00D43457" w:rsidRDefault="00A07720">
            <w:pPr>
              <w:jc w:val="right"/>
            </w:pPr>
            <w:r>
              <w:rPr>
                <w:rFonts w:eastAsiaTheme="minorEastAsia"/>
                <w:kern w:val="0"/>
                <w:sz w:val="24"/>
                <w:szCs w:val="24"/>
              </w:rPr>
              <w:t>6,300.00</w:t>
            </w:r>
          </w:p>
        </w:tc>
        <w:tc>
          <w:tcPr>
            <w:tcW w:w="1842" w:type="dxa"/>
            <w:vAlign w:val="center"/>
          </w:tcPr>
          <w:p w:rsidR="00D43457" w:rsidRDefault="00A07720">
            <w:pPr>
              <w:jc w:val="right"/>
            </w:pPr>
            <w:r>
              <w:rPr>
                <w:rFonts w:eastAsiaTheme="minorEastAsia"/>
                <w:kern w:val="0"/>
                <w:sz w:val="24"/>
                <w:szCs w:val="24"/>
              </w:rPr>
              <w:t>1,431,990.00</w:t>
            </w:r>
          </w:p>
        </w:tc>
        <w:tc>
          <w:tcPr>
            <w:tcW w:w="1616" w:type="dxa"/>
            <w:vAlign w:val="center"/>
          </w:tcPr>
          <w:p w:rsidR="00D43457" w:rsidRDefault="00A07720">
            <w:pPr>
              <w:jc w:val="right"/>
            </w:pPr>
            <w:r>
              <w:rPr>
                <w:rFonts w:eastAsiaTheme="minorEastAsia"/>
                <w:kern w:val="0"/>
                <w:sz w:val="24"/>
                <w:szCs w:val="24"/>
              </w:rPr>
              <w:t>2.67</w:t>
            </w:r>
          </w:p>
        </w:tc>
      </w:tr>
      <w:tr w:rsidR="00D43457">
        <w:tc>
          <w:tcPr>
            <w:tcW w:w="817" w:type="dxa"/>
            <w:vAlign w:val="center"/>
          </w:tcPr>
          <w:p w:rsidR="00D43457" w:rsidRDefault="00A07720">
            <w:pPr>
              <w:jc w:val="center"/>
            </w:pPr>
            <w:r>
              <w:rPr>
                <w:rFonts w:eastAsiaTheme="minorEastAsia"/>
                <w:kern w:val="0"/>
                <w:sz w:val="24"/>
                <w:szCs w:val="24"/>
              </w:rPr>
              <w:t>7</w:t>
            </w:r>
          </w:p>
        </w:tc>
        <w:tc>
          <w:tcPr>
            <w:tcW w:w="1276" w:type="dxa"/>
            <w:vAlign w:val="center"/>
          </w:tcPr>
          <w:p w:rsidR="00D43457" w:rsidRDefault="00A07720">
            <w:pPr>
              <w:jc w:val="center"/>
            </w:pPr>
            <w:r>
              <w:rPr>
                <w:rFonts w:eastAsiaTheme="minorEastAsia"/>
                <w:kern w:val="0"/>
                <w:sz w:val="24"/>
                <w:szCs w:val="24"/>
              </w:rPr>
              <w:t>300014</w:t>
            </w:r>
          </w:p>
        </w:tc>
        <w:tc>
          <w:tcPr>
            <w:tcW w:w="1701" w:type="dxa"/>
            <w:vAlign w:val="center"/>
          </w:tcPr>
          <w:p w:rsidR="00D43457" w:rsidRDefault="00A07720">
            <w:pPr>
              <w:jc w:val="center"/>
            </w:pPr>
            <w:r>
              <w:rPr>
                <w:rFonts w:eastAsiaTheme="minorEastAsia"/>
                <w:kern w:val="0"/>
                <w:sz w:val="24"/>
                <w:szCs w:val="24"/>
              </w:rPr>
              <w:t>亿纬锂能</w:t>
            </w:r>
          </w:p>
        </w:tc>
        <w:tc>
          <w:tcPr>
            <w:tcW w:w="1276" w:type="dxa"/>
            <w:vAlign w:val="center"/>
          </w:tcPr>
          <w:p w:rsidR="00D43457" w:rsidRDefault="00A07720">
            <w:pPr>
              <w:jc w:val="right"/>
            </w:pPr>
            <w:r>
              <w:rPr>
                <w:rFonts w:eastAsiaTheme="minorEastAsia"/>
                <w:kern w:val="0"/>
                <w:sz w:val="24"/>
                <w:szCs w:val="24"/>
              </w:rPr>
              <w:t>12,100.00</w:t>
            </w:r>
          </w:p>
        </w:tc>
        <w:tc>
          <w:tcPr>
            <w:tcW w:w="1842" w:type="dxa"/>
            <w:vAlign w:val="center"/>
          </w:tcPr>
          <w:p w:rsidR="00D43457" w:rsidRDefault="00A07720">
            <w:pPr>
              <w:jc w:val="right"/>
            </w:pPr>
            <w:r>
              <w:rPr>
                <w:rFonts w:eastAsiaTheme="minorEastAsia"/>
                <w:kern w:val="0"/>
                <w:sz w:val="24"/>
                <w:szCs w:val="24"/>
              </w:rPr>
              <w:t>1,429,978.00</w:t>
            </w:r>
          </w:p>
        </w:tc>
        <w:tc>
          <w:tcPr>
            <w:tcW w:w="1616" w:type="dxa"/>
            <w:vAlign w:val="center"/>
          </w:tcPr>
          <w:p w:rsidR="00D43457" w:rsidRDefault="00A07720">
            <w:pPr>
              <w:jc w:val="right"/>
            </w:pPr>
            <w:r>
              <w:rPr>
                <w:rFonts w:eastAsiaTheme="minorEastAsia"/>
                <w:kern w:val="0"/>
                <w:sz w:val="24"/>
                <w:szCs w:val="24"/>
              </w:rPr>
              <w:t>2.67</w:t>
            </w:r>
          </w:p>
        </w:tc>
      </w:tr>
      <w:tr w:rsidR="00D43457">
        <w:tc>
          <w:tcPr>
            <w:tcW w:w="817" w:type="dxa"/>
            <w:vAlign w:val="center"/>
          </w:tcPr>
          <w:p w:rsidR="00D43457" w:rsidRDefault="00A07720">
            <w:pPr>
              <w:jc w:val="center"/>
            </w:pPr>
            <w:r>
              <w:rPr>
                <w:rFonts w:eastAsiaTheme="minorEastAsia"/>
                <w:kern w:val="0"/>
                <w:sz w:val="24"/>
                <w:szCs w:val="24"/>
              </w:rPr>
              <w:lastRenderedPageBreak/>
              <w:t>8</w:t>
            </w:r>
          </w:p>
        </w:tc>
        <w:tc>
          <w:tcPr>
            <w:tcW w:w="1276" w:type="dxa"/>
            <w:vAlign w:val="center"/>
          </w:tcPr>
          <w:p w:rsidR="00D43457" w:rsidRDefault="00A07720">
            <w:pPr>
              <w:jc w:val="center"/>
            </w:pPr>
            <w:r>
              <w:rPr>
                <w:rFonts w:eastAsiaTheme="minorEastAsia"/>
                <w:kern w:val="0"/>
                <w:sz w:val="24"/>
                <w:szCs w:val="24"/>
              </w:rPr>
              <w:t>601166</w:t>
            </w:r>
          </w:p>
        </w:tc>
        <w:tc>
          <w:tcPr>
            <w:tcW w:w="1701" w:type="dxa"/>
            <w:vAlign w:val="center"/>
          </w:tcPr>
          <w:p w:rsidR="00D43457" w:rsidRDefault="00A07720">
            <w:pPr>
              <w:jc w:val="center"/>
            </w:pPr>
            <w:r>
              <w:rPr>
                <w:rFonts w:eastAsiaTheme="minorEastAsia"/>
                <w:kern w:val="0"/>
                <w:sz w:val="24"/>
                <w:szCs w:val="24"/>
              </w:rPr>
              <w:t>兴业银行</w:t>
            </w:r>
          </w:p>
        </w:tc>
        <w:tc>
          <w:tcPr>
            <w:tcW w:w="1276" w:type="dxa"/>
            <w:vAlign w:val="center"/>
          </w:tcPr>
          <w:p w:rsidR="00D43457" w:rsidRDefault="00A07720">
            <w:pPr>
              <w:jc w:val="right"/>
            </w:pPr>
            <w:r>
              <w:rPr>
                <w:rFonts w:eastAsiaTheme="minorEastAsia"/>
                <w:kern w:val="0"/>
                <w:sz w:val="24"/>
                <w:szCs w:val="24"/>
              </w:rPr>
              <w:t>72,000.00</w:t>
            </w:r>
          </w:p>
        </w:tc>
        <w:tc>
          <w:tcPr>
            <w:tcW w:w="1842" w:type="dxa"/>
            <w:vAlign w:val="center"/>
          </w:tcPr>
          <w:p w:rsidR="00D43457" w:rsidRDefault="00A07720">
            <w:pPr>
              <w:jc w:val="right"/>
            </w:pPr>
            <w:r>
              <w:rPr>
                <w:rFonts w:eastAsiaTheme="minorEastAsia"/>
                <w:kern w:val="0"/>
                <w:sz w:val="24"/>
                <w:szCs w:val="24"/>
              </w:rPr>
              <w:t>1,370,880.00</w:t>
            </w:r>
          </w:p>
        </w:tc>
        <w:tc>
          <w:tcPr>
            <w:tcW w:w="1616" w:type="dxa"/>
            <w:vAlign w:val="center"/>
          </w:tcPr>
          <w:p w:rsidR="00D43457" w:rsidRDefault="00A07720">
            <w:pPr>
              <w:jc w:val="right"/>
            </w:pPr>
            <w:r>
              <w:rPr>
                <w:rFonts w:eastAsiaTheme="minorEastAsia"/>
                <w:kern w:val="0"/>
                <w:sz w:val="24"/>
                <w:szCs w:val="24"/>
              </w:rPr>
              <w:t>2.56</w:t>
            </w:r>
          </w:p>
        </w:tc>
      </w:tr>
      <w:tr w:rsidR="00D43457">
        <w:tc>
          <w:tcPr>
            <w:tcW w:w="817" w:type="dxa"/>
            <w:vAlign w:val="center"/>
          </w:tcPr>
          <w:p w:rsidR="00D43457" w:rsidRDefault="00A07720">
            <w:pPr>
              <w:jc w:val="center"/>
            </w:pPr>
            <w:r>
              <w:rPr>
                <w:rFonts w:eastAsiaTheme="minorEastAsia"/>
                <w:kern w:val="0"/>
                <w:sz w:val="24"/>
                <w:szCs w:val="24"/>
              </w:rPr>
              <w:t>9</w:t>
            </w:r>
          </w:p>
        </w:tc>
        <w:tc>
          <w:tcPr>
            <w:tcW w:w="1276" w:type="dxa"/>
            <w:vAlign w:val="center"/>
          </w:tcPr>
          <w:p w:rsidR="00D43457" w:rsidRDefault="00A07720">
            <w:pPr>
              <w:jc w:val="center"/>
            </w:pPr>
            <w:r>
              <w:rPr>
                <w:rFonts w:eastAsiaTheme="minorEastAsia"/>
                <w:kern w:val="0"/>
                <w:sz w:val="24"/>
                <w:szCs w:val="24"/>
              </w:rPr>
              <w:t>300316</w:t>
            </w:r>
          </w:p>
        </w:tc>
        <w:tc>
          <w:tcPr>
            <w:tcW w:w="1701" w:type="dxa"/>
            <w:vAlign w:val="center"/>
          </w:tcPr>
          <w:p w:rsidR="00D43457" w:rsidRDefault="00A07720">
            <w:pPr>
              <w:jc w:val="center"/>
            </w:pPr>
            <w:r>
              <w:rPr>
                <w:rFonts w:eastAsiaTheme="minorEastAsia"/>
                <w:kern w:val="0"/>
                <w:sz w:val="24"/>
                <w:szCs w:val="24"/>
              </w:rPr>
              <w:t>晶盛机电</w:t>
            </w:r>
          </w:p>
        </w:tc>
        <w:tc>
          <w:tcPr>
            <w:tcW w:w="1276" w:type="dxa"/>
            <w:vAlign w:val="center"/>
          </w:tcPr>
          <w:p w:rsidR="00D43457" w:rsidRDefault="00A07720">
            <w:pPr>
              <w:jc w:val="right"/>
            </w:pPr>
            <w:r>
              <w:rPr>
                <w:rFonts w:eastAsiaTheme="minorEastAsia"/>
                <w:kern w:val="0"/>
                <w:sz w:val="24"/>
                <w:szCs w:val="24"/>
              </w:rPr>
              <w:t>19,194.00</w:t>
            </w:r>
          </w:p>
        </w:tc>
        <w:tc>
          <w:tcPr>
            <w:tcW w:w="1842" w:type="dxa"/>
            <w:vAlign w:val="center"/>
          </w:tcPr>
          <w:p w:rsidR="00D43457" w:rsidRDefault="00A07720">
            <w:pPr>
              <w:jc w:val="right"/>
            </w:pPr>
            <w:r>
              <w:rPr>
                <w:rFonts w:eastAsiaTheme="minorEastAsia"/>
                <w:kern w:val="0"/>
                <w:sz w:val="24"/>
                <w:szCs w:val="24"/>
              </w:rPr>
              <w:t>1,333,983.00</w:t>
            </w:r>
          </w:p>
        </w:tc>
        <w:tc>
          <w:tcPr>
            <w:tcW w:w="1616" w:type="dxa"/>
            <w:vAlign w:val="center"/>
          </w:tcPr>
          <w:p w:rsidR="00D43457" w:rsidRDefault="00A07720">
            <w:pPr>
              <w:jc w:val="right"/>
            </w:pPr>
            <w:r>
              <w:rPr>
                <w:rFonts w:eastAsiaTheme="minorEastAsia"/>
                <w:kern w:val="0"/>
                <w:sz w:val="24"/>
                <w:szCs w:val="24"/>
              </w:rPr>
              <w:t>2.49</w:t>
            </w:r>
          </w:p>
        </w:tc>
      </w:tr>
      <w:tr w:rsidR="00D43457">
        <w:tc>
          <w:tcPr>
            <w:tcW w:w="817" w:type="dxa"/>
            <w:vAlign w:val="center"/>
          </w:tcPr>
          <w:p w:rsidR="00D43457" w:rsidRDefault="00A07720">
            <w:pPr>
              <w:jc w:val="center"/>
            </w:pPr>
            <w:r>
              <w:rPr>
                <w:rFonts w:eastAsiaTheme="minorEastAsia"/>
                <w:kern w:val="0"/>
                <w:sz w:val="24"/>
                <w:szCs w:val="24"/>
              </w:rPr>
              <w:t>10</w:t>
            </w:r>
          </w:p>
        </w:tc>
        <w:tc>
          <w:tcPr>
            <w:tcW w:w="1276" w:type="dxa"/>
            <w:vAlign w:val="center"/>
          </w:tcPr>
          <w:p w:rsidR="00D43457" w:rsidRDefault="00A07720">
            <w:pPr>
              <w:jc w:val="center"/>
            </w:pPr>
            <w:r>
              <w:rPr>
                <w:rFonts w:eastAsiaTheme="minorEastAsia"/>
                <w:kern w:val="0"/>
                <w:sz w:val="24"/>
                <w:szCs w:val="24"/>
              </w:rPr>
              <w:t>603583</w:t>
            </w:r>
          </w:p>
        </w:tc>
        <w:tc>
          <w:tcPr>
            <w:tcW w:w="1701" w:type="dxa"/>
            <w:vAlign w:val="center"/>
          </w:tcPr>
          <w:p w:rsidR="00D43457" w:rsidRDefault="00A07720">
            <w:pPr>
              <w:jc w:val="center"/>
            </w:pPr>
            <w:r>
              <w:rPr>
                <w:rFonts w:eastAsiaTheme="minorEastAsia"/>
                <w:kern w:val="0"/>
                <w:sz w:val="24"/>
                <w:szCs w:val="24"/>
              </w:rPr>
              <w:t>捷昌驱动</w:t>
            </w:r>
          </w:p>
        </w:tc>
        <w:tc>
          <w:tcPr>
            <w:tcW w:w="1276" w:type="dxa"/>
            <w:vAlign w:val="center"/>
          </w:tcPr>
          <w:p w:rsidR="00D43457" w:rsidRDefault="00A07720">
            <w:pPr>
              <w:jc w:val="right"/>
            </w:pPr>
            <w:r>
              <w:rPr>
                <w:rFonts w:eastAsiaTheme="minorEastAsia"/>
                <w:kern w:val="0"/>
                <w:sz w:val="24"/>
                <w:szCs w:val="24"/>
              </w:rPr>
              <w:t>24,500.00</w:t>
            </w:r>
          </w:p>
        </w:tc>
        <w:tc>
          <w:tcPr>
            <w:tcW w:w="1842" w:type="dxa"/>
            <w:vAlign w:val="center"/>
          </w:tcPr>
          <w:p w:rsidR="00D43457" w:rsidRDefault="00A07720">
            <w:pPr>
              <w:jc w:val="right"/>
            </w:pPr>
            <w:r>
              <w:rPr>
                <w:rFonts w:eastAsiaTheme="minorEastAsia"/>
                <w:kern w:val="0"/>
                <w:sz w:val="24"/>
                <w:szCs w:val="24"/>
              </w:rPr>
              <w:t>1,215,935.00</w:t>
            </w:r>
          </w:p>
        </w:tc>
        <w:tc>
          <w:tcPr>
            <w:tcW w:w="1616" w:type="dxa"/>
            <w:vAlign w:val="center"/>
          </w:tcPr>
          <w:p w:rsidR="00D43457" w:rsidRDefault="00A07720">
            <w:pPr>
              <w:jc w:val="right"/>
            </w:pPr>
            <w:r>
              <w:rPr>
                <w:rFonts w:eastAsiaTheme="minorEastAsia"/>
                <w:kern w:val="0"/>
                <w:sz w:val="24"/>
                <w:szCs w:val="24"/>
              </w:rPr>
              <w:t>2.27</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173,000.00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0.32</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173,000.00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0.32</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43457">
        <w:tc>
          <w:tcPr>
            <w:tcW w:w="1252" w:type="dxa"/>
            <w:vAlign w:val="center"/>
          </w:tcPr>
          <w:p w:rsidR="00D43457" w:rsidRDefault="00A07720">
            <w:pPr>
              <w:jc w:val="center"/>
            </w:pPr>
            <w:r>
              <w:rPr>
                <w:rFonts w:eastAsiaTheme="minorEastAsia"/>
                <w:color w:val="000000" w:themeColor="text1"/>
                <w:kern w:val="0"/>
              </w:rPr>
              <w:t>1</w:t>
            </w:r>
          </w:p>
        </w:tc>
        <w:tc>
          <w:tcPr>
            <w:tcW w:w="1310" w:type="dxa"/>
            <w:vAlign w:val="center"/>
          </w:tcPr>
          <w:p w:rsidR="00D43457" w:rsidRDefault="00A07720">
            <w:pPr>
              <w:jc w:val="center"/>
            </w:pPr>
            <w:r>
              <w:rPr>
                <w:rFonts w:eastAsiaTheme="minorEastAsia"/>
                <w:color w:val="000000" w:themeColor="text1"/>
                <w:kern w:val="0"/>
              </w:rPr>
              <w:t>113052</w:t>
            </w:r>
          </w:p>
        </w:tc>
        <w:tc>
          <w:tcPr>
            <w:tcW w:w="1282" w:type="dxa"/>
            <w:vAlign w:val="center"/>
          </w:tcPr>
          <w:p w:rsidR="00D43457" w:rsidRDefault="00A07720">
            <w:pPr>
              <w:jc w:val="center"/>
            </w:pPr>
            <w:r>
              <w:rPr>
                <w:rFonts w:eastAsiaTheme="minorEastAsia"/>
                <w:color w:val="000000" w:themeColor="text1"/>
                <w:kern w:val="0"/>
              </w:rPr>
              <w:t>兴业转债</w:t>
            </w:r>
          </w:p>
        </w:tc>
        <w:tc>
          <w:tcPr>
            <w:tcW w:w="1426" w:type="dxa"/>
            <w:vAlign w:val="center"/>
          </w:tcPr>
          <w:p w:rsidR="00D43457" w:rsidRDefault="00A07720">
            <w:pPr>
              <w:jc w:val="right"/>
            </w:pPr>
            <w:r>
              <w:rPr>
                <w:rFonts w:eastAsiaTheme="minorEastAsia"/>
                <w:color w:val="000000" w:themeColor="text1"/>
                <w:kern w:val="0"/>
              </w:rPr>
              <w:t>1,730</w:t>
            </w:r>
          </w:p>
        </w:tc>
        <w:tc>
          <w:tcPr>
            <w:tcW w:w="1646" w:type="dxa"/>
            <w:vAlign w:val="center"/>
          </w:tcPr>
          <w:p w:rsidR="00D43457" w:rsidRDefault="00A07720">
            <w:pPr>
              <w:jc w:val="right"/>
            </w:pPr>
            <w:r>
              <w:rPr>
                <w:rFonts w:eastAsiaTheme="minorEastAsia"/>
                <w:color w:val="000000" w:themeColor="text1"/>
                <w:kern w:val="0"/>
              </w:rPr>
              <w:t>173,000.00</w:t>
            </w:r>
          </w:p>
        </w:tc>
        <w:tc>
          <w:tcPr>
            <w:tcW w:w="1612" w:type="dxa"/>
            <w:vAlign w:val="center"/>
          </w:tcPr>
          <w:p w:rsidR="00D43457" w:rsidRDefault="00A07720">
            <w:pPr>
              <w:jc w:val="right"/>
            </w:pPr>
            <w:r>
              <w:rPr>
                <w:rFonts w:eastAsiaTheme="minorEastAsia"/>
                <w:color w:val="000000" w:themeColor="text1"/>
                <w:kern w:val="0"/>
              </w:rPr>
              <w:t>0.32</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lastRenderedPageBreak/>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23,595.31</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1,227.56</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15,399.67</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40,222.54</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w:t>
      </w:r>
      <w:r w:rsidRPr="00FF6B9A">
        <w:rPr>
          <w:rFonts w:eastAsiaTheme="minorEastAsia"/>
          <w:color w:val="000000" w:themeColor="text1"/>
        </w:rPr>
        <w:t>,</w:t>
      </w:r>
      <w:r w:rsidRPr="00FF6B9A">
        <w:rPr>
          <w:rFonts w:eastAsiaTheme="minorEastAsia"/>
          <w:color w:val="000000" w:themeColor="text1"/>
        </w:rPr>
        <w:t>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24,023,984.57</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804,938.52</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1,519,612.93</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23,309,310.16</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D43457" w:rsidRDefault="00A07720">
      <w:pPr>
        <w:spacing w:line="360" w:lineRule="auto"/>
        <w:ind w:firstLineChars="200" w:firstLine="420"/>
        <w:rPr>
          <w:rFonts w:eastAsiaTheme="minorEastAsia"/>
          <w:color w:val="000000" w:themeColor="text1"/>
        </w:rPr>
      </w:pPr>
      <w:r>
        <w:rPr>
          <w:rFonts w:eastAsiaTheme="minorEastAsia"/>
          <w:color w:val="000000" w:themeColor="text1"/>
        </w:rPr>
        <w:t xml:space="preserve">1. </w:t>
      </w:r>
      <w:r>
        <w:rPr>
          <w:rFonts w:eastAsiaTheme="minorEastAsia"/>
          <w:color w:val="000000" w:themeColor="text1"/>
        </w:rPr>
        <w:t>中国证监会批准上投摩根新兴服务股票型证券投资基金设立的文件；</w:t>
      </w:r>
    </w:p>
    <w:p w:rsidR="00D43457" w:rsidRDefault="00A07720">
      <w:pPr>
        <w:spacing w:line="360" w:lineRule="auto"/>
        <w:ind w:firstLineChars="200" w:firstLine="420"/>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《上投摩根新兴服务股票型证券投资基金基金合同》；</w:t>
      </w:r>
    </w:p>
    <w:p w:rsidR="00D43457" w:rsidRDefault="00A07720">
      <w:pPr>
        <w:spacing w:line="360" w:lineRule="auto"/>
        <w:ind w:firstLineChars="200" w:firstLine="420"/>
        <w:rPr>
          <w:rFonts w:eastAsiaTheme="minorEastAsia"/>
          <w:color w:val="000000" w:themeColor="text1"/>
        </w:rPr>
      </w:pPr>
      <w:r>
        <w:rPr>
          <w:rFonts w:eastAsiaTheme="minorEastAsia"/>
          <w:color w:val="000000" w:themeColor="text1"/>
        </w:rPr>
        <w:t xml:space="preserve">3. </w:t>
      </w:r>
      <w:r>
        <w:rPr>
          <w:rFonts w:eastAsiaTheme="minorEastAsia"/>
          <w:color w:val="000000" w:themeColor="text1"/>
        </w:rPr>
        <w:t>《上投摩根新兴服务股票型证券投资基金托管协议》；</w:t>
      </w:r>
    </w:p>
    <w:p w:rsidR="00D43457" w:rsidRDefault="00A07720">
      <w:pPr>
        <w:spacing w:line="360" w:lineRule="auto"/>
        <w:ind w:firstLineChars="200" w:firstLine="420"/>
        <w:rPr>
          <w:rFonts w:eastAsiaTheme="minorEastAsia"/>
          <w:color w:val="000000" w:themeColor="text1"/>
        </w:rPr>
      </w:pPr>
      <w:r>
        <w:rPr>
          <w:rFonts w:eastAsiaTheme="minorEastAsia"/>
          <w:color w:val="000000" w:themeColor="text1"/>
        </w:rPr>
        <w:t xml:space="preserve">4. </w:t>
      </w:r>
      <w:r>
        <w:rPr>
          <w:rFonts w:eastAsiaTheme="minorEastAsia"/>
          <w:color w:val="000000" w:themeColor="text1"/>
        </w:rPr>
        <w:t>《上投摩根开放式基金业务规则》；</w:t>
      </w:r>
    </w:p>
    <w:p w:rsidR="00D43457" w:rsidRDefault="00A07720">
      <w:pPr>
        <w:spacing w:line="360" w:lineRule="auto"/>
        <w:ind w:firstLineChars="200" w:firstLine="420"/>
        <w:rPr>
          <w:rFonts w:eastAsiaTheme="minorEastAsia"/>
          <w:color w:val="000000" w:themeColor="text1"/>
        </w:rPr>
      </w:pPr>
      <w:r>
        <w:rPr>
          <w:rFonts w:eastAsiaTheme="minorEastAsia"/>
          <w:color w:val="000000" w:themeColor="text1"/>
        </w:rPr>
        <w:t xml:space="preserve">5. </w:t>
      </w:r>
      <w:r>
        <w:rPr>
          <w:rFonts w:eastAsiaTheme="minorEastAsia"/>
          <w:color w:val="000000" w:themeColor="text1"/>
        </w:rPr>
        <w:t>基金管理人业务资格批件、营业执照；</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 xml:space="preserve">6. </w:t>
      </w:r>
      <w:r w:rsidRPr="00FF6B9A">
        <w:rPr>
          <w:rFonts w:eastAsiaTheme="minorEastAsia"/>
          <w:color w:val="000000" w:themeColor="text1"/>
        </w:rPr>
        <w:t>基金托管人业务资格批件和营业执照。</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二〇二二年一月二十四日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A07720" w:rsidRPr="00A07720">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A07720">
      <w:rPr>
        <w:rStyle w:val="aff"/>
        <w:noProof/>
      </w:rPr>
      <w:t>4</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上投摩根新兴服务股票型证券投资基金</w:t>
    </w:r>
    <w:r>
      <w:rPr>
        <w:rFonts w:hint="eastAsia"/>
      </w:rPr>
      <w:t>2021</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07720"/>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457"/>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A1C3D-9A36-4C05-8664-C6DFD5BC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268</cp:revision>
  <dcterms:created xsi:type="dcterms:W3CDTF">2012-10-16T06:07:00Z</dcterms:created>
  <dcterms:modified xsi:type="dcterms:W3CDTF">2022-01-21T05:15:00Z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