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上投摩根新兴服务股票型证券投资基金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上投摩根新兴服务股票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001482</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001482</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6</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24,023,984.57</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通过积极主动的投资管理，把握中国经济转型过程中新兴服务业的投资机会，在严格控制风险的前提下，力争实现基金资产的长期增值。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本基金将综合分析和持续跟踪基本面、政策面、市场面等多方面因素，对宏观经济、国家政策、资金面和市场情绪等影响证券市场的重要因素进行深入分析，确定合适的资</w:t>
            </w:r>
            <w:r>
              <w:rPr>
                <w:rFonts w:eastAsiaTheme="minorEastAsia"/>
                <w:color w:val="000000" w:themeColor="text1"/>
                <w:kern w:val="0"/>
              </w:rPr>
              <w:lastRenderedPageBreak/>
              <w:t>产配置比例。</w:t>
            </w:r>
          </w:p>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本基金将通过系统和深入的基本面研究，重点投资于新兴服务业中具有竞争力的优质上市公司。在具体操作上，本基金将主要采用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的方法，在备选行业内部通过定量与定性相结合的分析方法，综合分析上市公司的业绩质量、成长性和估值水平等，精选具有良好成长性、估值合理的个股。</w:t>
            </w:r>
          </w:p>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、行业配置策略</w:t>
            </w:r>
          </w:p>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由于新兴服务主题涉及多个行业及其子行业，我们将从行业生命周期、行业景气度、行业竞争格局等多角度，综合评估各个行业的投资价值，对基金资产在行业间分配进行安排。</w:t>
            </w:r>
          </w:p>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、固定收益类投资策略</w:t>
            </w:r>
          </w:p>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对于固定收益类资产的选择，本基金将以价值分析为</w:t>
            </w:r>
            <w:r>
              <w:rPr>
                <w:rFonts w:eastAsiaTheme="minorEastAsia"/>
                <w:color w:val="000000" w:themeColor="text1"/>
                <w:kern w:val="0"/>
              </w:rPr>
              <w:t>主线，在综合研究的基础上实施积极主动的组合管理，并主要通过类属配置与债券选择两个层次进行投资管理。</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、其他投资策略：包括可转换债券投资策略、中小企业私募债投资策略、股指期货投资策略、资产支持证券投资策略、股票期权投资策略、存托凭证投资策略。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0920F2" w:rsidRDefault="00C86CB3">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FF6B9A">
              <w:rPr>
                <w:rFonts w:eastAsiaTheme="minorEastAsia"/>
                <w:color w:val="000000" w:themeColor="text1"/>
                <w:kern w:val="0"/>
              </w:rPr>
              <w:lastRenderedPageBreak/>
              <w:t>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C86CB3" w:rsidRPr="00FF6B9A" w:rsidTr="00C86CB3">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C86CB3" w:rsidRPr="00FF6B9A" w:rsidTr="00C86CB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4,839,885.74</w:t>
            </w:r>
          </w:p>
        </w:tc>
      </w:tr>
      <w:tr w:rsidR="00C86CB3" w:rsidRPr="00FF6B9A" w:rsidTr="00C86CB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779,560.61</w:t>
            </w:r>
          </w:p>
        </w:tc>
      </w:tr>
      <w:tr w:rsidR="00C86CB3" w:rsidRPr="00FF6B9A" w:rsidTr="00C86CB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0.0308</w:t>
            </w:r>
          </w:p>
        </w:tc>
      </w:tr>
      <w:tr w:rsidR="00C86CB3" w:rsidRPr="00FF6B9A" w:rsidTr="00C86CB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57,155,495.49</w:t>
            </w:r>
          </w:p>
        </w:tc>
      </w:tr>
      <w:tr w:rsidR="00C86CB3" w:rsidRPr="00FF6B9A" w:rsidTr="00C86CB3">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2.3791</w:t>
            </w:r>
          </w:p>
        </w:tc>
      </w:tr>
    </w:tbl>
    <w:p w:rsidR="000920F2" w:rsidRDefault="00C86CB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0920F2">
        <w:tc>
          <w:tcPr>
            <w:tcW w:w="1395" w:type="dxa"/>
            <w:vAlign w:val="center"/>
          </w:tcPr>
          <w:p w:rsidR="000920F2" w:rsidRDefault="00C86CB3">
            <w:pPr>
              <w:jc w:val="left"/>
            </w:pPr>
            <w:r>
              <w:rPr>
                <w:rFonts w:eastAsiaTheme="minorEastAsia"/>
                <w:color w:val="000000" w:themeColor="text1"/>
                <w:kern w:val="0"/>
              </w:rPr>
              <w:t>过去三个月</w:t>
            </w:r>
          </w:p>
        </w:tc>
        <w:tc>
          <w:tcPr>
            <w:tcW w:w="1092" w:type="dxa"/>
            <w:vAlign w:val="center"/>
          </w:tcPr>
          <w:p w:rsidR="000920F2" w:rsidRDefault="00C86CB3">
            <w:pPr>
              <w:jc w:val="center"/>
            </w:pPr>
            <w:r>
              <w:rPr>
                <w:rFonts w:eastAsiaTheme="minorEastAsia"/>
                <w:color w:val="000000" w:themeColor="text1"/>
                <w:kern w:val="0"/>
              </w:rPr>
              <w:t>1.06%</w:t>
            </w:r>
          </w:p>
        </w:tc>
        <w:tc>
          <w:tcPr>
            <w:tcW w:w="1161" w:type="dxa"/>
            <w:vAlign w:val="center"/>
          </w:tcPr>
          <w:p w:rsidR="000920F2" w:rsidRDefault="00C86CB3">
            <w:pPr>
              <w:jc w:val="center"/>
            </w:pPr>
            <w:r>
              <w:rPr>
                <w:rFonts w:eastAsiaTheme="minorEastAsia"/>
                <w:color w:val="000000" w:themeColor="text1"/>
                <w:kern w:val="0"/>
              </w:rPr>
              <w:t>2.27%</w:t>
            </w:r>
          </w:p>
        </w:tc>
        <w:tc>
          <w:tcPr>
            <w:tcW w:w="1181" w:type="dxa"/>
            <w:vAlign w:val="center"/>
          </w:tcPr>
          <w:p w:rsidR="000920F2" w:rsidRDefault="00C86CB3">
            <w:pPr>
              <w:jc w:val="center"/>
            </w:pPr>
            <w:r>
              <w:rPr>
                <w:rFonts w:eastAsiaTheme="minorEastAsia"/>
                <w:color w:val="000000" w:themeColor="text1"/>
                <w:kern w:val="0"/>
              </w:rPr>
              <w:t>-3.51%</w:t>
            </w:r>
          </w:p>
        </w:tc>
        <w:tc>
          <w:tcPr>
            <w:tcW w:w="1188" w:type="dxa"/>
            <w:vAlign w:val="center"/>
          </w:tcPr>
          <w:p w:rsidR="000920F2" w:rsidRDefault="00C86CB3">
            <w:pPr>
              <w:jc w:val="center"/>
            </w:pPr>
            <w:r>
              <w:rPr>
                <w:rFonts w:eastAsiaTheme="minorEastAsia"/>
                <w:color w:val="000000" w:themeColor="text1"/>
                <w:kern w:val="0"/>
              </w:rPr>
              <w:t>0.93%</w:t>
            </w:r>
          </w:p>
        </w:tc>
        <w:tc>
          <w:tcPr>
            <w:tcW w:w="1199" w:type="dxa"/>
            <w:vAlign w:val="center"/>
          </w:tcPr>
          <w:p w:rsidR="000920F2" w:rsidRDefault="00C86CB3">
            <w:pPr>
              <w:jc w:val="center"/>
            </w:pPr>
            <w:r>
              <w:rPr>
                <w:rFonts w:eastAsiaTheme="minorEastAsia"/>
                <w:color w:val="000000" w:themeColor="text1"/>
                <w:kern w:val="0"/>
              </w:rPr>
              <w:t>4.57%</w:t>
            </w:r>
          </w:p>
        </w:tc>
        <w:tc>
          <w:tcPr>
            <w:tcW w:w="1204" w:type="dxa"/>
            <w:vAlign w:val="center"/>
          </w:tcPr>
          <w:p w:rsidR="000920F2" w:rsidRDefault="00C86CB3">
            <w:pPr>
              <w:jc w:val="center"/>
            </w:pPr>
            <w:r>
              <w:rPr>
                <w:rFonts w:eastAsiaTheme="minorEastAsia"/>
                <w:color w:val="000000" w:themeColor="text1"/>
                <w:kern w:val="0"/>
              </w:rPr>
              <w:t>1.34%</w:t>
            </w:r>
          </w:p>
        </w:tc>
      </w:tr>
      <w:tr w:rsidR="000920F2">
        <w:tc>
          <w:tcPr>
            <w:tcW w:w="1395" w:type="dxa"/>
            <w:vAlign w:val="center"/>
          </w:tcPr>
          <w:p w:rsidR="000920F2" w:rsidRDefault="00C86CB3">
            <w:pPr>
              <w:jc w:val="left"/>
            </w:pPr>
            <w:r>
              <w:rPr>
                <w:rFonts w:eastAsiaTheme="minorEastAsia"/>
                <w:color w:val="000000" w:themeColor="text1"/>
                <w:kern w:val="0"/>
              </w:rPr>
              <w:t>过去六个月</w:t>
            </w:r>
          </w:p>
        </w:tc>
        <w:tc>
          <w:tcPr>
            <w:tcW w:w="1092" w:type="dxa"/>
            <w:vAlign w:val="center"/>
          </w:tcPr>
          <w:p w:rsidR="000920F2" w:rsidRDefault="00C86CB3">
            <w:pPr>
              <w:jc w:val="center"/>
            </w:pPr>
            <w:r>
              <w:rPr>
                <w:rFonts w:eastAsiaTheme="minorEastAsia"/>
                <w:color w:val="000000" w:themeColor="text1"/>
                <w:kern w:val="0"/>
              </w:rPr>
              <w:t>15.02%</w:t>
            </w:r>
          </w:p>
        </w:tc>
        <w:tc>
          <w:tcPr>
            <w:tcW w:w="1161" w:type="dxa"/>
            <w:vAlign w:val="center"/>
          </w:tcPr>
          <w:p w:rsidR="000920F2" w:rsidRDefault="00C86CB3">
            <w:pPr>
              <w:jc w:val="center"/>
            </w:pPr>
            <w:r>
              <w:rPr>
                <w:rFonts w:eastAsiaTheme="minorEastAsia"/>
                <w:color w:val="000000" w:themeColor="text1"/>
                <w:kern w:val="0"/>
              </w:rPr>
              <w:t>1.87%</w:t>
            </w:r>
          </w:p>
        </w:tc>
        <w:tc>
          <w:tcPr>
            <w:tcW w:w="1181" w:type="dxa"/>
            <w:vAlign w:val="center"/>
          </w:tcPr>
          <w:p w:rsidR="000920F2" w:rsidRDefault="00C86CB3">
            <w:pPr>
              <w:jc w:val="center"/>
            </w:pPr>
            <w:r>
              <w:rPr>
                <w:rFonts w:eastAsiaTheme="minorEastAsia"/>
                <w:color w:val="000000" w:themeColor="text1"/>
                <w:kern w:val="0"/>
              </w:rPr>
              <w:t>0.36%</w:t>
            </w:r>
          </w:p>
        </w:tc>
        <w:tc>
          <w:tcPr>
            <w:tcW w:w="1188" w:type="dxa"/>
            <w:vAlign w:val="center"/>
          </w:tcPr>
          <w:p w:rsidR="000920F2" w:rsidRDefault="00C86CB3">
            <w:pPr>
              <w:jc w:val="center"/>
            </w:pPr>
            <w:r>
              <w:rPr>
                <w:rFonts w:eastAsiaTheme="minorEastAsia"/>
                <w:color w:val="000000" w:themeColor="text1"/>
                <w:kern w:val="0"/>
              </w:rPr>
              <w:t>0.85%</w:t>
            </w:r>
          </w:p>
        </w:tc>
        <w:tc>
          <w:tcPr>
            <w:tcW w:w="1199" w:type="dxa"/>
            <w:vAlign w:val="center"/>
          </w:tcPr>
          <w:p w:rsidR="000920F2" w:rsidRDefault="00C86CB3">
            <w:pPr>
              <w:jc w:val="center"/>
            </w:pPr>
            <w:r>
              <w:rPr>
                <w:rFonts w:eastAsiaTheme="minorEastAsia"/>
                <w:color w:val="000000" w:themeColor="text1"/>
                <w:kern w:val="0"/>
              </w:rPr>
              <w:t>14.66%</w:t>
            </w:r>
          </w:p>
        </w:tc>
        <w:tc>
          <w:tcPr>
            <w:tcW w:w="1204" w:type="dxa"/>
            <w:vAlign w:val="center"/>
          </w:tcPr>
          <w:p w:rsidR="000920F2" w:rsidRDefault="00C86CB3">
            <w:pPr>
              <w:jc w:val="center"/>
            </w:pPr>
            <w:r>
              <w:rPr>
                <w:rFonts w:eastAsiaTheme="minorEastAsia"/>
                <w:color w:val="000000" w:themeColor="text1"/>
                <w:kern w:val="0"/>
              </w:rPr>
              <w:t>1.02%</w:t>
            </w:r>
          </w:p>
        </w:tc>
      </w:tr>
      <w:tr w:rsidR="000920F2">
        <w:tc>
          <w:tcPr>
            <w:tcW w:w="1395" w:type="dxa"/>
            <w:vAlign w:val="center"/>
          </w:tcPr>
          <w:p w:rsidR="000920F2" w:rsidRDefault="00C86CB3">
            <w:pPr>
              <w:jc w:val="left"/>
            </w:pPr>
            <w:r>
              <w:rPr>
                <w:rFonts w:eastAsiaTheme="minorEastAsia"/>
                <w:color w:val="000000" w:themeColor="text1"/>
                <w:kern w:val="0"/>
              </w:rPr>
              <w:t>过去一年</w:t>
            </w:r>
          </w:p>
        </w:tc>
        <w:tc>
          <w:tcPr>
            <w:tcW w:w="1092" w:type="dxa"/>
            <w:vAlign w:val="center"/>
          </w:tcPr>
          <w:p w:rsidR="000920F2" w:rsidRDefault="00C86CB3">
            <w:pPr>
              <w:jc w:val="center"/>
            </w:pPr>
            <w:r>
              <w:rPr>
                <w:rFonts w:eastAsiaTheme="minorEastAsia"/>
                <w:color w:val="000000" w:themeColor="text1"/>
                <w:kern w:val="0"/>
              </w:rPr>
              <w:t>25.28%</w:t>
            </w:r>
          </w:p>
        </w:tc>
        <w:tc>
          <w:tcPr>
            <w:tcW w:w="1161" w:type="dxa"/>
            <w:vAlign w:val="center"/>
          </w:tcPr>
          <w:p w:rsidR="000920F2" w:rsidRDefault="00C86CB3">
            <w:pPr>
              <w:jc w:val="center"/>
            </w:pPr>
            <w:r>
              <w:rPr>
                <w:rFonts w:eastAsiaTheme="minorEastAsia"/>
                <w:color w:val="000000" w:themeColor="text1"/>
                <w:kern w:val="0"/>
              </w:rPr>
              <w:t>1.80%</w:t>
            </w:r>
          </w:p>
        </w:tc>
        <w:tc>
          <w:tcPr>
            <w:tcW w:w="1181" w:type="dxa"/>
            <w:vAlign w:val="center"/>
          </w:tcPr>
          <w:p w:rsidR="000920F2" w:rsidRDefault="00C86CB3">
            <w:pPr>
              <w:jc w:val="center"/>
            </w:pPr>
            <w:r>
              <w:rPr>
                <w:rFonts w:eastAsiaTheme="minorEastAsia"/>
                <w:color w:val="000000" w:themeColor="text1"/>
                <w:kern w:val="0"/>
              </w:rPr>
              <w:t>7.17%</w:t>
            </w:r>
          </w:p>
        </w:tc>
        <w:tc>
          <w:tcPr>
            <w:tcW w:w="1188" w:type="dxa"/>
            <w:vAlign w:val="center"/>
          </w:tcPr>
          <w:p w:rsidR="000920F2" w:rsidRDefault="00C86CB3">
            <w:pPr>
              <w:jc w:val="center"/>
            </w:pPr>
            <w:r>
              <w:rPr>
                <w:rFonts w:eastAsiaTheme="minorEastAsia"/>
                <w:color w:val="000000" w:themeColor="text1"/>
                <w:kern w:val="0"/>
              </w:rPr>
              <w:t>0.96%</w:t>
            </w:r>
          </w:p>
        </w:tc>
        <w:tc>
          <w:tcPr>
            <w:tcW w:w="1199" w:type="dxa"/>
            <w:vAlign w:val="center"/>
          </w:tcPr>
          <w:p w:rsidR="000920F2" w:rsidRDefault="00C86CB3">
            <w:pPr>
              <w:jc w:val="center"/>
            </w:pPr>
            <w:r>
              <w:rPr>
                <w:rFonts w:eastAsiaTheme="minorEastAsia"/>
                <w:color w:val="000000" w:themeColor="text1"/>
                <w:kern w:val="0"/>
              </w:rPr>
              <w:t>18.11%</w:t>
            </w:r>
          </w:p>
        </w:tc>
        <w:tc>
          <w:tcPr>
            <w:tcW w:w="1204" w:type="dxa"/>
            <w:vAlign w:val="center"/>
          </w:tcPr>
          <w:p w:rsidR="000920F2" w:rsidRDefault="00C86CB3">
            <w:pPr>
              <w:jc w:val="center"/>
            </w:pPr>
            <w:r>
              <w:rPr>
                <w:rFonts w:eastAsiaTheme="minorEastAsia"/>
                <w:color w:val="000000" w:themeColor="text1"/>
                <w:kern w:val="0"/>
              </w:rPr>
              <w:t>0.84%</w:t>
            </w:r>
          </w:p>
        </w:tc>
      </w:tr>
      <w:tr w:rsidR="000920F2">
        <w:tc>
          <w:tcPr>
            <w:tcW w:w="1395" w:type="dxa"/>
            <w:vAlign w:val="center"/>
          </w:tcPr>
          <w:p w:rsidR="000920F2" w:rsidRDefault="00C86CB3">
            <w:pPr>
              <w:jc w:val="left"/>
            </w:pPr>
            <w:r>
              <w:rPr>
                <w:rFonts w:eastAsiaTheme="minorEastAsia"/>
                <w:color w:val="000000" w:themeColor="text1"/>
                <w:kern w:val="0"/>
              </w:rPr>
              <w:t>过去三年</w:t>
            </w:r>
          </w:p>
        </w:tc>
        <w:tc>
          <w:tcPr>
            <w:tcW w:w="1092" w:type="dxa"/>
            <w:vAlign w:val="center"/>
          </w:tcPr>
          <w:p w:rsidR="000920F2" w:rsidRDefault="00C86CB3">
            <w:pPr>
              <w:jc w:val="center"/>
            </w:pPr>
            <w:r>
              <w:rPr>
                <w:rFonts w:eastAsiaTheme="minorEastAsia"/>
                <w:color w:val="000000" w:themeColor="text1"/>
                <w:kern w:val="0"/>
              </w:rPr>
              <w:t>160.30%</w:t>
            </w:r>
          </w:p>
        </w:tc>
        <w:tc>
          <w:tcPr>
            <w:tcW w:w="1161" w:type="dxa"/>
            <w:vAlign w:val="center"/>
          </w:tcPr>
          <w:p w:rsidR="000920F2" w:rsidRDefault="00C86CB3">
            <w:pPr>
              <w:jc w:val="center"/>
            </w:pPr>
            <w:r>
              <w:rPr>
                <w:rFonts w:eastAsiaTheme="minorEastAsia"/>
                <w:color w:val="000000" w:themeColor="text1"/>
                <w:kern w:val="0"/>
              </w:rPr>
              <w:t>1.67%</w:t>
            </w:r>
          </w:p>
        </w:tc>
        <w:tc>
          <w:tcPr>
            <w:tcW w:w="1181" w:type="dxa"/>
            <w:vAlign w:val="center"/>
          </w:tcPr>
          <w:p w:rsidR="000920F2" w:rsidRDefault="00C86CB3">
            <w:pPr>
              <w:jc w:val="center"/>
            </w:pPr>
            <w:r>
              <w:rPr>
                <w:rFonts w:eastAsiaTheme="minorEastAsia"/>
                <w:color w:val="000000" w:themeColor="text1"/>
                <w:kern w:val="0"/>
              </w:rPr>
              <w:t>37.35%</w:t>
            </w:r>
          </w:p>
        </w:tc>
        <w:tc>
          <w:tcPr>
            <w:tcW w:w="1188" w:type="dxa"/>
            <w:vAlign w:val="center"/>
          </w:tcPr>
          <w:p w:rsidR="000920F2" w:rsidRDefault="00C86CB3">
            <w:pPr>
              <w:jc w:val="center"/>
            </w:pPr>
            <w:r>
              <w:rPr>
                <w:rFonts w:eastAsiaTheme="minorEastAsia"/>
                <w:color w:val="000000" w:themeColor="text1"/>
                <w:kern w:val="0"/>
              </w:rPr>
              <w:t>1.14%</w:t>
            </w:r>
          </w:p>
        </w:tc>
        <w:tc>
          <w:tcPr>
            <w:tcW w:w="1199" w:type="dxa"/>
            <w:vAlign w:val="center"/>
          </w:tcPr>
          <w:p w:rsidR="000920F2" w:rsidRDefault="00C86CB3">
            <w:pPr>
              <w:jc w:val="center"/>
            </w:pPr>
            <w:r>
              <w:rPr>
                <w:rFonts w:eastAsiaTheme="minorEastAsia"/>
                <w:color w:val="000000" w:themeColor="text1"/>
                <w:kern w:val="0"/>
              </w:rPr>
              <w:t>122.95%</w:t>
            </w:r>
          </w:p>
        </w:tc>
        <w:tc>
          <w:tcPr>
            <w:tcW w:w="1204" w:type="dxa"/>
            <w:vAlign w:val="center"/>
          </w:tcPr>
          <w:p w:rsidR="000920F2" w:rsidRDefault="00C86CB3">
            <w:pPr>
              <w:jc w:val="center"/>
            </w:pPr>
            <w:r>
              <w:rPr>
                <w:rFonts w:eastAsiaTheme="minorEastAsia"/>
                <w:color w:val="000000" w:themeColor="text1"/>
                <w:kern w:val="0"/>
              </w:rPr>
              <w:t>0.53%</w:t>
            </w:r>
          </w:p>
        </w:tc>
      </w:tr>
      <w:tr w:rsidR="000920F2">
        <w:tc>
          <w:tcPr>
            <w:tcW w:w="1395" w:type="dxa"/>
            <w:vAlign w:val="center"/>
          </w:tcPr>
          <w:p w:rsidR="000920F2" w:rsidRDefault="00C86CB3">
            <w:pPr>
              <w:jc w:val="left"/>
            </w:pPr>
            <w:r>
              <w:rPr>
                <w:rFonts w:eastAsiaTheme="minorEastAsia"/>
                <w:color w:val="000000" w:themeColor="text1"/>
                <w:kern w:val="0"/>
              </w:rPr>
              <w:t>过去五年</w:t>
            </w:r>
          </w:p>
        </w:tc>
        <w:tc>
          <w:tcPr>
            <w:tcW w:w="1092" w:type="dxa"/>
            <w:vAlign w:val="center"/>
          </w:tcPr>
          <w:p w:rsidR="000920F2" w:rsidRDefault="00C86CB3">
            <w:pPr>
              <w:jc w:val="center"/>
            </w:pPr>
            <w:r>
              <w:rPr>
                <w:rFonts w:eastAsiaTheme="minorEastAsia"/>
                <w:color w:val="000000" w:themeColor="text1"/>
                <w:kern w:val="0"/>
              </w:rPr>
              <w:t>148.08%</w:t>
            </w:r>
          </w:p>
        </w:tc>
        <w:tc>
          <w:tcPr>
            <w:tcW w:w="1161" w:type="dxa"/>
            <w:vAlign w:val="center"/>
          </w:tcPr>
          <w:p w:rsidR="000920F2" w:rsidRDefault="00C86CB3">
            <w:pPr>
              <w:jc w:val="center"/>
            </w:pPr>
            <w:r>
              <w:rPr>
                <w:rFonts w:eastAsiaTheme="minorEastAsia"/>
                <w:color w:val="000000" w:themeColor="text1"/>
                <w:kern w:val="0"/>
              </w:rPr>
              <w:t>1.51%</w:t>
            </w:r>
          </w:p>
        </w:tc>
        <w:tc>
          <w:tcPr>
            <w:tcW w:w="1181" w:type="dxa"/>
            <w:vAlign w:val="center"/>
          </w:tcPr>
          <w:p w:rsidR="000920F2" w:rsidRDefault="00C86CB3">
            <w:pPr>
              <w:jc w:val="center"/>
            </w:pPr>
            <w:r>
              <w:rPr>
                <w:rFonts w:eastAsiaTheme="minorEastAsia"/>
                <w:color w:val="000000" w:themeColor="text1"/>
                <w:kern w:val="0"/>
              </w:rPr>
              <w:t>32.59%</w:t>
            </w:r>
          </w:p>
        </w:tc>
        <w:tc>
          <w:tcPr>
            <w:tcW w:w="1188" w:type="dxa"/>
            <w:vAlign w:val="center"/>
          </w:tcPr>
          <w:p w:rsidR="000920F2" w:rsidRDefault="00C86CB3">
            <w:pPr>
              <w:jc w:val="center"/>
            </w:pPr>
            <w:r>
              <w:rPr>
                <w:rFonts w:eastAsiaTheme="minorEastAsia"/>
                <w:color w:val="000000" w:themeColor="text1"/>
                <w:kern w:val="0"/>
              </w:rPr>
              <w:t>1.01%</w:t>
            </w:r>
          </w:p>
        </w:tc>
        <w:tc>
          <w:tcPr>
            <w:tcW w:w="1199" w:type="dxa"/>
            <w:vAlign w:val="center"/>
          </w:tcPr>
          <w:p w:rsidR="000920F2" w:rsidRDefault="00C86CB3">
            <w:pPr>
              <w:jc w:val="center"/>
            </w:pPr>
            <w:r>
              <w:rPr>
                <w:rFonts w:eastAsiaTheme="minorEastAsia"/>
                <w:color w:val="000000" w:themeColor="text1"/>
                <w:kern w:val="0"/>
              </w:rPr>
              <w:t>115.49%</w:t>
            </w:r>
          </w:p>
        </w:tc>
        <w:tc>
          <w:tcPr>
            <w:tcW w:w="1204" w:type="dxa"/>
            <w:vAlign w:val="center"/>
          </w:tcPr>
          <w:p w:rsidR="000920F2" w:rsidRDefault="00C86CB3">
            <w:pPr>
              <w:jc w:val="center"/>
            </w:pPr>
            <w:r>
              <w:rPr>
                <w:rFonts w:eastAsiaTheme="minorEastAsia"/>
                <w:color w:val="000000" w:themeColor="text1"/>
                <w:kern w:val="0"/>
              </w:rPr>
              <w:t>0.50%</w:t>
            </w:r>
          </w:p>
        </w:tc>
      </w:tr>
      <w:tr w:rsidR="000920F2">
        <w:tc>
          <w:tcPr>
            <w:tcW w:w="1395" w:type="dxa"/>
            <w:vAlign w:val="center"/>
          </w:tcPr>
          <w:p w:rsidR="000920F2" w:rsidRDefault="00C86CB3">
            <w:pPr>
              <w:jc w:val="left"/>
            </w:pPr>
            <w:r>
              <w:rPr>
                <w:rFonts w:eastAsiaTheme="minorEastAsia"/>
                <w:color w:val="000000" w:themeColor="text1"/>
                <w:kern w:val="0"/>
              </w:rPr>
              <w:lastRenderedPageBreak/>
              <w:t>自基金合同生效起至今</w:t>
            </w:r>
          </w:p>
        </w:tc>
        <w:tc>
          <w:tcPr>
            <w:tcW w:w="1092" w:type="dxa"/>
            <w:vAlign w:val="center"/>
          </w:tcPr>
          <w:p w:rsidR="000920F2" w:rsidRDefault="00C86CB3">
            <w:pPr>
              <w:jc w:val="center"/>
            </w:pPr>
            <w:r>
              <w:rPr>
                <w:rFonts w:eastAsiaTheme="minorEastAsia"/>
                <w:color w:val="000000" w:themeColor="text1"/>
                <w:kern w:val="0"/>
              </w:rPr>
              <w:t>137.91%</w:t>
            </w:r>
          </w:p>
        </w:tc>
        <w:tc>
          <w:tcPr>
            <w:tcW w:w="1161" w:type="dxa"/>
            <w:vAlign w:val="center"/>
          </w:tcPr>
          <w:p w:rsidR="000920F2" w:rsidRDefault="00C86CB3">
            <w:pPr>
              <w:jc w:val="center"/>
            </w:pPr>
            <w:r>
              <w:rPr>
                <w:rFonts w:eastAsiaTheme="minorEastAsia"/>
                <w:color w:val="000000" w:themeColor="text1"/>
                <w:kern w:val="0"/>
              </w:rPr>
              <w:t>1.60%</w:t>
            </w:r>
          </w:p>
        </w:tc>
        <w:tc>
          <w:tcPr>
            <w:tcW w:w="1181" w:type="dxa"/>
            <w:vAlign w:val="center"/>
          </w:tcPr>
          <w:p w:rsidR="000920F2" w:rsidRDefault="00C86CB3">
            <w:pPr>
              <w:jc w:val="center"/>
            </w:pPr>
            <w:r>
              <w:rPr>
                <w:rFonts w:eastAsiaTheme="minorEastAsia"/>
                <w:color w:val="000000" w:themeColor="text1"/>
                <w:kern w:val="0"/>
              </w:rPr>
              <w:t>13.35%</w:t>
            </w:r>
          </w:p>
        </w:tc>
        <w:tc>
          <w:tcPr>
            <w:tcW w:w="1188" w:type="dxa"/>
            <w:vAlign w:val="center"/>
          </w:tcPr>
          <w:p w:rsidR="000920F2" w:rsidRDefault="00C86CB3">
            <w:pPr>
              <w:jc w:val="center"/>
            </w:pPr>
            <w:r>
              <w:rPr>
                <w:rFonts w:eastAsiaTheme="minorEastAsia"/>
                <w:color w:val="000000" w:themeColor="text1"/>
                <w:kern w:val="0"/>
              </w:rPr>
              <w:t>1.17%</w:t>
            </w:r>
          </w:p>
        </w:tc>
        <w:tc>
          <w:tcPr>
            <w:tcW w:w="1199" w:type="dxa"/>
            <w:vAlign w:val="center"/>
          </w:tcPr>
          <w:p w:rsidR="000920F2" w:rsidRDefault="00C86CB3">
            <w:pPr>
              <w:jc w:val="center"/>
            </w:pPr>
            <w:r>
              <w:rPr>
                <w:rFonts w:eastAsiaTheme="minorEastAsia"/>
                <w:color w:val="000000" w:themeColor="text1"/>
                <w:kern w:val="0"/>
              </w:rPr>
              <w:t>124.56%</w:t>
            </w:r>
          </w:p>
        </w:tc>
        <w:tc>
          <w:tcPr>
            <w:tcW w:w="1204" w:type="dxa"/>
            <w:vAlign w:val="center"/>
          </w:tcPr>
          <w:p w:rsidR="000920F2" w:rsidRDefault="00C86CB3">
            <w:pPr>
              <w:jc w:val="center"/>
            </w:pPr>
            <w:r>
              <w:rPr>
                <w:rFonts w:eastAsiaTheme="minorEastAsia"/>
                <w:color w:val="000000" w:themeColor="text1"/>
                <w:kern w:val="0"/>
              </w:rPr>
              <w:t>0.43%</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上投摩根新兴服务股票型证券投资基金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920F2" w:rsidRDefault="00C86CB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6</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0920F2">
        <w:tc>
          <w:tcPr>
            <w:tcW w:w="851" w:type="dxa"/>
            <w:vAlign w:val="center"/>
          </w:tcPr>
          <w:p w:rsidR="000920F2" w:rsidRDefault="00C86CB3">
            <w:pPr>
              <w:jc w:val="center"/>
            </w:pPr>
            <w:r>
              <w:rPr>
                <w:rFonts w:eastAsiaTheme="minorEastAsia"/>
                <w:color w:val="000000" w:themeColor="text1"/>
              </w:rPr>
              <w:t>杨景喻</w:t>
            </w:r>
          </w:p>
        </w:tc>
        <w:tc>
          <w:tcPr>
            <w:tcW w:w="850" w:type="dxa"/>
            <w:vAlign w:val="center"/>
          </w:tcPr>
          <w:p w:rsidR="000920F2" w:rsidRDefault="00C86CB3">
            <w:pPr>
              <w:jc w:val="center"/>
            </w:pPr>
            <w:r>
              <w:rPr>
                <w:rFonts w:eastAsiaTheme="minorEastAsia"/>
                <w:color w:val="000000" w:themeColor="text1"/>
              </w:rPr>
              <w:t>本基金基金经</w:t>
            </w:r>
            <w:r>
              <w:rPr>
                <w:rFonts w:eastAsiaTheme="minorEastAsia"/>
                <w:color w:val="000000" w:themeColor="text1"/>
              </w:rPr>
              <w:lastRenderedPageBreak/>
              <w:t>理</w:t>
            </w:r>
          </w:p>
        </w:tc>
        <w:tc>
          <w:tcPr>
            <w:tcW w:w="1560" w:type="dxa"/>
            <w:vAlign w:val="center"/>
          </w:tcPr>
          <w:p w:rsidR="000920F2" w:rsidRDefault="00C86CB3">
            <w:pPr>
              <w:jc w:val="center"/>
            </w:pPr>
            <w:r>
              <w:rPr>
                <w:rFonts w:eastAsiaTheme="minorEastAsia"/>
                <w:color w:val="000000" w:themeColor="text1"/>
              </w:rPr>
              <w:lastRenderedPageBreak/>
              <w:t>2015-12-30</w:t>
            </w:r>
          </w:p>
        </w:tc>
        <w:tc>
          <w:tcPr>
            <w:tcW w:w="1559" w:type="dxa"/>
            <w:vAlign w:val="center"/>
          </w:tcPr>
          <w:p w:rsidR="000920F2" w:rsidRDefault="00C86CB3">
            <w:pPr>
              <w:jc w:val="center"/>
            </w:pPr>
            <w:r>
              <w:rPr>
                <w:rFonts w:eastAsiaTheme="minorEastAsia"/>
                <w:color w:val="000000" w:themeColor="text1"/>
              </w:rPr>
              <w:t>-</w:t>
            </w:r>
          </w:p>
        </w:tc>
        <w:tc>
          <w:tcPr>
            <w:tcW w:w="1417" w:type="dxa"/>
            <w:vAlign w:val="center"/>
          </w:tcPr>
          <w:p w:rsidR="000920F2" w:rsidRDefault="00C86CB3">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0920F2" w:rsidRDefault="00C86CB3">
            <w:r>
              <w:rPr>
                <w:rFonts w:eastAsiaTheme="minorEastAsia"/>
                <w:color w:val="000000" w:themeColor="text1"/>
              </w:rPr>
              <w:t>杨景喻先生，</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07</w:t>
            </w:r>
            <w:r>
              <w:rPr>
                <w:rFonts w:eastAsiaTheme="minorEastAsia"/>
                <w:color w:val="000000" w:themeColor="text1"/>
              </w:rPr>
              <w:t>月至</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03</w:t>
            </w:r>
            <w:r>
              <w:rPr>
                <w:rFonts w:eastAsiaTheme="minorEastAsia"/>
                <w:color w:val="000000" w:themeColor="text1"/>
              </w:rPr>
              <w:t>月在广发基金</w:t>
            </w:r>
            <w:r>
              <w:rPr>
                <w:rFonts w:eastAsiaTheme="minorEastAsia"/>
                <w:color w:val="000000" w:themeColor="text1"/>
              </w:rPr>
              <w:lastRenderedPageBreak/>
              <w:t>管理有限公司担任研究员。自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月起加入上投摩根基金管理有限公司，先后担任行业专家、基金经理助理、基金经理，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月担任上投摩根中国优势证券投资基金基金经理，自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月起担任上投摩根新兴服务股票型证券投资基金基金经理，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月同时担任上投摩根智慧生活灵活配置混合型证券投资基金基金经理，自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月起同时担任上投摩根民生需求股票型证券投资基金基金经理。</w:t>
            </w:r>
          </w:p>
        </w:tc>
      </w:tr>
      <w:tr w:rsidR="000920F2">
        <w:tc>
          <w:tcPr>
            <w:tcW w:w="851" w:type="dxa"/>
            <w:vAlign w:val="center"/>
          </w:tcPr>
          <w:p w:rsidR="000920F2" w:rsidRDefault="00C86CB3">
            <w:pPr>
              <w:jc w:val="center"/>
            </w:pPr>
            <w:r>
              <w:rPr>
                <w:rFonts w:eastAsiaTheme="minorEastAsia"/>
                <w:color w:val="000000" w:themeColor="text1"/>
              </w:rPr>
              <w:lastRenderedPageBreak/>
              <w:t>郭晨</w:t>
            </w:r>
          </w:p>
        </w:tc>
        <w:tc>
          <w:tcPr>
            <w:tcW w:w="850" w:type="dxa"/>
            <w:vAlign w:val="center"/>
          </w:tcPr>
          <w:p w:rsidR="000920F2" w:rsidRDefault="00C86CB3">
            <w:pPr>
              <w:jc w:val="center"/>
            </w:pPr>
            <w:r>
              <w:rPr>
                <w:rFonts w:eastAsiaTheme="minorEastAsia"/>
                <w:color w:val="000000" w:themeColor="text1"/>
              </w:rPr>
              <w:t>本基金基金经理</w:t>
            </w:r>
          </w:p>
        </w:tc>
        <w:tc>
          <w:tcPr>
            <w:tcW w:w="1560" w:type="dxa"/>
            <w:vAlign w:val="center"/>
          </w:tcPr>
          <w:p w:rsidR="000920F2" w:rsidRDefault="00C86CB3">
            <w:pPr>
              <w:jc w:val="center"/>
            </w:pPr>
            <w:r>
              <w:rPr>
                <w:rFonts w:eastAsiaTheme="minorEastAsia"/>
                <w:color w:val="000000" w:themeColor="text1"/>
              </w:rPr>
              <w:t>2015-08-06</w:t>
            </w:r>
          </w:p>
        </w:tc>
        <w:tc>
          <w:tcPr>
            <w:tcW w:w="1559" w:type="dxa"/>
            <w:vAlign w:val="center"/>
          </w:tcPr>
          <w:p w:rsidR="000920F2" w:rsidRDefault="00C86CB3">
            <w:pPr>
              <w:jc w:val="center"/>
            </w:pPr>
            <w:r>
              <w:rPr>
                <w:rFonts w:eastAsiaTheme="minorEastAsia"/>
                <w:color w:val="000000" w:themeColor="text1"/>
              </w:rPr>
              <w:t>-</w:t>
            </w:r>
          </w:p>
        </w:tc>
        <w:tc>
          <w:tcPr>
            <w:tcW w:w="1417" w:type="dxa"/>
            <w:vAlign w:val="center"/>
          </w:tcPr>
          <w:p w:rsidR="000920F2" w:rsidRDefault="00C86CB3">
            <w:pPr>
              <w:jc w:val="center"/>
            </w:pPr>
            <w:r>
              <w:rPr>
                <w:rFonts w:eastAsiaTheme="minorEastAsia"/>
                <w:color w:val="000000" w:themeColor="text1"/>
              </w:rPr>
              <w:t>14</w:t>
            </w:r>
            <w:r>
              <w:rPr>
                <w:rFonts w:eastAsiaTheme="minorEastAsia"/>
                <w:color w:val="000000" w:themeColor="text1"/>
              </w:rPr>
              <w:t>年</w:t>
            </w:r>
          </w:p>
        </w:tc>
        <w:tc>
          <w:tcPr>
            <w:tcW w:w="2694" w:type="dxa"/>
            <w:vAlign w:val="center"/>
          </w:tcPr>
          <w:p w:rsidR="000920F2" w:rsidRDefault="00C86CB3">
            <w:r>
              <w:rPr>
                <w:rFonts w:eastAsiaTheme="minorEastAsia"/>
                <w:color w:val="000000" w:themeColor="text1"/>
              </w:rPr>
              <w:t>郭晨先生，自</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月在平安资产管理有限公司担任分析师；</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月在东吴基金管理有限公司担任研究员；</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月在华富基金管理有限公司先后担任基金经理助理、基金经理。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月起加入上投摩根基金管理有限公司并担任基金经理、国内权益投资部动力组组长兼资深基金经理，自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月起担任上投摩根中小盘混合型证券投资基金基金经理，自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月起同时担任上投摩根智慧互联股票型证券投资基金基金经理，自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月起同时担任上投摩根新兴服务股票型证券投资基金基金经理，自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月起同时担任上投摩根创新商业模式灵活配置混合型证券投资基金基金经理，自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月起同时担任上投摩根优势</w:t>
            </w:r>
            <w:r>
              <w:rPr>
                <w:rFonts w:eastAsiaTheme="minorEastAsia"/>
                <w:color w:val="000000" w:themeColor="text1"/>
              </w:rPr>
              <w:lastRenderedPageBreak/>
              <w:t>成长混合型证券投资基金基金经理。</w:t>
            </w:r>
          </w:p>
        </w:tc>
      </w:tr>
    </w:tbl>
    <w:p w:rsidR="000920F2" w:rsidRDefault="00C86CB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0920F2" w:rsidRDefault="00C86CB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郭晨先生为本基金首任基金经理，其任职日期指本基金基金合同生效之日。</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新兴服务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D06738">
      <w:pPr>
        <w:spacing w:line="360" w:lineRule="auto"/>
        <w:ind w:firstLineChars="200" w:firstLine="420"/>
        <w:rPr>
          <w:rFonts w:eastAsiaTheme="minorEastAsia"/>
          <w:color w:val="000000" w:themeColor="text1"/>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w:t>
      </w:r>
      <w:r>
        <w:rPr>
          <w:rFonts w:eastAsiaTheme="minorEastAsia"/>
          <w:color w:val="000000" w:themeColor="text1"/>
        </w:rPr>
        <w:lastRenderedPageBreak/>
        <w:t>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三季度市场结构波动巨大。三季度前期，以食品饮料、医药为代表的大消费</w:t>
      </w:r>
      <w:r>
        <w:rPr>
          <w:rFonts w:eastAsiaTheme="minorEastAsia"/>
          <w:color w:val="000000" w:themeColor="text1"/>
        </w:rPr>
        <w:t>“</w:t>
      </w:r>
      <w:r>
        <w:rPr>
          <w:rFonts w:eastAsiaTheme="minorEastAsia"/>
          <w:color w:val="000000" w:themeColor="text1"/>
        </w:rPr>
        <w:t>核心资产</w:t>
      </w:r>
      <w:r>
        <w:rPr>
          <w:rFonts w:eastAsiaTheme="minorEastAsia"/>
          <w:color w:val="000000" w:themeColor="text1"/>
        </w:rPr>
        <w:t>”</w:t>
      </w:r>
      <w:r>
        <w:rPr>
          <w:rFonts w:eastAsiaTheme="minorEastAsia"/>
          <w:color w:val="000000" w:themeColor="text1"/>
        </w:rPr>
        <w:t>跌幅较大，新能源汽车、光伏发电等板块大幅上涨。三季度中后期，由于</w:t>
      </w:r>
      <w:r>
        <w:rPr>
          <w:rFonts w:eastAsiaTheme="minorEastAsia"/>
          <w:color w:val="000000" w:themeColor="text1"/>
        </w:rPr>
        <w:t>“</w:t>
      </w:r>
      <w:r>
        <w:rPr>
          <w:rFonts w:eastAsiaTheme="minorEastAsia"/>
          <w:color w:val="000000" w:themeColor="text1"/>
        </w:rPr>
        <w:t>双限</w:t>
      </w:r>
      <w:r>
        <w:rPr>
          <w:rFonts w:eastAsiaTheme="minorEastAsia"/>
          <w:color w:val="000000" w:themeColor="text1"/>
        </w:rPr>
        <w:t>”</w:t>
      </w:r>
      <w:r>
        <w:rPr>
          <w:rFonts w:eastAsiaTheme="minorEastAsia"/>
          <w:color w:val="000000" w:themeColor="text1"/>
        </w:rPr>
        <w:t>政策叠加能源相关需求高涨，以煤炭、化工、有色为代表的的一系列周期品种大幅上涨。三季度后期由于市场普遍估值过高，且</w:t>
      </w:r>
      <w:r>
        <w:rPr>
          <w:rFonts w:eastAsiaTheme="minorEastAsia"/>
          <w:color w:val="000000" w:themeColor="text1"/>
        </w:rPr>
        <w:t>“</w:t>
      </w:r>
      <w:r>
        <w:rPr>
          <w:rFonts w:eastAsiaTheme="minorEastAsia"/>
          <w:color w:val="000000" w:themeColor="text1"/>
        </w:rPr>
        <w:t>双限</w:t>
      </w:r>
      <w:r>
        <w:rPr>
          <w:rFonts w:eastAsiaTheme="minorEastAsia"/>
          <w:color w:val="000000" w:themeColor="text1"/>
        </w:rPr>
        <w:t>”</w:t>
      </w:r>
      <w:r>
        <w:rPr>
          <w:rFonts w:eastAsiaTheme="minorEastAsia"/>
          <w:color w:val="000000" w:themeColor="text1"/>
        </w:rPr>
        <w:t>政策提升通胀的担忧，新能源、科技行业出现大幅回调。</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本季度我们在充分考虑业绩、估值以及行业景</w:t>
      </w:r>
      <w:r>
        <w:rPr>
          <w:rFonts w:eastAsiaTheme="minorEastAsia"/>
          <w:color w:val="000000" w:themeColor="text1"/>
        </w:rPr>
        <w:t>气度的持续性之后，重点配置了新能源汽车产业链和光伏板块，并在季度后期，对组合进行了平衡操作，增持了部分估值具有吸引力的医药和食品饮料个股。</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展望后市，我们认为市场仍将维持较大波动。宏观经济层面，受制于能耗双限和内需不足，预计国内经济仍将疲软；经济政策和货币政策预计仍以</w:t>
      </w:r>
      <w:r>
        <w:rPr>
          <w:rFonts w:eastAsiaTheme="minorEastAsia"/>
          <w:color w:val="000000" w:themeColor="text1"/>
        </w:rPr>
        <w:t>“</w:t>
      </w:r>
      <w:r>
        <w:rPr>
          <w:rFonts w:eastAsiaTheme="minorEastAsia"/>
          <w:color w:val="000000" w:themeColor="text1"/>
        </w:rPr>
        <w:t>托底</w:t>
      </w:r>
      <w:r>
        <w:rPr>
          <w:rFonts w:eastAsiaTheme="minorEastAsia"/>
          <w:color w:val="000000" w:themeColor="text1"/>
        </w:rPr>
        <w:t>”</w:t>
      </w:r>
      <w:r>
        <w:rPr>
          <w:rFonts w:eastAsiaTheme="minorEastAsia"/>
          <w:color w:val="000000" w:themeColor="text1"/>
        </w:rPr>
        <w:t>为主要出发点，特别宽松或者明显收紧的可能性均很小；中美关系似乎开始相向而行，但落实到双边贸易改善上仍有不短的路要走；产业层面，部分产业仍然处在明确的长周期高景气阶段，如新能源汽车产业链、部分医药子行业，但前一季度过快的涨幅显然对未来有所</w:t>
      </w:r>
      <w:r>
        <w:rPr>
          <w:rFonts w:eastAsiaTheme="minorEastAsia"/>
          <w:color w:val="000000" w:themeColor="text1"/>
        </w:rPr>
        <w:t>透支；个股层面，除了前述的部分高景气度行业，以及受益于短期商品价格大涨的部分周期品，三季报业绩乏善可陈。因此，四季度市场仍将处于波动为主，主线不太突出的阶段。即便</w:t>
      </w:r>
      <w:r>
        <w:rPr>
          <w:rFonts w:eastAsiaTheme="minorEastAsia"/>
          <w:color w:val="000000" w:themeColor="text1"/>
        </w:rPr>
        <w:t>9</w:t>
      </w:r>
      <w:r>
        <w:rPr>
          <w:rFonts w:eastAsiaTheme="minorEastAsia"/>
          <w:color w:val="000000" w:themeColor="text1"/>
        </w:rPr>
        <w:t>月下旬到</w:t>
      </w:r>
      <w:r>
        <w:rPr>
          <w:rFonts w:eastAsiaTheme="minorEastAsia"/>
          <w:color w:val="000000" w:themeColor="text1"/>
        </w:rPr>
        <w:t>10</w:t>
      </w:r>
      <w:r>
        <w:rPr>
          <w:rFonts w:eastAsiaTheme="minorEastAsia"/>
          <w:color w:val="000000" w:themeColor="text1"/>
        </w:rPr>
        <w:t>月上旬之间我们看到了一些前期跌幅明显的主流板块和主流个股出现显著上涨，但仍然是超跌反弹的性质，很难从财报业绩上得到解释。这一市场阶段可能持续的时间较难判断，因宏观、产业均很难提供新的线索，而自下而上的投资所需要的业绩成长性，还需要两个季度的时间才能充分体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这样的市场阶段，我们需要更为重视公司的质地、估值，以及肉眼可见却被市场忽略的变化。我们看到了在中美贸易摩擦压力之下仍然保持对美出口高增长，产品技术升级明显，获得客户一致好评的制造型企业；我们也看到了经历了股价和预期的大幅波动，产品竞争力和销售数据仍然保持亮丽的医药企业。这两个例子仅仅是我们研究的一小部分，举这两个例子我们希望得到更一般的方法论，即注重公司的长期质地和短期变化，注重估值，不盲目追逐市场热点，适当运用逆向思路。</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本报告期上投摩根新兴服务股票份额净值增长率为</w:t>
      </w:r>
      <w:r w:rsidRPr="00FF6B9A">
        <w:rPr>
          <w:rFonts w:eastAsiaTheme="minorEastAsia"/>
          <w:color w:val="000000" w:themeColor="text1"/>
        </w:rPr>
        <w:t>:1.06%</w:t>
      </w:r>
      <w:r w:rsidRPr="00FF6B9A">
        <w:rPr>
          <w:rFonts w:eastAsiaTheme="minorEastAsia"/>
          <w:color w:val="000000" w:themeColor="text1"/>
        </w:rPr>
        <w:t>，同期业绩比较基准收益率为</w:t>
      </w:r>
      <w:r w:rsidRPr="00FF6B9A">
        <w:rPr>
          <w:rFonts w:eastAsiaTheme="minorEastAsia"/>
          <w:color w:val="000000" w:themeColor="text1"/>
        </w:rPr>
        <w:t>:-3.51%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47,955,045.15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82.00</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47,955,045.15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82.00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44,819.20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44,819.20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10,386,257.85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17.76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96,319.34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58,482,441.54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w:t>
            </w:r>
            <w:r w:rsidRPr="00FF6B9A">
              <w:rPr>
                <w:rFonts w:eastAsiaTheme="minorEastAsia"/>
                <w:color w:val="000000" w:themeColor="text1"/>
                <w:kern w:val="0"/>
              </w:rPr>
              <w:lastRenderedPageBreak/>
              <w:t>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387,558.70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0.68</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39,524,993.62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69.15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2,126,889.74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8,300.53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751,897.52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1,953,623.52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2,642,676.00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559,105.52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47,955,045.15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83.90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0920F2">
        <w:tc>
          <w:tcPr>
            <w:tcW w:w="817" w:type="dxa"/>
            <w:vAlign w:val="center"/>
          </w:tcPr>
          <w:p w:rsidR="000920F2" w:rsidRDefault="00C86CB3">
            <w:pPr>
              <w:jc w:val="center"/>
            </w:pPr>
            <w:r>
              <w:rPr>
                <w:rFonts w:eastAsiaTheme="minorEastAsia"/>
                <w:kern w:val="0"/>
                <w:sz w:val="24"/>
                <w:szCs w:val="24"/>
              </w:rPr>
              <w:t>1</w:t>
            </w:r>
          </w:p>
        </w:tc>
        <w:tc>
          <w:tcPr>
            <w:tcW w:w="1276" w:type="dxa"/>
            <w:vAlign w:val="center"/>
          </w:tcPr>
          <w:p w:rsidR="000920F2" w:rsidRDefault="00C86CB3">
            <w:pPr>
              <w:jc w:val="center"/>
            </w:pPr>
            <w:r>
              <w:rPr>
                <w:rFonts w:eastAsiaTheme="minorEastAsia"/>
                <w:kern w:val="0"/>
                <w:sz w:val="24"/>
                <w:szCs w:val="24"/>
              </w:rPr>
              <w:t>300390</w:t>
            </w:r>
          </w:p>
        </w:tc>
        <w:tc>
          <w:tcPr>
            <w:tcW w:w="1701" w:type="dxa"/>
            <w:vAlign w:val="center"/>
          </w:tcPr>
          <w:p w:rsidR="000920F2" w:rsidRDefault="00C86CB3">
            <w:pPr>
              <w:jc w:val="center"/>
            </w:pPr>
            <w:r>
              <w:rPr>
                <w:rFonts w:eastAsiaTheme="minorEastAsia"/>
                <w:kern w:val="0"/>
                <w:sz w:val="24"/>
                <w:szCs w:val="24"/>
              </w:rPr>
              <w:t>天华超净</w:t>
            </w:r>
          </w:p>
        </w:tc>
        <w:tc>
          <w:tcPr>
            <w:tcW w:w="1276" w:type="dxa"/>
            <w:vAlign w:val="center"/>
          </w:tcPr>
          <w:p w:rsidR="000920F2" w:rsidRDefault="00C86CB3">
            <w:pPr>
              <w:jc w:val="right"/>
            </w:pPr>
            <w:r>
              <w:rPr>
                <w:rFonts w:eastAsiaTheme="minorEastAsia"/>
                <w:kern w:val="0"/>
                <w:sz w:val="24"/>
                <w:szCs w:val="24"/>
              </w:rPr>
              <w:t>42,200.00</w:t>
            </w:r>
          </w:p>
        </w:tc>
        <w:tc>
          <w:tcPr>
            <w:tcW w:w="1842" w:type="dxa"/>
            <w:vAlign w:val="center"/>
          </w:tcPr>
          <w:p w:rsidR="000920F2" w:rsidRDefault="00C86CB3">
            <w:pPr>
              <w:jc w:val="right"/>
            </w:pPr>
            <w:r>
              <w:rPr>
                <w:rFonts w:eastAsiaTheme="minorEastAsia"/>
                <w:kern w:val="0"/>
                <w:sz w:val="24"/>
                <w:szCs w:val="24"/>
              </w:rPr>
              <w:t>4,530,170.00</w:t>
            </w:r>
          </w:p>
        </w:tc>
        <w:tc>
          <w:tcPr>
            <w:tcW w:w="1616" w:type="dxa"/>
            <w:vAlign w:val="center"/>
          </w:tcPr>
          <w:p w:rsidR="000920F2" w:rsidRDefault="00C86CB3">
            <w:pPr>
              <w:jc w:val="right"/>
            </w:pPr>
            <w:r>
              <w:rPr>
                <w:rFonts w:eastAsiaTheme="minorEastAsia"/>
                <w:kern w:val="0"/>
                <w:sz w:val="24"/>
                <w:szCs w:val="24"/>
              </w:rPr>
              <w:t>7.93</w:t>
            </w:r>
          </w:p>
        </w:tc>
      </w:tr>
      <w:tr w:rsidR="000920F2">
        <w:tc>
          <w:tcPr>
            <w:tcW w:w="817" w:type="dxa"/>
            <w:vAlign w:val="center"/>
          </w:tcPr>
          <w:p w:rsidR="000920F2" w:rsidRDefault="00C86CB3">
            <w:pPr>
              <w:jc w:val="center"/>
            </w:pPr>
            <w:r>
              <w:rPr>
                <w:rFonts w:eastAsiaTheme="minorEastAsia"/>
                <w:kern w:val="0"/>
                <w:sz w:val="24"/>
                <w:szCs w:val="24"/>
              </w:rPr>
              <w:t>2</w:t>
            </w:r>
          </w:p>
        </w:tc>
        <w:tc>
          <w:tcPr>
            <w:tcW w:w="1276" w:type="dxa"/>
            <w:vAlign w:val="center"/>
          </w:tcPr>
          <w:p w:rsidR="000920F2" w:rsidRDefault="00C86CB3">
            <w:pPr>
              <w:jc w:val="center"/>
            </w:pPr>
            <w:r>
              <w:rPr>
                <w:rFonts w:eastAsiaTheme="minorEastAsia"/>
                <w:kern w:val="0"/>
                <w:sz w:val="24"/>
                <w:szCs w:val="24"/>
              </w:rPr>
              <w:t>603259</w:t>
            </w:r>
          </w:p>
        </w:tc>
        <w:tc>
          <w:tcPr>
            <w:tcW w:w="1701" w:type="dxa"/>
            <w:vAlign w:val="center"/>
          </w:tcPr>
          <w:p w:rsidR="000920F2" w:rsidRDefault="00C86CB3">
            <w:pPr>
              <w:jc w:val="center"/>
            </w:pPr>
            <w:r>
              <w:rPr>
                <w:rFonts w:eastAsiaTheme="minorEastAsia"/>
                <w:kern w:val="0"/>
                <w:sz w:val="24"/>
                <w:szCs w:val="24"/>
              </w:rPr>
              <w:t>药明康德</w:t>
            </w:r>
          </w:p>
        </w:tc>
        <w:tc>
          <w:tcPr>
            <w:tcW w:w="1276" w:type="dxa"/>
            <w:vAlign w:val="center"/>
          </w:tcPr>
          <w:p w:rsidR="000920F2" w:rsidRDefault="00C86CB3">
            <w:pPr>
              <w:jc w:val="right"/>
            </w:pPr>
            <w:r>
              <w:rPr>
                <w:rFonts w:eastAsiaTheme="minorEastAsia"/>
                <w:kern w:val="0"/>
                <w:sz w:val="24"/>
                <w:szCs w:val="24"/>
              </w:rPr>
              <w:t>17,295.00</w:t>
            </w:r>
          </w:p>
        </w:tc>
        <w:tc>
          <w:tcPr>
            <w:tcW w:w="1842" w:type="dxa"/>
            <w:vAlign w:val="center"/>
          </w:tcPr>
          <w:p w:rsidR="000920F2" w:rsidRDefault="00C86CB3">
            <w:pPr>
              <w:jc w:val="right"/>
            </w:pPr>
            <w:r>
              <w:rPr>
                <w:rFonts w:eastAsiaTheme="minorEastAsia"/>
                <w:kern w:val="0"/>
                <w:sz w:val="24"/>
                <w:szCs w:val="24"/>
              </w:rPr>
              <w:t>2,642,676.00</w:t>
            </w:r>
          </w:p>
        </w:tc>
        <w:tc>
          <w:tcPr>
            <w:tcW w:w="1616" w:type="dxa"/>
            <w:vAlign w:val="center"/>
          </w:tcPr>
          <w:p w:rsidR="000920F2" w:rsidRDefault="00C86CB3">
            <w:pPr>
              <w:jc w:val="right"/>
            </w:pPr>
            <w:r>
              <w:rPr>
                <w:rFonts w:eastAsiaTheme="minorEastAsia"/>
                <w:kern w:val="0"/>
                <w:sz w:val="24"/>
                <w:szCs w:val="24"/>
              </w:rPr>
              <w:t>4.62</w:t>
            </w:r>
          </w:p>
        </w:tc>
      </w:tr>
      <w:tr w:rsidR="000920F2">
        <w:tc>
          <w:tcPr>
            <w:tcW w:w="817" w:type="dxa"/>
            <w:vAlign w:val="center"/>
          </w:tcPr>
          <w:p w:rsidR="000920F2" w:rsidRDefault="00C86CB3">
            <w:pPr>
              <w:jc w:val="center"/>
            </w:pPr>
            <w:r>
              <w:rPr>
                <w:rFonts w:eastAsiaTheme="minorEastAsia"/>
                <w:kern w:val="0"/>
                <w:sz w:val="24"/>
                <w:szCs w:val="24"/>
              </w:rPr>
              <w:t>3</w:t>
            </w:r>
          </w:p>
        </w:tc>
        <w:tc>
          <w:tcPr>
            <w:tcW w:w="1276" w:type="dxa"/>
            <w:vAlign w:val="center"/>
          </w:tcPr>
          <w:p w:rsidR="000920F2" w:rsidRDefault="00C86CB3">
            <w:pPr>
              <w:jc w:val="center"/>
            </w:pPr>
            <w:r>
              <w:rPr>
                <w:rFonts w:eastAsiaTheme="minorEastAsia"/>
                <w:kern w:val="0"/>
                <w:sz w:val="24"/>
                <w:szCs w:val="24"/>
              </w:rPr>
              <w:t>000301</w:t>
            </w:r>
          </w:p>
        </w:tc>
        <w:tc>
          <w:tcPr>
            <w:tcW w:w="1701" w:type="dxa"/>
            <w:vAlign w:val="center"/>
          </w:tcPr>
          <w:p w:rsidR="000920F2" w:rsidRDefault="00C86CB3">
            <w:pPr>
              <w:jc w:val="center"/>
            </w:pPr>
            <w:r>
              <w:rPr>
                <w:rFonts w:eastAsiaTheme="minorEastAsia"/>
                <w:kern w:val="0"/>
                <w:sz w:val="24"/>
                <w:szCs w:val="24"/>
              </w:rPr>
              <w:t>东方盛虹</w:t>
            </w:r>
          </w:p>
        </w:tc>
        <w:tc>
          <w:tcPr>
            <w:tcW w:w="1276" w:type="dxa"/>
            <w:vAlign w:val="center"/>
          </w:tcPr>
          <w:p w:rsidR="000920F2" w:rsidRDefault="00C86CB3">
            <w:pPr>
              <w:jc w:val="right"/>
            </w:pPr>
            <w:r>
              <w:rPr>
                <w:rFonts w:eastAsiaTheme="minorEastAsia"/>
                <w:kern w:val="0"/>
                <w:sz w:val="24"/>
                <w:szCs w:val="24"/>
              </w:rPr>
              <w:t>69,700.00</w:t>
            </w:r>
          </w:p>
        </w:tc>
        <w:tc>
          <w:tcPr>
            <w:tcW w:w="1842" w:type="dxa"/>
            <w:vAlign w:val="center"/>
          </w:tcPr>
          <w:p w:rsidR="000920F2" w:rsidRDefault="00C86CB3">
            <w:pPr>
              <w:jc w:val="right"/>
            </w:pPr>
            <w:r>
              <w:rPr>
                <w:rFonts w:eastAsiaTheme="minorEastAsia"/>
                <w:kern w:val="0"/>
                <w:sz w:val="24"/>
                <w:szCs w:val="24"/>
              </w:rPr>
              <w:t>1,959,964.00</w:t>
            </w:r>
          </w:p>
        </w:tc>
        <w:tc>
          <w:tcPr>
            <w:tcW w:w="1616" w:type="dxa"/>
            <w:vAlign w:val="center"/>
          </w:tcPr>
          <w:p w:rsidR="000920F2" w:rsidRDefault="00C86CB3">
            <w:pPr>
              <w:jc w:val="right"/>
            </w:pPr>
            <w:r>
              <w:rPr>
                <w:rFonts w:eastAsiaTheme="minorEastAsia"/>
                <w:kern w:val="0"/>
                <w:sz w:val="24"/>
                <w:szCs w:val="24"/>
              </w:rPr>
              <w:t>3.43</w:t>
            </w:r>
          </w:p>
        </w:tc>
      </w:tr>
      <w:tr w:rsidR="000920F2">
        <w:tc>
          <w:tcPr>
            <w:tcW w:w="817" w:type="dxa"/>
            <w:vAlign w:val="center"/>
          </w:tcPr>
          <w:p w:rsidR="000920F2" w:rsidRDefault="00C86CB3">
            <w:pPr>
              <w:jc w:val="center"/>
            </w:pPr>
            <w:r>
              <w:rPr>
                <w:rFonts w:eastAsiaTheme="minorEastAsia"/>
                <w:kern w:val="0"/>
                <w:sz w:val="24"/>
                <w:szCs w:val="24"/>
              </w:rPr>
              <w:t>4</w:t>
            </w:r>
          </w:p>
        </w:tc>
        <w:tc>
          <w:tcPr>
            <w:tcW w:w="1276" w:type="dxa"/>
            <w:vAlign w:val="center"/>
          </w:tcPr>
          <w:p w:rsidR="000920F2" w:rsidRDefault="00C86CB3">
            <w:pPr>
              <w:jc w:val="center"/>
            </w:pPr>
            <w:r>
              <w:rPr>
                <w:rFonts w:eastAsiaTheme="minorEastAsia"/>
                <w:kern w:val="0"/>
                <w:sz w:val="24"/>
                <w:szCs w:val="24"/>
              </w:rPr>
              <w:t>002709</w:t>
            </w:r>
          </w:p>
        </w:tc>
        <w:tc>
          <w:tcPr>
            <w:tcW w:w="1701" w:type="dxa"/>
            <w:vAlign w:val="center"/>
          </w:tcPr>
          <w:p w:rsidR="000920F2" w:rsidRDefault="00C86CB3">
            <w:pPr>
              <w:jc w:val="center"/>
            </w:pPr>
            <w:r>
              <w:rPr>
                <w:rFonts w:eastAsiaTheme="minorEastAsia"/>
                <w:kern w:val="0"/>
                <w:sz w:val="24"/>
                <w:szCs w:val="24"/>
              </w:rPr>
              <w:t>天赐材料</w:t>
            </w:r>
          </w:p>
        </w:tc>
        <w:tc>
          <w:tcPr>
            <w:tcW w:w="1276" w:type="dxa"/>
            <w:vAlign w:val="center"/>
          </w:tcPr>
          <w:p w:rsidR="000920F2" w:rsidRDefault="00C86CB3">
            <w:pPr>
              <w:jc w:val="right"/>
            </w:pPr>
            <w:r>
              <w:rPr>
                <w:rFonts w:eastAsiaTheme="minorEastAsia"/>
                <w:kern w:val="0"/>
                <w:sz w:val="24"/>
                <w:szCs w:val="24"/>
              </w:rPr>
              <w:t>12,780.00</w:t>
            </w:r>
          </w:p>
        </w:tc>
        <w:tc>
          <w:tcPr>
            <w:tcW w:w="1842" w:type="dxa"/>
            <w:vAlign w:val="center"/>
          </w:tcPr>
          <w:p w:rsidR="000920F2" w:rsidRDefault="00C86CB3">
            <w:pPr>
              <w:jc w:val="right"/>
            </w:pPr>
            <w:r>
              <w:rPr>
                <w:rFonts w:eastAsiaTheme="minorEastAsia"/>
                <w:kern w:val="0"/>
                <w:sz w:val="24"/>
                <w:szCs w:val="24"/>
              </w:rPr>
              <w:t>1,944,093.60</w:t>
            </w:r>
          </w:p>
        </w:tc>
        <w:tc>
          <w:tcPr>
            <w:tcW w:w="1616" w:type="dxa"/>
            <w:vAlign w:val="center"/>
          </w:tcPr>
          <w:p w:rsidR="000920F2" w:rsidRDefault="00C86CB3">
            <w:pPr>
              <w:jc w:val="right"/>
            </w:pPr>
            <w:r>
              <w:rPr>
                <w:rFonts w:eastAsiaTheme="minorEastAsia"/>
                <w:kern w:val="0"/>
                <w:sz w:val="24"/>
                <w:szCs w:val="24"/>
              </w:rPr>
              <w:t>3.40</w:t>
            </w:r>
          </w:p>
        </w:tc>
      </w:tr>
      <w:tr w:rsidR="000920F2">
        <w:tc>
          <w:tcPr>
            <w:tcW w:w="817" w:type="dxa"/>
            <w:vAlign w:val="center"/>
          </w:tcPr>
          <w:p w:rsidR="000920F2" w:rsidRDefault="00C86CB3">
            <w:pPr>
              <w:jc w:val="center"/>
            </w:pPr>
            <w:r>
              <w:rPr>
                <w:rFonts w:eastAsiaTheme="minorEastAsia"/>
                <w:kern w:val="0"/>
                <w:sz w:val="24"/>
                <w:szCs w:val="24"/>
              </w:rPr>
              <w:t>5</w:t>
            </w:r>
          </w:p>
        </w:tc>
        <w:tc>
          <w:tcPr>
            <w:tcW w:w="1276" w:type="dxa"/>
            <w:vAlign w:val="center"/>
          </w:tcPr>
          <w:p w:rsidR="000920F2" w:rsidRDefault="00C86CB3">
            <w:pPr>
              <w:jc w:val="center"/>
            </w:pPr>
            <w:r>
              <w:rPr>
                <w:rFonts w:eastAsiaTheme="minorEastAsia"/>
                <w:kern w:val="0"/>
                <w:sz w:val="24"/>
                <w:szCs w:val="24"/>
              </w:rPr>
              <w:t>600110</w:t>
            </w:r>
          </w:p>
        </w:tc>
        <w:tc>
          <w:tcPr>
            <w:tcW w:w="1701" w:type="dxa"/>
            <w:vAlign w:val="center"/>
          </w:tcPr>
          <w:p w:rsidR="000920F2" w:rsidRDefault="00C86CB3">
            <w:pPr>
              <w:jc w:val="center"/>
            </w:pPr>
            <w:r>
              <w:rPr>
                <w:rFonts w:eastAsiaTheme="minorEastAsia"/>
                <w:kern w:val="0"/>
                <w:sz w:val="24"/>
                <w:szCs w:val="24"/>
              </w:rPr>
              <w:t>诺德股份</w:t>
            </w:r>
          </w:p>
        </w:tc>
        <w:tc>
          <w:tcPr>
            <w:tcW w:w="1276" w:type="dxa"/>
            <w:vAlign w:val="center"/>
          </w:tcPr>
          <w:p w:rsidR="000920F2" w:rsidRDefault="00C86CB3">
            <w:pPr>
              <w:jc w:val="right"/>
            </w:pPr>
            <w:r>
              <w:rPr>
                <w:rFonts w:eastAsiaTheme="minorEastAsia"/>
                <w:kern w:val="0"/>
                <w:sz w:val="24"/>
                <w:szCs w:val="24"/>
              </w:rPr>
              <w:t>80,793.00</w:t>
            </w:r>
          </w:p>
        </w:tc>
        <w:tc>
          <w:tcPr>
            <w:tcW w:w="1842" w:type="dxa"/>
            <w:vAlign w:val="center"/>
          </w:tcPr>
          <w:p w:rsidR="000920F2" w:rsidRDefault="00C86CB3">
            <w:pPr>
              <w:jc w:val="right"/>
            </w:pPr>
            <w:r>
              <w:rPr>
                <w:rFonts w:eastAsiaTheme="minorEastAsia"/>
                <w:kern w:val="0"/>
                <w:sz w:val="24"/>
                <w:szCs w:val="24"/>
              </w:rPr>
              <w:t>1,729,778.13</w:t>
            </w:r>
          </w:p>
        </w:tc>
        <w:tc>
          <w:tcPr>
            <w:tcW w:w="1616" w:type="dxa"/>
            <w:vAlign w:val="center"/>
          </w:tcPr>
          <w:p w:rsidR="000920F2" w:rsidRDefault="00C86CB3">
            <w:pPr>
              <w:jc w:val="right"/>
            </w:pPr>
            <w:r>
              <w:rPr>
                <w:rFonts w:eastAsiaTheme="minorEastAsia"/>
                <w:kern w:val="0"/>
                <w:sz w:val="24"/>
                <w:szCs w:val="24"/>
              </w:rPr>
              <w:t>3.03</w:t>
            </w:r>
          </w:p>
        </w:tc>
      </w:tr>
      <w:tr w:rsidR="000920F2">
        <w:tc>
          <w:tcPr>
            <w:tcW w:w="817" w:type="dxa"/>
            <w:vAlign w:val="center"/>
          </w:tcPr>
          <w:p w:rsidR="000920F2" w:rsidRDefault="00C86CB3">
            <w:pPr>
              <w:jc w:val="center"/>
            </w:pPr>
            <w:r>
              <w:rPr>
                <w:rFonts w:eastAsiaTheme="minorEastAsia"/>
                <w:kern w:val="0"/>
                <w:sz w:val="24"/>
                <w:szCs w:val="24"/>
              </w:rPr>
              <w:t>6</w:t>
            </w:r>
          </w:p>
        </w:tc>
        <w:tc>
          <w:tcPr>
            <w:tcW w:w="1276" w:type="dxa"/>
            <w:vAlign w:val="center"/>
          </w:tcPr>
          <w:p w:rsidR="000920F2" w:rsidRDefault="00C86CB3">
            <w:pPr>
              <w:jc w:val="center"/>
            </w:pPr>
            <w:r>
              <w:rPr>
                <w:rFonts w:eastAsiaTheme="minorEastAsia"/>
                <w:kern w:val="0"/>
                <w:sz w:val="24"/>
                <w:szCs w:val="24"/>
              </w:rPr>
              <w:t>600438</w:t>
            </w:r>
          </w:p>
        </w:tc>
        <w:tc>
          <w:tcPr>
            <w:tcW w:w="1701" w:type="dxa"/>
            <w:vAlign w:val="center"/>
          </w:tcPr>
          <w:p w:rsidR="000920F2" w:rsidRDefault="00C86CB3">
            <w:pPr>
              <w:jc w:val="center"/>
            </w:pPr>
            <w:r>
              <w:rPr>
                <w:rFonts w:eastAsiaTheme="minorEastAsia"/>
                <w:kern w:val="0"/>
                <w:sz w:val="24"/>
                <w:szCs w:val="24"/>
              </w:rPr>
              <w:t>通威股份</w:t>
            </w:r>
          </w:p>
        </w:tc>
        <w:tc>
          <w:tcPr>
            <w:tcW w:w="1276" w:type="dxa"/>
            <w:vAlign w:val="center"/>
          </w:tcPr>
          <w:p w:rsidR="000920F2" w:rsidRDefault="00C86CB3">
            <w:pPr>
              <w:jc w:val="right"/>
            </w:pPr>
            <w:r>
              <w:rPr>
                <w:rFonts w:eastAsiaTheme="minorEastAsia"/>
                <w:kern w:val="0"/>
                <w:sz w:val="24"/>
                <w:szCs w:val="24"/>
              </w:rPr>
              <w:t>31,700.00</w:t>
            </w:r>
          </w:p>
        </w:tc>
        <w:tc>
          <w:tcPr>
            <w:tcW w:w="1842" w:type="dxa"/>
            <w:vAlign w:val="center"/>
          </w:tcPr>
          <w:p w:rsidR="000920F2" w:rsidRDefault="00C86CB3">
            <w:pPr>
              <w:jc w:val="right"/>
            </w:pPr>
            <w:r>
              <w:rPr>
                <w:rFonts w:eastAsiaTheme="minorEastAsia"/>
                <w:kern w:val="0"/>
                <w:sz w:val="24"/>
                <w:szCs w:val="24"/>
              </w:rPr>
              <w:t>1,614,798.00</w:t>
            </w:r>
          </w:p>
        </w:tc>
        <w:tc>
          <w:tcPr>
            <w:tcW w:w="1616" w:type="dxa"/>
            <w:vAlign w:val="center"/>
          </w:tcPr>
          <w:p w:rsidR="000920F2" w:rsidRDefault="00C86CB3">
            <w:pPr>
              <w:jc w:val="right"/>
            </w:pPr>
            <w:r>
              <w:rPr>
                <w:rFonts w:eastAsiaTheme="minorEastAsia"/>
                <w:kern w:val="0"/>
                <w:sz w:val="24"/>
                <w:szCs w:val="24"/>
              </w:rPr>
              <w:t>2.83</w:t>
            </w:r>
          </w:p>
        </w:tc>
      </w:tr>
      <w:tr w:rsidR="000920F2">
        <w:tc>
          <w:tcPr>
            <w:tcW w:w="817" w:type="dxa"/>
            <w:vAlign w:val="center"/>
          </w:tcPr>
          <w:p w:rsidR="000920F2" w:rsidRDefault="00C86CB3">
            <w:pPr>
              <w:jc w:val="center"/>
            </w:pPr>
            <w:r>
              <w:rPr>
                <w:rFonts w:eastAsiaTheme="minorEastAsia"/>
                <w:kern w:val="0"/>
                <w:sz w:val="24"/>
                <w:szCs w:val="24"/>
              </w:rPr>
              <w:t>7</w:t>
            </w:r>
          </w:p>
        </w:tc>
        <w:tc>
          <w:tcPr>
            <w:tcW w:w="1276" w:type="dxa"/>
            <w:vAlign w:val="center"/>
          </w:tcPr>
          <w:p w:rsidR="000920F2" w:rsidRDefault="00C86CB3">
            <w:pPr>
              <w:jc w:val="center"/>
            </w:pPr>
            <w:r>
              <w:rPr>
                <w:rFonts w:eastAsiaTheme="minorEastAsia"/>
                <w:kern w:val="0"/>
                <w:sz w:val="24"/>
                <w:szCs w:val="24"/>
              </w:rPr>
              <w:t>688598</w:t>
            </w:r>
          </w:p>
        </w:tc>
        <w:tc>
          <w:tcPr>
            <w:tcW w:w="1701" w:type="dxa"/>
            <w:vAlign w:val="center"/>
          </w:tcPr>
          <w:p w:rsidR="000920F2" w:rsidRDefault="00C86CB3">
            <w:pPr>
              <w:jc w:val="center"/>
            </w:pPr>
            <w:r>
              <w:rPr>
                <w:rFonts w:eastAsiaTheme="minorEastAsia"/>
                <w:kern w:val="0"/>
                <w:sz w:val="24"/>
                <w:szCs w:val="24"/>
              </w:rPr>
              <w:t>金博股份</w:t>
            </w:r>
          </w:p>
        </w:tc>
        <w:tc>
          <w:tcPr>
            <w:tcW w:w="1276" w:type="dxa"/>
            <w:vAlign w:val="center"/>
          </w:tcPr>
          <w:p w:rsidR="000920F2" w:rsidRDefault="00C86CB3">
            <w:pPr>
              <w:jc w:val="right"/>
            </w:pPr>
            <w:r>
              <w:rPr>
                <w:rFonts w:eastAsiaTheme="minorEastAsia"/>
                <w:kern w:val="0"/>
                <w:sz w:val="24"/>
                <w:szCs w:val="24"/>
              </w:rPr>
              <w:t>4,554.00</w:t>
            </w:r>
          </w:p>
        </w:tc>
        <w:tc>
          <w:tcPr>
            <w:tcW w:w="1842" w:type="dxa"/>
            <w:vAlign w:val="center"/>
          </w:tcPr>
          <w:p w:rsidR="000920F2" w:rsidRDefault="00C86CB3">
            <w:pPr>
              <w:jc w:val="right"/>
            </w:pPr>
            <w:r>
              <w:rPr>
                <w:rFonts w:eastAsiaTheme="minorEastAsia"/>
                <w:kern w:val="0"/>
                <w:sz w:val="24"/>
                <w:szCs w:val="24"/>
              </w:rPr>
              <w:t>1,598,317.38</w:t>
            </w:r>
          </w:p>
        </w:tc>
        <w:tc>
          <w:tcPr>
            <w:tcW w:w="1616" w:type="dxa"/>
            <w:vAlign w:val="center"/>
          </w:tcPr>
          <w:p w:rsidR="000920F2" w:rsidRDefault="00C86CB3">
            <w:pPr>
              <w:jc w:val="right"/>
            </w:pPr>
            <w:r>
              <w:rPr>
                <w:rFonts w:eastAsiaTheme="minorEastAsia"/>
                <w:kern w:val="0"/>
                <w:sz w:val="24"/>
                <w:szCs w:val="24"/>
              </w:rPr>
              <w:t>2.80</w:t>
            </w:r>
          </w:p>
        </w:tc>
      </w:tr>
      <w:tr w:rsidR="000920F2">
        <w:tc>
          <w:tcPr>
            <w:tcW w:w="817" w:type="dxa"/>
            <w:vAlign w:val="center"/>
          </w:tcPr>
          <w:p w:rsidR="000920F2" w:rsidRDefault="00C86CB3">
            <w:pPr>
              <w:jc w:val="center"/>
            </w:pPr>
            <w:r>
              <w:rPr>
                <w:rFonts w:eastAsiaTheme="minorEastAsia"/>
                <w:kern w:val="0"/>
                <w:sz w:val="24"/>
                <w:szCs w:val="24"/>
              </w:rPr>
              <w:lastRenderedPageBreak/>
              <w:t>8</w:t>
            </w:r>
          </w:p>
        </w:tc>
        <w:tc>
          <w:tcPr>
            <w:tcW w:w="1276" w:type="dxa"/>
            <w:vAlign w:val="center"/>
          </w:tcPr>
          <w:p w:rsidR="000920F2" w:rsidRDefault="00C86CB3">
            <w:pPr>
              <w:jc w:val="center"/>
            </w:pPr>
            <w:r>
              <w:rPr>
                <w:rFonts w:eastAsiaTheme="minorEastAsia"/>
                <w:kern w:val="0"/>
                <w:sz w:val="24"/>
                <w:szCs w:val="24"/>
              </w:rPr>
              <w:t>300059</w:t>
            </w:r>
          </w:p>
        </w:tc>
        <w:tc>
          <w:tcPr>
            <w:tcW w:w="1701" w:type="dxa"/>
            <w:vAlign w:val="center"/>
          </w:tcPr>
          <w:p w:rsidR="000920F2" w:rsidRDefault="00C86CB3">
            <w:pPr>
              <w:jc w:val="center"/>
            </w:pPr>
            <w:r>
              <w:rPr>
                <w:rFonts w:eastAsiaTheme="minorEastAsia"/>
                <w:kern w:val="0"/>
                <w:sz w:val="24"/>
                <w:szCs w:val="24"/>
              </w:rPr>
              <w:t>东方财富</w:t>
            </w:r>
          </w:p>
        </w:tc>
        <w:tc>
          <w:tcPr>
            <w:tcW w:w="1276" w:type="dxa"/>
            <w:vAlign w:val="center"/>
          </w:tcPr>
          <w:p w:rsidR="000920F2" w:rsidRDefault="00C86CB3">
            <w:pPr>
              <w:jc w:val="right"/>
            </w:pPr>
            <w:r>
              <w:rPr>
                <w:rFonts w:eastAsiaTheme="minorEastAsia"/>
                <w:kern w:val="0"/>
                <w:sz w:val="24"/>
                <w:szCs w:val="24"/>
              </w:rPr>
              <w:t>46,496.00</w:t>
            </w:r>
          </w:p>
        </w:tc>
        <w:tc>
          <w:tcPr>
            <w:tcW w:w="1842" w:type="dxa"/>
            <w:vAlign w:val="center"/>
          </w:tcPr>
          <w:p w:rsidR="000920F2" w:rsidRDefault="00C86CB3">
            <w:pPr>
              <w:jc w:val="right"/>
            </w:pPr>
            <w:r>
              <w:rPr>
                <w:rFonts w:eastAsiaTheme="minorEastAsia"/>
                <w:kern w:val="0"/>
                <w:sz w:val="24"/>
                <w:szCs w:val="24"/>
              </w:rPr>
              <w:t>1,598,067.52</w:t>
            </w:r>
          </w:p>
        </w:tc>
        <w:tc>
          <w:tcPr>
            <w:tcW w:w="1616" w:type="dxa"/>
            <w:vAlign w:val="center"/>
          </w:tcPr>
          <w:p w:rsidR="000920F2" w:rsidRDefault="00C86CB3">
            <w:pPr>
              <w:jc w:val="right"/>
            </w:pPr>
            <w:r>
              <w:rPr>
                <w:rFonts w:eastAsiaTheme="minorEastAsia"/>
                <w:kern w:val="0"/>
                <w:sz w:val="24"/>
                <w:szCs w:val="24"/>
              </w:rPr>
              <w:t>2.80</w:t>
            </w:r>
          </w:p>
        </w:tc>
      </w:tr>
      <w:tr w:rsidR="000920F2">
        <w:tc>
          <w:tcPr>
            <w:tcW w:w="817" w:type="dxa"/>
            <w:vAlign w:val="center"/>
          </w:tcPr>
          <w:p w:rsidR="000920F2" w:rsidRDefault="00C86CB3">
            <w:pPr>
              <w:jc w:val="center"/>
            </w:pPr>
            <w:r>
              <w:rPr>
                <w:rFonts w:eastAsiaTheme="minorEastAsia"/>
                <w:kern w:val="0"/>
                <w:sz w:val="24"/>
                <w:szCs w:val="24"/>
              </w:rPr>
              <w:t>9</w:t>
            </w:r>
          </w:p>
        </w:tc>
        <w:tc>
          <w:tcPr>
            <w:tcW w:w="1276" w:type="dxa"/>
            <w:vAlign w:val="center"/>
          </w:tcPr>
          <w:p w:rsidR="000920F2" w:rsidRDefault="00C86CB3">
            <w:pPr>
              <w:jc w:val="center"/>
            </w:pPr>
            <w:r>
              <w:rPr>
                <w:rFonts w:eastAsiaTheme="minorEastAsia"/>
                <w:kern w:val="0"/>
                <w:sz w:val="24"/>
                <w:szCs w:val="24"/>
              </w:rPr>
              <w:t>600481</w:t>
            </w:r>
          </w:p>
        </w:tc>
        <w:tc>
          <w:tcPr>
            <w:tcW w:w="1701" w:type="dxa"/>
            <w:vAlign w:val="center"/>
          </w:tcPr>
          <w:p w:rsidR="000920F2" w:rsidRDefault="00C86CB3">
            <w:pPr>
              <w:jc w:val="center"/>
            </w:pPr>
            <w:r>
              <w:rPr>
                <w:rFonts w:eastAsiaTheme="minorEastAsia"/>
                <w:kern w:val="0"/>
                <w:sz w:val="24"/>
                <w:szCs w:val="24"/>
              </w:rPr>
              <w:t>双良节能</w:t>
            </w:r>
          </w:p>
        </w:tc>
        <w:tc>
          <w:tcPr>
            <w:tcW w:w="1276" w:type="dxa"/>
            <w:vAlign w:val="center"/>
          </w:tcPr>
          <w:p w:rsidR="000920F2" w:rsidRDefault="00C86CB3">
            <w:pPr>
              <w:jc w:val="right"/>
            </w:pPr>
            <w:r>
              <w:rPr>
                <w:rFonts w:eastAsiaTheme="minorEastAsia"/>
                <w:kern w:val="0"/>
                <w:sz w:val="24"/>
                <w:szCs w:val="24"/>
              </w:rPr>
              <w:t>136,700.00</w:t>
            </w:r>
          </w:p>
        </w:tc>
        <w:tc>
          <w:tcPr>
            <w:tcW w:w="1842" w:type="dxa"/>
            <w:vAlign w:val="center"/>
          </w:tcPr>
          <w:p w:rsidR="000920F2" w:rsidRDefault="00C86CB3">
            <w:pPr>
              <w:jc w:val="right"/>
            </w:pPr>
            <w:r>
              <w:rPr>
                <w:rFonts w:eastAsiaTheme="minorEastAsia"/>
                <w:kern w:val="0"/>
                <w:sz w:val="24"/>
                <w:szCs w:val="24"/>
              </w:rPr>
              <w:t>1,551,545.00</w:t>
            </w:r>
          </w:p>
        </w:tc>
        <w:tc>
          <w:tcPr>
            <w:tcW w:w="1616" w:type="dxa"/>
            <w:vAlign w:val="center"/>
          </w:tcPr>
          <w:p w:rsidR="000920F2" w:rsidRDefault="00C86CB3">
            <w:pPr>
              <w:jc w:val="right"/>
            </w:pPr>
            <w:r>
              <w:rPr>
                <w:rFonts w:eastAsiaTheme="minorEastAsia"/>
                <w:kern w:val="0"/>
                <w:sz w:val="24"/>
                <w:szCs w:val="24"/>
              </w:rPr>
              <w:t>2.71</w:t>
            </w:r>
          </w:p>
        </w:tc>
      </w:tr>
      <w:tr w:rsidR="000920F2">
        <w:tc>
          <w:tcPr>
            <w:tcW w:w="817" w:type="dxa"/>
            <w:vAlign w:val="center"/>
          </w:tcPr>
          <w:p w:rsidR="000920F2" w:rsidRDefault="00C86CB3">
            <w:pPr>
              <w:jc w:val="center"/>
            </w:pPr>
            <w:r>
              <w:rPr>
                <w:rFonts w:eastAsiaTheme="minorEastAsia"/>
                <w:kern w:val="0"/>
                <w:sz w:val="24"/>
                <w:szCs w:val="24"/>
              </w:rPr>
              <w:t>10</w:t>
            </w:r>
          </w:p>
        </w:tc>
        <w:tc>
          <w:tcPr>
            <w:tcW w:w="1276" w:type="dxa"/>
            <w:vAlign w:val="center"/>
          </w:tcPr>
          <w:p w:rsidR="000920F2" w:rsidRDefault="00C86CB3">
            <w:pPr>
              <w:jc w:val="center"/>
            </w:pPr>
            <w:r>
              <w:rPr>
                <w:rFonts w:eastAsiaTheme="minorEastAsia"/>
                <w:kern w:val="0"/>
                <w:sz w:val="24"/>
                <w:szCs w:val="24"/>
              </w:rPr>
              <w:t>002371</w:t>
            </w:r>
          </w:p>
        </w:tc>
        <w:tc>
          <w:tcPr>
            <w:tcW w:w="1701" w:type="dxa"/>
            <w:vAlign w:val="center"/>
          </w:tcPr>
          <w:p w:rsidR="000920F2" w:rsidRDefault="00C86CB3">
            <w:pPr>
              <w:jc w:val="center"/>
            </w:pPr>
            <w:r>
              <w:rPr>
                <w:rFonts w:eastAsiaTheme="minorEastAsia"/>
                <w:kern w:val="0"/>
                <w:sz w:val="24"/>
                <w:szCs w:val="24"/>
              </w:rPr>
              <w:t>北方华创</w:t>
            </w:r>
          </w:p>
        </w:tc>
        <w:tc>
          <w:tcPr>
            <w:tcW w:w="1276" w:type="dxa"/>
            <w:vAlign w:val="center"/>
          </w:tcPr>
          <w:p w:rsidR="000920F2" w:rsidRDefault="00C86CB3">
            <w:pPr>
              <w:jc w:val="right"/>
            </w:pPr>
            <w:r>
              <w:rPr>
                <w:rFonts w:eastAsiaTheme="minorEastAsia"/>
                <w:kern w:val="0"/>
                <w:sz w:val="24"/>
                <w:szCs w:val="24"/>
              </w:rPr>
              <w:t>3,874.00</w:t>
            </w:r>
          </w:p>
        </w:tc>
        <w:tc>
          <w:tcPr>
            <w:tcW w:w="1842" w:type="dxa"/>
            <w:vAlign w:val="center"/>
          </w:tcPr>
          <w:p w:rsidR="000920F2" w:rsidRDefault="00C86CB3">
            <w:pPr>
              <w:jc w:val="right"/>
            </w:pPr>
            <w:r>
              <w:rPr>
                <w:rFonts w:eastAsiaTheme="minorEastAsia"/>
                <w:kern w:val="0"/>
                <w:sz w:val="24"/>
                <w:szCs w:val="24"/>
              </w:rPr>
              <w:t>1,416,683.06</w:t>
            </w:r>
          </w:p>
        </w:tc>
        <w:tc>
          <w:tcPr>
            <w:tcW w:w="1616" w:type="dxa"/>
            <w:vAlign w:val="center"/>
          </w:tcPr>
          <w:p w:rsidR="000920F2" w:rsidRDefault="00C86CB3">
            <w:pPr>
              <w:jc w:val="right"/>
            </w:pPr>
            <w:r>
              <w:rPr>
                <w:rFonts w:eastAsiaTheme="minorEastAsia"/>
                <w:kern w:val="0"/>
                <w:sz w:val="24"/>
                <w:szCs w:val="24"/>
              </w:rPr>
              <w:t>2.48</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44,819.20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0.08</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44,819.20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0920F2">
        <w:tc>
          <w:tcPr>
            <w:tcW w:w="1252" w:type="dxa"/>
            <w:vAlign w:val="center"/>
          </w:tcPr>
          <w:p w:rsidR="000920F2" w:rsidRDefault="00C86CB3">
            <w:pPr>
              <w:jc w:val="center"/>
            </w:pPr>
            <w:r>
              <w:rPr>
                <w:rFonts w:eastAsiaTheme="minorEastAsia"/>
                <w:color w:val="000000" w:themeColor="text1"/>
                <w:kern w:val="0"/>
              </w:rPr>
              <w:t>1</w:t>
            </w:r>
          </w:p>
        </w:tc>
        <w:tc>
          <w:tcPr>
            <w:tcW w:w="1310" w:type="dxa"/>
            <w:vAlign w:val="center"/>
          </w:tcPr>
          <w:p w:rsidR="000920F2" w:rsidRDefault="00C86CB3">
            <w:pPr>
              <w:jc w:val="center"/>
            </w:pPr>
            <w:r>
              <w:rPr>
                <w:rFonts w:eastAsiaTheme="minorEastAsia"/>
                <w:color w:val="000000" w:themeColor="text1"/>
                <w:kern w:val="0"/>
              </w:rPr>
              <w:t>118002</w:t>
            </w:r>
          </w:p>
        </w:tc>
        <w:tc>
          <w:tcPr>
            <w:tcW w:w="1282" w:type="dxa"/>
            <w:vAlign w:val="center"/>
          </w:tcPr>
          <w:p w:rsidR="000920F2" w:rsidRDefault="00C86CB3">
            <w:pPr>
              <w:jc w:val="center"/>
            </w:pPr>
            <w:r>
              <w:rPr>
                <w:rFonts w:eastAsiaTheme="minorEastAsia"/>
                <w:color w:val="000000" w:themeColor="text1"/>
                <w:kern w:val="0"/>
              </w:rPr>
              <w:t>天合转债</w:t>
            </w:r>
          </w:p>
        </w:tc>
        <w:tc>
          <w:tcPr>
            <w:tcW w:w="1426" w:type="dxa"/>
            <w:vAlign w:val="center"/>
          </w:tcPr>
          <w:p w:rsidR="000920F2" w:rsidRDefault="00C86CB3">
            <w:pPr>
              <w:jc w:val="right"/>
            </w:pPr>
            <w:r>
              <w:rPr>
                <w:rFonts w:eastAsiaTheme="minorEastAsia"/>
                <w:color w:val="000000" w:themeColor="text1"/>
                <w:kern w:val="0"/>
              </w:rPr>
              <w:t>320</w:t>
            </w:r>
          </w:p>
        </w:tc>
        <w:tc>
          <w:tcPr>
            <w:tcW w:w="1646" w:type="dxa"/>
            <w:vAlign w:val="center"/>
          </w:tcPr>
          <w:p w:rsidR="000920F2" w:rsidRDefault="00C86CB3">
            <w:pPr>
              <w:jc w:val="right"/>
            </w:pPr>
            <w:r>
              <w:rPr>
                <w:rFonts w:eastAsiaTheme="minorEastAsia"/>
                <w:color w:val="000000" w:themeColor="text1"/>
                <w:kern w:val="0"/>
              </w:rPr>
              <w:t>44,819.20</w:t>
            </w:r>
          </w:p>
        </w:tc>
        <w:tc>
          <w:tcPr>
            <w:tcW w:w="1612" w:type="dxa"/>
            <w:vAlign w:val="center"/>
          </w:tcPr>
          <w:p w:rsidR="000920F2" w:rsidRDefault="00C86CB3">
            <w:pPr>
              <w:jc w:val="right"/>
            </w:pPr>
            <w:r>
              <w:rPr>
                <w:rFonts w:eastAsiaTheme="minorEastAsia"/>
                <w:color w:val="000000" w:themeColor="text1"/>
                <w:kern w:val="0"/>
              </w:rPr>
              <w:t>0.08</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w:t>
      </w:r>
      <w:r w:rsidRPr="00FF6B9A">
        <w:rPr>
          <w:rFonts w:eastAsiaTheme="minorEastAsia"/>
          <w:b/>
          <w:bCs/>
          <w:color w:val="000000" w:themeColor="text1"/>
          <w:kern w:val="0"/>
          <w:sz w:val="24"/>
          <w:szCs w:val="24"/>
        </w:rPr>
        <w:lastRenderedPageBreak/>
        <w:t>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26,604.88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929.92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68,784.54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96,319.34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26,733,172.15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1,119,220.93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3,828,408.51</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24,023,984.57</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中国证监会批准上投摩根新兴服务股票型证券投资基金设立的文件；</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《上投摩根新兴服务股票型证券投资基金基金合同》；</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《上投摩根新兴服务股票型证券投资基金托管协议》；</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《上投摩根开放式基金业务规则》；</w:t>
      </w:r>
    </w:p>
    <w:p w:rsidR="000920F2" w:rsidRDefault="00C86CB3">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lastRenderedPageBreak/>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C86CB3" w:rsidRPr="00C86CB3">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C86CB3">
      <w:rPr>
        <w:rStyle w:val="aff"/>
        <w:noProof/>
      </w:rPr>
      <w:t>3</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上投摩根新兴服务股票型证券投资基金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920F2"/>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6CB3"/>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4BB48-53FE-4CB5-AF7E-9B271E72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268</cp:revision>
  <dcterms:created xsi:type="dcterms:W3CDTF">2012-10-16T06:07:00Z</dcterms:created>
  <dcterms:modified xsi:type="dcterms:W3CDTF">2021-10-26T02:43:00Z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