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
      </w:r>
      <w:r>
        <w:rPr>
          <w:rFonts w:asciiTheme="minorEastAsia" w:eastAsiaTheme="minorEastAsia" w:hAnsiTheme="minorEastAsia"/>
          <w:b/>
          <w:color w:themeColor="text1" w:val="000000"/>
          <w:sz w:val="36"/>
          <w:szCs w:val="36"/>
        </w:rPr>
        <w:t/>
      </w:r>
      <w:r>
        <w:rPr>
          <w:rFonts w:asciiTheme="minorEastAsia" w:eastAsiaTheme="minorEastAsia" w:hAnsiTheme="minorEastAsia" w:hint="eastAsia"/>
          <w:b/>
          <w:color w:themeColor="text1" w:val="000000"/>
          <w:sz w:val="36"/>
          <w:szCs w:val="36"/>
        </w:rPr>
        <w:t>上投摩根新兴服务股票型证券投资基金</w:t>
      </w:r>
    </w:p>
    <w:p>
      <w:pPr>
        <w:spacing w:line="360" w:lineRule="auto"/>
        <w:jc w:val="center"/>
        <w:rPr>
          <w:rFonts w:asciiTheme="minorEastAsia" w:eastAsiaTheme="minorEastAsia" w:hAnsiTheme="minorEastAsia"/>
          <w:b/>
          <w:color w:themeColor="text1" w:val="000000"/>
          <w:sz w:val="36"/>
          <w:szCs w:val="36"/>
        </w:rPr>
      </w:pPr>
      <w:r>
        <w:rPr>
          <w:rFonts w:asciiTheme="minorEastAsia" w:eastAsiaTheme="minorEastAsia" w:hAnsiTheme="minorEastAsia" w:hint="eastAsia"/>
          <w:b/>
          <w:color w:themeColor="text1" w:val="000000"/>
          <w:sz w:val="36"/>
          <w:szCs w:val="36"/>
        </w:rPr>
        <w:t>2019年第3季度报告</w:t>
      </w:r>
    </w:p>
    <w:p>
      <w:pPr>
        <w:spacing w:line="360" w:lineRule="auto"/>
        <w:jc w:val="center"/>
        <w:rPr>
          <w:rFonts w:asciiTheme="minorEastAsia" w:eastAsiaTheme="minorEastAsia" w:hAnsiTheme="minorEastAsia"/>
          <w:b/>
          <w:color w:themeColor="text1" w:val="000000"/>
          <w:sz w:val="24"/>
          <w:szCs w:val="24"/>
        </w:rPr>
      </w:pPr>
      <w:r>
        <w:rPr>
          <w:rFonts w:asciiTheme="minorEastAsia" w:eastAsiaTheme="minorEastAsia" w:hAnsiTheme="minorEastAsia"/>
          <w:b/>
          <w:color w:themeColor="text1" w:val="000000"/>
          <w:sz w:val="24"/>
          <w:szCs w:val="24"/>
        </w:rPr>
        <w:t>2019年9月30日</w:t>
      </w: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jc w:val="center"/>
        <w:rPr>
          <w:rFonts w:asciiTheme="minorEastAsia" w:eastAsiaTheme="minorEastAsia" w:hAnsiTheme="minorEastAsia"/>
          <w:b/>
          <w:bCs/>
          <w:color w:themeColor="text1" w:val="000000"/>
          <w:sz w:val="24"/>
          <w:szCs w:val="24"/>
        </w:rPr>
      </w:pPr>
    </w:p>
    <w:p>
      <w:pPr>
        <w:spacing w:line="360" w:lineRule="auto"/>
        <w:rPr>
          <w:rFonts w:asciiTheme="minorEastAsia" w:eastAsiaTheme="minorEastAsia" w:hAnsiTheme="minorEastAsia"/>
          <w:b/>
          <w:bCs/>
          <w:color w:themeColor="text1" w:val="000000"/>
          <w:sz w:val="24"/>
          <w:szCs w:val="24"/>
        </w:rPr>
      </w:pP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基金管理人：</w:t>
      </w:r>
      <w:r>
        <w:rPr>
          <w:rFonts w:asciiTheme="minorEastAsia" w:eastAsiaTheme="minorEastAsia" w:hAnsiTheme="minorEastAsia"/>
          <w:b/>
          <w:color w:themeColor="text1" w:val="000000"/>
          <w:sz w:val="24"/>
          <w:szCs w:val="24"/>
        </w:rPr>
        <w:t>上投摩根基金管理有限公司</w:t>
      </w:r>
    </w:p>
    <w:p>
      <w:pPr>
        <w:spacing w:line="360" w:lineRule="auto"/>
        <w:ind w:firstLine="2168" w:firstLineChars="900"/>
        <w:rPr>
          <w:rFonts w:asciiTheme="minorEastAsia" w:eastAsiaTheme="minorEastAsia" w:hAnsiTheme="minorEastAsia"/>
          <w:b/>
          <w:color w:themeColor="text1" w:val="000000"/>
          <w:sz w:val="24"/>
          <w:szCs w:val="24"/>
        </w:rPr>
      </w:pPr>
      <w:r>
        <w:rPr>
          <w:rFonts w:asciiTheme="minorEastAsia" w:eastAsiaTheme="minorEastAsia" w:hAnsiTheme="minorEastAsia" w:hint="eastAsia"/>
          <w:b/>
          <w:color w:themeColor="text1" w:val="000000"/>
          <w:sz w:val="24"/>
          <w:szCs w:val="24"/>
        </w:rPr>
        <w:t>基金托管人：</w:t>
      </w:r>
      <w:r>
        <w:rPr>
          <w:rFonts w:asciiTheme="minorEastAsia" w:eastAsiaTheme="minorEastAsia" w:hAnsiTheme="minorEastAsia"/>
          <w:b/>
          <w:color w:themeColor="text1" w:val="000000"/>
          <w:sz w:val="24"/>
          <w:szCs w:val="24"/>
        </w:rPr>
        <w:t>中国建设银行股份有限公司</w:t>
      </w:r>
    </w:p>
    <w:p>
      <w:pPr>
        <w:spacing w:line="360" w:lineRule="auto"/>
        <w:ind w:firstLine="2168" w:firstLineChars="900"/>
        <w:rPr>
          <w:rFonts w:asciiTheme="minorEastAsia" w:eastAsiaTheme="minorEastAsia" w:hAnsiTheme="minorEastAsia"/>
          <w:b/>
          <w:color w:themeColor="text1" w:val="000000"/>
          <w:sz w:val="24"/>
          <w:szCs w:val="24"/>
        </w:rPr>
        <w:sectPr>
          <w:headerReference r:id="rId3" w:type="default"/>
          <w:footerReference r:id="rId4" w:type="default"/>
          <w:pgSz w:h="15840" w:w="11926"/>
          <w:pgMar w:bottom="851" w:footer="992" w:gutter="0" w:header="851" w:left="1418" w:right="1418" w:top="1418"/>
          <w:cols w:num="1" w:space="720"/>
        </w:sectPr>
      </w:pPr>
      <w:r>
        <w:rPr>
          <w:rFonts w:asciiTheme="minorEastAsia" w:eastAsiaTheme="minorEastAsia" w:hAnsiTheme="minorEastAsia" w:hint="eastAsia"/>
          <w:b/>
          <w:color w:themeColor="text1" w:val="000000"/>
          <w:sz w:val="24"/>
          <w:szCs w:val="24"/>
        </w:rPr>
        <w:t>报告送出日期：</w:t>
      </w:r>
      <w:r>
        <w:rPr>
          <w:rFonts w:asciiTheme="minorEastAsia" w:eastAsiaTheme="minorEastAsia" w:hAnsiTheme="minorEastAsia"/>
          <w:b/>
          <w:color w:themeColor="text1" w:val="000000"/>
          <w:sz w:val="24"/>
          <w:szCs w:val="24"/>
        </w:rPr>
        <w:t/>
      </w:r>
      <w:r>
        <w:rPr>
          <w:rFonts w:asciiTheme="minorEastAsia" w:eastAsiaTheme="minorEastAsia" w:hAnsiTheme="minorEastAsia" w:hint="eastAsia"/>
          <w:b/>
          <w:color w:themeColor="text1" w:val="000000"/>
          <w:sz w:val="24"/>
          <w:szCs w:val="24"/>
        </w:rPr>
        <w:t/>
      </w:r>
      <w:r>
        <w:rPr>
          <w:rFonts w:asciiTheme="minorEastAsia" w:eastAsiaTheme="minorEastAsia" w:hAnsiTheme="minorEastAsia"/>
          <w:b/>
          <w:color w:themeColor="text1" w:val="000000"/>
          <w:sz w:val="24"/>
          <w:szCs w:val="24"/>
        </w:rPr>
        <w:t>二〇一九年十月二十五日</w:t>
      </w:r>
    </w:p>
    <w:p>
      <w:pPr>
        <w:pStyle w:val="2"/>
        <w:spacing w:afterLines="100" w:beforeLines="100" w:line="360" w:lineRule="auto"/>
        <w:jc w:val="center"/>
        <w:rPr>
          <w:rFonts w:asciiTheme="minorEastAsia" w:eastAsiaTheme="minorEastAsia" w:hAnsiTheme="minorEastAsia"/>
          <w:b w:val="0"/>
          <w:bCs w:val="0"/>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1  </w:t>
      </w:r>
      <w:r>
        <w:rPr>
          <w:rFonts w:asciiTheme="minorEastAsia" w:eastAsiaTheme="minorEastAsia" w:hAnsiTheme="minorEastAsia" w:hint="eastAsia"/>
          <w:color w:themeColor="text1" w:val="000000"/>
          <w:kern w:val="0"/>
          <w:sz w:val="24"/>
          <w:szCs w:val="24"/>
        </w:rPr>
        <w:t>重要提示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基金托管人中国建设银行股份有限公司根据本基金合同规定，于2019年10月24日复核了本报告中的财务指标、净值表现和投资组合报告等内容，保证复核内容不存在虚假记载、误导性陈述或者重大遗漏。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基金管理人承诺以诚实信用、勤勉尽责的原则管理和运用基金资产，但不保证基金一定盈利。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基金的过往业绩并不代表其未来表现。投资有风险，投资者在作出投资决策前应仔细阅读本基金的招募说明书。 </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本报告中财务资料未经审计。</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本报告期自2019年7月1日起至9月30日止。</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2  </w:t>
      </w:r>
      <w:r>
        <w:rPr>
          <w:rFonts w:asciiTheme="minorEastAsia" w:eastAsiaTheme="minorEastAsia" w:hAnsiTheme="minorEastAsia" w:hint="eastAsia"/>
          <w:color w:themeColor="text1" w:val="000000"/>
          <w:kern w:val="0"/>
          <w:sz w:val="24"/>
          <w:szCs w:val="24"/>
        </w:rPr>
        <w:t>基金产品概况</w:t>
      </w:r>
    </w:p>
    <w:tbl>
      <w:tblPr>
        <w:tblStyle w:val="30"/>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2835"/>
        <w:gridCol w:w="2739"/>
        <w:gridCol w:w="274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基金简称</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上投摩根新兴服务股票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基金主代码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eastAsiaTheme="minorEastAsia" w:hAnsiTheme="minorEastAsia" w:hint="eastAsia"/>
                <w:color w:themeColor="text1" w:val="000000"/>
                <w:kern w:val="0"/>
              </w:rPr>
              <w:t>001482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交易代码</w:t>
            </w:r>
          </w:p>
        </w:tc>
        <w:tc>
          <w:tcPr>
            <w:tcW w:type="dxa" w:w="5479"/>
            <w:gridSpan w:val="2"/>
            <w:tcBorders>
              <w:top w:color="auto" w:space="0" w:sz="4" w:val="single"/>
              <w:left w:color="auto" w:space="0" w:sz="4" w:val="single"/>
              <w:bottom w:color="auto" w:space="0" w:sz="4" w:val="single"/>
              <w:right w:color="auto" w:space="0" w:sz="4" w:val="single"/>
            </w:tcBorders>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001482</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基金运作方式</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契约型开放式</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基金合同生效日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2015年8月6日</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报告期末基金份额总额</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57,445,945.10</w:t>
            </w:r>
            <w:r>
              <w:rPr>
                <w:rFonts w:asciiTheme="minorEastAsia" w:eastAsiaTheme="minorEastAsia" w:hAnsiTheme="minorEastAsia" w:hint="eastAsia"/>
                <w:color w:themeColor="text1" w:val="000000"/>
                <w:kern w:val="0"/>
              </w:rPr>
              <w:t>份</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投资目标</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通过积极主动的投资管理，把握中国经济转型过程中新兴服务业的投资机会，在严格控制风险的前提下，力争实现基金资产的长期增值。</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投资策略</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1、资产配置策略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本基金将综合分析和持续跟踪基本面、政策面、市场面等多方面因素，对宏观经济、国家政策、资金面和市场情绪等影响证券市场的重要因素进行深入分析，确定合适的资产配置比例。</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2、股票投资策略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将通过系统和深入的基本面研究，重点投资于新兴服务业中具有竞争力的优质上市公司。在具体操作上，本基金将主要采用“自下而上”的方法，在备选行业内部通过定量与定性相结合的分析方法，综合分析上市公司的业绩质量、成长性和估值水平等，精选具有良好成长性、估值合理的个股。</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3、行业配置策略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由于新兴服务主题涉及多个行业及其子行业，我们将从行业生命周期、行业景气度、行业竞争格局等多角度，综合评估各个行业的投资价值，对基金资产在行业间分配进行安排。</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4、固定收益类投资策略</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对于固定收益类资产的选择，本基金将以价值分析为主线，在综合研究的基础上实施积极主动的组合管理，并主要通过类属配置与债券选择两个层次进行投资管理。</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业绩比较基准</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中证800指数收益率×85%+中债总指数收益率×15%</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风险收益特征</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本基金属于股票型基金产品，预期风险和收益水平高于混合型基金、债券型基金和货币市场基金，属于较高风险收益水平的基金产品。</w:t>
            </w:r>
          </w:p>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本基金风险收益特征会定期评估并在公司网站发布，请投资者关注。</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基金管理人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上投摩根基金管理有限公司</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2835"/>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kern w:val="0"/>
              </w:rPr>
              <w:t>基金托管人</w:t>
            </w:r>
          </w:p>
        </w:tc>
        <w:tc>
          <w:tcPr>
            <w:tcW w:type="dxa" w:w="5479"/>
            <w:gridSpan w:val="2"/>
            <w:vAlign w:val="center"/>
          </w:tcPr>
          <w:p>
            <w:pPr>
              <w:adjustRightInd w:val="0"/>
              <w:spacing w:before="29" w:line="360" w:lineRule="auto"/>
              <w:ind w:left="17"/>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cs="宋体" w:eastAsiaTheme="minorEastAsia" w:hAnsiTheme="minorEastAsia"/>
                <w:color w:themeColor="text1" w:val="000000"/>
                <w:kern w:val="0"/>
              </w:rPr>
              <w:t/>
            </w:r>
            <w:r>
              <w:rPr>
                <w:rFonts w:asciiTheme="minorEastAsia" w:eastAsiaTheme="minorEastAsia" w:hAnsiTheme="minorEastAsia"/>
                <w:color w:themeColor="text1" w:val="000000"/>
                <w:kern w:val="0"/>
              </w:rPr>
              <w:t>中国建设银行股份有限公司</w:t>
            </w:r>
          </w:p>
        </w:tc>
      </w:tr>
    </w:tbl>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3  </w:t>
      </w:r>
      <w:r>
        <w:rPr>
          <w:rFonts w:asciiTheme="minorEastAsia" w:eastAsiaTheme="minorEastAsia" w:hAnsiTheme="minorEastAsia" w:hint="eastAsia"/>
          <w:color w:themeColor="text1" w:val="000000"/>
          <w:kern w:val="0"/>
          <w:sz w:val="24"/>
          <w:szCs w:val="24"/>
        </w:rPr>
        <w:t>主要财务指标和基金净值表现</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3.1 </w:t>
      </w:r>
      <w:r>
        <w:rPr>
          <w:rFonts w:asciiTheme="minorEastAsia" w:eastAsiaTheme="minorEastAsia" w:hAnsiTheme="minorEastAsia" w:hint="eastAsia"/>
          <w:b/>
          <w:bCs/>
          <w:color w:themeColor="text1" w:val="000000"/>
          <w:kern w:val="0"/>
          <w:sz w:val="24"/>
          <w:szCs w:val="24"/>
        </w:rPr>
        <w:t>主要财务指标</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单位：人民币元</w:t>
      </w:r>
    </w:p>
    <w:tbl>
      <w:tblPr>
        <w:tblStyle w:val="30"/>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3402"/>
        <w:gridCol w:w="2552"/>
        <w:gridCol w:w="2410"/>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主要财务指标</w:t>
            </w:r>
            <w:r>
              <w:rPr>
                <w:rFonts w:asciiTheme="minorEastAsia" w:cs="宋体" w:eastAsiaTheme="minorEastAsia" w:hAnsiTheme="minorEastAsia"/>
                <w:color w:themeColor="text1" w:val="000000"/>
                <w:kern w:val="0"/>
              </w:rPr>
              <w:t/>
            </w:r>
          </w:p>
        </w:tc>
        <w:tc>
          <w:tcPr>
            <w:tcW w:type="dxa" w:w="4962"/>
            <w:hMerge w:val="restart"/>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报告期</w:t>
            </w:r>
          </w:p>
          <w:p>
            <w:pPr>
              <w:adjustRightInd w:val="0"/>
              <w:spacing w:before="29" w:line="360" w:lineRule="auto"/>
              <w:ind w:left="17"/>
              <w:jc w:val="center"/>
              <w:rPr>
                <w:rFonts w:asciiTheme="minorEastAsia" w:eastAsiaTheme="minorEastAsia" w:hAnsiTheme="minorEastAsia"/>
                <w:color w:themeColor="text1" w:val="000000"/>
              </w:rPr>
            </w:pPr>
            <w:r>
              <w:rPr>
                <w:rFonts w:asciiTheme="minorEastAsia" w:cs="宋体" w:eastAsiaTheme="minorEastAsia" w:hAnsiTheme="minorEastAsia" w:hint="eastAsia"/>
                <w:color w:themeColor="text1" w:val="000000"/>
              </w:rPr>
              <w:t>(</w:t>
            </w: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2019年7月1日-2019年9月30日</w:t>
            </w:r>
            <w:r>
              <w:rPr>
                <w:rFonts w:asciiTheme="minorEastAsia" w:cs="宋体" w:eastAsiaTheme="minorEastAsia" w:hAnsiTheme="minorEastAsia" w:hint="eastAsia"/>
                <w:color w:themeColor="text1" w:val="000000"/>
              </w:rPr>
              <w:t>)</w:t>
            </w:r>
          </w:p>
        </w:tc>
        <w:tc>
          <w:tcPr>
            <w:tcW w:type="dxa" w:w="2410"/>
            <w:hMerge/>
            <w:vAlign w:val="center"/>
          </w:tcPr>
          <w:p>
            <w:pPr>
              <w:adjustRightInd w:val="0"/>
              <w:spacing w:before="29" w:line="360" w:lineRule="auto"/>
              <w:ind w:left="17"/>
              <w:jc w:val="center"/>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上期金额</w:t>
            </w:r>
            <w:r>
              <w:rPr>
                <w:rFonts w:asciiTheme="minorEastAsia" w:eastAsiaTheme="minorEastAsia" w:hAnsiTheme="minorEastAsia" w:hint="eastAsia"/>
                <w:color w:themeColor="text1" w:val="000000"/>
              </w:rPr>
              <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1.</w:t>
            </w:r>
            <w:r>
              <w:rPr>
                <w:rFonts w:asciiTheme="minorEastAsia" w:cs="宋体" w:eastAsiaTheme="minorEastAsia" w:hAnsiTheme="minorEastAsia" w:hint="eastAsia"/>
                <w:color w:themeColor="text1" w:val="000000"/>
                <w:kern w:val="0"/>
              </w:rPr>
              <w:t>本期已实现收益</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6,883,069.28</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2.</w:t>
            </w:r>
            <w:r>
              <w:rPr>
                <w:rFonts w:asciiTheme="minorEastAsia" w:cs="宋体" w:eastAsiaTheme="minorEastAsia" w:hAnsiTheme="minorEastAsia" w:hint="eastAsia"/>
                <w:color w:themeColor="text1" w:val="000000"/>
                <w:kern w:val="0"/>
              </w:rPr>
              <w:t>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5,376,497.88</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3.</w:t>
            </w:r>
            <w:r>
              <w:rPr>
                <w:rFonts w:asciiTheme="minorEastAsia" w:cs="宋体" w:eastAsiaTheme="minorEastAsia" w:hAnsiTheme="minorEastAsia" w:hint="eastAsia"/>
                <w:color w:themeColor="text1" w:val="000000"/>
                <w:kern w:val="0"/>
              </w:rPr>
              <w:t>加权平均基金份额本期利润</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0.0905</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4.</w:t>
            </w:r>
            <w:r>
              <w:rPr>
                <w:rFonts w:asciiTheme="minorEastAsia" w:cs="宋体" w:eastAsiaTheme="minorEastAsia" w:hAnsiTheme="minorEastAsia" w:hint="eastAsia"/>
                <w:color w:themeColor="text1" w:val="000000"/>
                <w:kern w:val="0"/>
              </w:rPr>
              <w:t>期末基金资产净值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64,847,427.50</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trHeight w:hRule="atLeast" w:val="158"/>
        </w:trPr>
        <w:tc>
          <w:tcPr>
            <w:tcW w:type="dxa" w:w="3402"/>
            <w:vAlign w:val="center"/>
          </w:tcPr>
          <w:p>
            <w:pPr>
              <w:adjustRightInd w:val="0"/>
              <w:spacing w:before="29" w:line="360" w:lineRule="auto"/>
              <w:ind w:left="17"/>
              <w:rPr>
                <w:rFonts w:asciiTheme="minorEastAsia" w:eastAsiaTheme="minorEastAsia" w:hAnsiTheme="minorEastAsia"/>
                <w:color w:themeColor="text1" w:val="000000"/>
                <w:kern w:val="0"/>
              </w:rPr>
            </w:pPr>
            <w:r>
              <w:rPr>
                <w:rFonts w:asciiTheme="minorEastAsia" w:cs="方正仿宋简体" w:eastAsiaTheme="minorEastAsia" w:hAnsiTheme="minorEastAsia"/>
                <w:color w:themeColor="text1" w:val="000000"/>
                <w:kern w:val="0"/>
              </w:rPr>
              <w:t>5.</w:t>
            </w:r>
            <w:r>
              <w:rPr>
                <w:rFonts w:asciiTheme="minorEastAsia" w:cs="宋体" w:eastAsiaTheme="minorEastAsia" w:hAnsiTheme="minorEastAsia" w:hint="eastAsia"/>
                <w:color w:themeColor="text1" w:val="000000"/>
                <w:kern w:val="0"/>
              </w:rPr>
              <w:t>期末基金份额净值</w:t>
            </w:r>
          </w:p>
        </w:tc>
        <w:tc>
          <w:tcPr>
            <w:tcW w:type="dxa" w:w="4962"/>
            <w:hMerge w:val="restart"/>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1.129</w:t>
            </w:r>
          </w:p>
        </w:tc>
        <w:tc>
          <w:tcPr>
            <w:tcW w:type="dxa" w:w="2410"/>
            <w:hMerge/>
            <w:vAlign w:val="center"/>
          </w:tcPr>
          <w:p>
            <w:pPr>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 xml:space="preserve">注：本期已实现收益指基金本期利息收入、投资收益、其他收入(不含公允价值变动收益)扣除相关费用后的余额，本期利润为本期已实现收益加上本期公允价值变动收益。 </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上述基金业绩指标不包括持有人认购或交易基金的各项费用（例如，开放式基金的申购赎回费、红利再投资费、基金转换费等），计入费用后实际收益水平要低于所列数字。</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 </w:t>
      </w:r>
      <w:r>
        <w:rPr>
          <w:rFonts w:asciiTheme="minorEastAsia" w:eastAsiaTheme="minorEastAsia" w:hAnsiTheme="minorEastAsia" w:hint="eastAsia"/>
          <w:b/>
          <w:bCs/>
          <w:color w:themeColor="text1" w:val="000000"/>
          <w:kern w:val="0"/>
          <w:sz w:val="24"/>
          <w:szCs w:val="24"/>
        </w:rPr>
        <w:t>基金净值表现</w:t>
      </w:r>
    </w:p>
    <w:p>
      <w:pPr>
        <w:autoSpaceDE w:val="0"/>
        <w:autoSpaceDN w:val="0"/>
        <w:adjustRightInd w:val="0"/>
        <w:spacing w:line="360" w:lineRule="auto"/>
        <w:jc w:val="left"/>
        <w:rPr>
          <w:rFonts w:asciiTheme="minorEastAsia" w:cs="宋体"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3.2.1 </w:t>
      </w:r>
      <w:r>
        <w:rPr>
          <w:rFonts w:asciiTheme="minorEastAsia" w:cs="宋体" w:eastAsiaTheme="minorEastAsia" w:hAnsiTheme="minorEastAsia" w:hint="eastAsia"/>
          <w:b/>
          <w:bCs/>
          <w:color w:themeColor="text1" w:val="000000"/>
          <w:kern w:val="0"/>
          <w:sz w:val="24"/>
          <w:szCs w:val="24"/>
        </w:rPr>
        <w:t>本报告期基金份额净值增长率及其与同期业绩比较基准收益率的比较</w:t>
      </w:r>
    </w:p>
    <w:tbl>
      <w:tblPr>
        <w:tblStyle w:val="31"/>
        <w:tblW w:type="dxa" w:w="8420"/>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395"/>
        <w:gridCol w:w="1092"/>
        <w:gridCol w:w="1161"/>
        <w:gridCol w:w="1181"/>
        <w:gridCol w:w="1188"/>
        <w:gridCol w:w="1199"/>
        <w:gridCol w:w="120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395"/>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阶段</w:t>
            </w:r>
          </w:p>
        </w:tc>
        <w:tc>
          <w:tcPr>
            <w:tcW w:type="dxa" w:w="1092"/>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净值增长率①</w:t>
            </w:r>
          </w:p>
        </w:tc>
        <w:tc>
          <w:tcPr>
            <w:tcW w:type="dxa" w:w="116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净值增长率标准差②</w:t>
            </w:r>
          </w:p>
        </w:tc>
        <w:tc>
          <w:tcPr>
            <w:tcW w:type="dxa" w:w="1181"/>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业绩比较基准收益率③</w:t>
            </w:r>
          </w:p>
        </w:tc>
        <w:tc>
          <w:tcPr>
            <w:tcW w:type="dxa" w:w="1188"/>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业绩比较基准收益率标准差④</w:t>
            </w:r>
          </w:p>
        </w:tc>
        <w:tc>
          <w:tcPr>
            <w:tcW w:type="dxa" w:w="1199"/>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①</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③</w:t>
            </w:r>
          </w:p>
        </w:tc>
        <w:tc>
          <w:tcPr>
            <w:tcW w:type="dxa" w:w="1204"/>
            <w:vAlign w:val="center"/>
          </w:tcPr>
          <w:p>
            <w:pPr>
              <w:autoSpaceDE w:val="0"/>
              <w:autoSpaceDN w:val="0"/>
              <w:adjustRightInd w:val="0"/>
              <w:spacing w:before="29" w:line="360" w:lineRule="auto"/>
              <w:ind w:left="17"/>
              <w:jc w:val="center"/>
              <w:rPr>
                <w:rFonts w:asciiTheme="minorEastAsia" w:cs="Arial" w:eastAsiaTheme="minorEastAsia" w:hAnsiTheme="minorEastAsia"/>
                <w:color w:themeColor="text1" w:val="000000"/>
                <w:kern w:val="0"/>
                <w:sz w:val="21"/>
              </w:rPr>
            </w:pPr>
            <w:r>
              <w:rPr>
                <w:rFonts w:asciiTheme="minorEastAsia" w:cs="Arial" w:eastAsiaTheme="minorEastAsia" w:hAnsiTheme="minorEastAsia" w:hint="eastAsia"/>
                <w:color w:themeColor="text1" w:val="000000"/>
                <w:kern w:val="0"/>
                <w:sz w:val="21"/>
              </w:rPr>
              <w:t>②</w:t>
            </w:r>
            <w:r>
              <w:rPr>
                <w:rFonts w:asciiTheme="minorEastAsia" w:cs="Arial" w:eastAsiaTheme="minorEastAsia" w:hAnsiTheme="minorEastAsia"/>
                <w:color w:themeColor="text1" w:val="000000"/>
                <w:kern w:val="0"/>
                <w:sz w:val="21"/>
              </w:rPr>
              <w:t>-</w:t>
            </w:r>
            <w:r>
              <w:rPr>
                <w:rFonts w:asciiTheme="minorEastAsia" w:cs="Arial" w:eastAsiaTheme="minorEastAsia" w:hAnsiTheme="minorEastAsia" w:hint="eastAsia"/>
                <w:color w:themeColor="text1" w:val="000000"/>
                <w:kern w:val="0"/>
                <w:sz w:val="21"/>
              </w:rPr>
              <w:t>④</w:t>
            </w:r>
          </w:p>
        </w:tc>
      </w:tr>
      <w:tr>
        <w:tc>
          <w:tcPr>
            <w:vAlign w:val="center"/>
          </w:tcPr>
          <w:p>
            <w:pPr>
              <w:jc w:val="left"/>
            </w:pPr>
            <w:r>
              <w:rPr>
                <w:rFonts w:asciiTheme="minorEastAsia" w:eastAsiaTheme="minorEastAsia" w:hAnsiTheme="minorEastAsia"/>
                <w:color w:themeColor="text1" w:val="000000"/>
                <w:kern w:val="0"/>
                <w:sz w:val="21"/>
              </w:rPr>
              <w:t>过去三个月</w:t>
            </w:r>
          </w:p>
        </w:tc>
        <w:tc>
          <w:tcPr>
            <w:vAlign w:val="center"/>
          </w:tcPr>
          <w:p>
            <w:pPr>
              <w:jc w:val="center"/>
            </w:pPr>
            <w:r>
              <w:rPr>
                <w:rFonts w:asciiTheme="minorEastAsia" w:eastAsiaTheme="minorEastAsia" w:hAnsiTheme="minorEastAsia"/>
                <w:color w:themeColor="text1" w:val="000000"/>
                <w:kern w:val="0"/>
                <w:sz w:val="21"/>
              </w:rPr>
              <w:t>8.66%</w:t>
            </w:r>
          </w:p>
        </w:tc>
        <w:tc>
          <w:tcPr>
            <w:vAlign w:val="center"/>
          </w:tcPr>
          <w:p>
            <w:pPr>
              <w:jc w:val="center"/>
            </w:pPr>
            <w:r>
              <w:rPr>
                <w:rFonts w:asciiTheme="minorEastAsia" w:eastAsiaTheme="minorEastAsia" w:hAnsiTheme="minorEastAsia"/>
                <w:color w:themeColor="text1" w:val="000000"/>
                <w:kern w:val="0"/>
                <w:sz w:val="21"/>
              </w:rPr>
              <w:t>1.02%</w:t>
            </w:r>
          </w:p>
        </w:tc>
        <w:tc>
          <w:tcPr>
            <w:vAlign w:val="center"/>
          </w:tcPr>
          <w:p>
            <w:pPr>
              <w:jc w:val="center"/>
            </w:pPr>
            <w:r>
              <w:rPr>
                <w:rFonts w:asciiTheme="minorEastAsia" w:eastAsiaTheme="minorEastAsia" w:hAnsiTheme="minorEastAsia"/>
                <w:color w:themeColor="text1" w:val="000000"/>
                <w:kern w:val="0"/>
                <w:sz w:val="21"/>
              </w:rPr>
              <w:t>-0.13%</w:t>
            </w:r>
          </w:p>
        </w:tc>
        <w:tc>
          <w:tcPr>
            <w:vAlign w:val="center"/>
          </w:tcPr>
          <w:p>
            <w:pPr>
              <w:jc w:val="center"/>
            </w:pPr>
            <w:r>
              <w:rPr>
                <w:rFonts w:asciiTheme="minorEastAsia" w:eastAsiaTheme="minorEastAsia" w:hAnsiTheme="minorEastAsia"/>
                <w:color w:themeColor="text1" w:val="000000"/>
                <w:kern w:val="0"/>
                <w:sz w:val="21"/>
              </w:rPr>
              <w:t>0.84%</w:t>
            </w:r>
          </w:p>
        </w:tc>
        <w:tc>
          <w:tcPr>
            <w:vAlign w:val="center"/>
          </w:tcPr>
          <w:p>
            <w:pPr>
              <w:jc w:val="center"/>
            </w:pPr>
            <w:r>
              <w:rPr>
                <w:rFonts w:asciiTheme="minorEastAsia" w:eastAsiaTheme="minorEastAsia" w:hAnsiTheme="minorEastAsia"/>
                <w:color w:themeColor="text1" w:val="000000"/>
                <w:kern w:val="0"/>
                <w:sz w:val="21"/>
              </w:rPr>
              <w:t>8.79%</w:t>
            </w:r>
          </w:p>
        </w:tc>
        <w:tc>
          <w:tcPr>
            <w:vAlign w:val="center"/>
          </w:tcPr>
          <w:p>
            <w:pPr>
              <w:jc w:val="center"/>
            </w:pPr>
            <w:r>
              <w:rPr>
                <w:rFonts w:asciiTheme="minorEastAsia" w:eastAsiaTheme="minorEastAsia" w:hAnsiTheme="minorEastAsia"/>
                <w:color w:themeColor="text1" w:val="000000"/>
                <w:kern w:val="0"/>
                <w:sz w:val="21"/>
              </w:rPr>
              <w:t>0.18%</w:t>
            </w:r>
          </w:p>
        </w:tc>
      </w:tr>
    </w:tbl>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3.2.2</w:t>
      </w:r>
      <w:r>
        <w:rPr>
          <w:rStyle w:val="24"/>
          <w:rFonts w:hint="eastAsia"/>
          <w:color w:themeColor="text1" w:val="000000"/>
          <w:sz w:val="24"/>
          <w:szCs w:val="24"/>
          <w:shd w:color="auto" w:fill="FFFFFF" w:val="clear"/>
        </w:rPr>
        <w:t>自基金合同生效以来</w:t>
      </w:r>
      <w:r>
        <w:rPr>
          <w:rFonts w:asciiTheme="minorEastAsia" w:eastAsiaTheme="minorEastAsia" w:hAnsiTheme="minorEastAsia" w:hint="eastAsia"/>
          <w:b/>
          <w:bCs/>
          <w:color w:themeColor="text1" w:val="000000"/>
          <w:kern w:val="0"/>
          <w:sz w:val="24"/>
          <w:szCs w:val="24"/>
        </w:rPr>
        <w:t>基金累计净值增长率变动及其与同期业绩比较基准收益率变动的比较</w:t>
      </w:r>
    </w:p>
    <w:p>
      <w:pPr>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上投摩根新兴服务股票型证券投资基金</w:t>
      </w:r>
    </w:p>
    <w:p>
      <w:pPr>
        <w:pStyle w:val="11"/>
        <w:snapToGrid w:val="0"/>
        <w:spacing w:line="360" w:lineRule="auto"/>
        <w:jc w:val="center"/>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累计净值增长率与业绩比较基准收益率历史走势对比图</w:t>
      </w:r>
    </w:p>
    <w:p>
      <w:pPr>
        <w:pStyle w:val="11"/>
        <w:snapToGrid w:val="0"/>
        <w:spacing w:line="360" w:lineRule="auto"/>
        <w:ind w:firstLine="480"/>
        <w:jc w:val="center"/>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rPr>
        <w:t>(</w:t>
      </w:r>
      <w:r>
        <w:rPr>
          <w:rFonts w:asciiTheme="minorEastAsia" w:eastAsiaTheme="minorEastAsia" w:hAnsiTheme="minorEastAsia"/>
          <w:color w:themeColor="text1" w:val="000000"/>
        </w:rPr>
        <w:t>2015年8月6日</w:t>
      </w:r>
      <w:r>
        <w:rPr>
          <w:rFonts w:asciiTheme="minorEastAsia" w:eastAsiaTheme="minorEastAsia" w:hAnsiTheme="minorEastAsia" w:hint="eastAsia"/>
          <w:color w:themeColor="text1" w:val="000000"/>
        </w:rPr>
        <w:t>至2019年9月30日)</w:t>
      </w:r>
    </w:p>
    <w:p>
      <w:pPr>
        <w:pStyle w:val="11"/>
        <w:snapToGrid w:val="0"/>
        <w:spacing w:before="120" w:line="360" w:lineRule="auto"/>
        <w:jc w:val="center"/>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drawing>
          <wp:inline distB="0" distL="0" distR="0" distT="0">
            <wp:extent cx="5276850" cy="3086100"/>
            <wp:effectExtent b="0" l="0" r="0" t="0"/>
            <wp:docPr descr="D:\浏览器下载\走势图柱状图\走势图1.jpg"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1" name="图片 1"/>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注：本基金合同生效日为2015年8月6日，图示时间段为2015年8月6日至2019年9月30日。</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本基金建仓期自2015年8月6日至2016年2月5日，建仓期结束时资产配置比例符合本基金基金合同规定。</w:t>
      </w:r>
    </w:p>
    <w:p>
      <w:pPr>
        <w:tabs>
          <w:tab w:pos="1800" w:val="left"/>
        </w:tabs>
        <w:spacing w:line="360" w:lineRule="auto"/>
        <w:rPr>
          <w:rFonts w:asciiTheme="minorEastAsia" w:eastAsiaTheme="minorEastAsia" w:hAnsiTheme="minorEastAsia"/>
          <w:color w:themeColor="text1" w:val="000000"/>
          <w:sz w:val="24"/>
          <w:szCs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4  </w:t>
      </w:r>
      <w:r>
        <w:rPr>
          <w:rFonts w:asciiTheme="minorEastAsia" w:eastAsiaTheme="minorEastAsia" w:hAnsiTheme="minorEastAsia" w:hint="eastAsia"/>
          <w:color w:themeColor="text1" w:val="000000"/>
          <w:kern w:val="0"/>
          <w:sz w:val="24"/>
          <w:szCs w:val="24"/>
        </w:rPr>
        <w:t>管理人报告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4.1 </w:t>
      </w:r>
      <w:r>
        <w:rPr>
          <w:rFonts w:asciiTheme="minorEastAsia" w:eastAsiaTheme="minorEastAsia" w:hAnsiTheme="minorEastAsia" w:hint="eastAsia"/>
          <w:b/>
          <w:bCs/>
          <w:color w:themeColor="text1" w:val="000000"/>
          <w:kern w:val="0"/>
          <w:sz w:val="24"/>
          <w:szCs w:val="24"/>
        </w:rPr>
        <w:t>基金经理(或基金经理小组)简介</w:t>
      </w:r>
    </w:p>
    <w:tbl>
      <w:tblPr>
        <w:tblStyle w:val="30"/>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51"/>
        <w:gridCol w:w="850"/>
        <w:gridCol w:w="1560"/>
        <w:gridCol w:w="1559"/>
        <w:gridCol w:w="1417"/>
        <w:gridCol w:w="2694"/>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Height w:hRule="atLeast" w:val="292"/>
        </w:trPr>
        <w:tc>
          <w:tcPr>
            <w:tcW w:type="dxa" w:w="851"/>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姓名</w:t>
            </w:r>
          </w:p>
        </w:tc>
        <w:tc>
          <w:tcPr>
            <w:tcW w:type="dxa" w:w="850"/>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职务</w:t>
            </w:r>
          </w:p>
        </w:tc>
        <w:tc>
          <w:tcPr>
            <w:tcW w:type="dxa" w:w="3119"/>
            <w:gridSpan w:val="2"/>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任本基金的基金经理期限</w:t>
            </w:r>
          </w:p>
        </w:tc>
        <w:tc>
          <w:tcPr>
            <w:tcW w:type="dxa" w:w="1417"/>
            <w:vMerge w:val="restart"/>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证券从业年限</w:t>
            </w:r>
          </w:p>
        </w:tc>
        <w:tc>
          <w:tcPr>
            <w:tcW w:type="dxa" w:w="2694"/>
            <w:vMerge w:val="restart"/>
            <w:vAlign w:val="center"/>
          </w:tcPr>
          <w:p>
            <w:pPr>
              <w:widowControl/>
              <w:spacing w:before="29" w:line="360" w:lineRule="auto"/>
              <w:ind w:left="17"/>
              <w:jc w:val="center"/>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说明</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cantSplit/>
        </w:trPr>
        <w:tc>
          <w:tcPr>
            <w:tcW w:type="dxa" w:w="851"/>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850"/>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1560"/>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任职日期</w:t>
            </w:r>
          </w:p>
        </w:tc>
        <w:tc>
          <w:tcPr>
            <w:tcW w:type="dxa" w:w="1559"/>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离任日期</w:t>
            </w:r>
          </w:p>
        </w:tc>
        <w:tc>
          <w:tcPr>
            <w:tcW w:type="dxa" w:w="1417"/>
            <w:vMerge w:val="continue"/>
            <w:vAlign w:val="center"/>
          </w:tcPr>
          <w:p>
            <w:pPr>
              <w:widowControl/>
              <w:spacing w:line="360" w:lineRule="auto"/>
              <w:jc w:val="left"/>
              <w:rPr>
                <w:rFonts w:asciiTheme="minorEastAsia" w:eastAsiaTheme="minorEastAsia" w:hAnsiTheme="minorEastAsia"/>
                <w:color w:themeColor="text1" w:val="000000"/>
                <w:kern w:val="0"/>
              </w:rPr>
            </w:pPr>
          </w:p>
        </w:tc>
        <w:tc>
          <w:tcPr>
            <w:tcW w:type="dxa" w:w="2694"/>
            <w:vMerge w:val="continue"/>
            <w:vAlign w:val="center"/>
          </w:tcPr>
          <w:p>
            <w:pPr>
              <w:widowControl/>
              <w:spacing w:line="360" w:lineRule="auto"/>
              <w:jc w:val="left"/>
              <w:rPr>
                <w:rFonts w:asciiTheme="minorEastAsia" w:eastAsiaTheme="minorEastAsia" w:hAnsiTheme="minorEastAsia"/>
                <w:color w:themeColor="text1" w:val="000000"/>
                <w:kern w:val="0"/>
              </w:rPr>
            </w:pPr>
          </w:p>
        </w:tc>
      </w:tr>
      <w:tr>
        <w:tc>
          <w:tcPr>
            <w:vAlign w:val="center"/>
          </w:tcPr>
          <w:p>
            <w:pPr>
              <w:jc w:val="center"/>
            </w:pPr>
            <w:r>
              <w:rPr>
                <w:rFonts w:asciiTheme="minorEastAsia" w:eastAsiaTheme="minorEastAsia" w:hAnsiTheme="minorEastAsia"/>
                <w:color w:themeColor="text1" w:val="000000"/>
              </w:rPr>
              <w:t>郭晨</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2015-08-06</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12年</w:t>
            </w:r>
          </w:p>
        </w:tc>
        <w:tc>
          <w:tcPr>
            <w:vAlign w:val="center"/>
          </w:tcPr>
          <w:p>
            <w:pPr>
              <w:jc w:val="both"/>
            </w:pPr>
            <w:r>
              <w:rPr>
                <w:rFonts w:asciiTheme="minorEastAsia" w:eastAsiaTheme="minorEastAsia" w:hAnsiTheme="minorEastAsia"/>
                <w:color w:themeColor="text1" w:val="000000"/>
              </w:rPr>
              <w:t>郭晨先生，自2007年7月至2008年4月在平安资产管理有限公司担任分析师；2008年4月至2009年11月在东吴基金管理有限公司担任研究员；2009年11月至2014年10月在华富基金管理有限公司先后担任基金经理助理、基金经理，自2014年10月起加入上投摩根基金管理有限公司担任基金经理，自2015年1月起担任上投摩根中小盘混合型证券投资基金基金经理，自2015年6月起同时担任上投摩根智慧互联股票型证券投资基金基金经理，自2015年8月起同时担任上投摩根新兴服务股票型证券投资基金基金经理，自2019年3月起同时担任上投摩根创新商业模式灵活配置混合型证券投资基金基金经理。</w:t>
            </w:r>
          </w:p>
        </w:tc>
      </w:tr>
      <w:tr>
        <w:tc>
          <w:tcPr>
            <w:vAlign w:val="center"/>
          </w:tcPr>
          <w:p>
            <w:pPr>
              <w:jc w:val="center"/>
            </w:pPr>
            <w:r>
              <w:rPr>
                <w:rFonts w:asciiTheme="minorEastAsia" w:eastAsiaTheme="minorEastAsia" w:hAnsiTheme="minorEastAsia"/>
                <w:color w:themeColor="text1" w:val="000000"/>
              </w:rPr>
              <w:t>杨景喻</w:t>
            </w:r>
          </w:p>
        </w:tc>
        <w:tc>
          <w:tcPr>
            <w:vAlign w:val="center"/>
          </w:tcPr>
          <w:p>
            <w:pPr>
              <w:jc w:val="center"/>
            </w:pPr>
            <w:r>
              <w:rPr>
                <w:rFonts w:asciiTheme="minorEastAsia" w:eastAsiaTheme="minorEastAsia" w:hAnsiTheme="minorEastAsia"/>
                <w:color w:themeColor="text1" w:val="000000"/>
              </w:rPr>
              <w:t>本基金基金经理</w:t>
            </w:r>
          </w:p>
        </w:tc>
        <w:tc>
          <w:tcPr>
            <w:vAlign w:val="center"/>
          </w:tcPr>
          <w:p>
            <w:pPr>
              <w:jc w:val="center"/>
            </w:pPr>
            <w:r>
              <w:rPr>
                <w:rFonts w:asciiTheme="minorEastAsia" w:eastAsiaTheme="minorEastAsia" w:hAnsiTheme="minorEastAsia"/>
                <w:color w:themeColor="text1" w:val="000000"/>
              </w:rPr>
              <w:t>2015-12-30</w:t>
            </w:r>
          </w:p>
        </w:tc>
        <w:tc>
          <w:tcPr>
            <w:vAlign w:val="center"/>
          </w:tcPr>
          <w:p>
            <w:pPr>
              <w:jc w:val="center"/>
            </w:pPr>
            <w:r>
              <w:rPr>
                <w:rFonts w:asciiTheme="minorEastAsia" w:eastAsiaTheme="minorEastAsia" w:hAnsiTheme="minorEastAsia"/>
                <w:color w:themeColor="text1" w:val="000000"/>
              </w:rPr>
              <w:t>-</w:t>
            </w:r>
          </w:p>
        </w:tc>
        <w:tc>
          <w:tcPr>
            <w:vAlign w:val="center"/>
          </w:tcPr>
          <w:p>
            <w:pPr>
              <w:jc w:val="center"/>
            </w:pPr>
            <w:r>
              <w:rPr>
                <w:rFonts w:asciiTheme="minorEastAsia" w:eastAsiaTheme="minorEastAsia" w:hAnsiTheme="minorEastAsia"/>
                <w:color w:themeColor="text1" w:val="000000"/>
              </w:rPr>
              <w:t>11年</w:t>
            </w:r>
          </w:p>
        </w:tc>
        <w:tc>
          <w:tcPr>
            <w:vAlign w:val="center"/>
          </w:tcPr>
          <w:p>
            <w:pPr>
              <w:jc w:val="both"/>
            </w:pPr>
            <w:r>
              <w:rPr>
                <w:rFonts w:asciiTheme="minorEastAsia" w:eastAsiaTheme="minorEastAsia" w:hAnsiTheme="minorEastAsia"/>
                <w:color w:themeColor="text1" w:val="000000"/>
              </w:rPr>
              <w:t>杨景喻先生，2009年07月至2011年03月在广发基金管理有限公司担任研究员，自2011年3月起加入上投摩根基金管理有限公司，先后担任行业专家、基金经理助理、基金经理，自2015年8月至2019年3月担任上投摩根中国优势证券投资基金基金经理，2015年12月起同时担任上投摩根新兴服务股票型证券投资基金基金经理，2016年4月至2018年8月同时担任上投摩根智慧生活灵活配置混合型证券投资基金基金经理，自2019年4月起同时担任上投摩根民生需求股票型证券投资基金基金经理。</w:t>
            </w:r>
          </w:p>
        </w:tc>
      </w:tr>
    </w:tbl>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注：1.任职日期和离任日期均指根据公司决定确定的聘任日期和解聘日期。</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color w:themeColor="text1" w:val="000000"/>
        </w:rPr>
        <w:t>2.郭晨先生为本基金首任基金经理，其任职日期指本基金基金合同生效之日。</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3.证券从业的含义遵从行业协会《证券业从业人员资格管理办法》的相关规定。</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4.2 </w:t>
      </w:r>
      <w:r>
        <w:rPr>
          <w:rFonts w:asciiTheme="minorEastAsia" w:eastAsiaTheme="minorEastAsia" w:hAnsiTheme="minorEastAsia" w:hint="eastAsia"/>
          <w:b/>
          <w:bCs/>
          <w:color w:themeColor="text1" w:val="000000"/>
          <w:kern w:val="0"/>
          <w:sz w:val="24"/>
          <w:szCs w:val="24"/>
        </w:rPr>
        <w:t>管理人对报告期内本基金运作遵规守信情况的说明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在本报告期内，基金管理人不存在损害基金份额持有人利益的行为，勤勉尽责地为基金份额持有人谋求利益。基金管理人遵守了《证券投资基金法》及其他有关法律法规、《上投摩根新兴服务股票型证券投资基金基金合同》的规定。基金经理对个股和投资组合的比例遵循了投资决策委员会的授权限制，基金投资比例符合基金合同和法律法规的要求。</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4.3 </w:t>
      </w:r>
      <w:r>
        <w:rPr>
          <w:rFonts w:asciiTheme="minorEastAsia" w:eastAsiaTheme="minorEastAsia" w:hAnsiTheme="minorEastAsia" w:hint="eastAsia"/>
          <w:b/>
          <w:bCs/>
          <w:color w:themeColor="text1" w:val="000000"/>
          <w:kern w:val="0"/>
          <w:sz w:val="24"/>
          <w:szCs w:val="24"/>
        </w:rPr>
        <w:t>公平交易专项说明</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4.3.1 </w:t>
      </w:r>
      <w:r>
        <w:rPr>
          <w:rFonts w:asciiTheme="minorEastAsia" w:eastAsiaTheme="minorEastAsia" w:hAnsiTheme="minorEastAsia" w:hint="eastAsia"/>
          <w:color w:themeColor="text1" w:val="000000"/>
          <w:sz w:val="24"/>
          <w:szCs w:val="24"/>
        </w:rPr>
        <w:t>公平交易制度的执行情况</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报告期内，通过对不同投资组合之间的收益率差异比较、对同向交易和反向交易的交易时机和交易价差监控分析，未发现整体公平交易执行出现异常的情况。</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color w:themeColor="text1" w:val="000000"/>
          <w:sz w:val="24"/>
          <w:szCs w:val="24"/>
        </w:rPr>
        <w:t xml:space="preserve">4.3.2 </w:t>
      </w:r>
      <w:r>
        <w:rPr>
          <w:rFonts w:asciiTheme="minorEastAsia" w:eastAsiaTheme="minorEastAsia" w:hAnsiTheme="minorEastAsia" w:hint="eastAsia"/>
          <w:color w:themeColor="text1" w:val="000000"/>
          <w:sz w:val="24"/>
          <w:szCs w:val="24"/>
        </w:rPr>
        <w:t>异常交易行为的专项说明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报告期内，通过对交易价格、交易时间、交易方向等的分析，未发现有可能导致不公平交易和利益输送的异常交易行为。</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所有投资组合参与的交易所公开竞价同日反向交易成交较少的单边交易量超过该证券当日成交量的5%的情形：无。</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4.4 </w:t>
      </w:r>
      <w:r>
        <w:rPr>
          <w:rFonts w:asciiTheme="minorEastAsia" w:eastAsiaTheme="minorEastAsia" w:hAnsiTheme="minorEastAsia" w:hint="eastAsia"/>
          <w:b/>
          <w:bCs/>
          <w:color w:themeColor="text1" w:val="000000"/>
          <w:kern w:val="0"/>
          <w:sz w:val="24"/>
          <w:szCs w:val="24"/>
        </w:rPr>
        <w:t>报告期内基金的投资策略和业绩表现说明</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4.4.1</w:t>
      </w:r>
      <w:r>
        <w:rPr>
          <w:rFonts w:asciiTheme="minorEastAsia" w:cs="宋体" w:eastAsiaTheme="minorEastAsia" w:hAnsiTheme="minorEastAsia" w:hint="eastAsia"/>
          <w:color w:themeColor="text1" w:val="000000"/>
          <w:sz w:val="24"/>
          <w:szCs w:val="24"/>
        </w:rPr>
        <w:t>报告期内基金投资策略和运作分析</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季度市场风格出现明显的分化。上证指数下跌2.47%，中证500指数下跌0.19%，而中小板指数上涨5.62%，创业板指数上涨7.68%。行业上，行业景气度高、中报增长快的消费电子、芯片设计、5G通信等科技板块涨幅明显。而周期股受到国内国外宏观经济走弱的影响，表现相对较差。大消费板块总体呈震荡走势，医药板块相对表现强势。</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本季度，基金经理在深入研究和实地调研的基础上，根据行业景气度的变化进行了持仓结构的调整，降低了估值较高的必选消费品的持仓比重，增加了医药生物板块和消费电子板块的持仓，取得了不错的效果。</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展望后市，我们认为逆周期货币及财政政策的发力将对宏观经济有一定提振作用。行业板块上，全球宏观经济走弱带来的影响将逐步体现，仍然能够保持高景气度的行业将更为集中。考虑到大部分高景气度行业已经明显上涨，而目前估值切换时点尚未到来，因此市场预计将保持震荡的格局，个股之间的分化也将更为明显。</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如果将我们的投资视角看得更远，基金经理认为中长期维度，大消费板块仍然具备非常大的投资价值。 宏观经济向下的空间有限，消费板块的增长具备韧性，消费升级和品牌化仍然将带动不少消费品企业的收入增长；而人口老龄化和科研投入的增加也将持续提升医药生物企业的增速和竞争力。基金经理也将在大消费领域加强研究，综合把握企业竞争力、业绩增长空间、估值水平等因素，力争为基金持有人创造较好的超额收益。</w:t>
      </w:r>
    </w:p>
    <w:p>
      <w:pPr>
        <w:spacing w:line="360" w:lineRule="auto"/>
        <w:rPr>
          <w:rFonts w:asciiTheme="minorEastAsia" w:eastAsiaTheme="minorEastAsia" w:hAnsiTheme="minorEastAsia"/>
          <w:color w:themeColor="text1" w:val="000000"/>
          <w:sz w:val="24"/>
          <w:szCs w:val="24"/>
        </w:rPr>
      </w:pPr>
      <w:r>
        <w:rPr>
          <w:rFonts w:asciiTheme="minorEastAsia" w:cs="宋体" w:eastAsiaTheme="minorEastAsia" w:hAnsiTheme="minorEastAsia"/>
          <w:color w:themeColor="text1" w:val="000000"/>
          <w:sz w:val="24"/>
          <w:szCs w:val="24"/>
        </w:rPr>
        <w:t>4.4.2</w:t>
      </w:r>
      <w:r>
        <w:rPr>
          <w:rFonts w:asciiTheme="minorEastAsia" w:cs="宋体" w:eastAsiaTheme="minorEastAsia" w:hAnsiTheme="minorEastAsia" w:hint="eastAsia"/>
          <w:color w:themeColor="text1" w:val="000000"/>
          <w:sz w:val="24"/>
          <w:szCs w:val="24"/>
        </w:rPr>
        <w:t>报告期内基金的业绩表现</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本报告期上投摩根新兴服务股票份额净值增长率为:8.66%，同期业绩比较基准收益率为:-0.13%。</w:t>
      </w:r>
    </w:p>
    <w:p>
      <w:pPr>
        <w:spacing w:line="360" w:lineRule="auto"/>
        <w:ind w:firstLine="480" w:firstLineChars="200"/>
        <w:rPr>
          <w:rFonts w:asciiTheme="minorEastAsia" w:eastAsiaTheme="minorEastAsia" w:hAnsiTheme="minorEastAsia"/>
          <w:color w:themeColor="text1" w:val="000000"/>
          <w:sz w:val="24"/>
          <w:szCs w:val="24"/>
        </w:rPr>
      </w:pP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b/>
          <w:color w:themeColor="text1" w:val="000000"/>
          <w:kern w:val="0"/>
          <w:sz w:val="24"/>
          <w:szCs w:val="24"/>
        </w:rPr>
        <w:t>4</w:t>
      </w:r>
      <w:r>
        <w:rPr>
          <w:rFonts w:asciiTheme="minorEastAsia" w:eastAsiaTheme="minorEastAsia" w:hAnsiTheme="minorEastAsia" w:hint="eastAsia"/>
          <w:b/>
          <w:color w:themeColor="text1" w:val="000000"/>
          <w:kern w:val="0"/>
          <w:sz w:val="24"/>
          <w:szCs w:val="24"/>
        </w:rPr>
        <w:t>.5报告期内基金持有人数或基金资产净值预警说明</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kern w:val="0"/>
        </w:rPr>
        <w:t/>
      </w:r>
      <w:r>
        <w:rPr>
          <w:rFonts w:asciiTheme="minorEastAsia" w:eastAsiaTheme="minorEastAsia" w:hAnsiTheme="minorEastAsia"/>
          <w:color w:themeColor="text1" w:val="000000"/>
        </w:rPr>
        <w:t/>
      </w:r>
      <w:r>
        <w:rPr>
          <w:rFonts w:asciiTheme="minorEastAsia" w:eastAsiaTheme="minorEastAsia" w:hAnsiTheme="minorEastAsia"/>
          <w:color w:themeColor="text1" w:val="000000"/>
          <w:kern w:val="0"/>
        </w:rPr>
        <w:t>无。</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§5</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投资组合报告</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5.1 </w:t>
      </w:r>
      <w:r>
        <w:rPr>
          <w:rFonts w:asciiTheme="minorEastAsia" w:eastAsiaTheme="minorEastAsia" w:hAnsiTheme="minorEastAsia" w:hint="eastAsia"/>
          <w:b/>
          <w:bCs/>
          <w:color w:themeColor="text1" w:val="000000"/>
          <w:kern w:val="0"/>
          <w:sz w:val="24"/>
          <w:szCs w:val="24"/>
        </w:rPr>
        <w:t>报告期末基金资产组合情况</w:t>
      </w:r>
    </w:p>
    <w:tbl>
      <w:tblPr>
        <w:tblStyle w:val="31"/>
        <w:tblW w:type="dxa" w:w="8897"/>
        <w:jc w:val="cente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720"/>
        <w:gridCol w:w="3357"/>
        <w:gridCol w:w="2977"/>
        <w:gridCol w:w="1843"/>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序号</w:t>
            </w:r>
          </w:p>
        </w:tc>
        <w:tc>
          <w:tcPr>
            <w:tcW w:type="dxa" w:w="335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项目</w:t>
            </w:r>
          </w:p>
        </w:tc>
        <w:tc>
          <w:tcPr>
            <w:tcW w:type="dxa" w:w="2977"/>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金额(元)</w:t>
            </w:r>
          </w:p>
        </w:tc>
        <w:tc>
          <w:tcPr>
            <w:tcW w:type="dxa" w:w="1843"/>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占基金总资产的比例(</w:t>
            </w:r>
            <w:r>
              <w:rPr>
                <w:rFonts w:asciiTheme="minorEastAsia" w:eastAsiaTheme="minorEastAsia" w:hAnsiTheme="minorEastAsia"/>
                <w:color w:themeColor="text1" w:val="000000"/>
                <w:kern w:val="0"/>
                <w:sz w:val="21"/>
              </w:rPr>
              <w:t>%</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权益投资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55,125,311.09</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84.29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其中：股票</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55,125,311.09</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84.29</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固定收益投资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其中：债券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autoSpaceDE w:val="0"/>
              <w:autoSpaceDN w:val="0"/>
              <w:adjustRightInd w:val="0"/>
              <w:spacing w:before="29" w:line="360" w:lineRule="auto"/>
              <w:ind w:firstLine="525" w:firstLineChars="250"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资产支持证券</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3</w:t>
            </w:r>
          </w:p>
        </w:tc>
        <w:tc>
          <w:tcPr>
            <w:tcW w:type="dxa" w:w="3357"/>
          </w:tcPr>
          <w:p>
            <w:pPr>
              <w:spacing w:before="29" w:line="360" w:lineRule="auto"/>
              <w:ind w:left="105" w:leftChars="50"/>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贵金属投资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4</w:t>
            </w:r>
          </w:p>
        </w:tc>
        <w:tc>
          <w:tcPr>
            <w:tcW w:type="dxa" w:w="3357"/>
            <w:vAlign w:val="center"/>
          </w:tcPr>
          <w:p>
            <w:pPr>
              <w:spacing w:before="29" w:line="360" w:lineRule="auto"/>
              <w:ind w:left="17"/>
              <w:jc w:val="lef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金融衍生品投资</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5</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其中：买断式回购的买入返售金融资产</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6</w:t>
            </w:r>
          </w:p>
        </w:tc>
        <w:tc>
          <w:tcPr>
            <w:tcW w:type="dxa" w:w="3357"/>
            <w:vAlign w:val="center"/>
          </w:tcPr>
          <w:p>
            <w:pPr>
              <w:spacing w:before="29" w:line="360" w:lineRule="auto"/>
              <w:ind w:left="17"/>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银行存款和结算备付金合计</w:t>
            </w:r>
          </w:p>
        </w:tc>
        <w:tc>
          <w:tcPr>
            <w:tcW w:type="dxa" w:w="2977"/>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10,112,059.50</w:t>
            </w:r>
          </w:p>
        </w:tc>
        <w:tc>
          <w:tcPr>
            <w:tcW w:type="dxa" w:w="1843"/>
            <w:vAlign w:val="center"/>
          </w:tcPr>
          <w:p>
            <w:pPr>
              <w:spacing w:before="29" w:line="360" w:lineRule="auto"/>
              <w:ind w:left="17"/>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15.46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7</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其他各项资产</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162,601.86</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0.25</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rPr>
          <w:jc w:val="center"/>
        </w:trPr>
        <w:tc>
          <w:tcPr>
            <w:tcW w:type="dxa" w:w="720"/>
            <w:vAlign w:val="center"/>
          </w:tcPr>
          <w:p>
            <w:pPr>
              <w:spacing w:before="29" w:line="360" w:lineRule="auto"/>
              <w:ind w:left="17"/>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8</w:t>
            </w:r>
          </w:p>
        </w:tc>
        <w:tc>
          <w:tcPr>
            <w:tcW w:type="dxa" w:w="3357"/>
            <w:vAlign w:val="center"/>
          </w:tcPr>
          <w:p>
            <w:pPr>
              <w:jc w:val="left"/>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2977"/>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65,399,972.45</w:t>
            </w:r>
          </w:p>
        </w:tc>
        <w:tc>
          <w:tcPr>
            <w:tcW w:type="dxa" w:w="1843"/>
            <w:vAlign w:val="center"/>
          </w:tcPr>
          <w:p>
            <w:pPr>
              <w:jc w:val="right"/>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
            </w:r>
            <w:r>
              <w:rPr>
                <w:rFonts w:asciiTheme="minorEastAsia" w:cs="宋体" w:eastAsiaTheme="minorEastAsia" w:hAnsiTheme="minorEastAsia"/>
                <w:color w:themeColor="text1" w:val="000000"/>
                <w:kern w:val="0"/>
                <w:sz w:val="21"/>
              </w:rPr>
              <w:t/>
            </w:r>
            <w:r>
              <w:rPr>
                <w:rFonts w:asciiTheme="minorEastAsia" w:cs="宋体" w:eastAsiaTheme="minorEastAsia" w:hAnsiTheme="minorEastAsia" w:hint="eastAsia"/>
                <w:color w:themeColor="text1" w:val="000000"/>
                <w:kern w:val="0"/>
                <w:sz w:val="21"/>
              </w:rPr>
              <w:t>100.00</w:t>
            </w:r>
          </w:p>
        </w:tc>
      </w:tr>
    </w:tbl>
    <w:p>
      <w:pPr>
        <w:autoSpaceDE w:val="0"/>
        <w:autoSpaceDN w:val="0"/>
        <w:adjustRightInd w:val="0"/>
        <w:spacing w:line="360" w:lineRule="auto"/>
        <w:jc w:val="left"/>
        <w:rPr>
          <w:rFonts w:asciiTheme="minorEastAsia" w:cs="宋体"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5.2 </w:t>
      </w:r>
      <w:r>
        <w:rPr>
          <w:rFonts w:asciiTheme="minorEastAsia" w:eastAsiaTheme="minorEastAsia" w:hAnsiTheme="minorEastAsia" w:hint="eastAsia"/>
          <w:b/>
          <w:bCs/>
          <w:color w:themeColor="text1" w:val="000000"/>
          <w:kern w:val="0"/>
          <w:sz w:val="24"/>
          <w:szCs w:val="24"/>
        </w:rPr>
        <w:t>报告期末按行业分类的股票投资组合</w:t>
      </w:r>
    </w:p>
    <w:p>
      <w:pPr>
        <w:rPr>
          <w:b/>
        </w:rPr>
      </w:pPr>
      <w:r>
        <w:rPr>
          <w:b/>
          <w:color w:themeColor="text1" w:val="000000"/>
        </w:rPr>
        <w:t/>
      </w:r>
      <w:r>
        <w:rPr>
          <w:rFonts w:eastAsiaTheme="minorEastAsia" w:hint="eastAsia"/>
          <w:b/>
          <w:color w:themeColor="text1" w:val="000000"/>
          <w:kern w:val="0"/>
        </w:rPr>
        <w:t>5.2.1报告期末按行业分类的境内股票投资组合</w:t>
      </w:r>
    </w:p>
    <w:tbl>
      <w:tblPr>
        <w:tblStyle w:val="30"/>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
      <w:tblGrid>
        <w:gridCol w:w="540"/>
        <w:gridCol w:w="3691"/>
        <w:gridCol w:w="2852"/>
        <w:gridCol w:w="1648"/>
      </w:tblGrid>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390"/>
        </w:trPr>
        <w:tc>
          <w:tcPr>
            <w:tcW w:type="dxa" w:w="540"/>
            <w:tcBorders>
              <w:top w:color="000000" w:space="0" w:sz="4" w:val="single"/>
              <w:left w:color="000000"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代码</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占基金资产净值比例（％）</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782,691.00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utoSpaceDE w:val="0"/>
              <w:autoSpaceDN w:val="0"/>
              <w:adjustRightInd w:val="0"/>
              <w:spacing w:before="29" w:line="360" w:lineRule="auto"/>
              <w:ind w:left="15"/>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1.21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p>
            <w:pPr>
              <w:jc w:val="right"/>
              <w:rPr>
                <w:rFonts w:asciiTheme="minorEastAsia" w:cs="宋体" w:eastAsiaTheme="minorEastAsia" w:hAnsiTheme="minorEastAsia"/>
                <w:color w:themeColor="text1" w:val="000000"/>
                <w:kern w:val="0"/>
              </w:rPr>
            </w:pP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41,550,975.90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64.07</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2,748,755.38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4.24</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3,762,410.13</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5.80</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2,250,449.64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3.47</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2,035,369.20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3.14</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527,105.84</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0.81</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1,467,554.00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2.26</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w:t>
            </w:r>
          </w:p>
        </w:tc>
      </w:tr>
      <w:tr>
        <w:tblPrEx>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0"/>
            <w:left w:type="dxa" w:w="0"/>
            <w:bottom w:type="dxa" w:w="0"/>
            <w:right w:type="dxa" w:w="0"/>
          </w:tblCellMar>
        </w:tblPrEx>
        <w:trPr>
          <w:trHeight w:hRule="atLeas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adjustRightInd w:val="0"/>
              <w:snapToGrid w:val="0"/>
              <w:spacing w:line="400" w:lineRule="exact"/>
              <w:jc w:val="center"/>
              <w:rPr>
                <w:rFonts w:asciiTheme="minorEastAsia" w:cs="宋体" w:eastAsiaTheme="minorEastAsia" w:hAnsiTheme="minorEastAsia"/>
                <w:color w:themeColor="text1" w:val="000000"/>
                <w:kern w:val="0"/>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pPr>
              <w:adjustRightInd w:val="0"/>
              <w:snapToGrid w:val="0"/>
              <w:spacing w:line="400" w:lineRule="exac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55,125,311.09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pPr>
              <w:jc w:val="right"/>
              <w:rPr>
                <w:rFonts w:asciiTheme="minorEastAsia" w:cs="宋体" w:eastAsiaTheme="minorEastAsia" w:hAnsiTheme="minorEastAsia"/>
                <w:color w:themeColor="text1" w:val="000000"/>
                <w:kern w:val="0"/>
              </w:rPr>
            </w:pPr>
            <w:r>
              <w:rPr>
                <w:rFonts w:asciiTheme="minorEastAsia" w:cs="宋体" w:eastAsiaTheme="minorEastAsia" w:hAnsiTheme="minorEastAsia"/>
                <w:color w:themeColor="text1" w:val="000000"/>
                <w:kern w:val="0"/>
              </w:rPr>
              <w:t>85.01</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5.3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报告期末按公允价值占基金资产净值比例大小排序的前十名股票投资明细</w:t>
      </w:r>
    </w:p>
    <w:tbl>
      <w:tblPr>
        <w:tblStyle w:val="31"/>
        <w:tblW w:type="dxa" w:w="8528"/>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817"/>
        <w:gridCol w:w="1276"/>
        <w:gridCol w:w="1701"/>
        <w:gridCol w:w="1276"/>
        <w:gridCol w:w="1842"/>
        <w:gridCol w:w="1616"/>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817"/>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股票代码</w:t>
            </w:r>
          </w:p>
        </w:tc>
        <w:tc>
          <w:tcPr>
            <w:tcW w:type="dxa" w:w="1701"/>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股票名称</w:t>
            </w:r>
          </w:p>
        </w:tc>
        <w:tc>
          <w:tcPr>
            <w:tcW w:type="dxa" w:w="127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数量(股)</w:t>
            </w:r>
          </w:p>
        </w:tc>
        <w:tc>
          <w:tcPr>
            <w:tcW w:type="dxa" w:w="1842"/>
            <w:vAlign w:val="center"/>
          </w:tcPr>
          <w:p>
            <w:pPr>
              <w:autoSpaceDE w:val="0"/>
              <w:autoSpaceDN w:val="0"/>
              <w:adjustRightInd w:val="0"/>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公允价值</w:t>
            </w:r>
            <w:r>
              <w:rPr>
                <w:rFonts w:asciiTheme="minorEastAsia" w:cs="宋体" w:eastAsiaTheme="minorEastAsia" w:hAnsiTheme="minorEastAsia"/>
                <w:color w:themeColor="text1" w:val="000000"/>
                <w:kern w:val="0"/>
                <w:sz w:val="21"/>
              </w:rPr>
              <w:t>(</w:t>
            </w:r>
            <w:r>
              <w:rPr>
                <w:rFonts w:asciiTheme="minorEastAsia" w:cs="宋体" w:eastAsiaTheme="minorEastAsia" w:hAnsiTheme="minorEastAsia" w:hint="eastAsia"/>
                <w:color w:themeColor="text1" w:val="000000"/>
                <w:kern w:val="0"/>
                <w:sz w:val="21"/>
              </w:rPr>
              <w:t>元</w:t>
            </w:r>
            <w:r>
              <w:rPr>
                <w:rFonts w:asciiTheme="minorEastAsia" w:cs="宋体" w:eastAsiaTheme="minorEastAsia" w:hAnsiTheme="minorEastAsia"/>
                <w:color w:themeColor="text1" w:val="000000"/>
                <w:kern w:val="0"/>
                <w:sz w:val="21"/>
              </w:rPr>
              <w:t>)</w:t>
            </w:r>
          </w:p>
        </w:tc>
        <w:tc>
          <w:tcPr>
            <w:tcW w:type="dxa" w:w="1616"/>
            <w:vAlign w:val="center"/>
          </w:tcPr>
          <w:p>
            <w:pPr>
              <w:spacing w:before="29" w:line="360" w:lineRule="auto"/>
              <w:ind w:left="17"/>
              <w:jc w:val="center"/>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占基金资产净值比例(％)</w:t>
            </w:r>
          </w:p>
        </w:tc>
      </w:tr>
      <w:tr>
        <w:tc>
          <w:tcPr>
            <w:vAlign w:val="center"/>
          </w:tcPr>
          <w:p>
            <w:pPr>
              <w:jc w:val="center"/>
            </w:pPr>
            <w:r>
              <w:rPr>
                <w:rFonts w:asciiTheme="minorEastAsia" w:cs="宋体" w:eastAsiaTheme="minorEastAsia" w:hAnsiTheme="minorEastAsia"/>
                <w:color w:themeColor="text1" w:val="000000"/>
                <w:kern w:val="0"/>
                <w:sz w:val="21"/>
              </w:rPr>
              <w:t>1</w:t>
            </w:r>
          </w:p>
        </w:tc>
        <w:tc>
          <w:tcPr>
            <w:vAlign w:val="center"/>
          </w:tcPr>
          <w:p>
            <w:pPr>
              <w:jc w:val="center"/>
            </w:pPr>
            <w:r>
              <w:rPr>
                <w:rFonts w:asciiTheme="minorEastAsia" w:cs="宋体" w:eastAsiaTheme="minorEastAsia" w:hAnsiTheme="minorEastAsia"/>
                <w:color w:themeColor="text1" w:val="000000"/>
                <w:kern w:val="0"/>
                <w:sz w:val="21"/>
              </w:rPr>
              <w:t>603899</w:t>
            </w:r>
          </w:p>
        </w:tc>
        <w:tc>
          <w:tcPr>
            <w:vAlign w:val="center"/>
          </w:tcPr>
          <w:p>
            <w:pPr>
              <w:jc w:val="center"/>
            </w:pPr>
            <w:r>
              <w:rPr>
                <w:rFonts w:asciiTheme="minorEastAsia" w:cs="宋体" w:eastAsiaTheme="minorEastAsia" w:hAnsiTheme="minorEastAsia"/>
                <w:color w:themeColor="text1" w:val="000000"/>
                <w:kern w:val="0"/>
                <w:sz w:val="21"/>
              </w:rPr>
              <w:t>晨光文具</w:t>
            </w:r>
          </w:p>
        </w:tc>
        <w:tc>
          <w:tcPr>
            <w:vAlign w:val="center"/>
          </w:tcPr>
          <w:p>
            <w:pPr>
              <w:jc w:val="right"/>
            </w:pPr>
            <w:r>
              <w:rPr>
                <w:rFonts w:asciiTheme="minorEastAsia" w:cs="宋体" w:eastAsiaTheme="minorEastAsia" w:hAnsiTheme="minorEastAsia"/>
                <w:color w:themeColor="text1" w:val="000000"/>
                <w:kern w:val="0"/>
                <w:sz w:val="21"/>
              </w:rPr>
              <w:t>78,700.00</w:t>
            </w:r>
          </w:p>
        </w:tc>
        <w:tc>
          <w:tcPr>
            <w:vAlign w:val="center"/>
          </w:tcPr>
          <w:p>
            <w:pPr>
              <w:jc w:val="right"/>
            </w:pPr>
            <w:r>
              <w:rPr>
                <w:rFonts w:asciiTheme="minorEastAsia" w:cs="宋体" w:eastAsiaTheme="minorEastAsia" w:hAnsiTheme="minorEastAsia"/>
                <w:color w:themeColor="text1" w:val="000000"/>
                <w:kern w:val="0"/>
                <w:sz w:val="21"/>
              </w:rPr>
              <w:t>3,506,872.00</w:t>
            </w:r>
          </w:p>
        </w:tc>
        <w:tc>
          <w:tcPr>
            <w:vAlign w:val="center"/>
          </w:tcPr>
          <w:p>
            <w:pPr>
              <w:jc w:val="right"/>
            </w:pPr>
            <w:r>
              <w:rPr>
                <w:rFonts w:asciiTheme="minorEastAsia" w:cs="宋体" w:eastAsiaTheme="minorEastAsia" w:hAnsiTheme="minorEastAsia"/>
                <w:color w:themeColor="text1" w:val="000000"/>
                <w:kern w:val="0"/>
                <w:sz w:val="21"/>
              </w:rPr>
              <w:t>5.41</w:t>
            </w:r>
          </w:p>
        </w:tc>
      </w:tr>
      <w:tr>
        <w:tc>
          <w:tcPr>
            <w:vAlign w:val="center"/>
          </w:tcPr>
          <w:p>
            <w:pPr>
              <w:jc w:val="center"/>
            </w:pPr>
            <w:r>
              <w:rPr>
                <w:rFonts w:asciiTheme="minorEastAsia" w:cs="宋体" w:eastAsiaTheme="minorEastAsia" w:hAnsiTheme="minorEastAsia"/>
                <w:color w:themeColor="text1" w:val="000000"/>
                <w:kern w:val="0"/>
                <w:sz w:val="21"/>
              </w:rPr>
              <w:t>2</w:t>
            </w:r>
          </w:p>
        </w:tc>
        <w:tc>
          <w:tcPr>
            <w:vAlign w:val="center"/>
          </w:tcPr>
          <w:p>
            <w:pPr>
              <w:jc w:val="center"/>
            </w:pPr>
            <w:r>
              <w:rPr>
                <w:rFonts w:asciiTheme="minorEastAsia" w:cs="宋体" w:eastAsiaTheme="minorEastAsia" w:hAnsiTheme="minorEastAsia"/>
                <w:color w:themeColor="text1" w:val="000000"/>
                <w:kern w:val="0"/>
                <w:sz w:val="21"/>
              </w:rPr>
              <w:t>000661</w:t>
            </w:r>
          </w:p>
        </w:tc>
        <w:tc>
          <w:tcPr>
            <w:vAlign w:val="center"/>
          </w:tcPr>
          <w:p>
            <w:pPr>
              <w:jc w:val="center"/>
            </w:pPr>
            <w:r>
              <w:rPr>
                <w:rFonts w:asciiTheme="minorEastAsia" w:cs="宋体" w:eastAsiaTheme="minorEastAsia" w:hAnsiTheme="minorEastAsia"/>
                <w:color w:themeColor="text1" w:val="000000"/>
                <w:kern w:val="0"/>
                <w:sz w:val="21"/>
              </w:rPr>
              <w:t>长春高新</w:t>
            </w:r>
          </w:p>
        </w:tc>
        <w:tc>
          <w:tcPr>
            <w:vAlign w:val="center"/>
          </w:tcPr>
          <w:p>
            <w:pPr>
              <w:jc w:val="right"/>
            </w:pPr>
            <w:r>
              <w:rPr>
                <w:rFonts w:asciiTheme="minorEastAsia" w:cs="宋体" w:eastAsiaTheme="minorEastAsia" w:hAnsiTheme="minorEastAsia"/>
                <w:color w:themeColor="text1" w:val="000000"/>
                <w:kern w:val="0"/>
                <w:sz w:val="21"/>
              </w:rPr>
              <w:t>8,577.00</w:t>
            </w:r>
          </w:p>
        </w:tc>
        <w:tc>
          <w:tcPr>
            <w:vAlign w:val="center"/>
          </w:tcPr>
          <w:p>
            <w:pPr>
              <w:jc w:val="right"/>
            </w:pPr>
            <w:r>
              <w:rPr>
                <w:rFonts w:asciiTheme="minorEastAsia" w:cs="宋体" w:eastAsiaTheme="minorEastAsia" w:hAnsiTheme="minorEastAsia"/>
                <w:color w:themeColor="text1" w:val="000000"/>
                <w:kern w:val="0"/>
                <w:sz w:val="21"/>
              </w:rPr>
              <w:t>3,382,425.72</w:t>
            </w:r>
          </w:p>
        </w:tc>
        <w:tc>
          <w:tcPr>
            <w:vAlign w:val="center"/>
          </w:tcPr>
          <w:p>
            <w:pPr>
              <w:jc w:val="right"/>
            </w:pPr>
            <w:r>
              <w:rPr>
                <w:rFonts w:asciiTheme="minorEastAsia" w:cs="宋体" w:eastAsiaTheme="minorEastAsia" w:hAnsiTheme="minorEastAsia"/>
                <w:color w:themeColor="text1" w:val="000000"/>
                <w:kern w:val="0"/>
                <w:sz w:val="21"/>
              </w:rPr>
              <w:t>5.22</w:t>
            </w:r>
          </w:p>
        </w:tc>
      </w:tr>
      <w:tr>
        <w:tc>
          <w:tcPr>
            <w:vAlign w:val="center"/>
          </w:tcPr>
          <w:p>
            <w:pPr>
              <w:jc w:val="center"/>
            </w:pPr>
            <w:r>
              <w:rPr>
                <w:rFonts w:asciiTheme="minorEastAsia" w:cs="宋体" w:eastAsiaTheme="minorEastAsia" w:hAnsiTheme="minorEastAsia"/>
                <w:color w:themeColor="text1" w:val="000000"/>
                <w:kern w:val="0"/>
                <w:sz w:val="21"/>
              </w:rPr>
              <w:t>3</w:t>
            </w:r>
          </w:p>
        </w:tc>
        <w:tc>
          <w:tcPr>
            <w:vAlign w:val="center"/>
          </w:tcPr>
          <w:p>
            <w:pPr>
              <w:jc w:val="center"/>
            </w:pPr>
            <w:r>
              <w:rPr>
                <w:rFonts w:asciiTheme="minorEastAsia" w:cs="宋体" w:eastAsiaTheme="minorEastAsia" w:hAnsiTheme="minorEastAsia"/>
                <w:color w:themeColor="text1" w:val="000000"/>
                <w:kern w:val="0"/>
                <w:sz w:val="21"/>
              </w:rPr>
              <w:t>300357</w:t>
            </w:r>
          </w:p>
        </w:tc>
        <w:tc>
          <w:tcPr>
            <w:vAlign w:val="center"/>
          </w:tcPr>
          <w:p>
            <w:pPr>
              <w:jc w:val="center"/>
            </w:pPr>
            <w:r>
              <w:rPr>
                <w:rFonts w:asciiTheme="minorEastAsia" w:cs="宋体" w:eastAsiaTheme="minorEastAsia" w:hAnsiTheme="minorEastAsia"/>
                <w:color w:themeColor="text1" w:val="000000"/>
                <w:kern w:val="0"/>
                <w:sz w:val="21"/>
              </w:rPr>
              <w:t>我武生物</w:t>
            </w:r>
          </w:p>
        </w:tc>
        <w:tc>
          <w:tcPr>
            <w:vAlign w:val="center"/>
          </w:tcPr>
          <w:p>
            <w:pPr>
              <w:jc w:val="right"/>
            </w:pPr>
            <w:r>
              <w:rPr>
                <w:rFonts w:asciiTheme="minorEastAsia" w:cs="宋体" w:eastAsiaTheme="minorEastAsia" w:hAnsiTheme="minorEastAsia"/>
                <w:color w:themeColor="text1" w:val="000000"/>
                <w:kern w:val="0"/>
                <w:sz w:val="21"/>
              </w:rPr>
              <w:t>79,900.00</w:t>
            </w:r>
          </w:p>
        </w:tc>
        <w:tc>
          <w:tcPr>
            <w:vAlign w:val="center"/>
          </w:tcPr>
          <w:p>
            <w:pPr>
              <w:jc w:val="right"/>
            </w:pPr>
            <w:r>
              <w:rPr>
                <w:rFonts w:asciiTheme="minorEastAsia" w:cs="宋体" w:eastAsiaTheme="minorEastAsia" w:hAnsiTheme="minorEastAsia"/>
                <w:color w:themeColor="text1" w:val="000000"/>
                <w:kern w:val="0"/>
                <w:sz w:val="21"/>
              </w:rPr>
              <w:t>3,298,272.00</w:t>
            </w:r>
          </w:p>
        </w:tc>
        <w:tc>
          <w:tcPr>
            <w:vAlign w:val="center"/>
          </w:tcPr>
          <w:p>
            <w:pPr>
              <w:jc w:val="right"/>
            </w:pPr>
            <w:r>
              <w:rPr>
                <w:rFonts w:asciiTheme="minorEastAsia" w:cs="宋体" w:eastAsiaTheme="minorEastAsia" w:hAnsiTheme="minorEastAsia"/>
                <w:color w:themeColor="text1" w:val="000000"/>
                <w:kern w:val="0"/>
                <w:sz w:val="21"/>
              </w:rPr>
              <w:t>5.09</w:t>
            </w:r>
          </w:p>
        </w:tc>
      </w:tr>
      <w:tr>
        <w:tc>
          <w:tcPr>
            <w:vAlign w:val="center"/>
          </w:tcPr>
          <w:p>
            <w:pPr>
              <w:jc w:val="center"/>
            </w:pPr>
            <w:r>
              <w:rPr>
                <w:rFonts w:asciiTheme="minorEastAsia" w:cs="宋体" w:eastAsiaTheme="minorEastAsia" w:hAnsiTheme="minorEastAsia"/>
                <w:color w:themeColor="text1" w:val="000000"/>
                <w:kern w:val="0"/>
                <w:sz w:val="21"/>
              </w:rPr>
              <w:t>4</w:t>
            </w:r>
          </w:p>
        </w:tc>
        <w:tc>
          <w:tcPr>
            <w:vAlign w:val="center"/>
          </w:tcPr>
          <w:p>
            <w:pPr>
              <w:jc w:val="center"/>
            </w:pPr>
            <w:r>
              <w:rPr>
                <w:rFonts w:asciiTheme="minorEastAsia" w:cs="宋体" w:eastAsiaTheme="minorEastAsia" w:hAnsiTheme="minorEastAsia"/>
                <w:color w:themeColor="text1" w:val="000000"/>
                <w:kern w:val="0"/>
                <w:sz w:val="21"/>
              </w:rPr>
              <w:t>002241</w:t>
            </w:r>
          </w:p>
        </w:tc>
        <w:tc>
          <w:tcPr>
            <w:vAlign w:val="center"/>
          </w:tcPr>
          <w:p>
            <w:pPr>
              <w:jc w:val="center"/>
            </w:pPr>
            <w:r>
              <w:rPr>
                <w:rFonts w:asciiTheme="minorEastAsia" w:cs="宋体" w:eastAsiaTheme="minorEastAsia" w:hAnsiTheme="minorEastAsia"/>
                <w:color w:themeColor="text1" w:val="000000"/>
                <w:kern w:val="0"/>
                <w:sz w:val="21"/>
              </w:rPr>
              <w:t>歌尔股份</w:t>
            </w:r>
          </w:p>
        </w:tc>
        <w:tc>
          <w:tcPr>
            <w:vAlign w:val="center"/>
          </w:tcPr>
          <w:p>
            <w:pPr>
              <w:jc w:val="right"/>
            </w:pPr>
            <w:r>
              <w:rPr>
                <w:rFonts w:asciiTheme="minorEastAsia" w:cs="宋体" w:eastAsiaTheme="minorEastAsia" w:hAnsiTheme="minorEastAsia"/>
                <w:color w:themeColor="text1" w:val="000000"/>
                <w:kern w:val="0"/>
                <w:sz w:val="21"/>
              </w:rPr>
              <w:t>154,904.00</w:t>
            </w:r>
          </w:p>
        </w:tc>
        <w:tc>
          <w:tcPr>
            <w:vAlign w:val="center"/>
          </w:tcPr>
          <w:p>
            <w:pPr>
              <w:jc w:val="right"/>
            </w:pPr>
            <w:r>
              <w:rPr>
                <w:rFonts w:asciiTheme="minorEastAsia" w:cs="宋体" w:eastAsiaTheme="minorEastAsia" w:hAnsiTheme="minorEastAsia"/>
                <w:color w:themeColor="text1" w:val="000000"/>
                <w:kern w:val="0"/>
                <w:sz w:val="21"/>
              </w:rPr>
              <w:t>2,723,212.32</w:t>
            </w:r>
          </w:p>
        </w:tc>
        <w:tc>
          <w:tcPr>
            <w:vAlign w:val="center"/>
          </w:tcPr>
          <w:p>
            <w:pPr>
              <w:jc w:val="right"/>
            </w:pPr>
            <w:r>
              <w:rPr>
                <w:rFonts w:asciiTheme="minorEastAsia" w:cs="宋体" w:eastAsiaTheme="minorEastAsia" w:hAnsiTheme="minorEastAsia"/>
                <w:color w:themeColor="text1" w:val="000000"/>
                <w:kern w:val="0"/>
                <w:sz w:val="21"/>
              </w:rPr>
              <w:t>4.20</w:t>
            </w:r>
          </w:p>
        </w:tc>
      </w:tr>
      <w:tr>
        <w:tc>
          <w:tcPr>
            <w:vAlign w:val="center"/>
          </w:tcPr>
          <w:p>
            <w:pPr>
              <w:jc w:val="center"/>
            </w:pPr>
            <w:r>
              <w:rPr>
                <w:rFonts w:asciiTheme="minorEastAsia" w:cs="宋体" w:eastAsiaTheme="minorEastAsia" w:hAnsiTheme="minorEastAsia"/>
                <w:color w:themeColor="text1" w:val="000000"/>
                <w:kern w:val="0"/>
                <w:sz w:val="21"/>
              </w:rPr>
              <w:t>5</w:t>
            </w:r>
          </w:p>
        </w:tc>
        <w:tc>
          <w:tcPr>
            <w:vAlign w:val="center"/>
          </w:tcPr>
          <w:p>
            <w:pPr>
              <w:jc w:val="center"/>
            </w:pPr>
            <w:r>
              <w:rPr>
                <w:rFonts w:asciiTheme="minorEastAsia" w:cs="宋体" w:eastAsiaTheme="minorEastAsia" w:hAnsiTheme="minorEastAsia"/>
                <w:color w:themeColor="text1" w:val="000000"/>
                <w:kern w:val="0"/>
                <w:sz w:val="21"/>
              </w:rPr>
              <w:t>002821</w:t>
            </w:r>
          </w:p>
        </w:tc>
        <w:tc>
          <w:tcPr>
            <w:vAlign w:val="center"/>
          </w:tcPr>
          <w:p>
            <w:pPr>
              <w:jc w:val="center"/>
            </w:pPr>
            <w:r>
              <w:rPr>
                <w:rFonts w:asciiTheme="minorEastAsia" w:cs="宋体" w:eastAsiaTheme="minorEastAsia" w:hAnsiTheme="minorEastAsia"/>
                <w:color w:themeColor="text1" w:val="000000"/>
                <w:kern w:val="0"/>
                <w:sz w:val="21"/>
              </w:rPr>
              <w:t>凯莱英</w:t>
            </w:r>
          </w:p>
        </w:tc>
        <w:tc>
          <w:tcPr>
            <w:vAlign w:val="center"/>
          </w:tcPr>
          <w:p>
            <w:pPr>
              <w:jc w:val="right"/>
            </w:pPr>
            <w:r>
              <w:rPr>
                <w:rFonts w:asciiTheme="minorEastAsia" w:cs="宋体" w:eastAsiaTheme="minorEastAsia" w:hAnsiTheme="minorEastAsia"/>
                <w:color w:themeColor="text1" w:val="000000"/>
                <w:kern w:val="0"/>
                <w:sz w:val="21"/>
              </w:rPr>
              <w:t>21,663.00</w:t>
            </w:r>
          </w:p>
        </w:tc>
        <w:tc>
          <w:tcPr>
            <w:vAlign w:val="center"/>
          </w:tcPr>
          <w:p>
            <w:pPr>
              <w:jc w:val="right"/>
            </w:pPr>
            <w:r>
              <w:rPr>
                <w:rFonts w:asciiTheme="minorEastAsia" w:cs="宋体" w:eastAsiaTheme="minorEastAsia" w:hAnsiTheme="minorEastAsia"/>
                <w:color w:themeColor="text1" w:val="000000"/>
                <w:kern w:val="0"/>
                <w:sz w:val="21"/>
              </w:rPr>
              <w:t>2,552,984.55</w:t>
            </w:r>
          </w:p>
        </w:tc>
        <w:tc>
          <w:tcPr>
            <w:vAlign w:val="center"/>
          </w:tcPr>
          <w:p>
            <w:pPr>
              <w:jc w:val="right"/>
            </w:pPr>
            <w:r>
              <w:rPr>
                <w:rFonts w:asciiTheme="minorEastAsia" w:cs="宋体" w:eastAsiaTheme="minorEastAsia" w:hAnsiTheme="minorEastAsia"/>
                <w:color w:themeColor="text1" w:val="000000"/>
                <w:kern w:val="0"/>
                <w:sz w:val="21"/>
              </w:rPr>
              <w:t>3.94</w:t>
            </w:r>
          </w:p>
        </w:tc>
      </w:tr>
      <w:tr>
        <w:tc>
          <w:tcPr>
            <w:vAlign w:val="center"/>
          </w:tcPr>
          <w:p>
            <w:pPr>
              <w:jc w:val="center"/>
            </w:pPr>
            <w:r>
              <w:rPr>
                <w:rFonts w:asciiTheme="minorEastAsia" w:cs="宋体" w:eastAsiaTheme="minorEastAsia" w:hAnsiTheme="minorEastAsia"/>
                <w:color w:themeColor="text1" w:val="000000"/>
                <w:kern w:val="0"/>
                <w:sz w:val="21"/>
              </w:rPr>
              <w:t>6</w:t>
            </w:r>
          </w:p>
        </w:tc>
        <w:tc>
          <w:tcPr>
            <w:vAlign w:val="center"/>
          </w:tcPr>
          <w:p>
            <w:pPr>
              <w:jc w:val="center"/>
            </w:pPr>
            <w:r>
              <w:rPr>
                <w:rFonts w:asciiTheme="minorEastAsia" w:cs="宋体" w:eastAsiaTheme="minorEastAsia" w:hAnsiTheme="minorEastAsia"/>
                <w:color w:themeColor="text1" w:val="000000"/>
                <w:kern w:val="0"/>
                <w:sz w:val="21"/>
              </w:rPr>
              <w:t>300601</w:t>
            </w:r>
          </w:p>
        </w:tc>
        <w:tc>
          <w:tcPr>
            <w:vAlign w:val="center"/>
          </w:tcPr>
          <w:p>
            <w:pPr>
              <w:jc w:val="center"/>
            </w:pPr>
            <w:r>
              <w:rPr>
                <w:rFonts w:asciiTheme="minorEastAsia" w:cs="宋体" w:eastAsiaTheme="minorEastAsia" w:hAnsiTheme="minorEastAsia"/>
                <w:color w:themeColor="text1" w:val="000000"/>
                <w:kern w:val="0"/>
                <w:sz w:val="21"/>
              </w:rPr>
              <w:t>康泰生物</w:t>
            </w:r>
          </w:p>
        </w:tc>
        <w:tc>
          <w:tcPr>
            <w:vAlign w:val="center"/>
          </w:tcPr>
          <w:p>
            <w:pPr>
              <w:jc w:val="right"/>
            </w:pPr>
            <w:r>
              <w:rPr>
                <w:rFonts w:asciiTheme="minorEastAsia" w:cs="宋体" w:eastAsiaTheme="minorEastAsia" w:hAnsiTheme="minorEastAsia"/>
                <w:color w:themeColor="text1" w:val="000000"/>
                <w:kern w:val="0"/>
                <w:sz w:val="21"/>
              </w:rPr>
              <w:t>30,973.00</w:t>
            </w:r>
          </w:p>
        </w:tc>
        <w:tc>
          <w:tcPr>
            <w:vAlign w:val="center"/>
          </w:tcPr>
          <w:p>
            <w:pPr>
              <w:jc w:val="right"/>
            </w:pPr>
            <w:r>
              <w:rPr>
                <w:rFonts w:asciiTheme="minorEastAsia" w:cs="宋体" w:eastAsiaTheme="minorEastAsia" w:hAnsiTheme="minorEastAsia"/>
                <w:color w:themeColor="text1" w:val="000000"/>
                <w:kern w:val="0"/>
                <w:sz w:val="21"/>
              </w:rPr>
              <w:t>2,299,435.52</w:t>
            </w:r>
          </w:p>
        </w:tc>
        <w:tc>
          <w:tcPr>
            <w:vAlign w:val="center"/>
          </w:tcPr>
          <w:p>
            <w:pPr>
              <w:jc w:val="right"/>
            </w:pPr>
            <w:r>
              <w:rPr>
                <w:rFonts w:asciiTheme="minorEastAsia" w:cs="宋体" w:eastAsiaTheme="minorEastAsia" w:hAnsiTheme="minorEastAsia"/>
                <w:color w:themeColor="text1" w:val="000000"/>
                <w:kern w:val="0"/>
                <w:sz w:val="21"/>
              </w:rPr>
              <w:t>3.55</w:t>
            </w:r>
          </w:p>
        </w:tc>
      </w:tr>
      <w:tr>
        <w:tc>
          <w:tcPr>
            <w:vAlign w:val="center"/>
          </w:tcPr>
          <w:p>
            <w:pPr>
              <w:jc w:val="center"/>
            </w:pPr>
            <w:r>
              <w:rPr>
                <w:rFonts w:asciiTheme="minorEastAsia" w:cs="宋体" w:eastAsiaTheme="minorEastAsia" w:hAnsiTheme="minorEastAsia"/>
                <w:color w:themeColor="text1" w:val="000000"/>
                <w:kern w:val="0"/>
                <w:sz w:val="21"/>
              </w:rPr>
              <w:t>7</w:t>
            </w:r>
          </w:p>
        </w:tc>
        <w:tc>
          <w:tcPr>
            <w:vAlign w:val="center"/>
          </w:tcPr>
          <w:p>
            <w:pPr>
              <w:jc w:val="center"/>
            </w:pPr>
            <w:r>
              <w:rPr>
                <w:rFonts w:asciiTheme="minorEastAsia" w:cs="宋体" w:eastAsiaTheme="minorEastAsia" w:hAnsiTheme="minorEastAsia"/>
                <w:color w:themeColor="text1" w:val="000000"/>
                <w:kern w:val="0"/>
                <w:sz w:val="21"/>
              </w:rPr>
              <w:t>600276</w:t>
            </w:r>
          </w:p>
        </w:tc>
        <w:tc>
          <w:tcPr>
            <w:vAlign w:val="center"/>
          </w:tcPr>
          <w:p>
            <w:pPr>
              <w:jc w:val="center"/>
            </w:pPr>
            <w:r>
              <w:rPr>
                <w:rFonts w:asciiTheme="minorEastAsia" w:cs="宋体" w:eastAsiaTheme="minorEastAsia" w:hAnsiTheme="minorEastAsia"/>
                <w:color w:themeColor="text1" w:val="000000"/>
                <w:kern w:val="0"/>
                <w:sz w:val="21"/>
              </w:rPr>
              <w:t>恒瑞医药</w:t>
            </w:r>
          </w:p>
        </w:tc>
        <w:tc>
          <w:tcPr>
            <w:vAlign w:val="center"/>
          </w:tcPr>
          <w:p>
            <w:pPr>
              <w:jc w:val="right"/>
            </w:pPr>
            <w:r>
              <w:rPr>
                <w:rFonts w:asciiTheme="minorEastAsia" w:cs="宋体" w:eastAsiaTheme="minorEastAsia" w:hAnsiTheme="minorEastAsia"/>
                <w:color w:themeColor="text1" w:val="000000"/>
                <w:kern w:val="0"/>
                <w:sz w:val="21"/>
              </w:rPr>
              <w:t>27,700.00</w:t>
            </w:r>
          </w:p>
        </w:tc>
        <w:tc>
          <w:tcPr>
            <w:vAlign w:val="center"/>
          </w:tcPr>
          <w:p>
            <w:pPr>
              <w:jc w:val="right"/>
            </w:pPr>
            <w:r>
              <w:rPr>
                <w:rFonts w:asciiTheme="minorEastAsia" w:cs="宋体" w:eastAsiaTheme="minorEastAsia" w:hAnsiTheme="minorEastAsia"/>
                <w:color w:themeColor="text1" w:val="000000"/>
                <w:kern w:val="0"/>
                <w:sz w:val="21"/>
              </w:rPr>
              <w:t>2,234,836.00</w:t>
            </w:r>
          </w:p>
        </w:tc>
        <w:tc>
          <w:tcPr>
            <w:vAlign w:val="center"/>
          </w:tcPr>
          <w:p>
            <w:pPr>
              <w:jc w:val="right"/>
            </w:pPr>
            <w:r>
              <w:rPr>
                <w:rFonts w:asciiTheme="minorEastAsia" w:cs="宋体" w:eastAsiaTheme="minorEastAsia" w:hAnsiTheme="minorEastAsia"/>
                <w:color w:themeColor="text1" w:val="000000"/>
                <w:kern w:val="0"/>
                <w:sz w:val="21"/>
              </w:rPr>
              <w:t>3.45</w:t>
            </w:r>
          </w:p>
        </w:tc>
      </w:tr>
      <w:tr>
        <w:tc>
          <w:tcPr>
            <w:vAlign w:val="center"/>
          </w:tcPr>
          <w:p>
            <w:pPr>
              <w:jc w:val="center"/>
            </w:pPr>
            <w:r>
              <w:rPr>
                <w:rFonts w:asciiTheme="minorEastAsia" w:cs="宋体" w:eastAsiaTheme="minorEastAsia" w:hAnsiTheme="minorEastAsia"/>
                <w:color w:themeColor="text1" w:val="000000"/>
                <w:kern w:val="0"/>
                <w:sz w:val="21"/>
              </w:rPr>
              <w:t>8</w:t>
            </w:r>
          </w:p>
        </w:tc>
        <w:tc>
          <w:tcPr>
            <w:vAlign w:val="center"/>
          </w:tcPr>
          <w:p>
            <w:pPr>
              <w:jc w:val="center"/>
            </w:pPr>
            <w:r>
              <w:rPr>
                <w:rFonts w:asciiTheme="minorEastAsia" w:cs="宋体" w:eastAsiaTheme="minorEastAsia" w:hAnsiTheme="minorEastAsia"/>
                <w:color w:themeColor="text1" w:val="000000"/>
                <w:kern w:val="0"/>
                <w:sz w:val="21"/>
              </w:rPr>
              <w:t>603501</w:t>
            </w:r>
          </w:p>
        </w:tc>
        <w:tc>
          <w:tcPr>
            <w:vAlign w:val="center"/>
          </w:tcPr>
          <w:p>
            <w:pPr>
              <w:jc w:val="center"/>
            </w:pPr>
            <w:r>
              <w:rPr>
                <w:rFonts w:asciiTheme="minorEastAsia" w:cs="宋体" w:eastAsiaTheme="minorEastAsia" w:hAnsiTheme="minorEastAsia"/>
                <w:color w:themeColor="text1" w:val="000000"/>
                <w:kern w:val="0"/>
                <w:sz w:val="21"/>
              </w:rPr>
              <w:t>韦尔股份</w:t>
            </w:r>
          </w:p>
        </w:tc>
        <w:tc>
          <w:tcPr>
            <w:vAlign w:val="center"/>
          </w:tcPr>
          <w:p>
            <w:pPr>
              <w:jc w:val="right"/>
            </w:pPr>
            <w:r>
              <w:rPr>
                <w:rFonts w:asciiTheme="minorEastAsia" w:cs="宋体" w:eastAsiaTheme="minorEastAsia" w:hAnsiTheme="minorEastAsia"/>
                <w:color w:themeColor="text1" w:val="000000"/>
                <w:kern w:val="0"/>
                <w:sz w:val="21"/>
              </w:rPr>
              <w:t>22,700.00</w:t>
            </w:r>
          </w:p>
        </w:tc>
        <w:tc>
          <w:tcPr>
            <w:vAlign w:val="center"/>
          </w:tcPr>
          <w:p>
            <w:pPr>
              <w:jc w:val="right"/>
            </w:pPr>
            <w:r>
              <w:rPr>
                <w:rFonts w:asciiTheme="minorEastAsia" w:cs="宋体" w:eastAsiaTheme="minorEastAsia" w:hAnsiTheme="minorEastAsia"/>
                <w:color w:themeColor="text1" w:val="000000"/>
                <w:kern w:val="0"/>
                <w:sz w:val="21"/>
              </w:rPr>
              <w:t>2,227,097.00</w:t>
            </w:r>
          </w:p>
        </w:tc>
        <w:tc>
          <w:tcPr>
            <w:vAlign w:val="center"/>
          </w:tcPr>
          <w:p>
            <w:pPr>
              <w:jc w:val="right"/>
            </w:pPr>
            <w:r>
              <w:rPr>
                <w:rFonts w:asciiTheme="minorEastAsia" w:cs="宋体" w:eastAsiaTheme="minorEastAsia" w:hAnsiTheme="minorEastAsia"/>
                <w:color w:themeColor="text1" w:val="000000"/>
                <w:kern w:val="0"/>
                <w:sz w:val="21"/>
              </w:rPr>
              <w:t>3.43</w:t>
            </w:r>
          </w:p>
        </w:tc>
      </w:tr>
      <w:tr>
        <w:tc>
          <w:tcPr>
            <w:vAlign w:val="center"/>
          </w:tcPr>
          <w:p>
            <w:pPr>
              <w:jc w:val="center"/>
            </w:pPr>
            <w:r>
              <w:rPr>
                <w:rFonts w:asciiTheme="minorEastAsia" w:cs="宋体" w:eastAsiaTheme="minorEastAsia" w:hAnsiTheme="minorEastAsia"/>
                <w:color w:themeColor="text1" w:val="000000"/>
                <w:kern w:val="0"/>
                <w:sz w:val="21"/>
              </w:rPr>
              <w:t>9</w:t>
            </w:r>
          </w:p>
        </w:tc>
        <w:tc>
          <w:tcPr>
            <w:vAlign w:val="center"/>
          </w:tcPr>
          <w:p>
            <w:pPr>
              <w:jc w:val="center"/>
            </w:pPr>
            <w:r>
              <w:rPr>
                <w:rFonts w:asciiTheme="minorEastAsia" w:cs="宋体" w:eastAsiaTheme="minorEastAsia" w:hAnsiTheme="minorEastAsia"/>
                <w:color w:themeColor="text1" w:val="000000"/>
                <w:kern w:val="0"/>
                <w:sz w:val="21"/>
              </w:rPr>
              <w:t>600519</w:t>
            </w:r>
          </w:p>
        </w:tc>
        <w:tc>
          <w:tcPr>
            <w:vAlign w:val="center"/>
          </w:tcPr>
          <w:p>
            <w:pPr>
              <w:jc w:val="center"/>
            </w:pPr>
            <w:r>
              <w:rPr>
                <w:rFonts w:asciiTheme="minorEastAsia" w:cs="宋体" w:eastAsiaTheme="minorEastAsia" w:hAnsiTheme="minorEastAsia"/>
                <w:color w:themeColor="text1" w:val="000000"/>
                <w:kern w:val="0"/>
                <w:sz w:val="21"/>
              </w:rPr>
              <w:t>贵州茅台</w:t>
            </w:r>
          </w:p>
        </w:tc>
        <w:tc>
          <w:tcPr>
            <w:vAlign w:val="center"/>
          </w:tcPr>
          <w:p>
            <w:pPr>
              <w:jc w:val="right"/>
            </w:pPr>
            <w:r>
              <w:rPr>
                <w:rFonts w:asciiTheme="minorEastAsia" w:cs="宋体" w:eastAsiaTheme="minorEastAsia" w:hAnsiTheme="minorEastAsia"/>
                <w:color w:themeColor="text1" w:val="000000"/>
                <w:kern w:val="0"/>
                <w:sz w:val="21"/>
              </w:rPr>
              <w:t>1,857.00</w:t>
            </w:r>
          </w:p>
        </w:tc>
        <w:tc>
          <w:tcPr>
            <w:vAlign w:val="center"/>
          </w:tcPr>
          <w:p>
            <w:pPr>
              <w:jc w:val="right"/>
            </w:pPr>
            <w:r>
              <w:rPr>
                <w:rFonts w:asciiTheme="minorEastAsia" w:cs="宋体" w:eastAsiaTheme="minorEastAsia" w:hAnsiTheme="minorEastAsia"/>
                <w:color w:themeColor="text1" w:val="000000"/>
                <w:kern w:val="0"/>
                <w:sz w:val="21"/>
              </w:rPr>
              <w:t>2,135,550.00</w:t>
            </w:r>
          </w:p>
        </w:tc>
        <w:tc>
          <w:tcPr>
            <w:vAlign w:val="center"/>
          </w:tcPr>
          <w:p>
            <w:pPr>
              <w:jc w:val="right"/>
            </w:pPr>
            <w:r>
              <w:rPr>
                <w:rFonts w:asciiTheme="minorEastAsia" w:cs="宋体" w:eastAsiaTheme="minorEastAsia" w:hAnsiTheme="minorEastAsia"/>
                <w:color w:themeColor="text1" w:val="000000"/>
                <w:kern w:val="0"/>
                <w:sz w:val="21"/>
              </w:rPr>
              <w:t>3.29</w:t>
            </w:r>
          </w:p>
        </w:tc>
      </w:tr>
      <w:tr>
        <w:tc>
          <w:tcPr>
            <w:vAlign w:val="center"/>
          </w:tcPr>
          <w:p>
            <w:pPr>
              <w:jc w:val="center"/>
            </w:pPr>
            <w:r>
              <w:rPr>
                <w:rFonts w:asciiTheme="minorEastAsia" w:cs="宋体" w:eastAsiaTheme="minorEastAsia" w:hAnsiTheme="minorEastAsia"/>
                <w:color w:themeColor="text1" w:val="000000"/>
                <w:kern w:val="0"/>
                <w:sz w:val="21"/>
              </w:rPr>
              <w:t>10</w:t>
            </w:r>
          </w:p>
        </w:tc>
        <w:tc>
          <w:tcPr>
            <w:vAlign w:val="center"/>
          </w:tcPr>
          <w:p>
            <w:pPr>
              <w:jc w:val="center"/>
            </w:pPr>
            <w:r>
              <w:rPr>
                <w:rFonts w:asciiTheme="minorEastAsia" w:cs="宋体" w:eastAsiaTheme="minorEastAsia" w:hAnsiTheme="minorEastAsia"/>
                <w:color w:themeColor="text1" w:val="000000"/>
                <w:kern w:val="0"/>
                <w:sz w:val="21"/>
              </w:rPr>
              <w:t>603259</w:t>
            </w:r>
          </w:p>
        </w:tc>
        <w:tc>
          <w:tcPr>
            <w:vAlign w:val="center"/>
          </w:tcPr>
          <w:p>
            <w:pPr>
              <w:jc w:val="center"/>
            </w:pPr>
            <w:r>
              <w:rPr>
                <w:rFonts w:asciiTheme="minorEastAsia" w:cs="宋体" w:eastAsiaTheme="minorEastAsia" w:hAnsiTheme="minorEastAsia"/>
                <w:color w:themeColor="text1" w:val="000000"/>
                <w:kern w:val="0"/>
                <w:sz w:val="21"/>
              </w:rPr>
              <w:t>药明康德</w:t>
            </w:r>
          </w:p>
        </w:tc>
        <w:tc>
          <w:tcPr>
            <w:vAlign w:val="center"/>
          </w:tcPr>
          <w:p>
            <w:pPr>
              <w:jc w:val="right"/>
            </w:pPr>
            <w:r>
              <w:rPr>
                <w:rFonts w:asciiTheme="minorEastAsia" w:cs="宋体" w:eastAsiaTheme="minorEastAsia" w:hAnsiTheme="minorEastAsia"/>
                <w:color w:themeColor="text1" w:val="000000"/>
                <w:kern w:val="0"/>
                <w:sz w:val="21"/>
              </w:rPr>
              <w:t>23,476.00</w:t>
            </w:r>
          </w:p>
        </w:tc>
        <w:tc>
          <w:tcPr>
            <w:vAlign w:val="center"/>
          </w:tcPr>
          <w:p>
            <w:pPr>
              <w:jc w:val="right"/>
            </w:pPr>
            <w:r>
              <w:rPr>
                <w:rFonts w:asciiTheme="minorEastAsia" w:cs="宋体" w:eastAsiaTheme="minorEastAsia" w:hAnsiTheme="minorEastAsia"/>
                <w:color w:themeColor="text1" w:val="000000"/>
                <w:kern w:val="0"/>
                <w:sz w:val="21"/>
              </w:rPr>
              <w:t>2,035,369.20</w:t>
            </w:r>
          </w:p>
        </w:tc>
        <w:tc>
          <w:tcPr>
            <w:vAlign w:val="center"/>
          </w:tcPr>
          <w:p>
            <w:pPr>
              <w:jc w:val="right"/>
            </w:pPr>
            <w:r>
              <w:rPr>
                <w:rFonts w:asciiTheme="minorEastAsia" w:cs="宋体" w:eastAsiaTheme="minorEastAsia" w:hAnsiTheme="minorEastAsia"/>
                <w:color w:themeColor="text1" w:val="000000"/>
                <w:kern w:val="0"/>
                <w:sz w:val="21"/>
              </w:rPr>
              <w:t>3.14</w:t>
            </w:r>
          </w:p>
        </w:tc>
      </w:tr>
    </w:tbl>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5.4 </w:t>
      </w:r>
      <w:r>
        <w:rPr>
          <w:rFonts w:asciiTheme="minorEastAsia" w:eastAsiaTheme="minorEastAsia" w:hAnsiTheme="minorEastAsia" w:hint="eastAsia"/>
          <w:b/>
          <w:bCs/>
          <w:color w:themeColor="text1" w:val="000000"/>
          <w:kern w:val="0"/>
          <w:sz w:val="24"/>
          <w:szCs w:val="24"/>
        </w:rPr>
        <w:t>报告期末按债券品种分类的债券投资组合</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5.5 </w:t>
      </w:r>
      <w:r>
        <w:rPr>
          <w:rFonts w:asciiTheme="minorEastAsia" w:eastAsiaTheme="minorEastAsia" w:hAnsiTheme="minorEastAsia" w:hint="eastAsia"/>
          <w:b/>
          <w:bCs/>
          <w:color w:themeColor="text1" w:val="000000"/>
          <w:kern w:val="0"/>
          <w:sz w:val="24"/>
          <w:szCs w:val="24"/>
        </w:rPr>
        <w:t>报告期末按公允价值占基金资产净值比例大小排序的前五名债券投资明细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本基金本报告期末未持有债券。</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xml:space="preserve">5.6 </w:t>
      </w:r>
      <w:r>
        <w:rPr>
          <w:rFonts w:asciiTheme="minorEastAsia" w:eastAsiaTheme="minorEastAsia" w:hAnsiTheme="minorEastAsia" w:hint="eastAsia"/>
          <w:b/>
          <w:bCs/>
          <w:color w:themeColor="text1" w:val="000000"/>
          <w:kern w:val="0"/>
          <w:sz w:val="24"/>
          <w:szCs w:val="24"/>
        </w:rPr>
        <w:t>报告期末按公允价值占基金资产净值比例大小排序的前十名资产支持证券投资明细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本基金本报告期末未持有资产支持证券。</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5.7 报告期末按公允价值占基金资产净值比例大小排序的前五名贵金属投资明细</w:t>
      </w:r>
    </w:p>
    <w:p>
      <w:pPr>
        <w:widowControl/>
        <w:spacing w:line="360" w:lineRule="auto"/>
        <w:jc w:val="left"/>
        <w:rPr>
          <w:rFonts w:ascii="宋体" w:hAnsi="宋体"/>
          <w:color w:themeColor="text1" w:val="000000"/>
        </w:rPr>
      </w:pPr>
      <w:r>
        <w:rPr>
          <w:rFonts w:ascii="宋体" w:hAnsi="宋体"/>
          <w:color w:themeColor="text1" w:val="000000"/>
        </w:rPr>
        <w:t>本基金本报告期末未持有贵金属。</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5.8</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报告期末按公允价值占基金资产净值比例大小排序的前五名权证投资明细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本基金本报告期末未持有权证。</w:t>
      </w:r>
    </w:p>
    <w:p>
      <w:pPr>
        <w:autoSpaceDE w:val="0"/>
        <w:autoSpaceDN w:val="0"/>
        <w:adjustRightInd w:val="0"/>
        <w:spacing w:line="360" w:lineRule="auto"/>
        <w:jc w:val="left"/>
        <w:rPr>
          <w:rFonts w:asciiTheme="minorEastAsia" w:eastAsiaTheme="minorEastAsia" w:hAnsiTheme="minorEastAsia"/>
          <w:color w:themeColor="text1" w:val="000000"/>
          <w:kern w:val="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5.9 报告期末本基金投资的股指期货交易情况说明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本基金本报告期末未持有股指期货。</w:t>
      </w:r>
    </w:p>
    <w:p>
      <w:pPr>
        <w:adjustRightInd w:val="0"/>
        <w:snapToGrid w:val="0"/>
        <w:spacing w:line="360" w:lineRule="exact"/>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5.10报告期末本基金投资的国债期货交易情况说明</w:t>
      </w:r>
    </w:p>
    <w:p>
      <w:pPr>
        <w:autoSpaceDE w:val="0"/>
        <w:autoSpaceDN w:val="0"/>
        <w:adjustRightInd w:val="0"/>
        <w:spacing w:line="360" w:lineRule="auto"/>
        <w:jc w:val="left"/>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
      </w:r>
      <w:r>
        <w:rPr>
          <w:rFonts w:asciiTheme="minorEastAsia" w:eastAsiaTheme="minorEastAsia" w:hAnsiTheme="minorEastAsia"/>
          <w:color w:themeColor="text1" w:val="000000"/>
          <w:sz w:val="24"/>
          <w:szCs w:val="24"/>
        </w:rPr>
        <w:t>本基金本报告期末未持有国债期货。</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b/>
          <w:bCs/>
          <w:color w:themeColor="text1" w:val="000000"/>
          <w:kern w:val="0"/>
          <w:sz w:val="24"/>
          <w:szCs w:val="24"/>
        </w:rPr>
        <w:t/>
      </w:r>
      <w:r>
        <w:rPr>
          <w:rFonts w:asciiTheme="minorEastAsia" w:eastAsiaTheme="minorEastAsia" w:hAnsiTheme="minorEastAsia" w:hint="eastAsia"/>
          <w:b/>
          <w:bCs/>
          <w:color w:themeColor="text1" w:val="000000"/>
          <w:kern w:val="0"/>
          <w:sz w:val="24"/>
          <w:szCs w:val="24"/>
        </w:rPr>
        <w:t/>
      </w:r>
      <w:r>
        <w:rPr>
          <w:rFonts w:asciiTheme="minorEastAsia" w:eastAsiaTheme="minorEastAsia" w:hAnsiTheme="minorEastAsia"/>
          <w:b/>
          <w:bCs/>
          <w:color w:themeColor="text1" w:val="000000"/>
          <w:kern w:val="0"/>
          <w:sz w:val="24"/>
          <w:szCs w:val="24"/>
        </w:rPr>
        <w:t>5.</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投资组合报告附注</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w:t>
      </w:r>
      <w:r>
        <w:rPr>
          <w:rFonts w:asciiTheme="minorEastAsia" w:eastAsiaTheme="minorEastAsia" w:hAnsiTheme="minorEastAsia"/>
          <w:color w:themeColor="text1" w:val="000000"/>
          <w:sz w:val="24"/>
          <w:szCs w:val="24"/>
        </w:rPr>
        <w:t>报告期内本基金投资的前十名证券的发行主体本期没有出现被监管部门立案调查，或在报告编制日前一年内受到公开谴责、处罚的情形。</w:t>
      </w:r>
    </w:p>
    <w:p>
      <w:pPr>
        <w:spacing w:line="360" w:lineRule="auto"/>
        <w:rPr>
          <w:rFonts w:asciiTheme="minorEastAsia" w:eastAsiaTheme="minorEastAsia" w:hAnsiTheme="minorEastAsia"/>
          <w:color w:themeColor="text1" w:val="000000"/>
          <w:sz w:val="24"/>
          <w:szCs w:val="24"/>
        </w:rPr>
      </w:pPr>
      <w:r>
        <w:rPr>
          <w:rFonts w:asciiTheme="minorEastAsia" w:eastAsiaTheme="minorEastAsia" w:hAnsiTheme="minorEastAsia" w:hint="eastAsia"/>
          <w:color w:themeColor="text1" w:val="000000"/>
          <w:sz w:val="24"/>
          <w:szCs w:val="24"/>
        </w:rPr>
        <w:t>5</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11</w:t>
      </w:r>
      <w:r>
        <w:rPr>
          <w:rFonts w:asciiTheme="minorEastAsia" w:eastAsiaTheme="minorEastAsia" w:hAnsiTheme="minorEastAsia"/>
          <w:color w:themeColor="text1" w:val="000000"/>
          <w:sz w:val="24"/>
          <w:szCs w:val="24"/>
        </w:rPr>
        <w:t>.</w:t>
      </w:r>
      <w:r>
        <w:rPr>
          <w:rFonts w:asciiTheme="minorEastAsia" w:eastAsiaTheme="minorEastAsia" w:hAnsiTheme="minorEastAsia" w:hint="eastAsia"/>
          <w:color w:themeColor="text1" w:val="000000"/>
          <w:sz w:val="24"/>
          <w:szCs w:val="24"/>
        </w:rPr>
        <w:t>2</w:t>
      </w:r>
      <w:r>
        <w:rPr>
          <w:rFonts w:asciiTheme="minorEastAsia" w:eastAsiaTheme="minorEastAsia" w:hAnsiTheme="minorEastAsia"/>
          <w:color w:themeColor="text1" w:val="000000"/>
          <w:sz w:val="24"/>
          <w:szCs w:val="24"/>
        </w:rPr>
        <w:t>报告期内本基金投资的前十名股票中没有在基金合同规定备选股票库之外的股票。</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其他资产构成</w:t>
      </w:r>
    </w:p>
    <w:tbl>
      <w:tblPr>
        <w:tblStyle w:val="31"/>
        <w:tblW w:type="dxa" w:w="8513"/>
        <w:tblInd w:type="dxa" w:w="15"/>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tblGrid>
        <w:gridCol w:w="1235"/>
        <w:gridCol w:w="2470"/>
        <w:gridCol w:w="4808"/>
      </w:tblGrid>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序号</w:t>
            </w:r>
          </w:p>
        </w:tc>
        <w:tc>
          <w:tcPr>
            <w:tcW w:type="dxa" w:w="2470"/>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名称</w:t>
            </w:r>
          </w:p>
        </w:tc>
        <w:tc>
          <w:tcPr>
            <w:tcW w:type="dxa" w:w="4808"/>
            <w:vAlign w:val="center"/>
          </w:tcPr>
          <w:p>
            <w:pPr>
              <w:autoSpaceDE w:val="0"/>
              <w:autoSpaceDN w:val="0"/>
              <w:adjustRightInd w:val="0"/>
              <w:spacing w:before="29" w:line="360" w:lineRule="auto"/>
              <w:ind w:left="17"/>
              <w:jc w:val="center"/>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金额(元)</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存出保证金</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38,656.96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2</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应收证券清算款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3</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应收股利</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4</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应收利息</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1,982.66</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5</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应收申购款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121,962.24</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6</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其他应收款</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7</w:t>
            </w:r>
          </w:p>
        </w:tc>
        <w:tc>
          <w:tcPr>
            <w:tcW w:type="dxa" w:w="2470"/>
            <w:vAlign w:val="center"/>
          </w:tcPr>
          <w:p>
            <w:pPr>
              <w:autoSpaceDE w:val="0"/>
              <w:autoSpaceDN w:val="0"/>
              <w:adjustRightInd w:val="0"/>
              <w:spacing w:before="29" w:line="360" w:lineRule="auto"/>
              <w:ind w:left="15"/>
              <w:rPr>
                <w:rFonts w:asciiTheme="minorEastAsia" w:cs="宋体"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待摊费用</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
            </w:r>
            <w:r>
              <w:rPr>
                <w:rFonts w:asciiTheme="minorEastAsia" w:eastAsiaTheme="minorEastAsia" w:hAnsiTheme="minorEastAsia"/>
                <w:color w:themeColor="text1" w:val="000000"/>
                <w:kern w:val="0"/>
                <w:sz w:val="21"/>
              </w:rPr>
              <w:t/>
            </w:r>
            <w:r>
              <w:rPr>
                <w:rFonts w:asciiTheme="minorEastAsia" w:eastAsiaTheme="minorEastAsia" w:hAnsiTheme="minorEastAsia" w:hint="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8</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其他</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w:t>
            </w:r>
          </w:p>
        </w:tc>
      </w:tr>
      <w:tr>
        <w:tblPrEx>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Ex>
        <w:tc>
          <w:tcPr>
            <w:tcW w:type="dxa" w:w="1235"/>
            <w:vAlign w:val="center"/>
          </w:tcPr>
          <w:p>
            <w:pPr>
              <w:autoSpaceDE w:val="0"/>
              <w:autoSpaceDN w:val="0"/>
              <w:adjustRightInd w:val="0"/>
              <w:spacing w:before="29" w:line="360" w:lineRule="auto"/>
              <w:ind w:left="15"/>
              <w:jc w:val="center"/>
              <w:rPr>
                <w:rFonts w:asciiTheme="minorEastAsia" w:eastAsiaTheme="minorEastAsia" w:hAnsiTheme="minorEastAsia"/>
                <w:color w:themeColor="text1" w:val="000000"/>
                <w:kern w:val="0"/>
                <w:sz w:val="21"/>
              </w:rPr>
            </w:pPr>
            <w:r>
              <w:rPr>
                <w:rFonts w:asciiTheme="minorEastAsia" w:eastAsiaTheme="minorEastAsia" w:hAnsiTheme="minorEastAsia" w:hint="eastAsia"/>
                <w:color w:themeColor="text1" w:val="000000"/>
                <w:kern w:val="0"/>
                <w:sz w:val="21"/>
              </w:rPr>
              <w:t>9</w:t>
            </w:r>
          </w:p>
        </w:tc>
        <w:tc>
          <w:tcPr>
            <w:tcW w:type="dxa" w:w="2470"/>
            <w:vAlign w:val="center"/>
          </w:tcPr>
          <w:p>
            <w:pPr>
              <w:autoSpaceDE w:val="0"/>
              <w:autoSpaceDN w:val="0"/>
              <w:adjustRightInd w:val="0"/>
              <w:spacing w:before="29" w:line="360" w:lineRule="auto"/>
              <w:ind w:left="15"/>
              <w:rPr>
                <w:rFonts w:asciiTheme="minorEastAsia" w:eastAsiaTheme="minorEastAsia" w:hAnsiTheme="minorEastAsia"/>
                <w:color w:themeColor="text1" w:val="000000"/>
                <w:kern w:val="0"/>
                <w:sz w:val="21"/>
              </w:rPr>
            </w:pPr>
            <w:r>
              <w:rPr>
                <w:rFonts w:asciiTheme="minorEastAsia" w:cs="宋体" w:eastAsiaTheme="minorEastAsia" w:hAnsiTheme="minorEastAsia" w:hint="eastAsia"/>
                <w:color w:themeColor="text1" w:val="000000"/>
                <w:kern w:val="0"/>
                <w:sz w:val="21"/>
              </w:rPr>
              <w:t>合计</w:t>
            </w:r>
          </w:p>
        </w:tc>
        <w:tc>
          <w:tcPr>
            <w:tcW w:type="dxa" w:w="4808"/>
            <w:vAlign w:val="center"/>
          </w:tcPr>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1"/>
              </w:rPr>
            </w:pPr>
            <w:r>
              <w:rPr>
                <w:rFonts w:asciiTheme="minorEastAsia" w:eastAsiaTheme="minorEastAsia" w:hAnsiTheme="minorEastAsia"/>
                <w:color w:themeColor="text1" w:val="000000"/>
                <w:kern w:val="0"/>
                <w:sz w:val="21"/>
              </w:rPr>
              <w:t>162,601.86</w:t>
            </w:r>
          </w:p>
        </w:tc>
      </w:tr>
    </w:tbl>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4报告期末持有的处于转股期的可转换债券明细</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本基金本报告期末未持有处于转股期的可转换债券。</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5报告期末前十名股票中存在流通受限情况的说明</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本基金本报告期末前十名股票中不存在流通受限情况。</w:t>
      </w:r>
    </w:p>
    <w:p>
      <w:pPr>
        <w:autoSpaceDE w:val="0"/>
        <w:autoSpaceDN w:val="0"/>
        <w:adjustRightInd w:val="0"/>
        <w:spacing w:line="360" w:lineRule="auto"/>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5</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11</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6投资组合报告附注的其他文字描述部分</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color w:themeColor="text1" w:val="000000"/>
        </w:rPr>
        <w:t>因四舍五入原因,投资组合报告中分项之和与合计可能存在尾差。</w:t>
      </w: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w:t>
      </w:r>
      <w:r>
        <w:rPr>
          <w:rFonts w:asciiTheme="minorEastAsia" w:eastAsiaTheme="minorEastAsia" w:hAnsiTheme="minorEastAsia"/>
          <w:color w:themeColor="text1" w:val="000000"/>
          <w:kern w:val="0"/>
          <w:sz w:val="24"/>
          <w:szCs w:val="24"/>
        </w:rPr>
        <w:t xml:space="preserve">6  </w:t>
      </w:r>
      <w:r>
        <w:rPr>
          <w:rFonts w:asciiTheme="minorEastAsia" w:eastAsiaTheme="minorEastAsia" w:hAnsiTheme="minorEastAsia" w:hint="eastAsia"/>
          <w:color w:themeColor="text1" w:val="000000"/>
          <w:kern w:val="0"/>
          <w:sz w:val="24"/>
          <w:szCs w:val="24"/>
        </w:rPr>
        <w:t>开放式基金份额变动</w:t>
      </w:r>
    </w:p>
    <w:p>
      <w:pPr>
        <w:autoSpaceDE w:val="0"/>
        <w:autoSpaceDN w:val="0"/>
        <w:adjustRightInd w:val="0"/>
        <w:spacing w:before="29" w:line="360" w:lineRule="auto"/>
        <w:ind w:left="15"/>
        <w:jc w:val="right"/>
        <w:rPr>
          <w:rFonts w:asciiTheme="minorEastAsia" w:eastAsiaTheme="minorEastAsia" w:hAnsiTheme="minorEastAsia"/>
          <w:color w:themeColor="text1" w:val="000000"/>
          <w:kern w:val="0"/>
          <w:sz w:val="24"/>
          <w:szCs w:val="24"/>
        </w:rPr>
      </w:pPr>
      <w:r>
        <w:rPr>
          <w:rFonts w:asciiTheme="minorEastAsia" w:cs="宋体" w:eastAsiaTheme="minorEastAsia" w:hAnsiTheme="minorEastAsia" w:hint="eastAsia"/>
          <w:color w:themeColor="text1" w:val="000000"/>
          <w:kern w:val="0"/>
          <w:sz w:val="24"/>
          <w:szCs w:val="24"/>
        </w:rPr>
        <w:t>单位：份</w:t>
      </w:r>
    </w:p>
    <w:tbl>
      <w:tblPr>
        <w:tblStyle w:val="30"/>
        <w:tblW w:type="dxa" w:w="8634"/>
        <w:tblInd w:type="dxa" w:w="-106"/>
        <w:tblLayout w:type="fixed"/>
        <w:tblCellMar>
          <w:top w:type="dxa" w:w="0"/>
          <w:left w:type="dxa" w:w="108"/>
          <w:bottom w:type="dxa" w:w="0"/>
          <w:right w:type="dxa" w:w="108"/>
        </w:tblCellMar>
      </w:tblPr>
      <w:tblGrid>
        <w:gridCol w:w="4609"/>
        <w:gridCol w:w="4025"/>
      </w:tblGrid>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60,902,664.86</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2,768,075.75</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减：</w:t>
            </w: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6,224,795.51</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color w:themeColor="text1" w:val="000000"/>
                <w:kern w:val="0"/>
              </w:rPr>
              <w:t/>
            </w:r>
            <w:r>
              <w:rPr>
                <w:rFonts w:eastAsiaTheme="minorEastAsia" w:hint="eastAsia"/>
                <w:color w:themeColor="text1" w:val="000000"/>
                <w:kern w:val="0"/>
              </w:rPr>
              <w:t/>
            </w:r>
            <w:r>
              <w:rPr>
                <w:rFonts w:eastAsiaTheme="minorEastAsia" w:hint="eastAsia"/>
                <w:color w:themeColor="text1" w:val="000000"/>
              </w:rPr>
              <w:t/>
            </w:r>
            <w:r>
              <w:rPr>
                <w:rFonts w:asciiTheme="minorEastAsia" w:cs="宋体" w:eastAsiaTheme="minorEastAsia" w:hAnsiTheme="minorEastAsia"/>
                <w:color w:themeColor="text1" w:val="000000"/>
                <w:kern w:val="0"/>
              </w:rPr>
              <w:t>报告期</w:t>
            </w:r>
            <w:r>
              <w:rPr>
                <w:rFonts w:asciiTheme="minorEastAsia" w:cs="宋体" w:eastAsiaTheme="minorEastAsia" w:hAnsiTheme="minorEastAsia" w:hint="eastAsia"/>
                <w:color w:themeColor="text1" w:val="000000"/>
                <w:kern w:val="0"/>
              </w:rPr>
              <w:t>基金拆分变动份额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eastAsiaTheme="minorEastAsia" w:hAnsiTheme="minorEastAsia"/>
                <w:color w:themeColor="text1" w:val="000000"/>
              </w:rPr>
              <w:t/>
            </w:r>
            <w:r>
              <w:rPr>
                <w:rFonts w:asciiTheme="minorEastAsia" w:cs="宋体" w:eastAsiaTheme="minorEastAsia" w:hAnsiTheme="minorEastAsia"/>
                <w:color w:themeColor="text1" w:val="000000"/>
              </w:rPr>
              <w:t>-</w:t>
            </w:r>
          </w:p>
        </w:tc>
      </w:tr>
      <w:tr>
        <w:tblPrEx>
          <w:tblLayout w:type="fixed"/>
          <w:tblCellMar>
            <w:top w:type="dxa" w:w="0"/>
            <w:left w:type="dxa" w:w="108"/>
            <w:bottom w:type="dxa" w:w="0"/>
            <w:right w:type="dxa" w:w="108"/>
          </w:tblCellMar>
        </w:tblPrEx>
        <w:tc>
          <w:tcPr>
            <w:tcW w:type="dxa" w:w="4609"/>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rPr>
                <w:rFonts w:asciiTheme="minorEastAsia" w:eastAsiaTheme="minorEastAsia" w:hAnsiTheme="minorEastAsia"/>
                <w:color w:themeColor="text1" w:val="000000"/>
                <w:kern w:val="0"/>
              </w:rPr>
            </w:pPr>
            <w:r>
              <w:rPr>
                <w:rFonts w:asciiTheme="minorEastAsia" w:cs="宋体" w:eastAsiaTheme="minorEastAsia" w:hAnsiTheme="minorEastAsia" w:hint="eastAsia"/>
                <w:color w:themeColor="text1" w:val="000000"/>
                <w:kern w:val="0"/>
              </w:rPr>
              <w:t>本报告期期末基金份额总额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pPr>
              <w:autoSpaceDE w:val="0"/>
              <w:autoSpaceDN w:val="0"/>
              <w:adjustRightInd w:val="0"/>
              <w:spacing w:before="29" w:line="360" w:lineRule="auto"/>
              <w:ind w:left="17"/>
              <w:jc w:val="right"/>
              <w:rPr>
                <w:rFonts w:asciiTheme="minorEastAsia" w:cs="宋体" w:eastAsiaTheme="minorEastAsia" w:hAnsiTheme="minorEastAsia"/>
                <w:color w:themeColor="text1" w:val="000000"/>
              </w:rPr>
            </w:pPr>
            <w:r>
              <w:rPr>
                <w:rFonts w:asciiTheme="minorEastAsia" w:cs="宋体" w:eastAsiaTheme="minorEastAsia" w:hAnsiTheme="minorEastAsia" w:hint="eastAsia"/>
                <w:color w:themeColor="text1" w:val="000000"/>
              </w:rPr>
              <w:t/>
            </w:r>
            <w:r>
              <w:rPr>
                <w:rFonts w:asciiTheme="minorEastAsia" w:cs="宋体" w:eastAsiaTheme="minorEastAsia" w:hAnsiTheme="minorEastAsia"/>
                <w:color w:themeColor="text1" w:val="000000"/>
              </w:rPr>
              <w:t/>
            </w:r>
            <w:r>
              <w:rPr>
                <w:rFonts w:asciiTheme="minorEastAsia" w:cs="宋体" w:eastAsiaTheme="minorEastAsia" w:hAnsiTheme="minorEastAsia" w:hint="eastAsia"/>
                <w:color w:themeColor="text1" w:val="000000"/>
              </w:rPr>
              <w:t>57,445,945.10</w:t>
            </w:r>
          </w:p>
        </w:tc>
      </w:tr>
    </w:tbl>
    <w:p>
      <w:pPr>
        <w:pStyle w:val="2"/>
        <w:tabs>
          <w:tab w:pos="4156" w:val="center"/>
          <w:tab w:pos="8312" w:val="right"/>
        </w:tabs>
        <w:spacing w:afterLines="100" w:beforeLines="100" w:line="360" w:lineRule="auto"/>
        <w:jc w:val="center"/>
        <w:rPr>
          <w:rFonts w:ascii="方正仿宋简体"/>
          <w:color w:themeColor="text1" w:val="000000"/>
          <w:sz w:val="24"/>
          <w:szCs w:val="24"/>
        </w:rPr>
      </w:pPr>
      <w:r>
        <w:rPr>
          <w:rFonts w:asciiTheme="minorEastAsia" w:eastAsiaTheme="minorEastAsia" w:hAnsiTheme="minorEastAsia" w:hint="eastAsia"/>
          <w:color w:themeColor="text1" w:val="000000"/>
          <w:kern w:val="0"/>
          <w:sz w:val="24"/>
          <w:szCs w:val="24"/>
        </w:rPr>
        <w:t/>
      </w:r>
      <w:r>
        <w:rPr>
          <w:rFonts w:asciiTheme="minorEastAsia" w:cs="Arial" w:eastAsiaTheme="minorEastAsia" w:hAnsiTheme="minorEastAsia" w:hint="eastAsia"/>
          <w:color w:themeColor="text1" w:val="000000"/>
          <w:kern w:val="0"/>
          <w:sz w:val="24"/>
          <w:szCs w:val="24"/>
        </w:rPr>
        <w:t xml:space="preserve">§7  </w:t>
      </w:r>
      <w:r>
        <w:rPr>
          <w:rFonts w:ascii="方正仿宋简体" w:hint="eastAsia"/>
          <w:color w:themeColor="text1" w:val="000000"/>
          <w:sz w:val="24"/>
          <w:szCs w:val="24"/>
        </w:rPr>
        <w:t>基金管理人运用固有资金投资本基金情况</w:t>
      </w:r>
    </w:p>
    <w:p>
      <w:pPr>
        <w:spacing w:line="360" w:lineRule="auto"/>
        <w:jc w:val="left"/>
        <w:rPr>
          <w:color w:themeColor="text1" w:val="000000"/>
          <w:sz w:val="24"/>
          <w:szCs w:val="24"/>
        </w:rPr>
      </w:pPr>
      <w:r>
        <w:rPr>
          <w:b/>
          <w:color w:themeColor="text1" w:val="000000"/>
          <w:sz w:val="24"/>
        </w:rPr>
        <w:t xml:space="preserve">7.1 </w:t>
      </w:r>
      <w:r>
        <w:rPr>
          <w:rFonts w:hint="eastAsia"/>
          <w:b/>
          <w:color w:themeColor="text1" w:val="000000"/>
          <w:sz w:val="24"/>
        </w:rPr>
        <w:t>基金管理人持有本基金份额变动情况</w:t>
      </w:r>
    </w:p>
    <w:p>
      <w:pPr>
        <w:autoSpaceDE w:val="0"/>
        <w:autoSpaceDN w:val="0"/>
        <w:adjustRightInd w:val="0"/>
        <w:spacing w:line="360" w:lineRule="auto"/>
        <w:jc w:val="left"/>
        <w:rPr>
          <w:rFonts w:asciiTheme="minorEastAsia" w:eastAsiaTheme="minorEastAsia" w:hAnsiTheme="minorEastAsia"/>
          <w:color w:themeColor="text1" w:val="000000"/>
        </w:rPr>
      </w:pPr>
      <w:r>
        <w:rPr>
          <w:rFonts w:asciiTheme="minorEastAsia" w:cs="宋体" w:eastAsiaTheme="minorEastAsia" w:hAnsiTheme="minorEastAsia"/>
          <w:color w:themeColor="text1" w:val="000000"/>
          <w:kern w:val="0"/>
        </w:rPr>
        <w:t>无。</w:t>
      </w:r>
    </w:p>
    <w:p>
      <w:pPr>
        <w:autoSpaceDE w:val="0"/>
        <w:autoSpaceDN w:val="0"/>
        <w:adjustRightInd w:val="0"/>
        <w:spacing w:line="360" w:lineRule="auto"/>
        <w:jc w:val="left"/>
        <w:rPr>
          <w:rFonts w:asciiTheme="minorEastAsia" w:cs="宋体" w:eastAsiaTheme="minorEastAsia" w:hAnsiTheme="minorEastAsia"/>
          <w:color w:themeColor="text1" w:val="000000"/>
          <w:kern w:val="0"/>
          <w:sz w:val="24"/>
        </w:rPr>
      </w:pPr>
    </w:p>
    <w:p>
      <w:pPr>
        <w:pStyle w:val="2"/>
        <w:spacing w:afterLines="100" w:beforeLines="100" w:line="360" w:lineRule="auto"/>
        <w:jc w:val="center"/>
        <w:rPr>
          <w:rFonts w:asciiTheme="minorEastAsia" w:eastAsiaTheme="minorEastAsia" w:hAnsiTheme="minorEastAsia"/>
          <w:color w:themeColor="text1" w:val="000000"/>
          <w:kern w:val="0"/>
          <w:sz w:val="24"/>
          <w:szCs w:val="24"/>
        </w:rPr>
      </w:pPr>
      <w:r>
        <w:rPr>
          <w:rFonts w:asciiTheme="minorEastAsia" w:eastAsiaTheme="minorEastAsia" w:hAnsiTheme="minorEastAsia" w:hint="eastAsia"/>
          <w:color w:themeColor="text1" w:val="000000"/>
          <w:kern w:val="0"/>
          <w:sz w:val="24"/>
          <w:szCs w:val="24"/>
        </w:rPr>
        <w:t>§8</w:t>
      </w:r>
      <w:r>
        <w:rPr>
          <w:rFonts w:asciiTheme="minorEastAsia" w:eastAsiaTheme="minorEastAsia" w:hAnsiTheme="minorEastAsia"/>
          <w:color w:themeColor="text1" w:val="000000"/>
          <w:kern w:val="0"/>
          <w:sz w:val="24"/>
          <w:szCs w:val="24"/>
        </w:rPr>
        <w:t xml:space="preserve">  </w:t>
      </w:r>
      <w:r>
        <w:rPr>
          <w:rFonts w:asciiTheme="minorEastAsia" w:eastAsiaTheme="minorEastAsia" w:hAnsiTheme="minorEastAsia" w:hint="eastAsia"/>
          <w:color w:themeColor="text1" w:val="000000"/>
          <w:kern w:val="0"/>
          <w:sz w:val="24"/>
          <w:szCs w:val="24"/>
        </w:rPr>
        <w:t>备查文件目录</w:t>
      </w: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1</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备查文件目录</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1. 中国证监会批准上投摩根新兴服务股票型证券投资基金设立的文件；</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2. 《上投摩根新兴服务股票型证券投资基金基金合同》；</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3. 《上投摩根新兴服务股票型证券投资基金托管协议》；</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4. 《上投摩根开放式基金业务规则》；</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5. 基金管理人业务资格批件、营业执照；</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6. 基金托管人业务资格批件和营业执照。</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2</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存放地点</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基金管理人或基金托管人住所。</w:t>
      </w:r>
    </w:p>
    <w:p>
      <w:pPr>
        <w:spacing w:line="360" w:lineRule="auto"/>
        <w:ind w:firstLine="480" w:firstLineChars="200"/>
        <w:rPr>
          <w:rFonts w:asciiTheme="minorEastAsia" w:eastAsiaTheme="minorEastAsia" w:hAnsiTheme="minorEastAsia"/>
          <w:color w:themeColor="text1" w:val="000000"/>
          <w:sz w:val="24"/>
          <w:szCs w:val="24"/>
        </w:rPr>
      </w:pPr>
    </w:p>
    <w:p>
      <w:pPr>
        <w:autoSpaceDE w:val="0"/>
        <w:autoSpaceDN w:val="0"/>
        <w:adjustRightInd w:val="0"/>
        <w:spacing w:line="360" w:lineRule="auto"/>
        <w:jc w:val="left"/>
        <w:rPr>
          <w:rFonts w:asciiTheme="minorEastAsia" w:eastAsiaTheme="minorEastAsia" w:hAnsiTheme="minorEastAsia"/>
          <w:b/>
          <w:bCs/>
          <w:color w:themeColor="text1" w:val="000000"/>
          <w:kern w:val="0"/>
          <w:sz w:val="24"/>
          <w:szCs w:val="24"/>
        </w:rPr>
      </w:pPr>
      <w:r>
        <w:rPr>
          <w:rFonts w:asciiTheme="minorEastAsia" w:eastAsiaTheme="minorEastAsia" w:hAnsiTheme="minorEastAsia" w:hint="eastAsia"/>
          <w:b/>
          <w:bCs/>
          <w:color w:themeColor="text1" w:val="000000"/>
          <w:kern w:val="0"/>
          <w:sz w:val="24"/>
          <w:szCs w:val="24"/>
        </w:rPr>
        <w:t>8</w:t>
      </w:r>
      <w:r>
        <w:rPr>
          <w:rFonts w:asciiTheme="minorEastAsia" w:eastAsiaTheme="minorEastAsia" w:hAnsiTheme="minorEastAsia"/>
          <w:b/>
          <w:bCs/>
          <w:color w:themeColor="text1" w:val="000000"/>
          <w:kern w:val="0"/>
          <w:sz w:val="24"/>
          <w:szCs w:val="24"/>
        </w:rPr>
        <w:t>.</w:t>
      </w:r>
      <w:r>
        <w:rPr>
          <w:rFonts w:asciiTheme="minorEastAsia" w:eastAsiaTheme="minorEastAsia" w:hAnsiTheme="minorEastAsia" w:hint="eastAsia"/>
          <w:b/>
          <w:bCs/>
          <w:color w:themeColor="text1" w:val="000000"/>
          <w:kern w:val="0"/>
          <w:sz w:val="24"/>
          <w:szCs w:val="24"/>
        </w:rPr>
        <w:t>3</w:t>
      </w:r>
      <w:r>
        <w:rPr>
          <w:rFonts w:asciiTheme="minorEastAsia" w:eastAsiaTheme="minorEastAsia" w:hAnsiTheme="minorEastAsia"/>
          <w:b/>
          <w:bCs/>
          <w:color w:themeColor="text1" w:val="000000"/>
          <w:kern w:val="0"/>
          <w:sz w:val="24"/>
          <w:szCs w:val="24"/>
        </w:rPr>
        <w:t xml:space="preserve"> </w:t>
      </w:r>
      <w:r>
        <w:rPr>
          <w:rFonts w:asciiTheme="minorEastAsia" w:eastAsiaTheme="minorEastAsia" w:hAnsiTheme="minorEastAsia" w:hint="eastAsia"/>
          <w:b/>
          <w:bCs/>
          <w:color w:themeColor="text1" w:val="000000"/>
          <w:kern w:val="0"/>
          <w:sz w:val="24"/>
          <w:szCs w:val="24"/>
        </w:rPr>
        <w:t>查阅方式</w:t>
      </w:r>
    </w:p>
    <w:p>
      <w:pPr>
        <w:spacing w:line="360" w:lineRule="auto"/>
        <w:ind w:firstLine="420" w:firstLineChars="200"/>
        <w:rPr>
          <w:rFonts w:asciiTheme="minorEastAsia" w:eastAsiaTheme="minorEastAsia" w:hAnsiTheme="minorEastAsia"/>
          <w:color w:themeColor="text1" w:val="000000"/>
        </w:rPr>
      </w:pPr>
      <w:r>
        <w:rPr>
          <w:rFonts w:asciiTheme="minorEastAsia" w:eastAsiaTheme="minorEastAsia" w:hAnsiTheme="minorEastAsia" w:hint="eastAsia"/>
          <w:color w:themeColor="text1" w:val="000000"/>
        </w:rPr>
        <w:t/>
      </w:r>
      <w:r>
        <w:rPr>
          <w:rFonts w:asciiTheme="minorEastAsia" w:eastAsiaTheme="minorEastAsia" w:hAnsiTheme="minorEastAsia"/>
          <w:color w:themeColor="text1" w:val="000000"/>
        </w:rPr>
        <w:t/>
      </w:r>
      <w:r>
        <w:rPr>
          <w:rFonts w:asciiTheme="minorEastAsia" w:eastAsiaTheme="minorEastAsia" w:hAnsiTheme="minorEastAsia" w:hint="eastAsia"/>
          <w:color w:themeColor="text1" w:val="000000"/>
        </w:rPr>
        <w:t>投资者可在营业时间免费查阅，也可按工本费购买复印件。</w:t>
      </w: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ind w:left="840"/>
        <w:jc w:val="right"/>
        <w:rPr>
          <w:rFonts w:asciiTheme="minorEastAsia" w:eastAsiaTheme="minorEastAsia" w:hAnsiTheme="minorEastAsia"/>
          <w:color w:themeColor="text1" w:val="000000"/>
          <w:sz w:val="24"/>
          <w:szCs w:val="24"/>
        </w:rPr>
      </w:pP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上投摩根基金管理有限公司</w:t>
      </w:r>
    </w:p>
    <w:p>
      <w:pPr>
        <w:spacing w:line="360" w:lineRule="auto"/>
        <w:jc w:val="right"/>
        <w:rPr>
          <w:rFonts w:asciiTheme="minorEastAsia" w:eastAsiaTheme="minorEastAsia" w:hAnsiTheme="minorEastAsia"/>
          <w:b/>
          <w:bCs/>
          <w:color w:themeColor="text1" w:val="000000"/>
          <w:sz w:val="24"/>
          <w:szCs w:val="24"/>
        </w:rPr>
      </w:pPr>
      <w:r>
        <w:rPr>
          <w:rFonts w:asciiTheme="minorEastAsia" w:eastAsiaTheme="minorEastAsia" w:hAnsiTheme="minorEastAsia"/>
          <w:b/>
          <w:bCs/>
          <w:color w:themeColor="text1" w:val="000000"/>
          <w:sz w:val="24"/>
          <w:szCs w:val="24"/>
        </w:rPr>
        <w:t>二〇一九年十月二十五日</w:t>
      </w:r>
    </w:p>
    <w:p>
      <w:pPr>
        <w:spacing w:line="360" w:lineRule="auto"/>
        <w:ind w:left="840"/>
        <w:jc w:val="right"/>
        <w:rPr>
          <w:rFonts w:asciiTheme="minorEastAsia" w:eastAsiaTheme="minorEastAsia" w:hAnsiTheme="minorEastAsia"/>
          <w:b/>
          <w:bCs/>
          <w:color w:themeColor="text1" w:val="000000"/>
          <w:sz w:val="24"/>
          <w:szCs w:val="24"/>
        </w:rPr>
      </w:pPr>
    </w:p>
    <w:p>
      <w:pPr>
        <w:rPr>
          <w:rFonts w:asciiTheme="minorEastAsia" w:eastAsiaTheme="minorEastAsia" w:hAnsiTheme="minorEastAsia"/>
          <w:color w:themeColor="text1" w:val="000000"/>
          <w:sz w:val="24"/>
          <w:szCs w:val="24"/>
        </w:rPr>
      </w:pPr>
    </w:p>
    <w:sectPr>
      <w:footerReference r:id="rId5" w:type="default"/>
      <w:pgSz w:h="16838" w:w="11906"/>
      <w:pgMar w:bottom="1440" w:footer="992" w:gutter="0" w:header="851" w:left="1797" w:right="1797" w:top="1440"/>
      <w:cols w:num="1" w:space="425"/>
      <w:docGrid w:charSpace="0"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tabs>
        <w:tab w:pos="4215" w:val="left"/>
        <w:tab w:pos="4545" w:val="center"/>
      </w:tabs>
    </w:pPr>
    <w:r>
      <w:ptab w:alignment="center" w:leader="none" w:relativeTo="margin"/>
    </w:r>
    <w:r>
      <w:ptab w:alignment="center" w:leader="none" w:relativeTo="margin"/>
    </w: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5"/>
      <w:framePr w:hAnchor="margin" w:vAnchor="text" w:wrap="around" w:xAlign="center" w:y="1"/>
      <w:rPr>
        <w:rStyle w:val="25"/>
      </w:rPr>
    </w:pPr>
    <w:r>
      <w:rPr>
        <w:rStyle w:val="25"/>
      </w:rPr>
      <w:fldChar w:fldCharType="begin"/>
    </w:r>
    <w:r>
      <w:rPr>
        <w:rStyle w:val="25"/>
      </w:rPr>
      <w:instrText xml:space="preserve">PAGE  </w:instrText>
    </w:r>
    <w:r>
      <w:rPr>
        <w:rStyle w:val="25"/>
      </w:rPr>
      <w:fldChar w:fldCharType="separate"/>
    </w:r>
    <w:r>
      <w:rPr>
        <w:rStyle w:val="25"/>
      </w:rPr>
      <w:t>24</w:t>
    </w:r>
    <w:r>
      <w:rPr>
        <w:rStyle w:val="25"/>
      </w:rPr>
      <w:fldChar w:fldCharType="end"/>
    </w:r>
  </w:p>
  <w:p>
    <w:pPr>
      <w:pStyle w:val="15"/>
    </w:pPr>
  </w:p>
</w:ftr>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p>
    <w:pPr>
      <w:pStyle w:val="16"/>
      <w:pBdr>
        <w:bottom w:color="auto" w:space="0" w:sz="6" w:val="single"/>
      </w:pBdr>
      <w:jc w:val="right"/>
    </w:pPr>
    <w:r>
      <w:rPr>
        <w:rFonts w:hint="eastAsia"/>
      </w:rPr>
      <w:t/>
    </w:r>
    <w:r>
      <w:t/>
    </w:r>
    <w:r>
      <w:rPr>
        <w:rFonts w:hint="eastAsia"/>
      </w:rPr>
      <w:t/>
    </w:r>
    <w:r>
      <w:t/>
    </w:r>
    <w:r>
      <w:rPr>
        <w:rFonts w:hint="eastAsia"/>
      </w:rPr>
      <w:t>上投摩根新兴服务股票型证券投资基金2019年第3季度报告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val="1"/>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mc:Ignorable="w14">
  <w:docDefaults>
    <w:rPrDefault>
      <w:rPr>
        <w:rFonts w:asciiTheme="minorHAnsi" w:cstheme="minorBidi" w:eastAsiaTheme="minorEastAsia" w:hAnsiTheme="minorHAnsi"/>
      </w:rPr>
    </w:rPrDefault>
  </w:docDefaults>
  <w:latentStyles w:count="260" w:defLockedState="0" w:defQFormat="0" w:defSemiHidden="1" w:defUIPriority="99" w:defUnhideWhenUsed="1">
    <w:lsdException w:name="Normal" w:qFormat="1" w:semiHidden="0" w:uiPriority="0" w:unhideWhenUsed="0"/>
    <w:lsdException w:name="heading 1" w:qFormat="1" w:semiHidden="0" w:uiPriority="99" w:unhideWhenUsed="0"/>
    <w:lsdException w:name="heading 2" w:qFormat="1" w:semiHidden="0" w:uiPriority="99" w:unhideWhenUsed="0"/>
    <w:lsdException w:name="heading 3" w:qFormat="1" w:semiHidden="0" w:uiPriority="99" w:unhideWhenUsed="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index 1" w:qFormat="1" w:uiPriority="99" w:unhideWhenUsed="0"/>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99" w:unhideWhenUsed="0"/>
    <w:lsdException w:name="footnote text" w:semiHidden="0" w:uiPriority="0" w:unhideWhenUsed="0"/>
    <w:lsdException w:name="annotation text" w:qFormat="1" w:uiPriority="99" w:unhideWhenUsed="0"/>
    <w:lsdException w:name="header" w:semiHidden="0" w:uiPriority="99" w:unhideWhenUsed="0"/>
    <w:lsdException w:name="footer" w:qFormat="1" w:semiHidden="0" w:uiPriority="99" w:unhideWhenUsed="0"/>
    <w:lsdException w:name="index heading" w:uiPriority="99"/>
    <w:lsdException w:name="caption" w:qFormat="1" w:uiPriority="35"/>
    <w:lsdException w:name="table of figures" w:uiPriority="99"/>
    <w:lsdException w:name="envelope address" w:uiPriority="99"/>
    <w:lsdException w:name="envelope return" w:uiPriority="99"/>
    <w:lsdException w:name="footnote reference" w:semiHidden="0" w:uiPriority="0" w:unhideWhenUsed="0"/>
    <w:lsdException w:name="annotation reference" w:qFormat="1" w:uiPriority="99" w:unhideWhenUsed="0"/>
    <w:lsdException w:name="line number" w:uiPriority="99"/>
    <w:lsdException w:name="page number" w:semiHidden="0" w:uiPriority="99" w:unhideWhenUsed="0"/>
    <w:lsdException w:name="endnote reference" w:uiPriority="99"/>
    <w:lsdException w:name="endnote text" w:uiPriority="99"/>
    <w:lsdException w:name="table of authorities" w:uiPriority="99"/>
    <w:lsdException w:name="macro" w:uiPriority="99"/>
    <w:lsdException w:name="toa heading" w:uiPriority="99"/>
    <w:lsdException w:name="List" w:semiHidden="0" w:uiPriority="99"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semiHidden="0" w:uiPriority="99" w:unhideWhenUsed="0"/>
    <w:lsdException w:name="Closing" w:uiPriority="99"/>
    <w:lsdException w:name="Signature" w:uiPriority="99"/>
    <w:lsdException w:name="Default Paragraph Font" w:qFormat="1" w:uiPriority="1"/>
    <w:lsdException w:name="Body Text" w:qFormat="1" w:semiHidden="0" w:uiPriority="99" w:unhideWhenUsed="0"/>
    <w:lsdException w:name="Body Text Indent" w:semiHidden="0" w:uiPriority="99" w:unhideWhenUsed="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semiHidden="0" w:uiPriority="11" w:unhideWhenUsed="0"/>
    <w:lsdException w:name="Salutation" w:uiPriority="99"/>
    <w:lsdException w:name="Date" w:qFormat="1" w:semiHidden="0" w:uiPriority="0" w:unhideWhenUsed="0"/>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qFormat="1" w:semiHidden="0" w:uiPriority="99" w:unhideWhenUsed="0"/>
    <w:lsdException w:name="Body Text Indent 3" w:semiHidden="0" w:uiPriority="99" w:unhideWhenUsed="0"/>
    <w:lsdException w:name="Block Text" w:uiPriority="99"/>
    <w:lsdException w:name="Hyperlink" w:semiHidden="0" w:uiPriority="99" w:unhideWhenUsed="0"/>
    <w:lsdException w:name="FollowedHyperlink" w:qFormat="1" w:semiHidden="0" w:uiPriority="99" w:unhideWhenUsed="0"/>
    <w:lsdException w:name="Strong" w:qFormat="1" w:semiHidden="0" w:uiPriority="22" w:unhideWhenUsed="0"/>
    <w:lsdException w:name="Emphasis" w:qFormat="1" w:semiHidden="0" w:uiPriority="20" w:unhideWhenUsed="0"/>
    <w:lsdException w:name="Document Map" w:uiPriority="99" w:unhideWhenUsed="0"/>
    <w:lsdException w:name="Plain Text" w:semiHidden="0" w:uiPriority="99" w:unhideWhenUsed="0"/>
    <w:lsdException w:name="E-mail Signature" w:uiPriority="99"/>
    <w:lsdException w:name="Normal (Web)" w:semiHidden="0" w:uiPriority="99" w:unhideWhenUsed="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qFormat="1" w:uiPriority="99"/>
    <w:lsdException w:name="annotation subject" w:qFormat="1" w:uiPriority="99" w:unhideWhenUsed="0"/>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uiPriority="99" w:unhideWhenUsed="0"/>
    <w:lsdException w:name="Table Grid" w:semiHidden="0" w:uiPriority="99" w:unhideWhenUsed="0"/>
    <w:lsdException w:name="Table Theme"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default="1" w:styleId="1" w:type="paragraph">
    <w:name w:val="Normal"/>
    <w:qFormat/>
    <w:uiPriority w:val="0"/>
    <w:pPr>
      <w:widowControl w:val="0"/>
      <w:jc w:val="both"/>
    </w:pPr>
    <w:rPr>
      <w:rFonts w:ascii="Times New Roman" w:cs="Times New Roman" w:eastAsia="宋体" w:hAnsi="Times New Roman"/>
      <w:kern w:val="2"/>
      <w:sz w:val="21"/>
      <w:szCs w:val="21"/>
      <w:lang w:bidi="ar-SA" w:eastAsia="zh-CN" w:val="en-US"/>
    </w:rPr>
  </w:style>
  <w:style w:styleId="2" w:type="paragraph">
    <w:name w:val="heading 1"/>
    <w:basedOn w:val="1"/>
    <w:next w:val="1"/>
    <w:link w:val="32"/>
    <w:qFormat/>
    <w:uiPriority w:val="99"/>
    <w:pPr>
      <w:keepNext/>
      <w:keepLines/>
      <w:spacing w:after="330" w:before="340" w:line="578" w:lineRule="auto"/>
      <w:outlineLvl w:val="0"/>
    </w:pPr>
    <w:rPr>
      <w:b/>
      <w:bCs/>
      <w:kern w:val="44"/>
      <w:sz w:val="44"/>
      <w:szCs w:val="44"/>
    </w:rPr>
  </w:style>
  <w:style w:styleId="3" w:type="paragraph">
    <w:name w:val="heading 2"/>
    <w:basedOn w:val="1"/>
    <w:next w:val="4"/>
    <w:link w:val="33"/>
    <w:qFormat/>
    <w:uiPriority w:val="99"/>
    <w:pPr>
      <w:keepNext/>
      <w:keepLines/>
      <w:spacing w:after="260" w:before="260" w:line="360" w:lineRule="auto"/>
      <w:outlineLvl w:val="1"/>
    </w:pPr>
    <w:rPr>
      <w:rFonts w:ascii="Arial" w:cs="Arial" w:hAnsi="Arial"/>
      <w:b/>
      <w:bCs/>
      <w:sz w:val="24"/>
      <w:szCs w:val="24"/>
    </w:rPr>
  </w:style>
  <w:style w:styleId="5" w:type="paragraph">
    <w:name w:val="heading 3"/>
    <w:basedOn w:val="1"/>
    <w:next w:val="1"/>
    <w:link w:val="34"/>
    <w:qFormat/>
    <w:uiPriority w:val="99"/>
    <w:pPr>
      <w:keepNext/>
      <w:keepLines/>
      <w:spacing w:after="260" w:before="260" w:line="416" w:lineRule="auto"/>
      <w:outlineLvl w:val="2"/>
    </w:pPr>
    <w:rPr>
      <w:b/>
      <w:bCs/>
      <w:sz w:val="32"/>
      <w:szCs w:val="32"/>
    </w:rPr>
  </w:style>
  <w:style w:default="1" w:styleId="23" w:type="character">
    <w:name w:val="Default Paragraph Font"/>
    <w:unhideWhenUsed/>
    <w:qFormat/>
    <w:uiPriority w:val="1"/>
  </w:style>
  <w:style w:default="1" w:styleId="30" w:type="table">
    <w:name w:val="Normal Table"/>
    <w:unhideWhenUsed/>
    <w:qFormat/>
    <w:uiPriority w:val="99"/>
    <w:tblPr>
      <w:tblLayout w:type="fixed"/>
      <w:tblCellMar>
        <w:top w:type="dxa" w:w="0"/>
        <w:left w:type="dxa" w:w="108"/>
        <w:bottom w:type="dxa" w:w="0"/>
        <w:right w:type="dxa" w:w="108"/>
      </w:tblCellMar>
    </w:tblPr>
  </w:style>
  <w:style w:styleId="4" w:type="paragraph">
    <w:name w:val="Normal Indent"/>
    <w:basedOn w:val="1"/>
    <w:uiPriority w:val="99"/>
    <w:pPr>
      <w:ind w:firstLine="420" w:firstLineChars="200"/>
    </w:pPr>
  </w:style>
  <w:style w:styleId="6" w:type="paragraph">
    <w:name w:val="annotation subject"/>
    <w:basedOn w:val="7"/>
    <w:next w:val="7"/>
    <w:link w:val="62"/>
    <w:semiHidden/>
    <w:qFormat/>
    <w:uiPriority w:val="99"/>
    <w:rPr>
      <w:b/>
      <w:bCs/>
    </w:rPr>
  </w:style>
  <w:style w:styleId="7" w:type="paragraph">
    <w:name w:val="annotation text"/>
    <w:basedOn w:val="1"/>
    <w:link w:val="61"/>
    <w:semiHidden/>
    <w:qFormat/>
    <w:uiPriority w:val="99"/>
    <w:pPr>
      <w:jc w:val="left"/>
    </w:pPr>
  </w:style>
  <w:style w:styleId="8" w:type="paragraph">
    <w:name w:val="Document Map"/>
    <w:basedOn w:val="1"/>
    <w:link w:val="64"/>
    <w:semiHidden/>
    <w:uiPriority w:val="99"/>
    <w:pPr>
      <w:shd w:color="auto" w:fill="000080" w:val="clear"/>
    </w:pPr>
  </w:style>
  <w:style w:styleId="9" w:type="paragraph">
    <w:name w:val="Body Text"/>
    <w:basedOn w:val="1"/>
    <w:link w:val="41"/>
    <w:qFormat/>
    <w:uiPriority w:val="99"/>
    <w:pPr>
      <w:spacing w:after="120"/>
    </w:pPr>
  </w:style>
  <w:style w:styleId="10" w:type="paragraph">
    <w:name w:val="Body Text Indent"/>
    <w:basedOn w:val="1"/>
    <w:link w:val="35"/>
    <w:uiPriority w:val="99"/>
    <w:pPr>
      <w:widowControl/>
      <w:spacing w:after="100" w:afterAutospacing="1" w:before="100" w:beforeAutospacing="1"/>
      <w:jc w:val="left"/>
    </w:pPr>
    <w:rPr>
      <w:rFonts w:ascii="Arial Unicode MS" w:cs="Arial Unicode MS" w:eastAsia="Arial Unicode MS" w:hAnsi="Arial Unicode MS"/>
      <w:kern w:val="0"/>
      <w:sz w:val="24"/>
      <w:szCs w:val="24"/>
    </w:rPr>
  </w:style>
  <w:style w:styleId="11" w:type="paragraph">
    <w:name w:val="Plain Text"/>
    <w:basedOn w:val="1"/>
    <w:link w:val="36"/>
    <w:uiPriority w:val="99"/>
    <w:rPr>
      <w:rFonts w:ascii="宋体" w:cs="宋体" w:hAnsi="Courier New"/>
    </w:rPr>
  </w:style>
  <w:style w:styleId="12" w:type="paragraph">
    <w:name w:val="Date"/>
    <w:basedOn w:val="1"/>
    <w:next w:val="1"/>
    <w:link w:val="42"/>
    <w:qFormat/>
    <w:uiPriority w:val="0"/>
    <w:rPr>
      <w:sz w:val="24"/>
      <w:szCs w:val="24"/>
    </w:rPr>
  </w:style>
  <w:style w:styleId="13" w:type="paragraph">
    <w:name w:val="Body Text Indent 2"/>
    <w:basedOn w:val="1"/>
    <w:link w:val="37"/>
    <w:qFormat/>
    <w:uiPriority w:val="99"/>
    <w:pPr>
      <w:spacing w:line="560" w:lineRule="exact"/>
      <w:ind w:firstLine="480" w:firstLineChars="200"/>
    </w:pPr>
    <w:rPr>
      <w:rFonts w:ascii="宋体" w:cs="宋体" w:hAnsi="宋体"/>
      <w:color w:val="FF0000"/>
      <w:sz w:val="24"/>
      <w:szCs w:val="24"/>
    </w:rPr>
  </w:style>
  <w:style w:styleId="14" w:type="paragraph">
    <w:name w:val="Balloon Text"/>
    <w:basedOn w:val="1"/>
    <w:link w:val="60"/>
    <w:semiHidden/>
    <w:qFormat/>
    <w:uiPriority w:val="99"/>
    <w:rPr>
      <w:sz w:val="18"/>
      <w:szCs w:val="18"/>
    </w:rPr>
  </w:style>
  <w:style w:styleId="15" w:type="paragraph">
    <w:name w:val="footer"/>
    <w:basedOn w:val="1"/>
    <w:link w:val="38"/>
    <w:qFormat/>
    <w:uiPriority w:val="99"/>
    <w:pPr>
      <w:tabs>
        <w:tab w:pos="4153" w:val="center"/>
        <w:tab w:pos="8306" w:val="right"/>
      </w:tabs>
      <w:snapToGrid w:val="0"/>
      <w:jc w:val="left"/>
    </w:pPr>
    <w:rPr>
      <w:sz w:val="18"/>
      <w:szCs w:val="18"/>
    </w:rPr>
  </w:style>
  <w:style w:styleId="16" w:type="paragraph">
    <w:name w:val="header"/>
    <w:basedOn w:val="1"/>
    <w:link w:val="40"/>
    <w:uiPriority w:val="99"/>
    <w:pPr>
      <w:pBdr>
        <w:bottom w:color="auto" w:space="1" w:sz="6" w:val="single"/>
      </w:pBdr>
      <w:tabs>
        <w:tab w:pos="4153" w:val="center"/>
        <w:tab w:pos="8306" w:val="right"/>
      </w:tabs>
      <w:snapToGrid w:val="0"/>
      <w:jc w:val="center"/>
    </w:pPr>
    <w:rPr>
      <w:sz w:val="18"/>
      <w:szCs w:val="18"/>
    </w:rPr>
  </w:style>
  <w:style w:styleId="17" w:type="paragraph">
    <w:name w:val="List"/>
    <w:basedOn w:val="9"/>
    <w:uiPriority w:val="99"/>
    <w:pPr>
      <w:spacing w:after="220" w:line="220" w:lineRule="atLeast"/>
      <w:ind w:hanging="360" w:left="1440"/>
    </w:pPr>
  </w:style>
  <w:style w:styleId="18" w:type="paragraph">
    <w:name w:val="footnote text"/>
    <w:basedOn w:val="1"/>
    <w:link w:val="66"/>
    <w:uiPriority w:val="0"/>
    <w:pPr>
      <w:snapToGrid w:val="0"/>
      <w:jc w:val="left"/>
    </w:pPr>
    <w:rPr>
      <w:sz w:val="18"/>
      <w:szCs w:val="18"/>
    </w:rPr>
  </w:style>
  <w:style w:styleId="19" w:type="paragraph">
    <w:name w:val="Body Text Indent 3"/>
    <w:basedOn w:val="1"/>
    <w:link w:val="39"/>
    <w:uiPriority w:val="99"/>
    <w:pPr>
      <w:spacing w:line="560" w:lineRule="exact"/>
      <w:ind w:firstLine="420" w:firstLineChars="200"/>
    </w:pPr>
    <w:rPr>
      <w:rFonts w:ascii="Arial" w:cs="Arial" w:hAnsi="Arial"/>
      <w:color w:val="FF0000"/>
    </w:rPr>
  </w:style>
  <w:style w:styleId="20" w:type="paragraph">
    <w:name w:val="Normal (Web)"/>
    <w:basedOn w:val="1"/>
    <w:uiPriority w:val="99"/>
    <w:pPr>
      <w:widowControl/>
      <w:spacing w:after="100" w:afterAutospacing="1" w:before="100" w:beforeAutospacing="1"/>
      <w:jc w:val="left"/>
    </w:pPr>
    <w:rPr>
      <w:rFonts w:ascii="宋体" w:cs="宋体" w:hAnsi="宋体"/>
      <w:kern w:val="0"/>
      <w:sz w:val="24"/>
      <w:szCs w:val="24"/>
    </w:rPr>
  </w:style>
  <w:style w:styleId="21" w:type="paragraph">
    <w:name w:val="index 1"/>
    <w:basedOn w:val="1"/>
    <w:next w:val="1"/>
    <w:semiHidden/>
    <w:qFormat/>
    <w:uiPriority w:val="99"/>
    <w:pPr>
      <w:jc w:val="right"/>
    </w:pPr>
    <w:rPr>
      <w:color w:val="008000"/>
    </w:rPr>
  </w:style>
  <w:style w:styleId="22" w:type="paragraph">
    <w:name w:val="Title"/>
    <w:basedOn w:val="1"/>
    <w:next w:val="1"/>
    <w:link w:val="70"/>
    <w:qFormat/>
    <w:uiPriority w:val="99"/>
    <w:pPr>
      <w:spacing w:after="60" w:before="240"/>
      <w:jc w:val="center"/>
      <w:outlineLvl w:val="0"/>
    </w:pPr>
    <w:rPr>
      <w:rFonts w:ascii="Cambria" w:cs="Cambria" w:hAnsi="Cambria"/>
      <w:b/>
      <w:bCs/>
      <w:sz w:val="32"/>
      <w:szCs w:val="32"/>
    </w:rPr>
  </w:style>
  <w:style w:styleId="24" w:type="character">
    <w:name w:val="Strong"/>
    <w:basedOn w:val="23"/>
    <w:qFormat/>
    <w:uiPriority w:val="22"/>
    <w:rPr>
      <w:b/>
      <w:bCs/>
    </w:rPr>
  </w:style>
  <w:style w:styleId="25" w:type="character">
    <w:name w:val="page number"/>
    <w:basedOn w:val="23"/>
    <w:uiPriority w:val="99"/>
  </w:style>
  <w:style w:styleId="26" w:type="character">
    <w:name w:val="FollowedHyperlink"/>
    <w:basedOn w:val="23"/>
    <w:qFormat/>
    <w:uiPriority w:val="99"/>
    <w:rPr>
      <w:color w:val="800080"/>
      <w:u w:val="single"/>
    </w:rPr>
  </w:style>
  <w:style w:styleId="27" w:type="character">
    <w:name w:val="Hyperlink"/>
    <w:basedOn w:val="23"/>
    <w:uiPriority w:val="99"/>
    <w:rPr>
      <w:color w:val="0000FF"/>
      <w:u w:val="single"/>
    </w:rPr>
  </w:style>
  <w:style w:styleId="28" w:type="character">
    <w:name w:val="annotation reference"/>
    <w:basedOn w:val="23"/>
    <w:semiHidden/>
    <w:qFormat/>
    <w:uiPriority w:val="99"/>
    <w:rPr>
      <w:sz w:val="21"/>
      <w:szCs w:val="21"/>
    </w:rPr>
  </w:style>
  <w:style w:styleId="29" w:type="character">
    <w:name w:val="footnote reference"/>
    <w:basedOn w:val="23"/>
    <w:uiPriority w:val="0"/>
    <w:rPr>
      <w:vertAlign w:val="superscript"/>
    </w:rPr>
  </w:style>
  <w:style w:styleId="31" w:type="table">
    <w:name w:val="Table Grid"/>
    <w:basedOn w:val="30"/>
    <w:uiPriority w:val="99"/>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0"/>
        <w:left w:type="dxa" w:w="108"/>
        <w:bottom w:type="dxa" w:w="0"/>
        <w:right w:type="dxa" w:w="108"/>
      </w:tblCellMar>
    </w:tblPr>
  </w:style>
  <w:style w:customStyle="1" w:styleId="32" w:type="character">
    <w:name w:val="标题 1 Char"/>
    <w:basedOn w:val="23"/>
    <w:link w:val="2"/>
    <w:uiPriority w:val="99"/>
    <w:rPr>
      <w:rFonts w:ascii="Times New Roman" w:cs="Times New Roman" w:eastAsia="宋体" w:hAnsi="Times New Roman"/>
      <w:b/>
      <w:bCs/>
      <w:kern w:val="44"/>
      <w:sz w:val="44"/>
      <w:szCs w:val="44"/>
    </w:rPr>
  </w:style>
  <w:style w:customStyle="1" w:styleId="33" w:type="character">
    <w:name w:val="标题 2 Char"/>
    <w:basedOn w:val="23"/>
    <w:link w:val="3"/>
    <w:uiPriority w:val="99"/>
    <w:rPr>
      <w:rFonts w:ascii="Arial" w:cs="Arial" w:eastAsia="宋体" w:hAnsi="Arial"/>
      <w:b/>
      <w:bCs/>
      <w:sz w:val="24"/>
      <w:szCs w:val="24"/>
    </w:rPr>
  </w:style>
  <w:style w:customStyle="1" w:styleId="34" w:type="character">
    <w:name w:val="标题 3 Char"/>
    <w:basedOn w:val="23"/>
    <w:link w:val="5"/>
    <w:uiPriority w:val="99"/>
    <w:rPr>
      <w:rFonts w:ascii="Times New Roman" w:cs="Times New Roman" w:eastAsia="宋体" w:hAnsi="Times New Roman"/>
      <w:b/>
      <w:bCs/>
      <w:sz w:val="32"/>
      <w:szCs w:val="32"/>
    </w:rPr>
  </w:style>
  <w:style w:customStyle="1" w:styleId="35" w:type="character">
    <w:name w:val="正文文本缩进 Char"/>
    <w:basedOn w:val="23"/>
    <w:link w:val="10"/>
    <w:uiPriority w:val="99"/>
    <w:rPr>
      <w:rFonts w:ascii="Arial Unicode MS" w:cs="Arial Unicode MS" w:eastAsia="Arial Unicode MS" w:hAnsi="Arial Unicode MS"/>
      <w:kern w:val="0"/>
      <w:sz w:val="24"/>
      <w:szCs w:val="24"/>
    </w:rPr>
  </w:style>
  <w:style w:customStyle="1" w:styleId="36" w:type="character">
    <w:name w:val="纯文本 Char"/>
    <w:basedOn w:val="23"/>
    <w:link w:val="11"/>
    <w:uiPriority w:val="99"/>
    <w:rPr>
      <w:rFonts w:ascii="宋体" w:cs="宋体" w:eastAsia="宋体" w:hAnsi="Courier New"/>
      <w:szCs w:val="21"/>
    </w:rPr>
  </w:style>
  <w:style w:customStyle="1" w:styleId="37" w:type="character">
    <w:name w:val="正文文本缩进 2 Char"/>
    <w:basedOn w:val="23"/>
    <w:link w:val="13"/>
    <w:uiPriority w:val="99"/>
    <w:rPr>
      <w:rFonts w:ascii="宋体" w:cs="宋体" w:eastAsia="宋体" w:hAnsi="宋体"/>
      <w:color w:val="FF0000"/>
      <w:sz w:val="24"/>
      <w:szCs w:val="24"/>
    </w:rPr>
  </w:style>
  <w:style w:customStyle="1" w:styleId="38" w:type="character">
    <w:name w:val="页脚 Char"/>
    <w:basedOn w:val="23"/>
    <w:link w:val="15"/>
    <w:uiPriority w:val="99"/>
    <w:rPr>
      <w:rFonts w:ascii="Times New Roman" w:cs="Times New Roman" w:eastAsia="宋体" w:hAnsi="Times New Roman"/>
      <w:sz w:val="18"/>
      <w:szCs w:val="18"/>
    </w:rPr>
  </w:style>
  <w:style w:customStyle="1" w:styleId="39" w:type="character">
    <w:name w:val="正文文本缩进 3 Char"/>
    <w:basedOn w:val="23"/>
    <w:link w:val="19"/>
    <w:uiPriority w:val="99"/>
    <w:rPr>
      <w:rFonts w:ascii="Arial" w:cs="Arial" w:eastAsia="宋体" w:hAnsi="Arial"/>
      <w:color w:val="FF0000"/>
      <w:szCs w:val="21"/>
    </w:rPr>
  </w:style>
  <w:style w:customStyle="1" w:styleId="40" w:type="character">
    <w:name w:val="页眉 Char"/>
    <w:basedOn w:val="23"/>
    <w:link w:val="16"/>
    <w:uiPriority w:val="99"/>
    <w:rPr>
      <w:rFonts w:ascii="Times New Roman" w:cs="Times New Roman" w:eastAsia="宋体" w:hAnsi="Times New Roman"/>
      <w:sz w:val="18"/>
      <w:szCs w:val="18"/>
    </w:rPr>
  </w:style>
  <w:style w:customStyle="1" w:styleId="41" w:type="character">
    <w:name w:val="正文文本 Char"/>
    <w:basedOn w:val="23"/>
    <w:link w:val="9"/>
    <w:qFormat/>
    <w:uiPriority w:val="99"/>
    <w:rPr>
      <w:rFonts w:ascii="Times New Roman" w:cs="Times New Roman" w:eastAsia="宋体" w:hAnsi="Times New Roman"/>
      <w:szCs w:val="21"/>
    </w:rPr>
  </w:style>
  <w:style w:customStyle="1" w:styleId="42" w:type="character">
    <w:name w:val="日期 Char"/>
    <w:basedOn w:val="23"/>
    <w:link w:val="12"/>
    <w:qFormat/>
    <w:uiPriority w:val="0"/>
    <w:rPr>
      <w:rFonts w:ascii="Times New Roman" w:cs="Times New Roman" w:eastAsia="宋体" w:hAnsi="Times New Roman"/>
      <w:sz w:val="24"/>
      <w:szCs w:val="24"/>
    </w:rPr>
  </w:style>
  <w:style w:customStyle="1" w:styleId="43" w:type="character">
    <w:name w:val="c1"/>
    <w:basedOn w:val="23"/>
    <w:qFormat/>
    <w:uiPriority w:val="99"/>
    <w:rPr>
      <w:color w:val="000000"/>
      <w:sz w:val="18"/>
      <w:szCs w:val="18"/>
    </w:rPr>
  </w:style>
  <w:style w:customStyle="1" w:styleId="44" w:type="paragraph">
    <w:name w:val="font5"/>
    <w:basedOn w:val="1"/>
    <w:qFormat/>
    <w:uiPriority w:val="99"/>
    <w:pPr>
      <w:widowControl/>
      <w:spacing w:after="100" w:afterAutospacing="1" w:before="100" w:beforeAutospacing="1"/>
      <w:jc w:val="left"/>
    </w:pPr>
    <w:rPr>
      <w:rFonts w:ascii="宋体" w:cs="宋体" w:hAnsi="宋体"/>
      <w:kern w:val="0"/>
      <w:sz w:val="18"/>
      <w:szCs w:val="18"/>
    </w:rPr>
  </w:style>
  <w:style w:customStyle="1" w:styleId="45" w:type="paragraph">
    <w:name w:val="xl24"/>
    <w:basedOn w:val="1"/>
    <w:qFormat/>
    <w:uiPriority w:val="99"/>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46" w:type="paragraph">
    <w:name w:val="xl2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47" w:type="paragraph">
    <w:name w:val="xl2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48" w:type="paragraph">
    <w:name w:val="xl2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49" w:type="paragraph">
    <w:name w:val="xl2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0" w:type="paragraph">
    <w:name w:val="xl29"/>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1" w:type="paragraph">
    <w:name w:val="xl30"/>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52" w:type="paragraph">
    <w:name w:val="xl31"/>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3" w:type="paragraph">
    <w:name w:val="xl32"/>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4" w:type="paragraph">
    <w:name w:val="xl33"/>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55" w:type="paragraph">
    <w:name w:val="xl34"/>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56" w:type="paragraph">
    <w:name w:val="xl35"/>
    <w:basedOn w:val="1"/>
    <w:qFormat/>
    <w:uiPriority w:val="99"/>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57" w:type="paragraph">
    <w:name w:val="xl36"/>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58" w:type="paragraph">
    <w:name w:val="xl37"/>
    <w:basedOn w:val="1"/>
    <w:qFormat/>
    <w:uiPriority w:val="99"/>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59" w:type="paragraph">
    <w:name w:val="xl38"/>
    <w:basedOn w:val="1"/>
    <w:qFormat/>
    <w:uiPriority w:val="99"/>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60" w:type="character">
    <w:name w:val="批注框文本 Char"/>
    <w:basedOn w:val="23"/>
    <w:link w:val="14"/>
    <w:semiHidden/>
    <w:qFormat/>
    <w:uiPriority w:val="99"/>
    <w:rPr>
      <w:rFonts w:ascii="Times New Roman" w:cs="Times New Roman" w:eastAsia="宋体" w:hAnsi="Times New Roman"/>
      <w:sz w:val="18"/>
      <w:szCs w:val="18"/>
    </w:rPr>
  </w:style>
  <w:style w:customStyle="1" w:styleId="61" w:type="character">
    <w:name w:val="批注文字 Char"/>
    <w:basedOn w:val="23"/>
    <w:link w:val="7"/>
    <w:semiHidden/>
    <w:qFormat/>
    <w:uiPriority w:val="99"/>
    <w:rPr>
      <w:rFonts w:ascii="Times New Roman" w:cs="Times New Roman" w:eastAsia="宋体" w:hAnsi="Times New Roman"/>
      <w:szCs w:val="21"/>
    </w:rPr>
  </w:style>
  <w:style w:customStyle="1" w:styleId="62" w:type="character">
    <w:name w:val="批注主题 Char"/>
    <w:basedOn w:val="61"/>
    <w:link w:val="6"/>
    <w:semiHidden/>
    <w:qFormat/>
    <w:uiPriority w:val="99"/>
    <w:rPr>
      <w:rFonts w:ascii="Times New Roman" w:cs="Times New Roman" w:eastAsia="宋体" w:hAnsi="Times New Roman"/>
      <w:b/>
      <w:bCs/>
      <w:szCs w:val="21"/>
    </w:rPr>
  </w:style>
  <w:style w:customStyle="1" w:styleId="63" w:type="paragraph">
    <w:name w:val="Char"/>
    <w:basedOn w:val="1"/>
    <w:qFormat/>
    <w:uiPriority w:val="99"/>
  </w:style>
  <w:style w:customStyle="1" w:styleId="64" w:type="character">
    <w:name w:val="文档结构图 Char"/>
    <w:basedOn w:val="23"/>
    <w:link w:val="8"/>
    <w:semiHidden/>
    <w:uiPriority w:val="99"/>
    <w:rPr>
      <w:rFonts w:ascii="Times New Roman" w:cs="Times New Roman" w:eastAsia="宋体" w:hAnsi="Times New Roman"/>
      <w:szCs w:val="21"/>
      <w:shd w:color="auto" w:fill="000080" w:val="clear"/>
    </w:rPr>
  </w:style>
  <w:style w:customStyle="1" w:styleId="65" w:type="paragraph">
    <w:name w:val="正文 + (符号) 宋体"/>
    <w:basedOn w:val="1"/>
    <w:uiPriority w:val="99"/>
    <w:pPr>
      <w:autoSpaceDE w:val="0"/>
      <w:autoSpaceDN w:val="0"/>
      <w:adjustRightInd w:val="0"/>
      <w:ind w:firstLine="1229" w:firstLineChars="512" w:right="1409" w:rightChars="671"/>
      <w:jc w:val="distribute"/>
    </w:pPr>
    <w:rPr>
      <w:sz w:val="24"/>
      <w:szCs w:val="24"/>
    </w:rPr>
  </w:style>
  <w:style w:customStyle="1" w:styleId="66" w:type="character">
    <w:name w:val="脚注文本 Char"/>
    <w:basedOn w:val="23"/>
    <w:link w:val="18"/>
    <w:uiPriority w:val="0"/>
    <w:rPr>
      <w:rFonts w:ascii="Times New Roman" w:cs="Times New Roman" w:eastAsia="宋体" w:hAnsi="Times New Roman"/>
      <w:sz w:val="18"/>
      <w:szCs w:val="18"/>
    </w:rPr>
  </w:style>
  <w:style w:customStyle="1" w:styleId="67" w:type="paragraph">
    <w:name w:val="Char1"/>
    <w:basedOn w:val="1"/>
    <w:uiPriority w:val="99"/>
  </w:style>
  <w:style w:customStyle="1" w:styleId="68" w:type="paragraph">
    <w:name w:val="Char Char Char Char Char Char1 Char Char Char"/>
    <w:basedOn w:val="1"/>
    <w:uiPriority w:val="99"/>
    <w:pPr>
      <w:autoSpaceDE w:val="0"/>
      <w:autoSpaceDN w:val="0"/>
      <w:adjustRightInd w:val="0"/>
      <w:jc w:val="left"/>
      <w:textAlignment w:val="baseline"/>
    </w:pPr>
    <w:rPr>
      <w:rFonts w:ascii="宋体" w:cs="宋体"/>
      <w:kern w:val="0"/>
      <w:sz w:val="34"/>
      <w:szCs w:val="34"/>
    </w:rPr>
  </w:style>
  <w:style w:customStyle="1" w:styleId="69" w:type="paragraph">
    <w:name w:val="Char Char Char Char Char Char1 Char Char Char2"/>
    <w:basedOn w:val="1"/>
    <w:uiPriority w:val="99"/>
    <w:pPr>
      <w:autoSpaceDE w:val="0"/>
      <w:autoSpaceDN w:val="0"/>
      <w:adjustRightInd w:val="0"/>
      <w:jc w:val="left"/>
      <w:textAlignment w:val="baseline"/>
    </w:pPr>
    <w:rPr>
      <w:rFonts w:ascii="宋体" w:cs="宋体"/>
      <w:kern w:val="0"/>
      <w:sz w:val="34"/>
      <w:szCs w:val="34"/>
    </w:rPr>
  </w:style>
  <w:style w:customStyle="1" w:styleId="70" w:type="character">
    <w:name w:val="标题 Char"/>
    <w:basedOn w:val="23"/>
    <w:link w:val="22"/>
    <w:uiPriority w:val="99"/>
    <w:rPr>
      <w:rFonts w:ascii="Cambria" w:cs="Cambria" w:eastAsia="宋体" w:hAnsi="Cambria"/>
      <w:b/>
      <w:bCs/>
      <w:sz w:val="32"/>
      <w:szCs w:val="32"/>
    </w:rPr>
  </w:style>
  <w:style w:customStyle="1" w:styleId="71" w:type="paragraph">
    <w:name w:val="Char Char Char Char Char Char1 Char Char Char1"/>
    <w:basedOn w:val="1"/>
    <w:uiPriority w:val="99"/>
    <w:pPr>
      <w:autoSpaceDE w:val="0"/>
      <w:autoSpaceDN w:val="0"/>
      <w:adjustRightInd w:val="0"/>
      <w:jc w:val="left"/>
      <w:textAlignment w:val="baseline"/>
    </w:pPr>
    <w:rPr>
      <w:rFonts w:ascii="宋体" w:cs="宋体"/>
      <w:kern w:val="0"/>
      <w:sz w:val="34"/>
      <w:szCs w:val="34"/>
    </w:rPr>
  </w:style>
  <w:style w:customStyle="1" w:styleId="72" w:type="paragraph">
    <w:name w:val="No Spacing"/>
    <w:link w:val="73"/>
    <w:qFormat/>
    <w:uiPriority w:val="1"/>
    <w:rPr>
      <w:rFonts w:ascii="Calibri" w:cs="Calibri" w:eastAsia="宋体" w:hAnsi="Calibri"/>
      <w:kern w:val="0"/>
      <w:sz w:val="22"/>
      <w:szCs w:val="22"/>
      <w:lang w:bidi="ar-SA" w:eastAsia="zh-CN" w:val="en-US"/>
    </w:rPr>
  </w:style>
  <w:style w:customStyle="1" w:styleId="73" w:type="character">
    <w:name w:val="无间隔 Char"/>
    <w:basedOn w:val="23"/>
    <w:link w:val="72"/>
    <w:locked/>
    <w:uiPriority w:val="1"/>
    <w:rPr>
      <w:rFonts w:ascii="Calibri" w:cs="Calibri" w:eastAsia="宋体" w:hAnsi="Calibri"/>
      <w:kern w:val="0"/>
      <w:sz w:val="22"/>
    </w:rPr>
  </w:style>
  <w:style w:customStyle="1" w:styleId="74" w:type="character">
    <w:name w:val="t1"/>
    <w:basedOn w:val="23"/>
    <w:uiPriority w:val="99"/>
    <w:rPr>
      <w:color w:val="auto"/>
    </w:rPr>
  </w:style>
  <w:style w:customStyle="1" w:styleId="75" w:type="paragraph">
    <w:name w:val="List Paragraph"/>
    <w:basedOn w:val="1"/>
    <w:qFormat/>
    <w:uiPriority w:val="34"/>
    <w:pPr>
      <w:ind w:firstLine="420" w:firstLineChars="200"/>
    </w:pPr>
  </w:style>
  <w:style w:customStyle="1" w:styleId="76" w:type="paragraph">
    <w:name w:val="Default"/>
    <w:uiPriority w:val="0"/>
    <w:pPr>
      <w:widowControl w:val="0"/>
      <w:autoSpaceDE w:val="0"/>
      <w:autoSpaceDN w:val="0"/>
      <w:adjustRightInd w:val="0"/>
    </w:pPr>
    <w:rPr>
      <w:rFonts w:ascii="仿宋" w:cs="仿宋" w:eastAsia="宋体" w:hAnsi="仿宋"/>
      <w:color w:val="000000"/>
      <w:kern w:val="0"/>
      <w:sz w:val="24"/>
      <w:szCs w:val="24"/>
      <w:lang w:bidi="ar-SA" w:eastAsia="zh-CN" w:val="en-US"/>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fontTable.xml" Type="http://schemas.openxmlformats.org/officeDocument/2006/relationships/fontTable"/>
<Relationship Id="rId2" Target="settings.xml" Type="http://schemas.openxmlformats.org/officeDocument/2006/relationships/settings"/>
<Relationship Id="rId3" Target="header1.xml" Type="http://schemas.openxmlformats.org/officeDocument/2006/relationships/header"/>
<Relationship Id="rId4" Target="footer1.xml" Type="http://schemas.openxmlformats.org/officeDocument/2006/relationships/footer"/>
<Relationship Id="rId5" Target="footer2.xml" Type="http://schemas.openxmlformats.org/officeDocument/2006/relationships/footer"/>
<Relationship Id="rId6" Target="theme/theme1.xml" Type="http://schemas.openxmlformats.org/officeDocument/2006/relationships/theme"/>
<Relationship Id="rId7" Target="media/image1.jpeg" Type="http://schemas.openxmlformats.org/officeDocument/2006/relationships/image"/>
<Relationship Id="rId8" Target="../customXml/item1.xml" Type="http://schemas.openxmlformats.org/officeDocument/2006/relationships/customXml"/>
<Relationship Id="rId9" Target="../customXml/item2.xml" Type="http://schemas.openxmlformats.org/officeDocument/2006/relationships/custom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D9206E-1E05-4DAA-8257-D968F18318A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3834</Words>
  <Characters>21859</Characters>
  <Lines>182</Lines>
  <Paragraphs>51</Paragraphs>
  <TotalTime>0</TotalTime>
  <ScaleCrop>false</ScaleCrop>
  <LinksUpToDate>false</LinksUpToDate>
  <CharactersWithSpaces>25642</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dc:creator>Administrator</dc:creator>
  <cp:lastModifiedBy>Administrator</cp:lastModifiedBy>
  <dcterms:modified xsi:type="dcterms:W3CDTF">2017-07-11T07:07:49Z</dcterms:modified>
  <cp:revision>264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