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A744B" w:rsidRDefault="00DA744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DA744B" w:rsidRDefault="00DA744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DA744B" w:rsidRDefault="00DA744B">
      <w:pPr>
        <w:spacing w:line="360" w:lineRule="auto"/>
        <w:jc w:val="center"/>
        <w:rPr>
          <w:rFonts w:hint="eastAsia"/>
        </w:rPr>
      </w:pPr>
      <w:r>
        <w:rPr>
          <w:rFonts w:ascii="宋体" w:hAnsi="宋体" w:hint="eastAsia"/>
          <w:b/>
          <w:bCs/>
          <w:color w:val="000000" w:themeColor="text1"/>
          <w:sz w:val="48"/>
          <w:szCs w:val="30"/>
        </w:rPr>
        <w:t>摩根智慧互联股票型证券投资基金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DA744B" w:rsidRDefault="00DA744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DA744B" w:rsidRDefault="00DA744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DA744B" w:rsidRDefault="00DA744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DA744B" w:rsidRDefault="00DA744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中国工商银行股份有限公</w:t>
      </w:r>
      <w:r>
        <w:rPr>
          <w:rFonts w:ascii="宋体" w:hAnsi="宋体" w:hint="eastAsia"/>
          <w:b/>
          <w:bCs/>
          <w:sz w:val="28"/>
          <w:szCs w:val="30"/>
        </w:rPr>
        <w:t>司</w:t>
      </w:r>
    </w:p>
    <w:p w:rsidR="00DA744B" w:rsidRDefault="00DA744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DA744B" w:rsidRDefault="00DA744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DA744B" w:rsidRDefault="00DA744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基金托管人中国工商银行股份有限公司根据本基金合同约定，于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DA744B" w:rsidRDefault="00DA744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70086038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DA744B" w:rsidRDefault="00DA744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szCs w:val="24"/>
                <w:lang w:eastAsia="zh-Hans"/>
              </w:rPr>
              <w:t>摩根智慧互联股</w:t>
            </w:r>
            <w:r>
              <w:rPr>
                <w:rFonts w:ascii="宋体" w:hAnsi="宋体" w:hint="eastAsia"/>
                <w:szCs w:val="24"/>
                <w:lang w:eastAsia="zh-Hans"/>
              </w:rPr>
              <w:t>票</w:t>
            </w:r>
            <w:r>
              <w:rPr>
                <w:rFonts w:ascii="宋体" w:hAnsi="宋体" w:hint="eastAsia"/>
                <w:lang w:eastAsia="zh-Hans"/>
              </w:rPr>
              <w:t xml:space="preserve"> </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00131</w:t>
            </w:r>
            <w:r>
              <w:rPr>
                <w:rFonts w:ascii="宋体" w:hAnsi="宋体" w:hint="eastAsia"/>
                <w:lang w:eastAsia="zh-Hans"/>
              </w:rPr>
              <w:t>3</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契约型开放</w:t>
            </w:r>
            <w:r>
              <w:rPr>
                <w:rFonts w:ascii="宋体" w:hAnsi="宋体" w:hint="eastAsia"/>
                <w:lang w:eastAsia="zh-Hans"/>
              </w:rPr>
              <w:t>式</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437,762,980.0</w:t>
            </w:r>
            <w:r>
              <w:rPr>
                <w:rFonts w:ascii="宋体" w:hAnsi="宋体" w:hint="eastAsia"/>
                <w:lang w:eastAsia="zh-Hans"/>
              </w:rPr>
              <w:t>9</w:t>
            </w:r>
            <w:r>
              <w:rPr>
                <w:rFonts w:hint="eastAsia"/>
              </w:rPr>
              <w:t>份</w:t>
            </w:r>
            <w:r>
              <w:rPr>
                <w:rFonts w:ascii="宋体" w:hAnsi="宋体" w:hint="eastAsia"/>
                <w:lang w:eastAsia="zh-Hans"/>
              </w:rPr>
              <w:t xml:space="preserve"> </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采用定量及定性研究方法，自下而上优选互联网主题上市公司，通过严格的风险控制，力争实现基金资产的长期增值</w:t>
            </w:r>
            <w:r>
              <w:rPr>
                <w:rFonts w:ascii="宋体" w:hAnsi="宋体" w:hint="eastAsia"/>
                <w:lang w:eastAsia="zh-Hans"/>
              </w:rPr>
              <w:t>。</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本基金将专注于互联网主题投资，对其相关行业的发展进行密切跟踪，充分把握互联网概念企业的投资机会。</w:t>
            </w:r>
            <w:r>
              <w:rPr>
                <w:rFonts w:ascii="宋体" w:hAnsi="宋体" w:hint="eastAsia"/>
                <w:lang w:eastAsia="zh-Hans"/>
              </w:rPr>
              <w:br/>
            </w:r>
            <w:r>
              <w:rPr>
                <w:rFonts w:ascii="宋体" w:hAnsi="宋体" w:hint="eastAsia"/>
                <w:lang w:eastAsia="zh-Hans"/>
              </w:rPr>
              <w:t>在资产配置层面，本基金将根据各类证券的风险收益特征的相对变化，适度的调整确定基金资产在股票、债券及现金等类别资产间的分配比例，动态优化投资组合。</w:t>
            </w:r>
            <w:r>
              <w:rPr>
                <w:rFonts w:ascii="宋体" w:hAnsi="宋体" w:hint="eastAsia"/>
                <w:lang w:eastAsia="zh-Hans"/>
              </w:rPr>
              <w:br/>
            </w:r>
            <w:r>
              <w:rPr>
                <w:rFonts w:ascii="宋体" w:hAnsi="宋体" w:hint="eastAsia"/>
                <w:lang w:eastAsia="zh-Hans"/>
              </w:rPr>
              <w:t>在个股选择层面，本基金主要采取“自下而上”的选股策略，基于对互联网主题相关的上市公司盈利水平、成长性和估值水平的综合考量，使用定性与定量相结合的方法精选股票进行投资。</w:t>
            </w:r>
            <w:r>
              <w:rPr>
                <w:rFonts w:ascii="宋体" w:hAnsi="宋体" w:hint="eastAsia"/>
                <w:lang w:eastAsia="zh-Hans"/>
              </w:rPr>
              <w:b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当前互联网概念不仅仅包含传统意义上的计算机、通讯等行业，而是体现在社会发展的方方面面，互联网的运用在创造新型商业模式、传统产业升级等方面发挥越来越重要的作用，融合了互联网平台与技术的传统企业将会以领先者的角色占领市场。同时，互联网作为知识密集型</w:t>
            </w:r>
            <w:r>
              <w:rPr>
                <w:rFonts w:ascii="宋体" w:hAnsi="宋体" w:hint="eastAsia"/>
                <w:lang w:eastAsia="zh-Hans"/>
              </w:rPr>
              <w:t>、低能耗、高附加值的代表，符合未来大力发展低碳经济的政策趋势，将成为推动经济发展的重要力量之一。</w:t>
            </w:r>
            <w:r>
              <w:rPr>
                <w:rFonts w:ascii="宋体" w:hAnsi="宋体" w:hint="eastAsia"/>
                <w:lang w:eastAsia="zh-Hans"/>
              </w:rPr>
              <w:br/>
            </w:r>
            <w:r>
              <w:rPr>
                <w:rFonts w:ascii="宋体" w:hAnsi="宋体" w:hint="eastAsia"/>
                <w:lang w:eastAsia="zh-Hans"/>
              </w:rPr>
              <w:t>本基金将专注于互联网主题投资，对其相关行业的发展进行密切跟踪，充分把握互联网概念企业的投资机会，发掘与互联主题相关的上市公司中商业模式独特、竞争优势明显，具有长期持续增长模式、估值水平相对合理的优质上市公司，分享企业成长及变革带来的资本增值。</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对于固定收益类资产的选择，本基金将以价值分析为主线，在综合研究的基础上实施积极主动的组合管理，并主要通过类属配置与债券选择两个层次进行投资管理。</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、其他投资策略：包括可转换债券投资策略、中小企业私募债投资策略、股指期货投资策略、资产支持证券投资策略、股票期权投资策略、存托凭证投资策略等</w:t>
            </w:r>
            <w:r>
              <w:rPr>
                <w:rFonts w:ascii="宋体" w:hAnsi="宋体" w:hint="eastAsia"/>
                <w:lang w:eastAsia="zh-Hans"/>
              </w:rPr>
              <w:t>。</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中证</w:t>
            </w:r>
            <w:r>
              <w:rPr>
                <w:rFonts w:ascii="宋体" w:hAnsi="宋体" w:hint="eastAsia"/>
                <w:lang w:eastAsia="zh-Hans"/>
              </w:rPr>
              <w:t>TMT</w:t>
            </w:r>
            <w:r>
              <w:rPr>
                <w:rFonts w:ascii="宋体" w:hAnsi="宋体" w:hint="eastAsia"/>
                <w:lang w:eastAsia="zh-Hans"/>
              </w:rPr>
              <w:t>产业主题指数收益率</w:t>
            </w:r>
            <w:r>
              <w:rPr>
                <w:rFonts w:ascii="宋体" w:hAnsi="宋体" w:hint="eastAsia"/>
                <w:lang w:eastAsia="zh-Hans"/>
              </w:rPr>
              <w:t>*85%+</w:t>
            </w:r>
            <w:r>
              <w:rPr>
                <w:rFonts w:ascii="宋体" w:hAnsi="宋体" w:hint="eastAsia"/>
                <w:lang w:eastAsia="zh-Hans"/>
              </w:rPr>
              <w:t>银行活期存款利率（税后）</w:t>
            </w:r>
            <w:r>
              <w:rPr>
                <w:rFonts w:ascii="宋体" w:hAnsi="宋体" w:hint="eastAsia"/>
                <w:lang w:eastAsia="zh-Hans"/>
              </w:rPr>
              <w:t>*15</w:t>
            </w:r>
            <w:r>
              <w:rPr>
                <w:rFonts w:ascii="宋体" w:hAnsi="宋体" w:hint="eastAsia"/>
                <w:lang w:eastAsia="zh-Hans"/>
              </w:rPr>
              <w:t>%</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70086038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lang w:eastAsia="zh-Hans"/>
              </w:rPr>
              <w:t>中国工商银行股份有限公</w:t>
            </w:r>
            <w:r>
              <w:rPr>
                <w:rFonts w:ascii="宋体" w:hAnsi="宋体" w:hint="eastAsia"/>
                <w:lang w:eastAsia="zh-Hans"/>
              </w:rPr>
              <w:t>司</w:t>
            </w:r>
          </w:p>
        </w:tc>
      </w:tr>
      <w:tr w:rsidR="00000000">
        <w:trPr>
          <w:divId w:val="17008603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lang w:eastAsia="zh-Hans"/>
              </w:rPr>
              <w:t>摩根智慧互联股票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lang w:eastAsia="zh-Hans"/>
              </w:rPr>
              <w:t>摩根智慧互联股票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7008603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lang w:eastAsia="zh-Hans"/>
              </w:rPr>
              <w:t>00131</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lang w:eastAsia="zh-Hans"/>
              </w:rPr>
              <w:t>01691</w:t>
            </w:r>
            <w:r>
              <w:rPr>
                <w:rFonts w:ascii="宋体" w:hAnsi="宋体" w:hint="eastAsia"/>
                <w:lang w:eastAsia="zh-Hans"/>
              </w:rPr>
              <w:t>9</w:t>
            </w:r>
            <w:r>
              <w:rPr>
                <w:rFonts w:ascii="宋体" w:hAnsi="宋体" w:hint="eastAsia"/>
                <w:kern w:val="0"/>
                <w:sz w:val="20"/>
                <w:lang w:eastAsia="zh-Hans"/>
              </w:rPr>
              <w:t xml:space="preserve"> </w:t>
            </w:r>
          </w:p>
        </w:tc>
      </w:tr>
      <w:bookmarkEnd w:id="32"/>
      <w:bookmarkEnd w:id="33"/>
      <w:tr w:rsidR="00000000">
        <w:trPr>
          <w:divId w:val="170086038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DA744B" w:rsidRDefault="00DA744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lang w:eastAsia="zh-Hans"/>
              </w:rPr>
              <w:t>397,207,765.3</w:t>
            </w:r>
            <w:r>
              <w:rPr>
                <w:rFonts w:ascii="宋体" w:hAnsi="宋体" w:hint="eastAsia"/>
                <w:lang w:eastAsia="zh-Hans"/>
              </w:rPr>
              <w:t>7</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lang w:eastAsia="zh-Hans"/>
              </w:rPr>
              <w:t>40,555,214.7</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DA744B" w:rsidRDefault="00DA744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DA744B" w:rsidRDefault="00DA744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DA744B" w:rsidRDefault="00DA744B">
      <w:pPr>
        <w:jc w:val="right"/>
        <w:divId w:val="11272224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1272224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A744B" w:rsidRDefault="00DA744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DA744B" w:rsidRDefault="00DA744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1272224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A744B" w:rsidRDefault="00DA744B">
            <w:pPr>
              <w:jc w:val="center"/>
              <w:rPr>
                <w:rFonts w:hint="eastAsia"/>
              </w:rPr>
            </w:pPr>
            <w:r>
              <w:rPr>
                <w:rFonts w:ascii="宋体" w:hAnsi="宋体" w:hint="eastAsia"/>
                <w:szCs w:val="24"/>
                <w:lang w:eastAsia="zh-Hans"/>
              </w:rPr>
              <w:t>摩根智慧互联股票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DA744B" w:rsidRDefault="00DA744B">
            <w:pPr>
              <w:jc w:val="center"/>
            </w:pPr>
            <w:r>
              <w:rPr>
                <w:rFonts w:ascii="宋体" w:hAnsi="宋体" w:hint="eastAsia"/>
                <w:szCs w:val="24"/>
                <w:lang w:eastAsia="zh-Hans"/>
              </w:rPr>
              <w:t>摩根智慧互联股票</w:t>
            </w:r>
            <w:r>
              <w:rPr>
                <w:rFonts w:ascii="宋体" w:hAnsi="宋体" w:hint="eastAsia"/>
                <w:szCs w:val="24"/>
                <w:lang w:eastAsia="zh-Hans"/>
              </w:rPr>
              <w:t>C</w:t>
            </w:r>
          </w:p>
        </w:tc>
      </w:tr>
      <w:tr w:rsidR="00000000">
        <w:trPr>
          <w:divId w:val="11272224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rPr>
                <w:rFonts w:hint="eastAsia"/>
              </w:rPr>
            </w:pPr>
            <w:r>
              <w:rPr>
                <w:rFonts w:ascii="宋体" w:hAnsi="宋体" w:hint="eastAsia"/>
                <w:szCs w:val="24"/>
                <w:lang w:eastAsia="zh-Hans"/>
              </w:rPr>
              <w:t>95,957,018.0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pPr>
            <w:r>
              <w:rPr>
                <w:rFonts w:ascii="宋体" w:hAnsi="宋体" w:hint="eastAsia"/>
                <w:szCs w:val="24"/>
                <w:lang w:eastAsia="zh-Hans"/>
              </w:rPr>
              <w:t>6,683,084.8</w:t>
            </w:r>
            <w:r>
              <w:rPr>
                <w:rFonts w:ascii="宋体" w:hAnsi="宋体" w:hint="eastAsia"/>
                <w:szCs w:val="24"/>
                <w:lang w:eastAsia="zh-Hans"/>
              </w:rPr>
              <w:t>4</w:t>
            </w:r>
          </w:p>
        </w:tc>
      </w:tr>
      <w:tr w:rsidR="00000000">
        <w:trPr>
          <w:divId w:val="11272224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rPr>
                <w:rFonts w:hint="eastAsia"/>
              </w:rPr>
            </w:pPr>
            <w:r>
              <w:rPr>
                <w:rFonts w:ascii="宋体" w:hAnsi="宋体" w:hint="eastAsia"/>
                <w:szCs w:val="24"/>
                <w:lang w:eastAsia="zh-Hans"/>
              </w:rPr>
              <w:t>368,421,014.0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pPr>
            <w:r>
              <w:rPr>
                <w:rFonts w:ascii="宋体" w:hAnsi="宋体" w:hint="eastAsia"/>
                <w:szCs w:val="24"/>
                <w:lang w:eastAsia="zh-Hans"/>
              </w:rPr>
              <w:t>24,770,999.6</w:t>
            </w:r>
            <w:r>
              <w:rPr>
                <w:rFonts w:ascii="宋体" w:hAnsi="宋体" w:hint="eastAsia"/>
                <w:szCs w:val="24"/>
                <w:lang w:eastAsia="zh-Hans"/>
              </w:rPr>
              <w:t>5</w:t>
            </w:r>
          </w:p>
        </w:tc>
      </w:tr>
      <w:tr w:rsidR="00000000">
        <w:trPr>
          <w:divId w:val="11272224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rPr>
                <w:rFonts w:hint="eastAsia"/>
              </w:rPr>
            </w:pPr>
            <w:r>
              <w:rPr>
                <w:rFonts w:ascii="宋体" w:hAnsi="宋体" w:hint="eastAsia"/>
                <w:szCs w:val="24"/>
                <w:lang w:eastAsia="zh-Hans"/>
              </w:rPr>
              <w:t>0.924</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pPr>
            <w:r>
              <w:rPr>
                <w:rFonts w:ascii="宋体" w:hAnsi="宋体" w:hint="eastAsia"/>
                <w:szCs w:val="24"/>
                <w:lang w:eastAsia="zh-Hans"/>
              </w:rPr>
              <w:t>0.910</w:t>
            </w:r>
            <w:r>
              <w:rPr>
                <w:rFonts w:ascii="宋体" w:hAnsi="宋体" w:hint="eastAsia"/>
                <w:szCs w:val="24"/>
                <w:lang w:eastAsia="zh-Hans"/>
              </w:rPr>
              <w:t>2</w:t>
            </w:r>
          </w:p>
        </w:tc>
      </w:tr>
      <w:tr w:rsidR="00000000">
        <w:trPr>
          <w:divId w:val="11272224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rPr>
                <w:rFonts w:hint="eastAsia"/>
              </w:rPr>
            </w:pPr>
            <w:r>
              <w:rPr>
                <w:rFonts w:ascii="宋体" w:hAnsi="宋体" w:hint="eastAsia"/>
                <w:szCs w:val="24"/>
                <w:lang w:eastAsia="zh-Hans"/>
              </w:rPr>
              <w:t>930,628,431.0</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pPr>
            <w:r>
              <w:rPr>
                <w:rFonts w:ascii="宋体" w:hAnsi="宋体" w:hint="eastAsia"/>
                <w:szCs w:val="24"/>
                <w:lang w:eastAsia="zh-Hans"/>
              </w:rPr>
              <w:t>93,268,837.9</w:t>
            </w:r>
            <w:r>
              <w:rPr>
                <w:rFonts w:ascii="宋体" w:hAnsi="宋体" w:hint="eastAsia"/>
                <w:szCs w:val="24"/>
                <w:lang w:eastAsia="zh-Hans"/>
              </w:rPr>
              <w:t>0</w:t>
            </w:r>
          </w:p>
        </w:tc>
      </w:tr>
      <w:tr w:rsidR="00000000">
        <w:trPr>
          <w:divId w:val="11272224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rPr>
                <w:rFonts w:hint="eastAsia"/>
              </w:rPr>
            </w:pPr>
            <w:r>
              <w:rPr>
                <w:rFonts w:ascii="宋体" w:hAnsi="宋体" w:hint="eastAsia"/>
                <w:szCs w:val="24"/>
                <w:lang w:eastAsia="zh-Hans"/>
              </w:rPr>
              <w:t>2.342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DA744B" w:rsidRDefault="00DA744B">
            <w:pPr>
              <w:jc w:val="right"/>
            </w:pPr>
            <w:r>
              <w:rPr>
                <w:rFonts w:ascii="宋体" w:hAnsi="宋体" w:hint="eastAsia"/>
                <w:szCs w:val="24"/>
                <w:lang w:eastAsia="zh-Hans"/>
              </w:rPr>
              <w:t>2.299</w:t>
            </w:r>
            <w:r>
              <w:rPr>
                <w:rFonts w:ascii="宋体" w:hAnsi="宋体" w:hint="eastAsia"/>
                <w:szCs w:val="24"/>
                <w:lang w:eastAsia="zh-Hans"/>
              </w:rPr>
              <w:t>8</w:t>
            </w:r>
          </w:p>
        </w:tc>
      </w:tr>
    </w:tbl>
    <w:p w:rsidR="00DA744B" w:rsidRDefault="00DA744B">
      <w:pPr>
        <w:wordWrap w:val="0"/>
        <w:spacing w:line="360" w:lineRule="auto"/>
        <w:jc w:val="left"/>
        <w:divId w:val="5184922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DA744B" w:rsidRDefault="00DA744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DA744B" w:rsidRDefault="00DA744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DA744B" w:rsidRDefault="00DA744B">
      <w:pPr>
        <w:spacing w:line="360" w:lineRule="auto"/>
        <w:jc w:val="center"/>
        <w:divId w:val="1849247876"/>
        <w:rPr>
          <w:rFonts w:hint="eastAsia"/>
        </w:rPr>
      </w:pPr>
      <w:r>
        <w:rPr>
          <w:rFonts w:ascii="宋体" w:hAnsi="宋体" w:hint="eastAsia"/>
        </w:rPr>
        <w:t>摩根智慧互联股票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4924787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②－④</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64.8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2.3</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47.6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17.2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62.2</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42.5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1.8</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19.6</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164.8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2.1</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91.7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73.1</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148.7</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135.4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13.2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0.6</w:t>
            </w:r>
            <w:r>
              <w:rPr>
                <w:rFonts w:ascii="宋体" w:hAnsi="宋体" w:hint="eastAsia"/>
              </w:rPr>
              <w:t>5</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59.9</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92.0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-32.0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263.8</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147.2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116.5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211.5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165.2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46.3</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r>
      <w:tr w:rsidR="00000000">
        <w:trPr>
          <w:divId w:val="184924787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134.2</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73.6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60.6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r>
    </w:tbl>
    <w:p w:rsidR="00DA744B" w:rsidRDefault="00DA744B">
      <w:pPr>
        <w:spacing w:line="360" w:lineRule="auto"/>
        <w:jc w:val="center"/>
        <w:divId w:val="1602256233"/>
      </w:pPr>
      <w:r>
        <w:rPr>
          <w:rFonts w:ascii="宋体" w:hAnsi="宋体" w:hint="eastAsia"/>
        </w:rPr>
        <w:t>摩根智慧互联股票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60225623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6022562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64.6</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2.3</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47.6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17.0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6022562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61.8</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42.5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1.8</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19.2</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6022562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163.5</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2.1</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91.7</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71.8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6022562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145.0</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135.4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9.5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0.6</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60225623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163.9</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2.1</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150.6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1.4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DA744B" w:rsidRDefault="00DA744B">
            <w:pPr>
              <w:spacing w:line="360" w:lineRule="auto"/>
              <w:jc w:val="right"/>
            </w:pPr>
            <w:r>
              <w:rPr>
                <w:rFonts w:ascii="宋体" w:hAnsi="宋体" w:hint="eastAsia"/>
              </w:rPr>
              <w:t>13.3</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spacing w:line="360" w:lineRule="auto"/>
              <w:jc w:val="right"/>
            </w:pPr>
            <w:r>
              <w:rPr>
                <w:rFonts w:ascii="宋体" w:hAnsi="宋体" w:hint="eastAsia"/>
              </w:rPr>
              <w:t>0.7</w:t>
            </w:r>
            <w:r>
              <w:rPr>
                <w:rFonts w:ascii="宋体" w:hAnsi="宋体" w:hint="eastAsia"/>
              </w:rPr>
              <w:t>1</w:t>
            </w:r>
            <w:r>
              <w:rPr>
                <w:rFonts w:ascii="宋体" w:hAnsi="宋体" w:hint="eastAsia"/>
              </w:rPr>
              <w:t>%</w:t>
            </w:r>
            <w:r>
              <w:rPr>
                <w:rFonts w:ascii="宋体" w:hAnsi="宋体" w:hint="eastAsia"/>
              </w:rPr>
              <w:t xml:space="preserve"> </w:t>
            </w:r>
          </w:p>
        </w:tc>
      </w:tr>
    </w:tbl>
    <w:p w:rsidR="00DA744B" w:rsidRDefault="00DA744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DA744B" w:rsidRDefault="00DA744B">
      <w:pPr>
        <w:spacing w:line="360" w:lineRule="auto"/>
        <w:jc w:val="left"/>
        <w:divId w:val="846285236"/>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A744B" w:rsidRDefault="00DA744B">
      <w:pPr>
        <w:spacing w:line="360" w:lineRule="auto"/>
        <w:jc w:val="left"/>
        <w:divId w:val="503084828"/>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DA744B" w:rsidRDefault="00DA744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DA744B" w:rsidRDefault="00DA744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DA744B" w:rsidRDefault="00DA744B">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55512207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55512207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r>
      <w:tr w:rsidR="00000000">
        <w:trPr>
          <w:divId w:val="55512207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李德</w:t>
            </w:r>
            <w:r>
              <w:rPr>
                <w:rFonts w:ascii="宋体" w:hAnsi="宋体" w:hint="eastAsia"/>
                <w:szCs w:val="24"/>
                <w:lang w:eastAsia="zh-Hans"/>
              </w:rPr>
              <w:t>辉</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szCs w:val="24"/>
                <w:lang w:eastAsia="zh-Hans"/>
              </w:rPr>
              <w:t>李德辉先生曾任农银汇理基金管理有限公司研究员。</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月起加入摩根基金管理（中国）有限公司（原上投摩根基金管理有限公司），历任研究员、行业专家兼基金经理助理、基金经理、高级基金经理，现任资深基金经理</w:t>
            </w:r>
            <w:r>
              <w:rPr>
                <w:rFonts w:ascii="宋体" w:hAnsi="宋体" w:hint="eastAsia"/>
                <w:szCs w:val="24"/>
                <w:lang w:eastAsia="zh-Hans"/>
              </w:rPr>
              <w:t>。</w:t>
            </w:r>
          </w:p>
        </w:tc>
      </w:tr>
    </w:tbl>
    <w:p w:rsidR="00DA744B" w:rsidRDefault="00DA744B">
      <w:pPr>
        <w:wordWrap w:val="0"/>
        <w:spacing w:line="360" w:lineRule="auto"/>
        <w:jc w:val="left"/>
        <w:divId w:val="532380108"/>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DA744B" w:rsidRDefault="00DA744B">
      <w:pPr>
        <w:pStyle w:val="XBRLTitle3"/>
        <w:spacing w:before="156"/>
        <w:ind w:left="0"/>
        <w:divId w:val="1090856041"/>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375617825"/>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A744B" w:rsidRDefault="00DA744B">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A744B" w:rsidRDefault="00DA744B">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A744B" w:rsidRDefault="00DA744B">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A744B" w:rsidRDefault="00DA744B">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DA744B" w:rsidRDefault="00DA744B">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375617825"/>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center"/>
            </w:pPr>
            <w:r>
              <w:rPr>
                <w:rFonts w:ascii="宋体" w:hAnsi="宋体" w:hint="eastAsia"/>
                <w:szCs w:val="24"/>
              </w:rPr>
              <w:t>李德</w:t>
            </w:r>
            <w:r>
              <w:rPr>
                <w:rFonts w:ascii="宋体" w:hAnsi="宋体" w:hint="eastAsia"/>
                <w:szCs w:val="24"/>
              </w:rPr>
              <w:t>辉</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8</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8,381,193,265.0</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center"/>
            </w:pPr>
            <w:r>
              <w:rPr>
                <w:rFonts w:ascii="宋体" w:hAnsi="宋体" w:hint="eastAsia"/>
                <w:szCs w:val="24"/>
              </w:rPr>
              <w:t>2016-11-1</w:t>
            </w:r>
            <w:r>
              <w:rPr>
                <w:rFonts w:ascii="宋体" w:hAnsi="宋体" w:hint="eastAsia"/>
                <w:szCs w:val="24"/>
              </w:rPr>
              <w:t>8</w:t>
            </w:r>
          </w:p>
        </w:tc>
      </w:tr>
      <w:tr w:rsidR="00000000">
        <w:trPr>
          <w:divId w:val="137561782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133,690,321.4</w:t>
            </w:r>
            <w:r>
              <w:rPr>
                <w:rFonts w:ascii="宋体" w:hAnsi="宋体" w:hint="eastAsia"/>
                <w:szCs w:val="24"/>
              </w:rPr>
              <w:t>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center"/>
            </w:pPr>
            <w:r>
              <w:rPr>
                <w:rFonts w:ascii="宋体" w:hAnsi="宋体" w:hint="eastAsia"/>
                <w:szCs w:val="24"/>
              </w:rPr>
              <w:t>2022-11-2</w:t>
            </w:r>
            <w:r>
              <w:rPr>
                <w:rFonts w:ascii="宋体" w:hAnsi="宋体" w:hint="eastAsia"/>
                <w:szCs w:val="24"/>
              </w:rPr>
              <w:t>2</w:t>
            </w:r>
          </w:p>
        </w:tc>
      </w:tr>
      <w:tr w:rsidR="00000000">
        <w:trPr>
          <w:divId w:val="137561782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center"/>
            </w:pPr>
            <w:r>
              <w:rPr>
                <w:rFonts w:ascii="宋体" w:hAnsi="宋体" w:hint="eastAsia"/>
                <w:szCs w:val="24"/>
              </w:rPr>
              <w:t>-</w:t>
            </w:r>
          </w:p>
        </w:tc>
      </w:tr>
      <w:tr w:rsidR="00000000">
        <w:trPr>
          <w:divId w:val="1375617825"/>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A744B" w:rsidRDefault="00DA744B">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right"/>
            </w:pPr>
            <w:r>
              <w:rPr>
                <w:rFonts w:ascii="宋体" w:hAnsi="宋体" w:hint="eastAsia"/>
                <w:szCs w:val="24"/>
              </w:rPr>
              <w:t>8,514,883,586.4</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A744B" w:rsidRDefault="00DA744B">
            <w:pPr>
              <w:jc w:val="center"/>
            </w:pPr>
            <w:r>
              <w:rPr>
                <w:rFonts w:ascii="宋体" w:hAnsi="宋体" w:hint="eastAsia"/>
                <w:szCs w:val="24"/>
              </w:rPr>
              <w:t xml:space="preserve">- </w:t>
            </w:r>
          </w:p>
        </w:tc>
      </w:tr>
    </w:tbl>
    <w:p w:rsidR="00DA744B" w:rsidRDefault="00DA744B">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DA744B" w:rsidRDefault="00DA744B">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DA744B" w:rsidRDefault="00DA744B">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DA744B" w:rsidRDefault="00DA744B">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DA744B" w:rsidRDefault="00DA744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DA744B" w:rsidRDefault="00DA744B">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DA744B" w:rsidRDefault="00DA744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DA744B" w:rsidRDefault="00DA744B">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股整体向上，但结构分化剧烈，</w:t>
      </w:r>
      <w:r>
        <w:rPr>
          <w:rFonts w:ascii="宋体" w:hAnsi="宋体" w:cs="宋体" w:hint="eastAsia"/>
          <w:color w:val="000000"/>
          <w:kern w:val="0"/>
        </w:rPr>
        <w:t>AI</w:t>
      </w:r>
      <w:r>
        <w:rPr>
          <w:rFonts w:ascii="宋体" w:hAnsi="宋体" w:cs="宋体" w:hint="eastAsia"/>
          <w:color w:val="000000"/>
          <w:kern w:val="0"/>
        </w:rPr>
        <w:t>相关行业表现非常好，其余行业较弱，沪深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，创业板指数上涨</w:t>
      </w:r>
      <w:r>
        <w:rPr>
          <w:rFonts w:ascii="宋体" w:hAnsi="宋体" w:cs="宋体" w:hint="eastAsia"/>
          <w:color w:val="000000"/>
          <w:kern w:val="0"/>
        </w:rPr>
        <w:t>36.35%</w:t>
      </w:r>
      <w:r>
        <w:rPr>
          <w:rFonts w:ascii="宋体" w:hAnsi="宋体" w:cs="宋体" w:hint="eastAsia"/>
          <w:color w:val="000000"/>
          <w:kern w:val="0"/>
        </w:rPr>
        <w:t>。本基金报告期内增配了</w:t>
      </w:r>
      <w:r>
        <w:rPr>
          <w:rFonts w:ascii="宋体" w:hAnsi="宋体" w:cs="宋体" w:hint="eastAsia"/>
          <w:color w:val="000000"/>
          <w:kern w:val="0"/>
        </w:rPr>
        <w:t>AI</w:t>
      </w:r>
      <w:r>
        <w:rPr>
          <w:rFonts w:ascii="宋体" w:hAnsi="宋体" w:cs="宋体" w:hint="eastAsia"/>
          <w:color w:val="000000"/>
          <w:kern w:val="0"/>
        </w:rPr>
        <w:t>相关的通信、电子，降低了有色金属的仓位，维持电力设备板块配置，净值表现较好。</w:t>
      </w:r>
      <w:r>
        <w:rPr>
          <w:rFonts w:ascii="宋体" w:hAnsi="宋体" w:cs="宋体" w:hint="eastAsia"/>
          <w:color w:val="000000"/>
          <w:kern w:val="0"/>
        </w:rPr>
        <w:br/>
      </w:r>
      <w:r>
        <w:rPr>
          <w:rFonts w:ascii="宋体" w:hAnsi="宋体" w:cs="宋体" w:hint="eastAsia"/>
          <w:color w:val="000000"/>
          <w:kern w:val="0"/>
        </w:rPr>
        <w:t xml:space="preserve">　　展望下半年，经济整体比较健康，科技赛道的需求非常旺盛，新能源赛道增长较好，不少出口制造业韧性较强。今年以来主要上涨的是业绩，估值并没有扩张太多，仍有性价比。</w:t>
      </w:r>
      <w:r>
        <w:rPr>
          <w:rFonts w:ascii="宋体" w:hAnsi="宋体" w:cs="宋体" w:hint="eastAsia"/>
          <w:color w:val="000000"/>
          <w:kern w:val="0"/>
        </w:rPr>
        <w:br/>
      </w:r>
      <w:r>
        <w:rPr>
          <w:rFonts w:ascii="宋体" w:hAnsi="宋体" w:cs="宋体" w:hint="eastAsia"/>
          <w:color w:val="000000"/>
          <w:kern w:val="0"/>
        </w:rPr>
        <w:t xml:space="preserve">　　我们看好的赛道包括科技、半导体、锂电池等。</w:t>
      </w:r>
      <w:r>
        <w:rPr>
          <w:rFonts w:ascii="宋体" w:hAnsi="宋体" w:cs="宋体" w:hint="eastAsia"/>
          <w:color w:val="000000"/>
          <w:kern w:val="0"/>
        </w:rPr>
        <w:t>AI</w:t>
      </w:r>
      <w:r>
        <w:rPr>
          <w:rFonts w:ascii="宋体" w:hAnsi="宋体" w:cs="宋体" w:hint="eastAsia"/>
          <w:color w:val="000000"/>
          <w:kern w:val="0"/>
        </w:rPr>
        <w:t>算力链景气度超年初预期，存储、</w:t>
      </w:r>
      <w:r>
        <w:rPr>
          <w:rFonts w:ascii="宋体" w:hAnsi="宋体" w:cs="宋体" w:hint="eastAsia"/>
          <w:color w:val="000000"/>
          <w:kern w:val="0"/>
        </w:rPr>
        <w:t>PCB</w:t>
      </w:r>
      <w:r>
        <w:rPr>
          <w:rFonts w:ascii="宋体" w:hAnsi="宋体" w:cs="宋体" w:hint="eastAsia"/>
          <w:color w:val="000000"/>
          <w:kern w:val="0"/>
        </w:rPr>
        <w:t>上游材料等环节出现大幅度涨价，光模块明年需求也大幅上修，虽然股价都涨幅较大，但结合目前估值来看，我们仍更看好光模块，因为需求增量巨大，目前看明年市盈率预计不到</w:t>
      </w:r>
      <w:r>
        <w:rPr>
          <w:rFonts w:ascii="宋体" w:hAnsi="宋体" w:cs="宋体" w:hint="eastAsia"/>
          <w:color w:val="000000"/>
          <w:kern w:val="0"/>
        </w:rPr>
        <w:t>15</w:t>
      </w:r>
      <w:r>
        <w:rPr>
          <w:rFonts w:ascii="宋体" w:hAnsi="宋体" w:cs="宋体" w:hint="eastAsia"/>
          <w:color w:val="000000"/>
          <w:kern w:val="0"/>
        </w:rPr>
        <w:t>倍，性价比较高。次之我们看好存储，扩产周期较长，估值也较低。除了海外算力链，国产算力也供不应求，从</w:t>
      </w:r>
      <w:r>
        <w:rPr>
          <w:rFonts w:ascii="宋体" w:hAnsi="宋体" w:cs="宋体" w:hint="eastAsia"/>
          <w:color w:val="000000"/>
          <w:kern w:val="0"/>
        </w:rPr>
        <w:t>GPU</w:t>
      </w:r>
      <w:r>
        <w:rPr>
          <w:rFonts w:ascii="宋体" w:hAnsi="宋体" w:cs="宋体" w:hint="eastAsia"/>
          <w:color w:val="000000"/>
          <w:kern w:val="0"/>
        </w:rPr>
        <w:t>、到先进制造和封装、再到耗材，整个产业链景气度较高，缺点是估值较贵，一定程度依赖风险偏好。锂电领域，尽管今年电车销售一般，但是单车带电量提升较多，储能需求好，整体看好锂电行业的增长，尤其看好壁垒高的电池</w:t>
      </w:r>
      <w:r>
        <w:rPr>
          <w:rFonts w:ascii="宋体" w:hAnsi="宋体" w:cs="宋体" w:hint="eastAsia"/>
          <w:color w:val="000000"/>
          <w:kern w:val="0"/>
        </w:rPr>
        <w:t>。</w:t>
      </w:r>
    </w:p>
    <w:p w:rsidR="00DA744B" w:rsidRDefault="00DA744B">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DA744B" w:rsidRDefault="00DA744B">
      <w:pPr>
        <w:spacing w:line="360" w:lineRule="auto"/>
        <w:ind w:firstLineChars="200" w:firstLine="420"/>
        <w:rPr>
          <w:rFonts w:hint="eastAsia"/>
        </w:rPr>
      </w:pPr>
      <w:r>
        <w:rPr>
          <w:rFonts w:ascii="宋体" w:hAnsi="宋体" w:hint="eastAsia"/>
        </w:rPr>
        <w:t>本报告期摩根智慧互联股票</w:t>
      </w:r>
      <w:r>
        <w:rPr>
          <w:rFonts w:ascii="宋体" w:hAnsi="宋体" w:hint="eastAsia"/>
        </w:rPr>
        <w:t>A</w:t>
      </w:r>
      <w:r>
        <w:rPr>
          <w:rFonts w:ascii="宋体" w:hAnsi="宋体" w:hint="eastAsia"/>
        </w:rPr>
        <w:t>份额净值增长率为：</w:t>
      </w:r>
      <w:r>
        <w:rPr>
          <w:rFonts w:ascii="宋体" w:hAnsi="宋体" w:hint="eastAsia"/>
        </w:rPr>
        <w:t>64.88%</w:t>
      </w:r>
      <w:r>
        <w:rPr>
          <w:rFonts w:ascii="宋体" w:hAnsi="宋体" w:hint="eastAsia"/>
        </w:rPr>
        <w:t>，同期业绩比较基准收益率为：</w:t>
      </w:r>
      <w:r>
        <w:rPr>
          <w:rFonts w:ascii="宋体" w:hAnsi="宋体" w:hint="eastAsia"/>
        </w:rPr>
        <w:t>47.65%</w:t>
      </w:r>
      <w:r>
        <w:rPr>
          <w:rFonts w:ascii="宋体" w:hAnsi="宋体" w:hint="eastAsia"/>
        </w:rPr>
        <w:t>；</w:t>
      </w:r>
      <w:r>
        <w:rPr>
          <w:rFonts w:ascii="宋体" w:hAnsi="宋体" w:hint="eastAsia"/>
        </w:rPr>
        <w:br/>
      </w:r>
      <w:r>
        <w:rPr>
          <w:rFonts w:ascii="宋体" w:hAnsi="宋体" w:hint="eastAsia"/>
        </w:rPr>
        <w:t xml:space="preserve">　　摩根智慧互联股票</w:t>
      </w:r>
      <w:r>
        <w:rPr>
          <w:rFonts w:ascii="宋体" w:hAnsi="宋体" w:hint="eastAsia"/>
        </w:rPr>
        <w:t>C</w:t>
      </w:r>
      <w:r>
        <w:rPr>
          <w:rFonts w:ascii="宋体" w:hAnsi="宋体" w:hint="eastAsia"/>
        </w:rPr>
        <w:t>份额净值增长率为：</w:t>
      </w:r>
      <w:r>
        <w:rPr>
          <w:rFonts w:ascii="宋体" w:hAnsi="宋体" w:hint="eastAsia"/>
        </w:rPr>
        <w:t>64.67%</w:t>
      </w:r>
      <w:r>
        <w:rPr>
          <w:rFonts w:ascii="宋体" w:hAnsi="宋体" w:hint="eastAsia"/>
        </w:rPr>
        <w:t>，同期业绩比较基准收益率为：</w:t>
      </w:r>
      <w:r>
        <w:rPr>
          <w:rFonts w:ascii="宋体" w:hAnsi="宋体" w:hint="eastAsia"/>
        </w:rPr>
        <w:t>47.65%</w:t>
      </w:r>
      <w:r>
        <w:rPr>
          <w:rFonts w:ascii="宋体" w:hAnsi="宋体" w:hint="eastAsia"/>
        </w:rPr>
        <w:t>。</w:t>
      </w:r>
    </w:p>
    <w:p w:rsidR="00DA744B" w:rsidRDefault="00DA744B">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DA744B" w:rsidRDefault="00DA744B">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DA744B" w:rsidRDefault="00DA744B">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913,186,199.5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87.8</w:t>
            </w:r>
            <w:r>
              <w:rPr>
                <w:rFonts w:ascii="宋体" w:hAnsi="宋体" w:hint="eastAsia"/>
                <w:szCs w:val="24"/>
                <w:lang w:eastAsia="zh-Hans"/>
              </w:rPr>
              <w:t>9</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913,186,199.5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87.8</w:t>
            </w:r>
            <w:r>
              <w:rPr>
                <w:rFonts w:ascii="宋体" w:hAnsi="宋体" w:hint="eastAsia"/>
                <w:szCs w:val="24"/>
                <w:lang w:eastAsia="zh-Hans"/>
              </w:rPr>
              <w:t>9</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119,255,959.0</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11.4</w:t>
            </w:r>
            <w:r>
              <w:rPr>
                <w:rFonts w:ascii="宋体" w:hAnsi="宋体" w:hint="eastAsia"/>
                <w:szCs w:val="24"/>
                <w:lang w:eastAsia="zh-Hans"/>
              </w:rPr>
              <w:t>8</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6,566,778.2</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0.6</w:t>
            </w:r>
            <w:r>
              <w:rPr>
                <w:rFonts w:ascii="宋体" w:hAnsi="宋体" w:hint="eastAsia"/>
                <w:szCs w:val="24"/>
                <w:lang w:eastAsia="zh-Hans"/>
              </w:rPr>
              <w:t>3</w:t>
            </w:r>
          </w:p>
        </w:tc>
      </w:tr>
      <w:tr w:rsidR="00000000">
        <w:trPr>
          <w:divId w:val="13452039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DA744B" w:rsidRDefault="00DA744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DA744B" w:rsidRDefault="00DA744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1,039,008,936.7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DA744B" w:rsidRDefault="00DA744B">
            <w:pPr>
              <w:jc w:val="right"/>
            </w:pPr>
            <w:r>
              <w:rPr>
                <w:rFonts w:ascii="宋体" w:hAnsi="宋体" w:hint="eastAsia"/>
                <w:szCs w:val="24"/>
                <w:lang w:eastAsia="zh-Hans"/>
              </w:rPr>
              <w:t>100.0</w:t>
            </w:r>
            <w:r>
              <w:rPr>
                <w:rFonts w:ascii="宋体" w:hAnsi="宋体" w:hint="eastAsia"/>
                <w:szCs w:val="24"/>
                <w:lang w:eastAsia="zh-Hans"/>
              </w:rPr>
              <w:t>0</w:t>
            </w:r>
          </w:p>
        </w:tc>
      </w:tr>
    </w:tbl>
    <w:p w:rsidR="00DA744B" w:rsidRDefault="00DA744B">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DA744B" w:rsidRDefault="00DA744B">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6753244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DA744B" w:rsidRDefault="00DA744B">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DA744B" w:rsidRDefault="00DA744B">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794,424.0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814,002,897.6</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79.5</w:t>
            </w:r>
            <w:r>
              <w:rPr>
                <w:rFonts w:ascii="宋体" w:hAnsi="宋体" w:hint="eastAsia"/>
                <w:szCs w:val="24"/>
                <w:lang w:eastAsia="zh-Hans"/>
              </w:rPr>
              <w:t>0</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71,044,087.8</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6.9</w:t>
            </w:r>
            <w:r>
              <w:rPr>
                <w:rFonts w:ascii="宋体" w:hAnsi="宋体" w:hint="eastAsia"/>
                <w:szCs w:val="24"/>
                <w:lang w:eastAsia="zh-Hans"/>
              </w:rPr>
              <w:t>4</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27,344,790.0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2.6</w:t>
            </w:r>
            <w:r>
              <w:rPr>
                <w:rFonts w:ascii="宋体" w:hAnsi="宋体" w:hint="eastAsia"/>
                <w:szCs w:val="24"/>
                <w:lang w:eastAsia="zh-Hans"/>
              </w:rPr>
              <w:t>7</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w:t>
            </w:r>
          </w:p>
        </w:tc>
      </w:tr>
      <w:tr w:rsidR="00000000">
        <w:trPr>
          <w:divId w:val="176753244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DA744B" w:rsidRDefault="00DA744B">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DA744B" w:rsidRDefault="00DA744B">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DA744B" w:rsidRDefault="00DA744B">
            <w:pPr>
              <w:jc w:val="right"/>
            </w:pPr>
            <w:r>
              <w:rPr>
                <w:rFonts w:ascii="宋体" w:hAnsi="宋体" w:hint="eastAsia"/>
                <w:szCs w:val="24"/>
                <w:lang w:eastAsia="zh-Hans"/>
              </w:rPr>
              <w:t>913,186,199.5</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DA744B" w:rsidRDefault="00DA744B">
            <w:pPr>
              <w:jc w:val="right"/>
            </w:pPr>
            <w:r>
              <w:rPr>
                <w:rFonts w:ascii="宋体" w:hAnsi="宋体" w:hint="eastAsia"/>
                <w:szCs w:val="24"/>
                <w:lang w:eastAsia="zh-Hans"/>
              </w:rPr>
              <w:t>89.1</w:t>
            </w:r>
            <w:r>
              <w:rPr>
                <w:rFonts w:ascii="宋体" w:hAnsi="宋体" w:hint="eastAsia"/>
                <w:szCs w:val="24"/>
                <w:lang w:eastAsia="zh-Hans"/>
              </w:rPr>
              <w:t>9</w:t>
            </w:r>
          </w:p>
        </w:tc>
      </w:tr>
    </w:tbl>
    <w:p w:rsidR="00DA744B" w:rsidRDefault="00DA744B">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DA744B" w:rsidRDefault="00DA744B">
      <w:pPr>
        <w:spacing w:line="360" w:lineRule="auto"/>
        <w:ind w:firstLineChars="200" w:firstLine="420"/>
        <w:divId w:val="43536834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DA744B" w:rsidRDefault="00DA744B">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DA744B" w:rsidRDefault="00DA744B">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54703776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150,22</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91,185,361.0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8.9</w:t>
            </w:r>
            <w:r>
              <w:rPr>
                <w:rFonts w:ascii="宋体" w:hAnsi="宋体" w:hint="eastAsia"/>
                <w:szCs w:val="24"/>
                <w:lang w:eastAsia="zh-Hans"/>
              </w:rPr>
              <w:t>1</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66,30</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84,208,620.0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8.2</w:t>
            </w:r>
            <w:r>
              <w:rPr>
                <w:rFonts w:ascii="宋体" w:hAnsi="宋体" w:hint="eastAsia"/>
                <w:szCs w:val="24"/>
                <w:lang w:eastAsia="zh-Hans"/>
              </w:rPr>
              <w:t>2</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261,51</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68,609,247.3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6.7</w:t>
            </w:r>
            <w:r>
              <w:rPr>
                <w:rFonts w:ascii="宋体" w:hAnsi="宋体" w:hint="eastAsia"/>
                <w:szCs w:val="24"/>
                <w:lang w:eastAsia="zh-Hans"/>
              </w:rPr>
              <w:t>0</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68825</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寒武</w:t>
            </w:r>
            <w:r>
              <w:rPr>
                <w:rFonts w:ascii="宋体" w:hAnsi="宋体" w:hint="eastAsia"/>
                <w:szCs w:val="24"/>
                <w:lang w:eastAsia="zh-Hans"/>
              </w:rPr>
              <w:t>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31,13</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49,680,640.3</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4.8</w:t>
            </w:r>
            <w:r>
              <w:rPr>
                <w:rFonts w:ascii="宋体" w:hAnsi="宋体" w:hint="eastAsia"/>
                <w:szCs w:val="24"/>
                <w:lang w:eastAsia="zh-Hans"/>
              </w:rPr>
              <w:t>5</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68812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蓝特光</w:t>
            </w:r>
            <w:r>
              <w:rPr>
                <w:rFonts w:ascii="宋体" w:hAnsi="宋体" w:hint="eastAsia"/>
                <w:szCs w:val="24"/>
                <w:lang w:eastAsia="zh-Hans"/>
              </w:rPr>
              <w:t>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463,46</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45,233,988.8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4.4</w:t>
            </w:r>
            <w:r>
              <w:rPr>
                <w:rFonts w:ascii="宋体" w:hAnsi="宋体" w:hint="eastAsia"/>
                <w:szCs w:val="24"/>
                <w:lang w:eastAsia="zh-Hans"/>
              </w:rPr>
              <w:t>2</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103,04</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40,496,536.4</w:t>
            </w:r>
            <w:r>
              <w:rPr>
                <w:rFonts w:ascii="宋体" w:hAnsi="宋体" w:hint="eastAsia"/>
                <w:szCs w:val="24"/>
                <w:lang w:eastAsia="zh-Hans"/>
              </w:rPr>
              <w:t>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3.9</w:t>
            </w:r>
            <w:r>
              <w:rPr>
                <w:rFonts w:ascii="宋体" w:hAnsi="宋体" w:hint="eastAsia"/>
                <w:szCs w:val="24"/>
                <w:lang w:eastAsia="zh-Hans"/>
              </w:rPr>
              <w:t>6</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68801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安集科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96,67</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32,815,937.6</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3.2</w:t>
            </w:r>
            <w:r>
              <w:rPr>
                <w:rFonts w:ascii="宋体" w:hAnsi="宋体" w:hint="eastAsia"/>
                <w:szCs w:val="24"/>
                <w:lang w:eastAsia="zh-Hans"/>
              </w:rPr>
              <w:t>1</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00237</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北方华</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30,694,232.0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3.0</w:t>
            </w:r>
            <w:r>
              <w:rPr>
                <w:rFonts w:ascii="宋体" w:hAnsi="宋体" w:hint="eastAsia"/>
                <w:szCs w:val="24"/>
                <w:lang w:eastAsia="zh-Hans"/>
              </w:rPr>
              <w:t>0</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30023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上海新</w:t>
            </w:r>
            <w:r>
              <w:rPr>
                <w:rFonts w:ascii="宋体" w:hAnsi="宋体" w:hint="eastAsia"/>
                <w:szCs w:val="24"/>
                <w:lang w:eastAsia="zh-Hans"/>
              </w:rPr>
              <w:t>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214,80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28,246,200.0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2.7</w:t>
            </w:r>
            <w:r>
              <w:rPr>
                <w:rFonts w:ascii="宋体" w:hAnsi="宋体" w:hint="eastAsia"/>
                <w:szCs w:val="24"/>
                <w:lang w:eastAsia="zh-Hans"/>
              </w:rPr>
              <w:t>6</w:t>
            </w:r>
          </w:p>
        </w:tc>
      </w:tr>
      <w:tr w:rsidR="00000000">
        <w:trPr>
          <w:divId w:val="54703776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00246</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szCs w:val="24"/>
                <w:lang w:eastAsia="zh-Hans"/>
              </w:rPr>
              <w:t>沪电股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183,71</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28,072,263.2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2.7</w:t>
            </w:r>
            <w:r>
              <w:rPr>
                <w:rFonts w:ascii="宋体" w:hAnsi="宋体" w:hint="eastAsia"/>
                <w:szCs w:val="24"/>
                <w:lang w:eastAsia="zh-Hans"/>
              </w:rPr>
              <w:t>4</w:t>
            </w:r>
          </w:p>
        </w:tc>
      </w:tr>
    </w:tbl>
    <w:p w:rsidR="00DA744B" w:rsidRDefault="00DA744B">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DA744B" w:rsidRDefault="00DA744B">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DA744B" w:rsidRDefault="00DA744B">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DA744B" w:rsidRDefault="00DA744B">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DA744B" w:rsidRDefault="00DA744B">
      <w:pPr>
        <w:spacing w:line="360" w:lineRule="auto"/>
        <w:ind w:firstLineChars="200" w:firstLine="420"/>
        <w:divId w:val="35149146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DA744B" w:rsidRDefault="00DA744B">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DA744B" w:rsidRDefault="00DA744B">
      <w:pPr>
        <w:spacing w:line="360" w:lineRule="auto"/>
        <w:ind w:firstLineChars="200" w:firstLine="420"/>
        <w:divId w:val="445739626"/>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DA744B" w:rsidRDefault="00DA744B">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DA744B" w:rsidRDefault="00DA744B">
      <w:pPr>
        <w:spacing w:line="360" w:lineRule="auto"/>
        <w:ind w:firstLineChars="200" w:firstLine="420"/>
        <w:divId w:val="79722054"/>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DA744B" w:rsidRDefault="00DA744B">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DA744B" w:rsidRDefault="00DA744B">
      <w:pPr>
        <w:spacing w:line="360" w:lineRule="auto"/>
        <w:ind w:firstLineChars="200" w:firstLine="420"/>
        <w:divId w:val="238561339"/>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DA744B" w:rsidRDefault="00DA744B">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DA744B" w:rsidRDefault="00DA744B">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DA744B" w:rsidRDefault="00DA744B">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DA744B" w:rsidRDefault="00DA744B">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DA744B" w:rsidRDefault="00DA744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DA744B" w:rsidRDefault="00DA744B">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47942742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44B" w:rsidRDefault="00DA744B">
            <w:pPr>
              <w:jc w:val="center"/>
            </w:pPr>
            <w:r>
              <w:rPr>
                <w:rFonts w:ascii="宋体" w:hAnsi="宋体" w:hint="eastAsia"/>
              </w:rPr>
              <w:t>金额（元</w:t>
            </w:r>
            <w:r>
              <w:rPr>
                <w:rFonts w:ascii="宋体" w:hAnsi="宋体" w:hint="eastAsia"/>
              </w:rPr>
              <w:t>）</w:t>
            </w:r>
            <w:r>
              <w:t xml:space="preserve"> </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291,681.3</w:t>
            </w:r>
            <w:r>
              <w:rPr>
                <w:rFonts w:ascii="宋体" w:hAnsi="宋体" w:hint="eastAsia"/>
              </w:rPr>
              <w:t>9</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1,433,349.5</w:t>
            </w:r>
            <w:r>
              <w:rPr>
                <w:rFonts w:ascii="宋体" w:hAnsi="宋体" w:hint="eastAsia"/>
              </w:rPr>
              <w:t>1</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4,841,747.3</w:t>
            </w:r>
            <w:r>
              <w:rPr>
                <w:rFonts w:ascii="宋体" w:hAnsi="宋体" w:hint="eastAsia"/>
              </w:rPr>
              <w:t>1</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w:t>
            </w:r>
          </w:p>
        </w:tc>
      </w:tr>
      <w:tr w:rsidR="00000000">
        <w:trPr>
          <w:divId w:val="47942742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6,566,778.2</w:t>
            </w:r>
            <w:r>
              <w:rPr>
                <w:rFonts w:ascii="宋体" w:hAnsi="宋体" w:hint="eastAsia"/>
              </w:rPr>
              <w:t>1</w:t>
            </w:r>
          </w:p>
        </w:tc>
      </w:tr>
    </w:tbl>
    <w:p w:rsidR="00DA744B" w:rsidRDefault="00DA744B">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DA744B" w:rsidRDefault="00DA744B">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DA744B" w:rsidRDefault="00DA744B">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DA744B" w:rsidRDefault="00DA744B">
      <w:pPr>
        <w:spacing w:line="360" w:lineRule="auto"/>
        <w:ind w:firstLineChars="200" w:firstLine="420"/>
        <w:jc w:val="left"/>
        <w:divId w:val="786657626"/>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DA744B" w:rsidRDefault="00DA744B">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DA744B" w:rsidRDefault="00DA744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DA744B" w:rsidRDefault="00DA744B">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DA744B" w:rsidRDefault="00DA744B">
      <w:pPr>
        <w:wordWrap w:val="0"/>
        <w:spacing w:line="360" w:lineRule="auto"/>
        <w:jc w:val="right"/>
        <w:divId w:val="277490482"/>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27749048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ind w:right="3"/>
              <w:jc w:val="center"/>
            </w:pPr>
            <w:r>
              <w:rPr>
                <w:rFonts w:ascii="宋体" w:hAnsi="宋体" w:hint="eastAsia"/>
                <w:lang w:eastAsia="zh-Hans"/>
              </w:rPr>
              <w:t>摩根智慧互联股票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A744B" w:rsidRDefault="00DA744B">
            <w:pPr>
              <w:ind w:right="3"/>
              <w:jc w:val="center"/>
            </w:pPr>
            <w:r>
              <w:rPr>
                <w:rFonts w:ascii="宋体" w:hAnsi="宋体" w:hint="eastAsia"/>
                <w:lang w:eastAsia="zh-Hans"/>
              </w:rPr>
              <w:t>摩根智慧互联股票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774904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404,307,139.2</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24,623,453.8</w:t>
            </w:r>
            <w:r>
              <w:rPr>
                <w:rFonts w:ascii="宋体" w:hAnsi="宋体" w:hint="eastAsia"/>
              </w:rPr>
              <w:t>7</w:t>
            </w:r>
          </w:p>
        </w:tc>
      </w:tr>
      <w:tr w:rsidR="00000000">
        <w:trPr>
          <w:divId w:val="2774904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66,527,256.9</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36,206,835.0</w:t>
            </w:r>
            <w:r>
              <w:rPr>
                <w:rFonts w:ascii="宋体" w:hAnsi="宋体" w:hint="eastAsia"/>
              </w:rPr>
              <w:t>7</w:t>
            </w:r>
          </w:p>
        </w:tc>
      </w:tr>
      <w:tr w:rsidR="00000000">
        <w:trPr>
          <w:divId w:val="2774904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73,626,630.8</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20,275,074.2</w:t>
            </w:r>
            <w:r>
              <w:rPr>
                <w:rFonts w:ascii="宋体" w:hAnsi="宋体" w:hint="eastAsia"/>
              </w:rPr>
              <w:t>2</w:t>
            </w:r>
          </w:p>
        </w:tc>
      </w:tr>
      <w:tr w:rsidR="00000000">
        <w:trPr>
          <w:divId w:val="2774904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w:t>
            </w:r>
          </w:p>
        </w:tc>
      </w:tr>
      <w:tr w:rsidR="00000000">
        <w:trPr>
          <w:divId w:val="2774904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397,207,765.3</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DA744B" w:rsidRDefault="00DA744B">
            <w:pPr>
              <w:jc w:val="right"/>
            </w:pPr>
            <w:r>
              <w:rPr>
                <w:rFonts w:ascii="宋体" w:hAnsi="宋体" w:hint="eastAsia"/>
              </w:rPr>
              <w:t>40,555,214.7</w:t>
            </w:r>
            <w:r>
              <w:rPr>
                <w:rFonts w:ascii="宋体" w:hAnsi="宋体" w:hint="eastAsia"/>
              </w:rPr>
              <w:t>2</w:t>
            </w:r>
          </w:p>
        </w:tc>
      </w:tr>
    </w:tbl>
    <w:p w:rsidR="00DA744B" w:rsidRDefault="00DA744B">
      <w:pPr>
        <w:spacing w:line="360" w:lineRule="auto"/>
        <w:jc w:val="left"/>
        <w:divId w:val="27749048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DA744B" w:rsidRDefault="00DA744B">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DA744B" w:rsidRDefault="00DA744B">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DA744B" w:rsidRDefault="00DA744B">
      <w:pPr>
        <w:wordWrap w:val="0"/>
        <w:spacing w:line="360" w:lineRule="auto"/>
        <w:jc w:val="right"/>
        <w:divId w:val="136088720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36088720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lang w:eastAsia="zh-Hans"/>
              </w:rPr>
              <w:t>摩根智慧互联股票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lang w:eastAsia="zh-Hans"/>
              </w:rPr>
              <w:t>摩根智慧互联股票</w:t>
            </w:r>
            <w:r>
              <w:rPr>
                <w:rFonts w:ascii="宋体" w:hAnsi="宋体" w:hint="eastAsia"/>
                <w:lang w:eastAsia="zh-Hans"/>
              </w:rPr>
              <w:t>C</w:t>
            </w:r>
            <w:r>
              <w:rPr>
                <w:rFonts w:ascii="宋体" w:hAnsi="宋体" w:hint="eastAsia"/>
                <w:color w:val="000000"/>
              </w:rPr>
              <w:t xml:space="preserve"> </w:t>
            </w:r>
          </w:p>
        </w:tc>
      </w:tr>
      <w:tr w:rsidR="00000000">
        <w:trPr>
          <w:divId w:val="136088720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rPr>
                <w:rFonts w:hint="eastAsia"/>
              </w:rPr>
            </w:pPr>
            <w:r>
              <w:rPr>
                <w:rFonts w:ascii="宋体" w:hAnsi="宋体" w:hint="eastAsia"/>
                <w:kern w:val="0"/>
                <w:szCs w:val="24"/>
                <w:lang w:eastAsia="zh-Hans"/>
              </w:rPr>
              <w:t>144,102.3</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kern w:val="0"/>
                <w:szCs w:val="24"/>
                <w:lang w:eastAsia="zh-Hans"/>
              </w:rPr>
              <w:t>-</w:t>
            </w:r>
          </w:p>
        </w:tc>
      </w:tr>
      <w:tr w:rsidR="00000000">
        <w:trPr>
          <w:divId w:val="136088720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szCs w:val="24"/>
                <w:lang w:eastAsia="zh-Hans"/>
              </w:rPr>
              <w:t>-</w:t>
            </w:r>
          </w:p>
        </w:tc>
      </w:tr>
      <w:tr w:rsidR="00000000">
        <w:trPr>
          <w:divId w:val="136088720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rPr>
                <w:rFonts w:hint="eastAsia"/>
              </w:rPr>
            </w:pPr>
            <w:r>
              <w:rPr>
                <w:rFonts w:ascii="宋体" w:hAnsi="宋体" w:hint="eastAsia"/>
                <w:lang w:eastAsia="zh-Hans"/>
              </w:rPr>
              <w:t>144,102.3</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lang w:eastAsia="zh-Hans"/>
              </w:rPr>
              <w:t>-</w:t>
            </w:r>
          </w:p>
        </w:tc>
      </w:tr>
      <w:tr w:rsidR="00000000">
        <w:trPr>
          <w:divId w:val="136088720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lang w:eastAsia="zh-Hans"/>
              </w:rPr>
              <w:t>-</w:t>
            </w:r>
          </w:p>
        </w:tc>
      </w:tr>
      <w:tr w:rsidR="00000000">
        <w:trPr>
          <w:divId w:val="136088720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lang w:eastAsia="zh-Hans"/>
              </w:rPr>
              <w:t>-</w:t>
            </w:r>
          </w:p>
        </w:tc>
      </w:tr>
    </w:tbl>
    <w:p w:rsidR="00DA744B" w:rsidRDefault="00DA744B">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645626312"/>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DA744B" w:rsidRDefault="00DA744B">
            <w:pPr>
              <w:jc w:val="center"/>
            </w:pPr>
            <w:r>
              <w:rPr>
                <w:rFonts w:ascii="宋体" w:hAnsi="宋体" w:hint="eastAsia"/>
              </w:rPr>
              <w:t>适用费率</w:t>
            </w:r>
            <w:r>
              <w:rPr>
                <w:rFonts w:ascii="宋体" w:hAnsi="宋体" w:hint="eastAsia"/>
              </w:rPr>
              <w:t xml:space="preserve"> </w:t>
            </w:r>
          </w:p>
        </w:tc>
      </w:tr>
      <w:tr w:rsidR="00000000">
        <w:trPr>
          <w:divId w:val="164562631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-144,102.3</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-246,801.9</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0.3</w:t>
            </w:r>
            <w:r>
              <w:rPr>
                <w:rFonts w:ascii="宋体" w:hAnsi="宋体" w:hint="eastAsia"/>
              </w:rPr>
              <w:t>5</w:t>
            </w:r>
            <w:r>
              <w:t xml:space="preserve">% </w:t>
            </w:r>
          </w:p>
        </w:tc>
      </w:tr>
      <w:tr w:rsidR="00000000">
        <w:trPr>
          <w:divId w:val="1645626312"/>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-144,102.3</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pPr>
              <w:jc w:val="right"/>
            </w:pPr>
            <w:r>
              <w:rPr>
                <w:rFonts w:ascii="宋体" w:hAnsi="宋体" w:hint="eastAsia"/>
              </w:rPr>
              <w:t>-246,801.9</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DA744B" w:rsidRDefault="00DA744B"/>
        </w:tc>
      </w:tr>
    </w:tbl>
    <w:p w:rsidR="00DA744B" w:rsidRDefault="00DA744B">
      <w:pPr>
        <w:spacing w:line="360" w:lineRule="auto"/>
        <w:jc w:val="left"/>
        <w:divId w:val="1800106997"/>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DA744B" w:rsidRDefault="00DA744B">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DA744B" w:rsidRDefault="00DA744B">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DA744B" w:rsidRDefault="00DA744B">
      <w:pPr>
        <w:spacing w:line="360" w:lineRule="auto"/>
        <w:ind w:firstLineChars="200" w:firstLine="420"/>
        <w:divId w:val="892928798"/>
        <w:rPr>
          <w:rFonts w:ascii="宋体" w:hAnsi="宋体" w:hint="eastAsia"/>
          <w:szCs w:val="21"/>
          <w:lang w:eastAsia="zh-Hans"/>
        </w:rPr>
      </w:pPr>
      <w:r>
        <w:rPr>
          <w:rFonts w:ascii="宋体" w:hAnsi="宋体" w:hint="eastAsia"/>
          <w:szCs w:val="21"/>
          <w:lang w:eastAsia="zh-Hans"/>
        </w:rPr>
        <w:t>无。</w:t>
      </w:r>
    </w:p>
    <w:p w:rsidR="00DA744B" w:rsidRDefault="00DA744B">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DA744B" w:rsidRDefault="00DA744B">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摩根智慧互联股票型证券投资基金基金合同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摩根智慧互联股票型证券投资基金托管协议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DA744B" w:rsidRDefault="00DA744B">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DA744B" w:rsidRDefault="00DA744B">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DA744B" w:rsidRDefault="00DA744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DA744B" w:rsidRDefault="00DA744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A744B" w:rsidRDefault="00DA744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DA744B" w:rsidRDefault="00DA744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DA744B" w:rsidRDefault="00DA744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DA744B">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44B" w:rsidRDefault="00DA744B">
      <w:pPr>
        <w:rPr>
          <w:szCs w:val="21"/>
        </w:rPr>
      </w:pPr>
      <w:r>
        <w:rPr>
          <w:szCs w:val="21"/>
        </w:rPr>
        <w:separator/>
      </w:r>
      <w:r>
        <w:rPr>
          <w:szCs w:val="21"/>
        </w:rPr>
        <w:t xml:space="preserve"> </w:t>
      </w:r>
    </w:p>
  </w:endnote>
  <w:endnote w:type="continuationSeparator" w:id="0">
    <w:p w:rsidR="00DA744B" w:rsidRDefault="00DA744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44B" w:rsidRDefault="00DA744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44B" w:rsidRDefault="00DA744B">
      <w:pPr>
        <w:rPr>
          <w:szCs w:val="21"/>
        </w:rPr>
      </w:pPr>
      <w:r>
        <w:rPr>
          <w:szCs w:val="21"/>
        </w:rPr>
        <w:separator/>
      </w:r>
      <w:r>
        <w:rPr>
          <w:szCs w:val="21"/>
        </w:rPr>
        <w:t xml:space="preserve"> </w:t>
      </w:r>
    </w:p>
  </w:footnote>
  <w:footnote w:type="continuationSeparator" w:id="0">
    <w:p w:rsidR="00DA744B" w:rsidRDefault="00DA744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44B" w:rsidRDefault="00DA744B">
    <w:pPr>
      <w:pStyle w:val="a8"/>
      <w:jc w:val="right"/>
    </w:pPr>
    <w:r>
      <w:rPr>
        <w:rFonts w:ascii="宋体" w:hAnsi="宋体" w:hint="eastAsia"/>
      </w:rPr>
      <w:t>摩根智慧互联股票型证券投资基金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08801022">
    <w:abstractNumId w:val="0"/>
  </w:num>
  <w:num w:numId="2" w16cid:durableId="1561205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14D54"/>
    <w:rsid w:val="009E3E39"/>
    <w:rsid w:val="00DA744B"/>
    <w:rsid w:val="00E14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9477">
      <w:marLeft w:val="0"/>
      <w:marRight w:val="0"/>
      <w:marTop w:val="0"/>
      <w:marBottom w:val="0"/>
      <w:divBdr>
        <w:top w:val="none" w:sz="0" w:space="0" w:color="auto"/>
        <w:left w:val="none" w:sz="0" w:space="0" w:color="auto"/>
        <w:bottom w:val="none" w:sz="0" w:space="0" w:color="auto"/>
        <w:right w:val="none" w:sz="0" w:space="0" w:color="auto"/>
      </w:divBdr>
      <w:divsChild>
        <w:div w:id="1360887206">
          <w:marLeft w:val="0"/>
          <w:marRight w:val="0"/>
          <w:marTop w:val="0"/>
          <w:marBottom w:val="0"/>
          <w:divBdr>
            <w:top w:val="none" w:sz="0" w:space="0" w:color="auto"/>
            <w:left w:val="none" w:sz="0" w:space="0" w:color="auto"/>
            <w:bottom w:val="none" w:sz="0" w:space="0" w:color="auto"/>
            <w:right w:val="none" w:sz="0" w:space="0" w:color="auto"/>
          </w:divBdr>
        </w:div>
      </w:divsChild>
    </w:div>
    <w:div w:id="51849220">
      <w:marLeft w:val="0"/>
      <w:marRight w:val="0"/>
      <w:marTop w:val="0"/>
      <w:marBottom w:val="0"/>
      <w:divBdr>
        <w:top w:val="none" w:sz="0" w:space="0" w:color="auto"/>
        <w:left w:val="none" w:sz="0" w:space="0" w:color="auto"/>
        <w:bottom w:val="none" w:sz="0" w:space="0" w:color="auto"/>
        <w:right w:val="none" w:sz="0" w:space="0" w:color="auto"/>
      </w:divBdr>
      <w:divsChild>
        <w:div w:id="112722240">
          <w:marLeft w:val="0"/>
          <w:marRight w:val="0"/>
          <w:marTop w:val="0"/>
          <w:marBottom w:val="0"/>
          <w:divBdr>
            <w:top w:val="none" w:sz="0" w:space="0" w:color="auto"/>
            <w:left w:val="none" w:sz="0" w:space="0" w:color="auto"/>
            <w:bottom w:val="none" w:sz="0" w:space="0" w:color="auto"/>
            <w:right w:val="none" w:sz="0" w:space="0" w:color="auto"/>
          </w:divBdr>
        </w:div>
      </w:divsChild>
    </w:div>
    <w:div w:id="79722054">
      <w:marLeft w:val="0"/>
      <w:marRight w:val="0"/>
      <w:marTop w:val="0"/>
      <w:marBottom w:val="0"/>
      <w:divBdr>
        <w:top w:val="none" w:sz="0" w:space="0" w:color="auto"/>
        <w:left w:val="none" w:sz="0" w:space="0" w:color="auto"/>
        <w:bottom w:val="none" w:sz="0" w:space="0" w:color="auto"/>
        <w:right w:val="none" w:sz="0" w:space="0" w:color="auto"/>
      </w:divBdr>
    </w:div>
    <w:div w:id="238561339">
      <w:marLeft w:val="0"/>
      <w:marRight w:val="0"/>
      <w:marTop w:val="0"/>
      <w:marBottom w:val="0"/>
      <w:divBdr>
        <w:top w:val="none" w:sz="0" w:space="0" w:color="auto"/>
        <w:left w:val="none" w:sz="0" w:space="0" w:color="auto"/>
        <w:bottom w:val="none" w:sz="0" w:space="0" w:color="auto"/>
        <w:right w:val="none" w:sz="0" w:space="0" w:color="auto"/>
      </w:divBdr>
    </w:div>
    <w:div w:id="277490482">
      <w:marLeft w:val="0"/>
      <w:marRight w:val="0"/>
      <w:marTop w:val="0"/>
      <w:marBottom w:val="0"/>
      <w:divBdr>
        <w:top w:val="none" w:sz="0" w:space="0" w:color="auto"/>
        <w:left w:val="none" w:sz="0" w:space="0" w:color="auto"/>
        <w:bottom w:val="none" w:sz="0" w:space="0" w:color="auto"/>
        <w:right w:val="none" w:sz="0" w:space="0" w:color="auto"/>
      </w:divBdr>
    </w:div>
    <w:div w:id="351491462">
      <w:marLeft w:val="0"/>
      <w:marRight w:val="0"/>
      <w:marTop w:val="0"/>
      <w:marBottom w:val="0"/>
      <w:divBdr>
        <w:top w:val="none" w:sz="0" w:space="0" w:color="auto"/>
        <w:left w:val="none" w:sz="0" w:space="0" w:color="auto"/>
        <w:bottom w:val="none" w:sz="0" w:space="0" w:color="auto"/>
        <w:right w:val="none" w:sz="0" w:space="0" w:color="auto"/>
      </w:divBdr>
    </w:div>
    <w:div w:id="433524494">
      <w:marLeft w:val="0"/>
      <w:marRight w:val="0"/>
      <w:marTop w:val="0"/>
      <w:marBottom w:val="0"/>
      <w:divBdr>
        <w:top w:val="none" w:sz="0" w:space="0" w:color="auto"/>
        <w:left w:val="none" w:sz="0" w:space="0" w:color="auto"/>
        <w:bottom w:val="none" w:sz="0" w:space="0" w:color="auto"/>
        <w:right w:val="none" w:sz="0" w:space="0" w:color="auto"/>
      </w:divBdr>
      <w:divsChild>
        <w:div w:id="1345203958">
          <w:marLeft w:val="0"/>
          <w:marRight w:val="0"/>
          <w:marTop w:val="0"/>
          <w:marBottom w:val="0"/>
          <w:divBdr>
            <w:top w:val="none" w:sz="0" w:space="0" w:color="auto"/>
            <w:left w:val="none" w:sz="0" w:space="0" w:color="auto"/>
            <w:bottom w:val="none" w:sz="0" w:space="0" w:color="auto"/>
            <w:right w:val="none" w:sz="0" w:space="0" w:color="auto"/>
          </w:divBdr>
        </w:div>
      </w:divsChild>
    </w:div>
    <w:div w:id="435368342">
      <w:marLeft w:val="0"/>
      <w:marRight w:val="0"/>
      <w:marTop w:val="0"/>
      <w:marBottom w:val="0"/>
      <w:divBdr>
        <w:top w:val="none" w:sz="0" w:space="0" w:color="auto"/>
        <w:left w:val="none" w:sz="0" w:space="0" w:color="auto"/>
        <w:bottom w:val="none" w:sz="0" w:space="0" w:color="auto"/>
        <w:right w:val="none" w:sz="0" w:space="0" w:color="auto"/>
      </w:divBdr>
    </w:div>
    <w:div w:id="445739626">
      <w:marLeft w:val="0"/>
      <w:marRight w:val="0"/>
      <w:marTop w:val="0"/>
      <w:marBottom w:val="0"/>
      <w:divBdr>
        <w:top w:val="none" w:sz="0" w:space="0" w:color="auto"/>
        <w:left w:val="none" w:sz="0" w:space="0" w:color="auto"/>
        <w:bottom w:val="none" w:sz="0" w:space="0" w:color="auto"/>
        <w:right w:val="none" w:sz="0" w:space="0" w:color="auto"/>
      </w:divBdr>
    </w:div>
    <w:div w:id="503084828">
      <w:marLeft w:val="0"/>
      <w:marRight w:val="0"/>
      <w:marTop w:val="0"/>
      <w:marBottom w:val="0"/>
      <w:divBdr>
        <w:top w:val="none" w:sz="0" w:space="0" w:color="auto"/>
        <w:left w:val="none" w:sz="0" w:space="0" w:color="auto"/>
        <w:bottom w:val="none" w:sz="0" w:space="0" w:color="auto"/>
        <w:right w:val="none" w:sz="0" w:space="0" w:color="auto"/>
      </w:divBdr>
    </w:div>
    <w:div w:id="532380108">
      <w:marLeft w:val="0"/>
      <w:marRight w:val="0"/>
      <w:marTop w:val="0"/>
      <w:marBottom w:val="0"/>
      <w:divBdr>
        <w:top w:val="none" w:sz="0" w:space="0" w:color="auto"/>
        <w:left w:val="none" w:sz="0" w:space="0" w:color="auto"/>
        <w:bottom w:val="none" w:sz="0" w:space="0" w:color="auto"/>
        <w:right w:val="none" w:sz="0" w:space="0" w:color="auto"/>
      </w:divBdr>
      <w:divsChild>
        <w:div w:id="555122077">
          <w:marLeft w:val="0"/>
          <w:marRight w:val="0"/>
          <w:marTop w:val="0"/>
          <w:marBottom w:val="0"/>
          <w:divBdr>
            <w:top w:val="none" w:sz="0" w:space="0" w:color="auto"/>
            <w:left w:val="none" w:sz="0" w:space="0" w:color="auto"/>
            <w:bottom w:val="none" w:sz="0" w:space="0" w:color="auto"/>
            <w:right w:val="none" w:sz="0" w:space="0" w:color="auto"/>
          </w:divBdr>
        </w:div>
      </w:divsChild>
    </w:div>
    <w:div w:id="547037767">
      <w:marLeft w:val="0"/>
      <w:marRight w:val="0"/>
      <w:marTop w:val="0"/>
      <w:marBottom w:val="0"/>
      <w:divBdr>
        <w:top w:val="none" w:sz="0" w:space="0" w:color="auto"/>
        <w:left w:val="none" w:sz="0" w:space="0" w:color="auto"/>
        <w:bottom w:val="none" w:sz="0" w:space="0" w:color="auto"/>
        <w:right w:val="none" w:sz="0" w:space="0" w:color="auto"/>
      </w:divBdr>
    </w:div>
    <w:div w:id="786657626">
      <w:marLeft w:val="0"/>
      <w:marRight w:val="0"/>
      <w:marTop w:val="0"/>
      <w:marBottom w:val="0"/>
      <w:divBdr>
        <w:top w:val="none" w:sz="0" w:space="0" w:color="auto"/>
        <w:left w:val="none" w:sz="0" w:space="0" w:color="auto"/>
        <w:bottom w:val="none" w:sz="0" w:space="0" w:color="auto"/>
        <w:right w:val="none" w:sz="0" w:space="0" w:color="auto"/>
      </w:divBdr>
    </w:div>
    <w:div w:id="846285236">
      <w:marLeft w:val="0"/>
      <w:marRight w:val="0"/>
      <w:marTop w:val="0"/>
      <w:marBottom w:val="0"/>
      <w:divBdr>
        <w:top w:val="none" w:sz="0" w:space="0" w:color="auto"/>
        <w:left w:val="none" w:sz="0" w:space="0" w:color="auto"/>
        <w:bottom w:val="none" w:sz="0" w:space="0" w:color="auto"/>
        <w:right w:val="none" w:sz="0" w:space="0" w:color="auto"/>
      </w:divBdr>
    </w:div>
    <w:div w:id="892928798">
      <w:marLeft w:val="0"/>
      <w:marRight w:val="0"/>
      <w:marTop w:val="0"/>
      <w:marBottom w:val="0"/>
      <w:divBdr>
        <w:top w:val="none" w:sz="0" w:space="0" w:color="auto"/>
        <w:left w:val="none" w:sz="0" w:space="0" w:color="auto"/>
        <w:bottom w:val="none" w:sz="0" w:space="0" w:color="auto"/>
        <w:right w:val="none" w:sz="0" w:space="0" w:color="auto"/>
      </w:divBdr>
    </w:div>
    <w:div w:id="1090856041">
      <w:marLeft w:val="0"/>
      <w:marRight w:val="0"/>
      <w:marTop w:val="0"/>
      <w:marBottom w:val="0"/>
      <w:divBdr>
        <w:top w:val="none" w:sz="0" w:space="0" w:color="auto"/>
        <w:left w:val="none" w:sz="0" w:space="0" w:color="auto"/>
        <w:bottom w:val="none" w:sz="0" w:space="0" w:color="auto"/>
        <w:right w:val="none" w:sz="0" w:space="0" w:color="auto"/>
      </w:divBdr>
      <w:divsChild>
        <w:div w:id="1555311377">
          <w:marLeft w:val="0"/>
          <w:marRight w:val="0"/>
          <w:marTop w:val="0"/>
          <w:marBottom w:val="0"/>
          <w:divBdr>
            <w:top w:val="none" w:sz="0" w:space="0" w:color="auto"/>
            <w:left w:val="none" w:sz="0" w:space="0" w:color="auto"/>
            <w:bottom w:val="none" w:sz="0" w:space="0" w:color="auto"/>
            <w:right w:val="none" w:sz="0" w:space="0" w:color="auto"/>
          </w:divBdr>
          <w:divsChild>
            <w:div w:id="13756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343">
      <w:marLeft w:val="0"/>
      <w:marRight w:val="0"/>
      <w:marTop w:val="0"/>
      <w:marBottom w:val="0"/>
      <w:divBdr>
        <w:top w:val="none" w:sz="0" w:space="0" w:color="auto"/>
        <w:left w:val="none" w:sz="0" w:space="0" w:color="auto"/>
        <w:bottom w:val="none" w:sz="0" w:space="0" w:color="auto"/>
        <w:right w:val="none" w:sz="0" w:space="0" w:color="auto"/>
      </w:divBdr>
      <w:divsChild>
        <w:div w:id="1849247876">
          <w:marLeft w:val="0"/>
          <w:marRight w:val="0"/>
          <w:marTop w:val="0"/>
          <w:marBottom w:val="0"/>
          <w:divBdr>
            <w:top w:val="none" w:sz="0" w:space="0" w:color="auto"/>
            <w:left w:val="none" w:sz="0" w:space="0" w:color="auto"/>
            <w:bottom w:val="none" w:sz="0" w:space="0" w:color="auto"/>
            <w:right w:val="none" w:sz="0" w:space="0" w:color="auto"/>
          </w:divBdr>
        </w:div>
        <w:div w:id="1602256233">
          <w:marLeft w:val="0"/>
          <w:marRight w:val="0"/>
          <w:marTop w:val="0"/>
          <w:marBottom w:val="0"/>
          <w:divBdr>
            <w:top w:val="none" w:sz="0" w:space="0" w:color="auto"/>
            <w:left w:val="none" w:sz="0" w:space="0" w:color="auto"/>
            <w:bottom w:val="none" w:sz="0" w:space="0" w:color="auto"/>
            <w:right w:val="none" w:sz="0" w:space="0" w:color="auto"/>
          </w:divBdr>
        </w:div>
      </w:divsChild>
    </w:div>
    <w:div w:id="1476214479">
      <w:marLeft w:val="0"/>
      <w:marRight w:val="0"/>
      <w:marTop w:val="0"/>
      <w:marBottom w:val="0"/>
      <w:divBdr>
        <w:top w:val="none" w:sz="0" w:space="0" w:color="auto"/>
        <w:left w:val="none" w:sz="0" w:space="0" w:color="auto"/>
        <w:bottom w:val="none" w:sz="0" w:space="0" w:color="auto"/>
        <w:right w:val="none" w:sz="0" w:space="0" w:color="auto"/>
      </w:divBdr>
      <w:divsChild>
        <w:div w:id="1767532443">
          <w:marLeft w:val="0"/>
          <w:marRight w:val="0"/>
          <w:marTop w:val="0"/>
          <w:marBottom w:val="0"/>
          <w:divBdr>
            <w:top w:val="none" w:sz="0" w:space="0" w:color="auto"/>
            <w:left w:val="none" w:sz="0" w:space="0" w:color="auto"/>
            <w:bottom w:val="none" w:sz="0" w:space="0" w:color="auto"/>
            <w:right w:val="none" w:sz="0" w:space="0" w:color="auto"/>
          </w:divBdr>
        </w:div>
      </w:divsChild>
    </w:div>
    <w:div w:id="1535532680">
      <w:marLeft w:val="0"/>
      <w:marRight w:val="0"/>
      <w:marTop w:val="0"/>
      <w:marBottom w:val="0"/>
      <w:divBdr>
        <w:top w:val="none" w:sz="0" w:space="0" w:color="auto"/>
        <w:left w:val="none" w:sz="0" w:space="0" w:color="auto"/>
        <w:bottom w:val="none" w:sz="0" w:space="0" w:color="auto"/>
        <w:right w:val="none" w:sz="0" w:space="0" w:color="auto"/>
      </w:divBdr>
      <w:divsChild>
        <w:div w:id="479427421">
          <w:marLeft w:val="0"/>
          <w:marRight w:val="0"/>
          <w:marTop w:val="0"/>
          <w:marBottom w:val="0"/>
          <w:divBdr>
            <w:top w:val="none" w:sz="0" w:space="0" w:color="auto"/>
            <w:left w:val="none" w:sz="0" w:space="0" w:color="auto"/>
            <w:bottom w:val="none" w:sz="0" w:space="0" w:color="auto"/>
            <w:right w:val="none" w:sz="0" w:space="0" w:color="auto"/>
          </w:divBdr>
        </w:div>
      </w:divsChild>
    </w:div>
    <w:div w:id="1700860389">
      <w:marLeft w:val="0"/>
      <w:marRight w:val="0"/>
      <w:marTop w:val="0"/>
      <w:marBottom w:val="0"/>
      <w:divBdr>
        <w:top w:val="none" w:sz="0" w:space="0" w:color="auto"/>
        <w:left w:val="none" w:sz="0" w:space="0" w:color="auto"/>
        <w:bottom w:val="none" w:sz="0" w:space="0" w:color="auto"/>
        <w:right w:val="none" w:sz="0" w:space="0" w:color="auto"/>
      </w:divBdr>
    </w:div>
    <w:div w:id="1800106997">
      <w:marLeft w:val="0"/>
      <w:marRight w:val="0"/>
      <w:marTop w:val="0"/>
      <w:marBottom w:val="0"/>
      <w:divBdr>
        <w:top w:val="none" w:sz="0" w:space="0" w:color="auto"/>
        <w:left w:val="none" w:sz="0" w:space="0" w:color="auto"/>
        <w:bottom w:val="none" w:sz="0" w:space="0" w:color="auto"/>
        <w:right w:val="none" w:sz="0" w:space="0" w:color="auto"/>
      </w:divBdr>
      <w:divsChild>
        <w:div w:id="16456263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1256</Words>
  <Characters>7160</Characters>
  <Application>Microsoft Office Word</Application>
  <DocSecurity>4</DocSecurity>
  <Lines>59</Lines>
  <Paragraphs>16</Paragraphs>
  <ScaleCrop>false</ScaleCrop>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